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509CF7">
      <w:pPr>
        <w:spacing w:before="120"/>
        <w:rPr>
          <w:rFonts w:hint="eastAsia" w:ascii="宋体" w:hAnsi="宋体" w:cs="宋体"/>
          <w:b/>
          <w:color w:val="auto"/>
          <w:sz w:val="48"/>
          <w:szCs w:val="48"/>
          <w:highlight w:val="none"/>
        </w:rPr>
      </w:pPr>
    </w:p>
    <w:p w14:paraId="2832B17F">
      <w:pPr>
        <w:spacing w:before="120" w:line="360" w:lineRule="auto"/>
        <w:jc w:val="center"/>
        <w:rPr>
          <w:rFonts w:hint="eastAsia" w:ascii="宋体" w:hAnsi="宋体" w:cs="宋体"/>
          <w:color w:val="auto"/>
          <w:sz w:val="72"/>
          <w:szCs w:val="72"/>
          <w:highlight w:val="none"/>
        </w:rPr>
      </w:pPr>
      <w:r>
        <w:rPr>
          <w:rFonts w:hint="eastAsia" w:ascii="宋体" w:hAnsi="宋体" w:cs="宋体"/>
          <w:color w:val="auto"/>
          <w:sz w:val="72"/>
          <w:szCs w:val="72"/>
          <w:highlight w:val="none"/>
        </w:rPr>
        <w:t>公开招标文件</w:t>
      </w:r>
    </w:p>
    <w:p w14:paraId="5EC9E482">
      <w:pPr>
        <w:spacing w:before="120" w:line="360" w:lineRule="auto"/>
        <w:rPr>
          <w:rFonts w:hint="eastAsia" w:ascii="宋体" w:hAnsi="宋体" w:cs="宋体"/>
          <w:color w:val="auto"/>
          <w:sz w:val="30"/>
          <w:szCs w:val="72"/>
          <w:highlight w:val="none"/>
        </w:rPr>
      </w:pPr>
    </w:p>
    <w:p w14:paraId="1CAC02C1">
      <w:pPr>
        <w:spacing w:before="120" w:line="360" w:lineRule="auto"/>
        <w:rPr>
          <w:rFonts w:hint="eastAsia" w:ascii="宋体" w:hAnsi="宋体" w:cs="宋体"/>
          <w:color w:val="auto"/>
          <w:sz w:val="30"/>
          <w:szCs w:val="72"/>
          <w:highlight w:val="none"/>
        </w:rPr>
      </w:pPr>
    </w:p>
    <w:p w14:paraId="4F7C47E1">
      <w:pPr>
        <w:spacing w:before="120" w:line="360" w:lineRule="auto"/>
        <w:rPr>
          <w:rFonts w:hint="eastAsia" w:ascii="宋体" w:hAnsi="宋体" w:cs="宋体"/>
          <w:color w:val="auto"/>
          <w:sz w:val="30"/>
          <w:szCs w:val="72"/>
          <w:highlight w:val="none"/>
        </w:rPr>
      </w:pPr>
    </w:p>
    <w:p w14:paraId="3436D7D9">
      <w:pPr>
        <w:pStyle w:val="230"/>
        <w:spacing w:before="120" w:after="120" w:line="360" w:lineRule="auto"/>
        <w:ind w:firstLine="1193"/>
        <w:rPr>
          <w:rFonts w:hint="eastAsia" w:hAnsi="宋体" w:eastAsia="宋体" w:cs="宋体"/>
          <w:b/>
          <w:bCs/>
          <w:color w:val="auto"/>
          <w:sz w:val="30"/>
          <w:szCs w:val="30"/>
          <w:highlight w:val="none"/>
          <w:lang w:eastAsia="zh-CN"/>
        </w:rPr>
      </w:pPr>
      <w:r>
        <w:rPr>
          <w:rFonts w:hint="eastAsia" w:hAnsi="宋体" w:cs="宋体"/>
          <w:b/>
          <w:bCs/>
          <w:color w:val="auto"/>
          <w:sz w:val="30"/>
          <w:szCs w:val="30"/>
          <w:highlight w:val="none"/>
        </w:rPr>
        <w:t>项目编号：</w:t>
      </w:r>
      <w:r>
        <w:rPr>
          <w:rFonts w:hint="eastAsia" w:hAnsi="宋体" w:cs="宋体"/>
          <w:b/>
          <w:bCs/>
          <w:color w:val="auto"/>
          <w:sz w:val="30"/>
          <w:szCs w:val="30"/>
          <w:highlight w:val="none"/>
          <w:lang w:eastAsia="zh-CN"/>
        </w:rPr>
        <w:t>GGZC2026-G3-990293-YZLZ</w:t>
      </w:r>
    </w:p>
    <w:p w14:paraId="0BDA58B9">
      <w:pPr>
        <w:tabs>
          <w:tab w:val="left" w:pos="9030"/>
        </w:tabs>
        <w:spacing w:before="120" w:line="360" w:lineRule="auto"/>
        <w:ind w:firstLine="1145"/>
        <w:rPr>
          <w:rFonts w:hint="eastAsia" w:ascii="宋体" w:hAnsi="宋体" w:eastAsia="宋体" w:cs="宋体"/>
          <w:b/>
          <w:bCs/>
          <w:color w:val="auto"/>
          <w:sz w:val="30"/>
          <w:szCs w:val="30"/>
          <w:highlight w:val="none"/>
          <w:lang w:eastAsia="zh-CN"/>
        </w:rPr>
      </w:pPr>
      <w:r>
        <w:rPr>
          <w:rFonts w:hint="eastAsia" w:ascii="宋体" w:hAnsi="宋体" w:cs="宋体"/>
          <w:b/>
          <w:bCs/>
          <w:color w:val="auto"/>
          <w:sz w:val="30"/>
          <w:szCs w:val="30"/>
          <w:highlight w:val="none"/>
        </w:rPr>
        <w:t>项目名称：</w:t>
      </w:r>
      <w:r>
        <w:rPr>
          <w:rFonts w:hint="eastAsia" w:ascii="宋体" w:hAnsi="宋体" w:cs="宋体"/>
          <w:b/>
          <w:bCs/>
          <w:color w:val="auto"/>
          <w:sz w:val="30"/>
          <w:szCs w:val="30"/>
          <w:highlight w:val="none"/>
          <w:lang w:eastAsia="zh-CN"/>
        </w:rPr>
        <w:t>贵港市城市监控联网系统（二期）项目供电及网络服务采购</w:t>
      </w:r>
    </w:p>
    <w:p w14:paraId="7AD65FB0">
      <w:pPr>
        <w:pStyle w:val="230"/>
        <w:spacing w:before="120" w:after="120" w:line="360" w:lineRule="auto"/>
        <w:ind w:firstLine="1125"/>
        <w:rPr>
          <w:rFonts w:hint="eastAsia" w:hAnsi="宋体" w:cs="宋体"/>
          <w:b/>
          <w:bCs/>
          <w:color w:val="auto"/>
          <w:sz w:val="30"/>
          <w:szCs w:val="30"/>
          <w:highlight w:val="none"/>
          <w:lang w:eastAsia="zh-CN"/>
        </w:rPr>
      </w:pPr>
      <w:r>
        <w:rPr>
          <w:rFonts w:hint="eastAsia" w:hAnsi="宋体" w:cs="宋体"/>
          <w:b/>
          <w:bCs/>
          <w:color w:val="auto"/>
          <w:sz w:val="30"/>
          <w:szCs w:val="30"/>
          <w:highlight w:val="none"/>
        </w:rPr>
        <w:t>采 购 人：</w:t>
      </w:r>
      <w:r>
        <w:rPr>
          <w:rFonts w:hint="eastAsia" w:hAnsi="宋体" w:cs="宋体"/>
          <w:b/>
          <w:bCs/>
          <w:color w:val="auto"/>
          <w:sz w:val="30"/>
          <w:szCs w:val="30"/>
          <w:highlight w:val="none"/>
          <w:lang w:eastAsia="zh-CN"/>
        </w:rPr>
        <w:t>贵港市公安局</w:t>
      </w:r>
    </w:p>
    <w:p w14:paraId="7E6BF2B1">
      <w:pPr>
        <w:pStyle w:val="230"/>
        <w:spacing w:before="120" w:after="120" w:line="360" w:lineRule="auto"/>
        <w:ind w:firstLine="1125"/>
        <w:rPr>
          <w:rFonts w:hint="eastAsia" w:hAnsi="宋体" w:cs="宋体"/>
          <w:b/>
          <w:bCs/>
          <w:color w:val="auto"/>
          <w:sz w:val="30"/>
          <w:szCs w:val="30"/>
          <w:highlight w:val="none"/>
        </w:rPr>
      </w:pPr>
      <w:r>
        <w:rPr>
          <w:rFonts w:hint="eastAsia" w:hAnsi="宋体" w:cs="宋体"/>
          <w:b/>
          <w:bCs/>
          <w:color w:val="auto"/>
          <w:sz w:val="30"/>
          <w:szCs w:val="30"/>
          <w:highlight w:val="none"/>
        </w:rPr>
        <w:t>采购代理机构：云之龙咨询集团有限公司</w:t>
      </w:r>
    </w:p>
    <w:p w14:paraId="556BAD73">
      <w:pPr>
        <w:pStyle w:val="230"/>
        <w:spacing w:before="120" w:after="120" w:line="360" w:lineRule="auto"/>
        <w:ind w:firstLine="841"/>
        <w:rPr>
          <w:rFonts w:hint="eastAsia" w:hAnsi="宋体" w:cs="宋体"/>
          <w:b/>
          <w:bCs/>
          <w:color w:val="auto"/>
          <w:sz w:val="30"/>
          <w:szCs w:val="30"/>
          <w:highlight w:val="none"/>
        </w:rPr>
      </w:pPr>
      <w:r>
        <w:rPr>
          <w:rFonts w:hint="eastAsia" w:hAnsi="宋体" w:cs="宋体"/>
          <w:b/>
          <w:bCs/>
          <w:color w:val="auto"/>
          <w:sz w:val="30"/>
          <w:szCs w:val="30"/>
          <w:highlight w:val="none"/>
        </w:rPr>
        <w:t xml:space="preserve">            </w:t>
      </w:r>
    </w:p>
    <w:p w14:paraId="2CD4A9B2">
      <w:pPr>
        <w:pStyle w:val="230"/>
        <w:spacing w:before="120" w:after="120" w:line="360" w:lineRule="auto"/>
        <w:ind w:firstLine="841"/>
        <w:rPr>
          <w:rFonts w:hint="eastAsia" w:hAnsi="宋体" w:cs="宋体"/>
          <w:b/>
          <w:bCs/>
          <w:color w:val="auto"/>
          <w:sz w:val="30"/>
          <w:szCs w:val="30"/>
          <w:highlight w:val="none"/>
        </w:rPr>
      </w:pPr>
    </w:p>
    <w:p w14:paraId="3A511E59">
      <w:pPr>
        <w:pStyle w:val="230"/>
        <w:spacing w:before="120" w:after="120" w:line="360" w:lineRule="auto"/>
        <w:ind w:firstLine="841"/>
        <w:jc w:val="center"/>
        <w:rPr>
          <w:rFonts w:hint="eastAsia" w:hAnsi="宋体" w:cs="宋体"/>
          <w:color w:val="auto"/>
          <w:szCs w:val="20"/>
          <w:highlight w:val="none"/>
        </w:rPr>
      </w:pPr>
      <w:r>
        <w:rPr>
          <w:rFonts w:hint="eastAsia" w:hAnsi="宋体" w:cs="宋体"/>
          <w:b/>
          <w:bCs/>
          <w:color w:val="auto"/>
          <w:sz w:val="30"/>
          <w:szCs w:val="30"/>
          <w:highlight w:val="none"/>
          <w:lang w:eastAsia="zh-CN"/>
        </w:rPr>
        <w:t>2026</w:t>
      </w:r>
      <w:r>
        <w:rPr>
          <w:rFonts w:hint="eastAsia" w:hAnsi="宋体" w:cs="宋体"/>
          <w:b/>
          <w:bCs/>
          <w:color w:val="auto"/>
          <w:sz w:val="30"/>
          <w:szCs w:val="30"/>
          <w:highlight w:val="none"/>
        </w:rPr>
        <w:t>年</w:t>
      </w:r>
      <w:r>
        <w:rPr>
          <w:rFonts w:hint="eastAsia" w:hAnsi="宋体" w:cs="宋体"/>
          <w:b/>
          <w:bCs/>
          <w:color w:val="auto"/>
          <w:sz w:val="30"/>
          <w:szCs w:val="30"/>
          <w:highlight w:val="none"/>
          <w:lang w:val="en-US" w:eastAsia="zh-CN"/>
        </w:rPr>
        <w:t xml:space="preserve"> 9</w:t>
      </w:r>
      <w:r>
        <w:rPr>
          <w:rFonts w:hint="eastAsia" w:hAnsi="宋体" w:cs="宋体"/>
          <w:b/>
          <w:bCs/>
          <w:color w:val="auto"/>
          <w:sz w:val="30"/>
          <w:szCs w:val="30"/>
          <w:highlight w:val="none"/>
        </w:rPr>
        <w:t>月</w:t>
      </w:r>
    </w:p>
    <w:p w14:paraId="3476C9B3">
      <w:pPr>
        <w:pStyle w:val="230"/>
        <w:spacing w:before="120" w:after="120" w:line="360" w:lineRule="auto"/>
        <w:jc w:val="center"/>
        <w:rPr>
          <w:rFonts w:hint="eastAsia" w:hAnsi="宋体" w:cs="宋体"/>
          <w:color w:val="auto"/>
          <w:highlight w:val="none"/>
        </w:rPr>
      </w:pPr>
    </w:p>
    <w:p w14:paraId="06C88031">
      <w:pPr>
        <w:pStyle w:val="222"/>
        <w:rPr>
          <w:rFonts w:hint="eastAsia" w:ascii="宋体" w:hAnsi="宋体" w:cs="宋体"/>
          <w:color w:val="auto"/>
          <w:sz w:val="40"/>
          <w:highlight w:val="none"/>
        </w:rPr>
      </w:pPr>
    </w:p>
    <w:p w14:paraId="1BCB969E">
      <w:pPr>
        <w:pStyle w:val="230"/>
        <w:spacing w:before="120" w:after="120" w:line="360" w:lineRule="auto"/>
        <w:jc w:val="center"/>
        <w:rPr>
          <w:rFonts w:hint="eastAsia" w:hAnsi="宋体" w:cs="宋体"/>
          <w:color w:val="auto"/>
          <w:highlight w:val="none"/>
        </w:rPr>
        <w:sectPr>
          <w:footerReference r:id="rId6" w:type="first"/>
          <w:headerReference r:id="rId3" w:type="default"/>
          <w:footerReference r:id="rId4" w:type="default"/>
          <w:footerReference r:id="rId5" w:type="even"/>
          <w:pgSz w:w="11906" w:h="16838"/>
          <w:pgMar w:top="1134" w:right="1247" w:bottom="1560" w:left="1247" w:header="851" w:footer="992" w:gutter="0"/>
          <w:cols w:space="1701" w:num="1"/>
          <w:titlePg/>
        </w:sectPr>
      </w:pPr>
    </w:p>
    <w:p w14:paraId="4F95CF20">
      <w:pPr>
        <w:rPr>
          <w:rFonts w:hint="eastAsia" w:ascii="宋体" w:hAnsi="宋体" w:cs="宋体"/>
          <w:color w:val="auto"/>
          <w:highlight w:val="none"/>
        </w:rPr>
      </w:pPr>
    </w:p>
    <w:p w14:paraId="477EF98C">
      <w:pPr>
        <w:pStyle w:val="230"/>
        <w:spacing w:before="120" w:after="120" w:line="360" w:lineRule="auto"/>
        <w:jc w:val="center"/>
        <w:rPr>
          <w:rFonts w:hint="eastAsia" w:hAnsi="宋体" w:cs="宋体"/>
          <w:color w:val="auto"/>
          <w:sz w:val="32"/>
          <w:szCs w:val="32"/>
          <w:highlight w:val="none"/>
        </w:rPr>
      </w:pPr>
      <w:r>
        <w:rPr>
          <w:rFonts w:hint="eastAsia" w:hAnsi="宋体" w:cs="宋体"/>
          <w:color w:val="auto"/>
          <w:sz w:val="32"/>
          <w:szCs w:val="32"/>
          <w:highlight w:val="none"/>
        </w:rPr>
        <w:t>目    录</w:t>
      </w:r>
    </w:p>
    <w:p w14:paraId="39EDD5F2">
      <w:pPr>
        <w:pStyle w:val="29"/>
        <w:tabs>
          <w:tab w:val="right" w:leader="dot" w:pos="8312"/>
        </w:tabs>
        <w:rPr>
          <w:color w:val="auto"/>
          <w:highlight w:val="none"/>
        </w:rPr>
      </w:pP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 TOC \o "1-2" \h \z \u </w:instrText>
      </w:r>
      <w:r>
        <w:rPr>
          <w:rFonts w:hint="eastAsia" w:ascii="宋体" w:hAnsi="宋体" w:cs="宋体"/>
          <w:b/>
          <w:bCs/>
          <w:color w:val="auto"/>
          <w:sz w:val="24"/>
          <w:highlight w:val="none"/>
        </w:rPr>
        <w:fldChar w:fldCharType="separate"/>
      </w:r>
      <w:r>
        <w:rPr>
          <w:rFonts w:hint="eastAsia" w:ascii="宋体" w:hAnsi="宋体" w:cs="宋体"/>
          <w:bCs/>
          <w:color w:val="auto"/>
          <w:highlight w:val="none"/>
        </w:rPr>
        <w:fldChar w:fldCharType="begin"/>
      </w:r>
      <w:r>
        <w:rPr>
          <w:rFonts w:hint="eastAsia" w:ascii="宋体" w:hAnsi="宋体" w:cs="宋体"/>
          <w:bCs/>
          <w:color w:val="auto"/>
          <w:highlight w:val="none"/>
        </w:rPr>
        <w:instrText xml:space="preserve"> HYPERLINK \l _Toc24965 </w:instrText>
      </w:r>
      <w:r>
        <w:rPr>
          <w:rFonts w:hint="eastAsia" w:ascii="宋体" w:hAnsi="宋体" w:cs="宋体"/>
          <w:bCs/>
          <w:color w:val="auto"/>
          <w:highlight w:val="none"/>
        </w:rPr>
        <w:fldChar w:fldCharType="separate"/>
      </w:r>
      <w:r>
        <w:rPr>
          <w:rFonts w:hint="eastAsia" w:ascii="宋体" w:hAnsi="宋体" w:eastAsia="宋体" w:cs="宋体"/>
          <w:color w:val="auto"/>
          <w:highlight w:val="none"/>
        </w:rPr>
        <w:t>第一章  招标公告</w:t>
      </w:r>
      <w:r>
        <w:rPr>
          <w:color w:val="auto"/>
          <w:highlight w:val="none"/>
        </w:rPr>
        <w:tab/>
      </w:r>
      <w:r>
        <w:rPr>
          <w:color w:val="auto"/>
          <w:highlight w:val="none"/>
        </w:rPr>
        <w:fldChar w:fldCharType="begin"/>
      </w:r>
      <w:r>
        <w:rPr>
          <w:color w:val="auto"/>
          <w:highlight w:val="none"/>
        </w:rPr>
        <w:instrText xml:space="preserve"> PAGEREF _Toc24965 \h </w:instrText>
      </w:r>
      <w:r>
        <w:rPr>
          <w:color w:val="auto"/>
          <w:highlight w:val="none"/>
        </w:rPr>
        <w:fldChar w:fldCharType="separate"/>
      </w:r>
      <w:r>
        <w:rPr>
          <w:color w:val="auto"/>
          <w:highlight w:val="none"/>
        </w:rPr>
        <w:t>3</w:t>
      </w:r>
      <w:r>
        <w:rPr>
          <w:color w:val="auto"/>
          <w:highlight w:val="none"/>
        </w:rPr>
        <w:fldChar w:fldCharType="end"/>
      </w:r>
      <w:r>
        <w:rPr>
          <w:rFonts w:hint="eastAsia" w:ascii="宋体" w:hAnsi="宋体" w:cs="宋体"/>
          <w:bCs/>
          <w:color w:val="auto"/>
          <w:highlight w:val="none"/>
        </w:rPr>
        <w:fldChar w:fldCharType="end"/>
      </w:r>
    </w:p>
    <w:p w14:paraId="66342248">
      <w:pPr>
        <w:pStyle w:val="29"/>
        <w:tabs>
          <w:tab w:val="right" w:leader="dot" w:pos="8312"/>
        </w:tabs>
        <w:rPr>
          <w:color w:val="auto"/>
          <w:highlight w:val="none"/>
        </w:rPr>
      </w:pPr>
      <w:r>
        <w:rPr>
          <w:rFonts w:hint="eastAsia" w:ascii="宋体" w:hAnsi="宋体" w:cs="宋体"/>
          <w:bCs/>
          <w:color w:val="auto"/>
          <w:highlight w:val="none"/>
        </w:rPr>
        <w:fldChar w:fldCharType="begin"/>
      </w:r>
      <w:r>
        <w:rPr>
          <w:rFonts w:hint="eastAsia" w:ascii="宋体" w:hAnsi="宋体" w:cs="宋体"/>
          <w:bCs/>
          <w:color w:val="auto"/>
          <w:highlight w:val="none"/>
        </w:rPr>
        <w:instrText xml:space="preserve"> HYPERLINK \l _Toc1871 </w:instrText>
      </w:r>
      <w:r>
        <w:rPr>
          <w:rFonts w:hint="eastAsia" w:ascii="宋体" w:hAnsi="宋体" w:cs="宋体"/>
          <w:bCs/>
          <w:color w:val="auto"/>
          <w:highlight w:val="none"/>
        </w:rPr>
        <w:fldChar w:fldCharType="separate"/>
      </w:r>
      <w:r>
        <w:rPr>
          <w:rFonts w:hint="eastAsia" w:ascii="宋体" w:hAnsi="宋体" w:eastAsia="宋体" w:cs="宋体"/>
          <w:color w:val="auto"/>
          <w:highlight w:val="none"/>
        </w:rPr>
        <w:t>第二章  采购需求</w:t>
      </w:r>
      <w:r>
        <w:rPr>
          <w:color w:val="auto"/>
          <w:highlight w:val="none"/>
        </w:rPr>
        <w:tab/>
      </w:r>
      <w:r>
        <w:rPr>
          <w:color w:val="auto"/>
          <w:highlight w:val="none"/>
        </w:rPr>
        <w:fldChar w:fldCharType="begin"/>
      </w:r>
      <w:r>
        <w:rPr>
          <w:color w:val="auto"/>
          <w:highlight w:val="none"/>
        </w:rPr>
        <w:instrText xml:space="preserve"> PAGEREF _Toc1871 \h </w:instrText>
      </w:r>
      <w:r>
        <w:rPr>
          <w:color w:val="auto"/>
          <w:highlight w:val="none"/>
        </w:rPr>
        <w:fldChar w:fldCharType="separate"/>
      </w:r>
      <w:r>
        <w:rPr>
          <w:color w:val="auto"/>
          <w:highlight w:val="none"/>
        </w:rPr>
        <w:t>6</w:t>
      </w:r>
      <w:r>
        <w:rPr>
          <w:color w:val="auto"/>
          <w:highlight w:val="none"/>
        </w:rPr>
        <w:fldChar w:fldCharType="end"/>
      </w:r>
      <w:r>
        <w:rPr>
          <w:rFonts w:hint="eastAsia" w:ascii="宋体" w:hAnsi="宋体" w:cs="宋体"/>
          <w:bCs/>
          <w:color w:val="auto"/>
          <w:highlight w:val="none"/>
        </w:rPr>
        <w:fldChar w:fldCharType="end"/>
      </w:r>
    </w:p>
    <w:p w14:paraId="635EAE39">
      <w:pPr>
        <w:pStyle w:val="29"/>
        <w:tabs>
          <w:tab w:val="right" w:leader="dot" w:pos="8312"/>
        </w:tabs>
        <w:rPr>
          <w:color w:val="auto"/>
          <w:highlight w:val="none"/>
        </w:rPr>
      </w:pPr>
      <w:r>
        <w:rPr>
          <w:rFonts w:hint="eastAsia" w:ascii="宋体" w:hAnsi="宋体" w:cs="宋体"/>
          <w:bCs/>
          <w:color w:val="auto"/>
          <w:highlight w:val="none"/>
        </w:rPr>
        <w:fldChar w:fldCharType="begin"/>
      </w:r>
      <w:r>
        <w:rPr>
          <w:rFonts w:hint="eastAsia" w:ascii="宋体" w:hAnsi="宋体" w:cs="宋体"/>
          <w:bCs/>
          <w:color w:val="auto"/>
          <w:highlight w:val="none"/>
        </w:rPr>
        <w:instrText xml:space="preserve"> HYPERLINK \l _Toc28618 </w:instrText>
      </w:r>
      <w:r>
        <w:rPr>
          <w:rFonts w:hint="eastAsia" w:ascii="宋体" w:hAnsi="宋体" w:cs="宋体"/>
          <w:bCs/>
          <w:color w:val="auto"/>
          <w:highlight w:val="none"/>
        </w:rPr>
        <w:fldChar w:fldCharType="separate"/>
      </w:r>
      <w:r>
        <w:rPr>
          <w:rFonts w:hint="eastAsia" w:ascii="宋体" w:hAnsi="宋体" w:eastAsia="宋体" w:cs="宋体"/>
          <w:color w:val="auto"/>
          <w:highlight w:val="none"/>
        </w:rPr>
        <w:t>第三章  投标人须知</w:t>
      </w:r>
      <w:r>
        <w:rPr>
          <w:color w:val="auto"/>
          <w:highlight w:val="none"/>
        </w:rPr>
        <w:tab/>
      </w:r>
      <w:r>
        <w:rPr>
          <w:color w:val="auto"/>
          <w:highlight w:val="none"/>
        </w:rPr>
        <w:fldChar w:fldCharType="begin"/>
      </w:r>
      <w:r>
        <w:rPr>
          <w:color w:val="auto"/>
          <w:highlight w:val="none"/>
        </w:rPr>
        <w:instrText xml:space="preserve"> PAGEREF _Toc28618 \h </w:instrText>
      </w:r>
      <w:r>
        <w:rPr>
          <w:color w:val="auto"/>
          <w:highlight w:val="none"/>
        </w:rPr>
        <w:fldChar w:fldCharType="separate"/>
      </w:r>
      <w:r>
        <w:rPr>
          <w:color w:val="auto"/>
          <w:highlight w:val="none"/>
        </w:rPr>
        <w:t>12</w:t>
      </w:r>
      <w:r>
        <w:rPr>
          <w:color w:val="auto"/>
          <w:highlight w:val="none"/>
        </w:rPr>
        <w:fldChar w:fldCharType="end"/>
      </w:r>
      <w:r>
        <w:rPr>
          <w:rFonts w:hint="eastAsia" w:ascii="宋体" w:hAnsi="宋体" w:cs="宋体"/>
          <w:bCs/>
          <w:color w:val="auto"/>
          <w:highlight w:val="none"/>
        </w:rPr>
        <w:fldChar w:fldCharType="end"/>
      </w:r>
    </w:p>
    <w:p w14:paraId="14C9CA5D">
      <w:pPr>
        <w:pStyle w:val="29"/>
        <w:tabs>
          <w:tab w:val="right" w:leader="dot" w:pos="8312"/>
        </w:tabs>
        <w:rPr>
          <w:rFonts w:hint="eastAsia" w:eastAsia="宋体"/>
          <w:color w:val="auto"/>
          <w:highlight w:val="none"/>
          <w:lang w:val="en-US" w:eastAsia="zh-CN"/>
        </w:rPr>
      </w:pPr>
      <w:r>
        <w:rPr>
          <w:rFonts w:hint="eastAsia" w:ascii="宋体" w:hAnsi="宋体" w:cs="宋体"/>
          <w:bCs/>
          <w:color w:val="auto"/>
          <w:highlight w:val="none"/>
        </w:rPr>
        <w:fldChar w:fldCharType="begin"/>
      </w:r>
      <w:r>
        <w:rPr>
          <w:rFonts w:hint="eastAsia" w:ascii="宋体" w:hAnsi="宋体" w:cs="宋体"/>
          <w:bCs/>
          <w:color w:val="auto"/>
          <w:highlight w:val="none"/>
        </w:rPr>
        <w:instrText xml:space="preserve"> HYPERLINK \l _Toc6219 </w:instrText>
      </w:r>
      <w:r>
        <w:rPr>
          <w:rFonts w:hint="eastAsia" w:ascii="宋体" w:hAnsi="宋体" w:cs="宋体"/>
          <w:bCs/>
          <w:color w:val="auto"/>
          <w:highlight w:val="none"/>
        </w:rPr>
        <w:fldChar w:fldCharType="separate"/>
      </w:r>
      <w:r>
        <w:rPr>
          <w:rFonts w:hint="eastAsia" w:ascii="宋体" w:hAnsi="宋体" w:eastAsia="宋体" w:cs="宋体"/>
          <w:color w:val="auto"/>
          <w:highlight w:val="none"/>
        </w:rPr>
        <w:t>第四章  评标方法及评标标准</w:t>
      </w:r>
      <w:r>
        <w:rPr>
          <w:color w:val="auto"/>
          <w:highlight w:val="none"/>
        </w:rPr>
        <w:tab/>
      </w:r>
      <w:r>
        <w:rPr>
          <w:rFonts w:hint="eastAsia"/>
          <w:color w:val="auto"/>
          <w:highlight w:val="none"/>
          <w:lang w:val="en-US" w:eastAsia="zh-CN"/>
        </w:rPr>
        <w:t>3</w:t>
      </w:r>
      <w:r>
        <w:rPr>
          <w:rFonts w:hint="eastAsia" w:ascii="宋体" w:hAnsi="宋体" w:cs="宋体"/>
          <w:bCs/>
          <w:color w:val="auto"/>
          <w:highlight w:val="none"/>
        </w:rPr>
        <w:fldChar w:fldCharType="end"/>
      </w:r>
      <w:r>
        <w:rPr>
          <w:rFonts w:hint="eastAsia" w:ascii="宋体" w:hAnsi="宋体" w:cs="宋体"/>
          <w:bCs/>
          <w:color w:val="auto"/>
          <w:highlight w:val="none"/>
          <w:lang w:val="en-US" w:eastAsia="zh-CN"/>
        </w:rPr>
        <w:t>1</w:t>
      </w:r>
    </w:p>
    <w:p w14:paraId="01D49470">
      <w:pPr>
        <w:pStyle w:val="29"/>
        <w:tabs>
          <w:tab w:val="right" w:leader="dot" w:pos="8312"/>
        </w:tabs>
        <w:rPr>
          <w:color w:val="auto"/>
          <w:highlight w:val="none"/>
        </w:rPr>
      </w:pPr>
      <w:r>
        <w:rPr>
          <w:rFonts w:hint="eastAsia" w:ascii="宋体" w:hAnsi="宋体" w:cs="宋体"/>
          <w:bCs/>
          <w:color w:val="auto"/>
          <w:highlight w:val="none"/>
        </w:rPr>
        <w:fldChar w:fldCharType="begin"/>
      </w:r>
      <w:r>
        <w:rPr>
          <w:rFonts w:hint="eastAsia" w:ascii="宋体" w:hAnsi="宋体" w:cs="宋体"/>
          <w:bCs/>
          <w:color w:val="auto"/>
          <w:highlight w:val="none"/>
        </w:rPr>
        <w:instrText xml:space="preserve"> HYPERLINK \l _Toc29495 </w:instrText>
      </w:r>
      <w:r>
        <w:rPr>
          <w:rFonts w:hint="eastAsia" w:ascii="宋体" w:hAnsi="宋体" w:cs="宋体"/>
          <w:bCs/>
          <w:color w:val="auto"/>
          <w:highlight w:val="none"/>
        </w:rPr>
        <w:fldChar w:fldCharType="separate"/>
      </w:r>
      <w:r>
        <w:rPr>
          <w:rFonts w:hint="eastAsia" w:ascii="宋体" w:hAnsi="宋体" w:eastAsia="宋体" w:cs="宋体"/>
          <w:color w:val="auto"/>
          <w:highlight w:val="none"/>
        </w:rPr>
        <w:t>第五章  拟签订的合同文本</w:t>
      </w:r>
      <w:r>
        <w:rPr>
          <w:color w:val="auto"/>
          <w:highlight w:val="none"/>
        </w:rPr>
        <w:tab/>
      </w:r>
      <w:r>
        <w:rPr>
          <w:color w:val="auto"/>
          <w:highlight w:val="none"/>
        </w:rPr>
        <w:fldChar w:fldCharType="begin"/>
      </w:r>
      <w:r>
        <w:rPr>
          <w:color w:val="auto"/>
          <w:highlight w:val="none"/>
        </w:rPr>
        <w:instrText xml:space="preserve"> PAGEREF _Toc29495 \h </w:instrText>
      </w:r>
      <w:r>
        <w:rPr>
          <w:color w:val="auto"/>
          <w:highlight w:val="none"/>
        </w:rPr>
        <w:fldChar w:fldCharType="separate"/>
      </w:r>
      <w:r>
        <w:rPr>
          <w:color w:val="auto"/>
          <w:highlight w:val="none"/>
        </w:rPr>
        <w:t>38</w:t>
      </w:r>
      <w:r>
        <w:rPr>
          <w:color w:val="auto"/>
          <w:highlight w:val="none"/>
        </w:rPr>
        <w:fldChar w:fldCharType="end"/>
      </w:r>
      <w:r>
        <w:rPr>
          <w:rFonts w:hint="eastAsia" w:ascii="宋体" w:hAnsi="宋体" w:cs="宋体"/>
          <w:bCs/>
          <w:color w:val="auto"/>
          <w:highlight w:val="none"/>
        </w:rPr>
        <w:fldChar w:fldCharType="end"/>
      </w:r>
    </w:p>
    <w:p w14:paraId="676DA61A">
      <w:pPr>
        <w:pStyle w:val="29"/>
        <w:tabs>
          <w:tab w:val="right" w:leader="dot" w:pos="8312"/>
        </w:tabs>
        <w:rPr>
          <w:color w:val="auto"/>
          <w:highlight w:val="none"/>
        </w:rPr>
      </w:pPr>
      <w:r>
        <w:rPr>
          <w:rFonts w:hint="eastAsia" w:ascii="宋体" w:hAnsi="宋体" w:cs="宋体"/>
          <w:bCs/>
          <w:color w:val="auto"/>
          <w:highlight w:val="none"/>
        </w:rPr>
        <w:fldChar w:fldCharType="begin"/>
      </w:r>
      <w:r>
        <w:rPr>
          <w:rFonts w:hint="eastAsia" w:ascii="宋体" w:hAnsi="宋体" w:cs="宋体"/>
          <w:bCs/>
          <w:color w:val="auto"/>
          <w:highlight w:val="none"/>
        </w:rPr>
        <w:instrText xml:space="preserve"> HYPERLINK \l _Toc30641 </w:instrText>
      </w:r>
      <w:r>
        <w:rPr>
          <w:rFonts w:hint="eastAsia" w:ascii="宋体" w:hAnsi="宋体" w:cs="宋体"/>
          <w:bCs/>
          <w:color w:val="auto"/>
          <w:highlight w:val="none"/>
        </w:rPr>
        <w:fldChar w:fldCharType="separate"/>
      </w:r>
      <w:r>
        <w:rPr>
          <w:rFonts w:hint="eastAsia" w:ascii="宋体" w:hAnsi="宋体" w:cs="宋体"/>
          <w:bCs/>
          <w:color w:val="auto"/>
          <w:highlight w:val="none"/>
        </w:rPr>
        <w:t>第六章  投标文件格式</w:t>
      </w:r>
      <w:r>
        <w:rPr>
          <w:color w:val="auto"/>
          <w:highlight w:val="none"/>
        </w:rPr>
        <w:tab/>
      </w:r>
      <w:r>
        <w:rPr>
          <w:color w:val="auto"/>
          <w:highlight w:val="none"/>
        </w:rPr>
        <w:fldChar w:fldCharType="begin"/>
      </w:r>
      <w:r>
        <w:rPr>
          <w:color w:val="auto"/>
          <w:highlight w:val="none"/>
        </w:rPr>
        <w:instrText xml:space="preserve"> PAGEREF _Toc30641 \h </w:instrText>
      </w:r>
      <w:r>
        <w:rPr>
          <w:color w:val="auto"/>
          <w:highlight w:val="none"/>
        </w:rPr>
        <w:fldChar w:fldCharType="separate"/>
      </w:r>
      <w:r>
        <w:rPr>
          <w:color w:val="auto"/>
          <w:highlight w:val="none"/>
        </w:rPr>
        <w:t>43</w:t>
      </w:r>
      <w:r>
        <w:rPr>
          <w:color w:val="auto"/>
          <w:highlight w:val="none"/>
        </w:rPr>
        <w:fldChar w:fldCharType="end"/>
      </w:r>
      <w:r>
        <w:rPr>
          <w:rFonts w:hint="eastAsia" w:ascii="宋体" w:hAnsi="宋体" w:cs="宋体"/>
          <w:bCs/>
          <w:color w:val="auto"/>
          <w:highlight w:val="none"/>
        </w:rPr>
        <w:fldChar w:fldCharType="end"/>
      </w:r>
    </w:p>
    <w:p w14:paraId="16E7F903">
      <w:pPr>
        <w:spacing w:before="120" w:line="480" w:lineRule="exact"/>
        <w:rPr>
          <w:rFonts w:hint="eastAsia" w:ascii="宋体" w:hAnsi="宋体" w:cs="宋体"/>
          <w:color w:val="auto"/>
          <w:sz w:val="24"/>
          <w:highlight w:val="none"/>
        </w:rPr>
      </w:pPr>
      <w:r>
        <w:rPr>
          <w:rFonts w:hint="eastAsia" w:ascii="宋体" w:hAnsi="宋体" w:cs="宋体"/>
          <w:bCs/>
          <w:color w:val="auto"/>
          <w:highlight w:val="none"/>
        </w:rPr>
        <w:fldChar w:fldCharType="end"/>
      </w:r>
    </w:p>
    <w:p w14:paraId="1FDAEBD2">
      <w:pPr>
        <w:spacing w:before="120" w:line="480" w:lineRule="exact"/>
        <w:rPr>
          <w:rFonts w:hint="eastAsia" w:ascii="宋体" w:hAnsi="宋体" w:cs="宋体"/>
          <w:color w:val="auto"/>
          <w:sz w:val="30"/>
          <w:highlight w:val="none"/>
        </w:rPr>
      </w:pPr>
    </w:p>
    <w:p w14:paraId="6E9EA5C7">
      <w:pPr>
        <w:rPr>
          <w:rFonts w:hint="eastAsia" w:ascii="宋体" w:hAnsi="宋体" w:cs="宋体"/>
          <w:color w:val="auto"/>
          <w:highlight w:val="none"/>
        </w:rPr>
      </w:pPr>
    </w:p>
    <w:p w14:paraId="65B492A3">
      <w:pPr>
        <w:spacing w:before="120" w:line="480" w:lineRule="exact"/>
        <w:rPr>
          <w:rFonts w:hint="eastAsia" w:ascii="宋体" w:hAnsi="宋体" w:cs="宋体"/>
          <w:color w:val="auto"/>
          <w:sz w:val="30"/>
          <w:highlight w:val="none"/>
        </w:rPr>
      </w:pPr>
    </w:p>
    <w:p w14:paraId="2C512CB2">
      <w:pPr>
        <w:spacing w:before="120" w:line="480" w:lineRule="exact"/>
        <w:rPr>
          <w:rFonts w:hint="eastAsia" w:ascii="宋体" w:hAnsi="宋体" w:cs="宋体"/>
          <w:color w:val="auto"/>
          <w:sz w:val="30"/>
          <w:highlight w:val="none"/>
        </w:rPr>
      </w:pPr>
    </w:p>
    <w:p w14:paraId="7D8E95B8">
      <w:pPr>
        <w:spacing w:before="120" w:line="480" w:lineRule="exact"/>
        <w:rPr>
          <w:rFonts w:hint="eastAsia" w:ascii="宋体" w:hAnsi="宋体" w:cs="宋体"/>
          <w:color w:val="auto"/>
          <w:sz w:val="30"/>
          <w:highlight w:val="none"/>
        </w:rPr>
      </w:pPr>
    </w:p>
    <w:p w14:paraId="57C08989">
      <w:pPr>
        <w:pStyle w:val="218"/>
        <w:jc w:val="both"/>
        <w:rPr>
          <w:rFonts w:hint="eastAsia" w:ascii="宋体" w:hAnsi="宋体" w:cs="宋体"/>
          <w:color w:val="auto"/>
          <w:highlight w:val="none"/>
        </w:rPr>
      </w:pPr>
      <w:bookmarkStart w:id="0" w:name="_Toc254970489"/>
      <w:bookmarkStart w:id="1" w:name="_Toc254970630"/>
    </w:p>
    <w:p w14:paraId="7263A86D">
      <w:pPr>
        <w:pStyle w:val="218"/>
        <w:jc w:val="both"/>
        <w:rPr>
          <w:rFonts w:hint="eastAsia" w:ascii="宋体" w:hAnsi="宋体" w:cs="宋体"/>
          <w:color w:val="auto"/>
          <w:highlight w:val="none"/>
        </w:rPr>
      </w:pPr>
    </w:p>
    <w:p w14:paraId="03797953">
      <w:pPr>
        <w:pStyle w:val="218"/>
        <w:jc w:val="both"/>
        <w:rPr>
          <w:rFonts w:hint="eastAsia" w:ascii="宋体" w:hAnsi="宋体" w:cs="宋体"/>
          <w:color w:val="auto"/>
          <w:highlight w:val="none"/>
        </w:rPr>
      </w:pPr>
    </w:p>
    <w:p w14:paraId="5B367B5C">
      <w:pPr>
        <w:pStyle w:val="218"/>
        <w:jc w:val="both"/>
        <w:rPr>
          <w:rFonts w:hint="eastAsia" w:ascii="宋体" w:hAnsi="宋体" w:cs="宋体"/>
          <w:color w:val="auto"/>
          <w:highlight w:val="none"/>
        </w:rPr>
      </w:pPr>
    </w:p>
    <w:p w14:paraId="50456B3E">
      <w:pPr>
        <w:pStyle w:val="218"/>
        <w:jc w:val="both"/>
        <w:rPr>
          <w:rFonts w:hint="eastAsia" w:ascii="宋体" w:hAnsi="宋体" w:cs="宋体"/>
          <w:color w:val="auto"/>
          <w:highlight w:val="none"/>
        </w:rPr>
      </w:pPr>
    </w:p>
    <w:p w14:paraId="209F8AA4">
      <w:pPr>
        <w:pStyle w:val="218"/>
        <w:jc w:val="both"/>
        <w:rPr>
          <w:rFonts w:hint="eastAsia" w:ascii="宋体" w:hAnsi="宋体" w:cs="宋体"/>
          <w:color w:val="auto"/>
          <w:highlight w:val="none"/>
        </w:rPr>
      </w:pPr>
    </w:p>
    <w:p w14:paraId="02D0EED1">
      <w:pPr>
        <w:pStyle w:val="218"/>
        <w:jc w:val="both"/>
        <w:rPr>
          <w:rFonts w:hint="eastAsia" w:ascii="宋体" w:hAnsi="宋体" w:cs="宋体"/>
          <w:color w:val="auto"/>
          <w:highlight w:val="none"/>
        </w:rPr>
      </w:pPr>
    </w:p>
    <w:p w14:paraId="4F1CAD75">
      <w:pPr>
        <w:pStyle w:val="218"/>
        <w:jc w:val="both"/>
        <w:rPr>
          <w:rFonts w:hint="eastAsia" w:ascii="宋体" w:hAnsi="宋体" w:cs="宋体"/>
          <w:color w:val="auto"/>
          <w:highlight w:val="none"/>
        </w:rPr>
      </w:pPr>
    </w:p>
    <w:p w14:paraId="2D605673">
      <w:pPr>
        <w:pStyle w:val="218"/>
        <w:jc w:val="both"/>
        <w:rPr>
          <w:rFonts w:hint="eastAsia" w:ascii="宋体" w:hAnsi="宋体" w:cs="宋体"/>
          <w:color w:val="auto"/>
          <w:highlight w:val="none"/>
        </w:rPr>
      </w:pPr>
    </w:p>
    <w:p w14:paraId="479143B3">
      <w:pPr>
        <w:pStyle w:val="218"/>
        <w:jc w:val="both"/>
        <w:rPr>
          <w:rFonts w:hint="eastAsia" w:ascii="宋体" w:hAnsi="宋体" w:cs="宋体"/>
          <w:color w:val="auto"/>
          <w:highlight w:val="none"/>
        </w:rPr>
      </w:pPr>
    </w:p>
    <w:p w14:paraId="78CA1525">
      <w:pPr>
        <w:pStyle w:val="218"/>
        <w:jc w:val="both"/>
        <w:rPr>
          <w:rFonts w:hint="eastAsia" w:ascii="宋体" w:hAnsi="宋体" w:cs="宋体"/>
          <w:color w:val="auto"/>
          <w:highlight w:val="none"/>
        </w:rPr>
      </w:pPr>
    </w:p>
    <w:p w14:paraId="379160E4">
      <w:pPr>
        <w:pStyle w:val="218"/>
        <w:jc w:val="both"/>
        <w:rPr>
          <w:rFonts w:hint="eastAsia" w:ascii="宋体" w:hAnsi="宋体" w:cs="宋体"/>
          <w:color w:val="auto"/>
          <w:highlight w:val="none"/>
        </w:rPr>
      </w:pPr>
    </w:p>
    <w:p w14:paraId="137AECF1">
      <w:pPr>
        <w:pStyle w:val="218"/>
        <w:jc w:val="both"/>
        <w:rPr>
          <w:rFonts w:hint="eastAsia" w:ascii="宋体" w:hAnsi="宋体" w:cs="宋体"/>
          <w:color w:val="auto"/>
          <w:highlight w:val="none"/>
        </w:rPr>
      </w:pPr>
    </w:p>
    <w:p w14:paraId="28F90DF5">
      <w:pPr>
        <w:pStyle w:val="218"/>
        <w:jc w:val="both"/>
        <w:rPr>
          <w:rFonts w:hint="eastAsia" w:ascii="宋体" w:hAnsi="宋体" w:cs="宋体"/>
          <w:color w:val="auto"/>
          <w:highlight w:val="none"/>
        </w:rPr>
      </w:pPr>
    </w:p>
    <w:p w14:paraId="75124E3B">
      <w:pPr>
        <w:pStyle w:val="218"/>
        <w:jc w:val="both"/>
        <w:rPr>
          <w:rFonts w:hint="eastAsia" w:ascii="宋体" w:hAnsi="宋体" w:cs="宋体"/>
          <w:color w:val="auto"/>
          <w:highlight w:val="none"/>
        </w:rPr>
      </w:pPr>
    </w:p>
    <w:p w14:paraId="58D7D3A4">
      <w:pPr>
        <w:pStyle w:val="218"/>
        <w:jc w:val="both"/>
        <w:rPr>
          <w:rFonts w:hint="eastAsia" w:ascii="宋体" w:hAnsi="宋体" w:cs="宋体"/>
          <w:color w:val="auto"/>
          <w:highlight w:val="none"/>
        </w:rPr>
      </w:pPr>
    </w:p>
    <w:p w14:paraId="1AFB372C">
      <w:pPr>
        <w:pStyle w:val="218"/>
        <w:jc w:val="both"/>
        <w:rPr>
          <w:rFonts w:hint="eastAsia" w:ascii="宋体" w:hAnsi="宋体" w:cs="宋体"/>
          <w:color w:val="auto"/>
          <w:highlight w:val="none"/>
        </w:rPr>
      </w:pPr>
    </w:p>
    <w:p w14:paraId="74C0C61E">
      <w:pPr>
        <w:pStyle w:val="218"/>
        <w:jc w:val="both"/>
        <w:rPr>
          <w:rFonts w:hint="eastAsia" w:ascii="宋体" w:hAnsi="宋体" w:cs="宋体"/>
          <w:color w:val="auto"/>
          <w:highlight w:val="none"/>
        </w:rPr>
      </w:pPr>
    </w:p>
    <w:p w14:paraId="7F4D981B">
      <w:pPr>
        <w:pStyle w:val="218"/>
        <w:jc w:val="both"/>
        <w:rPr>
          <w:rFonts w:hint="eastAsia" w:ascii="宋体" w:hAnsi="宋体" w:cs="宋体"/>
          <w:color w:val="auto"/>
          <w:highlight w:val="none"/>
        </w:rPr>
      </w:pPr>
    </w:p>
    <w:p w14:paraId="2A6D8177">
      <w:pPr>
        <w:pStyle w:val="218"/>
        <w:jc w:val="both"/>
        <w:rPr>
          <w:rFonts w:hint="eastAsia" w:ascii="宋体" w:hAnsi="宋体" w:cs="宋体"/>
          <w:color w:val="auto"/>
          <w:highlight w:val="none"/>
        </w:rPr>
      </w:pPr>
    </w:p>
    <w:p w14:paraId="7020A4EB">
      <w:pPr>
        <w:pStyle w:val="218"/>
        <w:jc w:val="both"/>
        <w:rPr>
          <w:rFonts w:hint="eastAsia" w:ascii="宋体" w:hAnsi="宋体" w:cs="宋体"/>
          <w:color w:val="auto"/>
          <w:highlight w:val="none"/>
        </w:rPr>
      </w:pPr>
    </w:p>
    <w:p w14:paraId="47B28467">
      <w:pPr>
        <w:pStyle w:val="218"/>
        <w:jc w:val="both"/>
        <w:rPr>
          <w:rFonts w:hint="eastAsia" w:ascii="宋体" w:hAnsi="宋体" w:cs="宋体"/>
          <w:color w:val="auto"/>
          <w:highlight w:val="none"/>
        </w:rPr>
      </w:pPr>
    </w:p>
    <w:p w14:paraId="5C45EFC0">
      <w:pPr>
        <w:pStyle w:val="218"/>
        <w:jc w:val="both"/>
        <w:rPr>
          <w:rFonts w:hint="eastAsia" w:ascii="宋体" w:hAnsi="宋体" w:cs="宋体"/>
          <w:color w:val="auto"/>
          <w:highlight w:val="none"/>
        </w:rPr>
      </w:pPr>
    </w:p>
    <w:p w14:paraId="3450BB4C">
      <w:pPr>
        <w:pStyle w:val="218"/>
        <w:jc w:val="both"/>
        <w:rPr>
          <w:rFonts w:hint="eastAsia" w:ascii="宋体" w:hAnsi="宋体" w:cs="宋体"/>
          <w:color w:val="auto"/>
          <w:highlight w:val="none"/>
        </w:rPr>
      </w:pPr>
    </w:p>
    <w:p w14:paraId="203E5E3A">
      <w:pPr>
        <w:pStyle w:val="196"/>
        <w:jc w:val="center"/>
        <w:rPr>
          <w:rFonts w:hint="eastAsia" w:ascii="宋体" w:hAnsi="宋体" w:eastAsia="宋体" w:cs="宋体"/>
          <w:color w:val="auto"/>
          <w:highlight w:val="none"/>
        </w:rPr>
      </w:pPr>
      <w:bookmarkStart w:id="2" w:name="_Toc24965"/>
      <w:r>
        <w:rPr>
          <w:rFonts w:hint="eastAsia" w:ascii="宋体" w:hAnsi="宋体" w:eastAsia="宋体" w:cs="宋体"/>
          <w:color w:val="auto"/>
          <w:highlight w:val="none"/>
        </w:rPr>
        <w:t xml:space="preserve">第一章  </w:t>
      </w:r>
      <w:bookmarkEnd w:id="0"/>
      <w:bookmarkEnd w:id="1"/>
      <w:r>
        <w:rPr>
          <w:rFonts w:hint="eastAsia" w:ascii="宋体" w:hAnsi="宋体" w:eastAsia="宋体" w:cs="宋体"/>
          <w:color w:val="auto"/>
          <w:highlight w:val="none"/>
        </w:rPr>
        <w:t>招标公告</w:t>
      </w:r>
      <w:bookmarkEnd w:id="2"/>
    </w:p>
    <w:p w14:paraId="45C460D9">
      <w:pPr>
        <w:pBdr>
          <w:top w:val="single" w:color="000000" w:sz="4" w:space="1"/>
          <w:left w:val="single" w:color="000000" w:sz="4" w:space="4"/>
          <w:bottom w:val="single" w:color="000000" w:sz="4" w:space="0"/>
          <w:right w:val="single" w:color="000000" w:sz="4" w:space="4"/>
        </w:pBdr>
        <w:spacing w:line="320" w:lineRule="exact"/>
        <w:rPr>
          <w:rFonts w:hint="eastAsia" w:ascii="宋体" w:hAnsi="宋体" w:cs="宋体"/>
          <w:color w:val="auto"/>
          <w:highlight w:val="none"/>
        </w:rPr>
      </w:pPr>
      <w:r>
        <w:rPr>
          <w:rFonts w:hint="eastAsia" w:ascii="宋体" w:hAnsi="宋体" w:cs="宋体"/>
          <w:color w:val="auto"/>
          <w:highlight w:val="none"/>
        </w:rPr>
        <w:t>项目概况</w:t>
      </w:r>
    </w:p>
    <w:p w14:paraId="5D172FCD">
      <w:pPr>
        <w:pBdr>
          <w:top w:val="single" w:color="000000" w:sz="4" w:space="1"/>
          <w:left w:val="single" w:color="000000" w:sz="4" w:space="4"/>
          <w:bottom w:val="single" w:color="000000" w:sz="4" w:space="0"/>
          <w:right w:val="single" w:color="000000" w:sz="4" w:space="4"/>
        </w:pBdr>
        <w:spacing w:line="320" w:lineRule="exact"/>
        <w:rPr>
          <w:rFonts w:hint="eastAsia" w:ascii="宋体" w:hAnsi="宋体" w:cs="宋体"/>
          <w:color w:val="auto"/>
          <w:highlight w:val="none"/>
        </w:rPr>
      </w:pPr>
      <w:r>
        <w:rPr>
          <w:rFonts w:hint="eastAsia" w:ascii="宋体" w:hAnsi="宋体" w:cs="宋体"/>
          <w:color w:val="auto"/>
          <w:highlight w:val="none"/>
        </w:rPr>
        <w:t xml:space="preserve">   </w:t>
      </w:r>
      <w:r>
        <w:rPr>
          <w:rFonts w:hint="eastAsia" w:ascii="宋体" w:hAnsi="宋体" w:cs="宋体"/>
          <w:color w:val="auto"/>
          <w:highlight w:val="none"/>
          <w:u w:val="single"/>
          <w:lang w:eastAsia="zh-CN"/>
        </w:rPr>
        <w:t>贵港市城市监控联网系统（二期）项目供电及网络服务采购</w:t>
      </w:r>
      <w:r>
        <w:rPr>
          <w:rFonts w:hint="eastAsia" w:ascii="宋体" w:hAnsi="宋体" w:cs="宋体"/>
          <w:color w:val="auto"/>
          <w:highlight w:val="none"/>
          <w:u w:val="none"/>
          <w:lang w:val="en-US" w:eastAsia="zh-CN"/>
        </w:rPr>
        <w:t>项目</w:t>
      </w:r>
      <w:r>
        <w:rPr>
          <w:rFonts w:hint="eastAsia" w:ascii="宋体" w:hAnsi="宋体" w:cs="宋体"/>
          <w:color w:val="auto"/>
          <w:highlight w:val="none"/>
        </w:rPr>
        <w:t>的潜在投标人应在</w:t>
      </w:r>
      <w:r>
        <w:rPr>
          <w:rFonts w:hint="eastAsia" w:ascii="宋体" w:hAnsi="宋体" w:cs="宋体"/>
          <w:color w:val="auto"/>
          <w:szCs w:val="21"/>
          <w:highlight w:val="none"/>
        </w:rPr>
        <w:t>广西政府采购云平台（https：//www.gcy.zfcg.gxzf.gov.cn/）</w:t>
      </w:r>
      <w:r>
        <w:rPr>
          <w:rFonts w:hint="eastAsia" w:ascii="宋体" w:hAnsi="宋体" w:cs="宋体"/>
          <w:color w:val="auto"/>
          <w:highlight w:val="none"/>
        </w:rPr>
        <w:t>获取招标文件，并于</w:t>
      </w:r>
      <w:r>
        <w:rPr>
          <w:rFonts w:hint="eastAsia" w:ascii="宋体" w:hAnsi="宋体" w:cs="宋体"/>
          <w:color w:val="auto"/>
          <w:highlight w:val="none"/>
          <w:u w:val="single"/>
          <w:lang w:eastAsia="zh-CN"/>
        </w:rPr>
        <w:t>2026年9月28日上午9时00分</w:t>
      </w:r>
      <w:r>
        <w:rPr>
          <w:rFonts w:hint="eastAsia" w:ascii="宋体" w:hAnsi="宋体" w:cs="宋体"/>
          <w:color w:val="auto"/>
          <w:highlight w:val="none"/>
        </w:rPr>
        <w:t>（北京时间）前递交投标文件。</w:t>
      </w:r>
    </w:p>
    <w:p w14:paraId="785BAC2B">
      <w:pPr>
        <w:spacing w:line="320" w:lineRule="exact"/>
        <w:rPr>
          <w:rFonts w:hint="eastAsia" w:ascii="宋体" w:hAnsi="宋体" w:cs="宋体"/>
          <w:color w:val="auto"/>
          <w:szCs w:val="21"/>
          <w:highlight w:val="none"/>
        </w:rPr>
      </w:pPr>
    </w:p>
    <w:p w14:paraId="5A3080A2">
      <w:pPr>
        <w:keepNext/>
        <w:keepLines/>
        <w:spacing w:line="320" w:lineRule="exact"/>
        <w:outlineLvl w:val="1"/>
        <w:rPr>
          <w:rFonts w:hint="eastAsia" w:ascii="宋体" w:hAnsi="宋体" w:cs="宋体"/>
          <w:b/>
          <w:color w:val="auto"/>
          <w:szCs w:val="21"/>
          <w:highlight w:val="none"/>
        </w:rPr>
      </w:pPr>
      <w:bookmarkStart w:id="3" w:name="_Toc44405601"/>
      <w:bookmarkStart w:id="4" w:name="_Toc35393621"/>
      <w:bookmarkStart w:id="5" w:name="_Toc29193"/>
      <w:bookmarkStart w:id="6" w:name="_Toc26488"/>
      <w:bookmarkStart w:id="7" w:name="_Toc29387"/>
      <w:bookmarkStart w:id="8" w:name="_Toc28359002"/>
      <w:bookmarkStart w:id="9" w:name="_Toc28595"/>
      <w:bookmarkStart w:id="10" w:name="_Toc26506"/>
      <w:bookmarkStart w:id="11" w:name="_Toc35393790"/>
      <w:bookmarkStart w:id="12" w:name="_Toc28359079"/>
      <w:bookmarkStart w:id="13" w:name="_Hlk24379207"/>
      <w:r>
        <w:rPr>
          <w:rFonts w:hint="eastAsia" w:ascii="宋体" w:hAnsi="宋体" w:cs="宋体"/>
          <w:b/>
          <w:color w:val="auto"/>
          <w:szCs w:val="21"/>
          <w:highlight w:val="none"/>
        </w:rPr>
        <w:t>一、项目基本情况</w:t>
      </w:r>
      <w:bookmarkEnd w:id="3"/>
      <w:bookmarkEnd w:id="4"/>
      <w:bookmarkEnd w:id="5"/>
      <w:bookmarkEnd w:id="6"/>
      <w:bookmarkEnd w:id="7"/>
      <w:bookmarkEnd w:id="8"/>
      <w:bookmarkEnd w:id="9"/>
      <w:bookmarkEnd w:id="10"/>
      <w:bookmarkEnd w:id="11"/>
      <w:bookmarkEnd w:id="12"/>
    </w:p>
    <w:p w14:paraId="0874550D">
      <w:pPr>
        <w:spacing w:line="320" w:lineRule="exact"/>
        <w:ind w:firstLine="42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项目编号：</w:t>
      </w:r>
      <w:r>
        <w:rPr>
          <w:rFonts w:hint="eastAsia" w:ascii="宋体" w:hAnsi="宋体" w:cs="宋体"/>
          <w:color w:val="auto"/>
          <w:szCs w:val="21"/>
          <w:highlight w:val="none"/>
          <w:lang w:eastAsia="zh-CN"/>
        </w:rPr>
        <w:t>GGZC2026-G3-990293-YZLZ</w:t>
      </w:r>
    </w:p>
    <w:p w14:paraId="43B8A38A">
      <w:pPr>
        <w:spacing w:line="320" w:lineRule="exact"/>
        <w:ind w:firstLine="42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项目名称：</w:t>
      </w:r>
      <w:r>
        <w:rPr>
          <w:rFonts w:hint="eastAsia" w:ascii="宋体" w:hAnsi="宋体" w:cs="宋体"/>
          <w:color w:val="auto"/>
          <w:highlight w:val="none"/>
          <w:lang w:eastAsia="zh-CN"/>
        </w:rPr>
        <w:t>贵港市城市监控联网系统（二期）项目供电及网络服务采购</w:t>
      </w:r>
    </w:p>
    <w:bookmarkEnd w:id="13"/>
    <w:p w14:paraId="5A61DE5A">
      <w:pPr>
        <w:spacing w:line="320" w:lineRule="exact"/>
        <w:ind w:firstLine="42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预算总金额（元）：</w:t>
      </w:r>
      <w:r>
        <w:rPr>
          <w:rFonts w:hint="eastAsia" w:ascii="宋体" w:hAnsi="宋体" w:cs="宋体"/>
          <w:color w:val="auto"/>
          <w:szCs w:val="21"/>
          <w:highlight w:val="none"/>
          <w:lang w:val="en-US" w:eastAsia="zh-CN"/>
        </w:rPr>
        <w:t>5324200.00</w:t>
      </w:r>
    </w:p>
    <w:p w14:paraId="1A5ED2B6">
      <w:pPr>
        <w:spacing w:line="320" w:lineRule="exact"/>
        <w:ind w:left="420"/>
        <w:rPr>
          <w:rFonts w:hint="eastAsia" w:ascii="宋体" w:hAnsi="宋体" w:cs="宋体"/>
          <w:color w:val="auto"/>
          <w:szCs w:val="21"/>
          <w:highlight w:val="none"/>
        </w:rPr>
      </w:pPr>
      <w:r>
        <w:rPr>
          <w:rFonts w:hint="eastAsia" w:ascii="宋体" w:hAnsi="宋体" w:cs="宋体"/>
          <w:color w:val="auto"/>
          <w:szCs w:val="21"/>
          <w:highlight w:val="none"/>
        </w:rPr>
        <w:t>采购需求：</w:t>
      </w:r>
    </w:p>
    <w:p w14:paraId="427B5D20">
      <w:pPr>
        <w:spacing w:line="320" w:lineRule="exact"/>
        <w:ind w:left="420"/>
        <w:rPr>
          <w:rFonts w:hint="eastAsia" w:ascii="宋体" w:hAnsi="宋体" w:eastAsia="宋体" w:cs="宋体"/>
          <w:color w:val="auto"/>
          <w:szCs w:val="21"/>
          <w:highlight w:val="none"/>
          <w:lang w:eastAsia="zh-CN"/>
        </w:rPr>
      </w:pPr>
      <w:bookmarkStart w:id="14" w:name="_Toc35393622"/>
      <w:bookmarkStart w:id="15" w:name="_Toc35393791"/>
      <w:bookmarkStart w:id="16" w:name="_Toc44405602"/>
      <w:bookmarkStart w:id="17" w:name="_Toc7802"/>
      <w:bookmarkStart w:id="18" w:name="_Toc29997"/>
      <w:bookmarkStart w:id="19" w:name="_Toc28359080"/>
      <w:bookmarkStart w:id="20" w:name="_Toc28359003"/>
      <w:r>
        <w:rPr>
          <w:rFonts w:hint="eastAsia" w:ascii="宋体" w:hAnsi="宋体" w:cs="宋体"/>
          <w:color w:val="auto"/>
          <w:szCs w:val="21"/>
          <w:highlight w:val="none"/>
        </w:rPr>
        <w:t>标的名称：</w:t>
      </w:r>
      <w:r>
        <w:rPr>
          <w:rFonts w:hint="eastAsia" w:ascii="宋体" w:hAnsi="宋体" w:cs="宋体"/>
          <w:color w:val="auto"/>
          <w:szCs w:val="21"/>
          <w:highlight w:val="none"/>
          <w:lang w:eastAsia="zh-CN"/>
        </w:rPr>
        <w:t>贵港市城市监控联网系统（二期）项目供电及网络服务</w:t>
      </w:r>
    </w:p>
    <w:p w14:paraId="14239FE0">
      <w:pPr>
        <w:spacing w:line="32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数量：1</w:t>
      </w:r>
    </w:p>
    <w:p w14:paraId="4CA2A12F">
      <w:pPr>
        <w:spacing w:line="320" w:lineRule="exact"/>
        <w:ind w:firstLine="420"/>
        <w:rPr>
          <w:rFonts w:hint="default" w:ascii="宋体" w:hAnsi="宋体" w:cs="宋体"/>
          <w:color w:val="auto"/>
          <w:szCs w:val="21"/>
          <w:highlight w:val="none"/>
          <w:lang w:val="en-US"/>
        </w:rPr>
      </w:pPr>
      <w:r>
        <w:rPr>
          <w:rFonts w:hint="eastAsia" w:ascii="宋体" w:hAnsi="宋体" w:cs="宋体"/>
          <w:color w:val="auto"/>
          <w:szCs w:val="21"/>
          <w:highlight w:val="none"/>
        </w:rPr>
        <w:t>预算金额（元）：</w:t>
      </w:r>
      <w:r>
        <w:rPr>
          <w:rFonts w:hint="eastAsia" w:ascii="宋体" w:hAnsi="宋体" w:cs="宋体"/>
          <w:color w:val="auto"/>
          <w:szCs w:val="21"/>
          <w:highlight w:val="none"/>
          <w:lang w:val="en-US" w:eastAsia="zh-CN"/>
        </w:rPr>
        <w:t>5324200.00</w:t>
      </w:r>
    </w:p>
    <w:p w14:paraId="68B56917">
      <w:pPr>
        <w:spacing w:line="32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简要规格描述或项目基本概况介绍、用途：</w:t>
      </w:r>
      <w:r>
        <w:rPr>
          <w:rFonts w:hint="eastAsia" w:ascii="宋体" w:hAnsi="宋体" w:cs="宋体"/>
          <w:color w:val="auto"/>
          <w:szCs w:val="21"/>
          <w:highlight w:val="none"/>
          <w:lang w:eastAsia="zh-CN"/>
        </w:rPr>
        <w:t>采购天网二期2年供电及网络服务，主要包含项目3323台各类前端设备供电服务及524路网络线路租赁服务</w:t>
      </w:r>
      <w:r>
        <w:rPr>
          <w:rFonts w:hint="eastAsia" w:ascii="宋体" w:hAnsi="宋体" w:cs="宋体"/>
          <w:color w:val="auto"/>
          <w:szCs w:val="21"/>
          <w:highlight w:val="none"/>
        </w:rPr>
        <w:t>。具体详见招标文件。</w:t>
      </w:r>
    </w:p>
    <w:p w14:paraId="7671E80C">
      <w:pPr>
        <w:spacing w:line="32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最高限价：</w:t>
      </w:r>
      <w:r>
        <w:rPr>
          <w:rFonts w:hint="eastAsia" w:ascii="宋体" w:hAnsi="宋体" w:cs="宋体"/>
          <w:color w:val="auto"/>
          <w:szCs w:val="21"/>
          <w:highlight w:val="none"/>
          <w:lang w:eastAsia="zh-CN"/>
        </w:rPr>
        <w:t>5324189.64</w:t>
      </w:r>
    </w:p>
    <w:p w14:paraId="6A154BAA">
      <w:pPr>
        <w:spacing w:line="32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合同履行期限：</w:t>
      </w:r>
      <w:r>
        <w:rPr>
          <w:rFonts w:hint="eastAsia" w:ascii="宋体" w:hAnsi="宋体" w:cs="宋体"/>
          <w:color w:val="auto"/>
          <w:szCs w:val="21"/>
          <w:highlight w:val="none"/>
          <w:lang w:eastAsia="zh-CN"/>
        </w:rPr>
        <w:t>自合同签订之日起 24个月</w:t>
      </w:r>
      <w:r>
        <w:rPr>
          <w:rFonts w:hint="eastAsia" w:ascii="宋体" w:hAnsi="宋体" w:cs="宋体"/>
          <w:color w:val="auto"/>
          <w:szCs w:val="21"/>
          <w:highlight w:val="none"/>
        </w:rPr>
        <w:t>。</w:t>
      </w:r>
    </w:p>
    <w:p w14:paraId="32C67167">
      <w:pPr>
        <w:spacing w:line="320" w:lineRule="exact"/>
        <w:ind w:left="420"/>
        <w:rPr>
          <w:rFonts w:hint="eastAsia" w:ascii="宋体" w:hAnsi="宋体" w:cs="宋体"/>
          <w:color w:val="auto"/>
          <w:szCs w:val="21"/>
          <w:highlight w:val="none"/>
        </w:rPr>
      </w:pPr>
      <w:r>
        <w:rPr>
          <w:rFonts w:hint="eastAsia" w:ascii="宋体" w:hAnsi="宋体" w:cs="宋体"/>
          <w:color w:val="auto"/>
          <w:szCs w:val="21"/>
          <w:highlight w:val="none"/>
        </w:rPr>
        <w:t>本标项（否）接受联合体投标</w:t>
      </w:r>
    </w:p>
    <w:p w14:paraId="198B12E5">
      <w:pPr>
        <w:spacing w:line="320" w:lineRule="exact"/>
        <w:ind w:left="420"/>
        <w:rPr>
          <w:rFonts w:hint="eastAsia" w:ascii="宋体" w:hAnsi="宋体" w:cs="宋体"/>
          <w:color w:val="auto"/>
          <w:szCs w:val="21"/>
          <w:highlight w:val="none"/>
        </w:rPr>
      </w:pPr>
      <w:r>
        <w:rPr>
          <w:rFonts w:hint="eastAsia" w:ascii="宋体" w:hAnsi="宋体" w:cs="宋体"/>
          <w:color w:val="auto"/>
          <w:szCs w:val="21"/>
          <w:highlight w:val="none"/>
        </w:rPr>
        <w:t>备注：/。</w:t>
      </w:r>
    </w:p>
    <w:p w14:paraId="7E155D28">
      <w:pPr>
        <w:keepNext/>
        <w:keepLines/>
        <w:spacing w:line="320" w:lineRule="exact"/>
        <w:outlineLvl w:val="1"/>
        <w:rPr>
          <w:rFonts w:hint="eastAsia" w:ascii="宋体" w:hAnsi="宋体" w:cs="宋体"/>
          <w:b/>
          <w:color w:val="auto"/>
          <w:szCs w:val="21"/>
          <w:highlight w:val="none"/>
        </w:rPr>
      </w:pPr>
      <w:bookmarkStart w:id="21" w:name="_Toc27202"/>
      <w:bookmarkStart w:id="22" w:name="_Toc23522"/>
      <w:bookmarkStart w:id="23" w:name="_Toc29513"/>
      <w:r>
        <w:rPr>
          <w:rFonts w:hint="eastAsia" w:ascii="宋体" w:hAnsi="宋体" w:cs="宋体"/>
          <w:b/>
          <w:color w:val="auto"/>
          <w:szCs w:val="21"/>
          <w:highlight w:val="none"/>
        </w:rPr>
        <w:t>二、投标人的资格要求：</w:t>
      </w:r>
      <w:bookmarkEnd w:id="14"/>
      <w:bookmarkEnd w:id="15"/>
      <w:bookmarkEnd w:id="16"/>
      <w:bookmarkEnd w:id="17"/>
      <w:bookmarkEnd w:id="18"/>
      <w:bookmarkEnd w:id="19"/>
      <w:bookmarkEnd w:id="20"/>
      <w:bookmarkEnd w:id="21"/>
      <w:bookmarkEnd w:id="22"/>
      <w:bookmarkEnd w:id="23"/>
    </w:p>
    <w:p w14:paraId="58FA3C63">
      <w:pPr>
        <w:spacing w:line="320" w:lineRule="exact"/>
        <w:ind w:firstLine="420"/>
        <w:rPr>
          <w:rFonts w:hint="eastAsia" w:ascii="宋体" w:hAnsi="宋体" w:cs="宋体"/>
          <w:color w:val="auto"/>
          <w:szCs w:val="21"/>
          <w:highlight w:val="none"/>
        </w:rPr>
      </w:pPr>
      <w:bookmarkStart w:id="24" w:name="_Toc28359004"/>
      <w:bookmarkStart w:id="25" w:name="_Toc28359081"/>
      <w:r>
        <w:rPr>
          <w:rFonts w:hint="eastAsia" w:ascii="宋体" w:hAnsi="宋体" w:cs="宋体"/>
          <w:color w:val="auto"/>
          <w:szCs w:val="21"/>
          <w:highlight w:val="none"/>
        </w:rPr>
        <w:t>1.满足《中华人民共和国政府采购法》第二十二条规定。</w:t>
      </w:r>
    </w:p>
    <w:p w14:paraId="5DEED059">
      <w:pPr>
        <w:spacing w:line="32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2.落实政府采购政策需满足的资格要求：</w:t>
      </w:r>
      <w:r>
        <w:rPr>
          <w:rFonts w:hint="eastAsia" w:ascii="宋体" w:hAnsi="宋体"/>
          <w:b/>
          <w:bCs/>
          <w:color w:val="auto"/>
          <w:szCs w:val="21"/>
          <w:highlight w:val="none"/>
          <w:lang w:val="en-US" w:eastAsia="zh-CN"/>
        </w:rPr>
        <w:t>无</w:t>
      </w:r>
      <w:r>
        <w:rPr>
          <w:rFonts w:hint="eastAsia" w:ascii="宋体" w:hAnsi="宋体" w:cs="宋体"/>
          <w:color w:val="auto"/>
          <w:szCs w:val="21"/>
          <w:highlight w:val="none"/>
        </w:rPr>
        <w:t>。</w:t>
      </w:r>
    </w:p>
    <w:p w14:paraId="55B4C01E">
      <w:pPr>
        <w:spacing w:line="320" w:lineRule="exact"/>
        <w:ind w:firstLine="420"/>
        <w:rPr>
          <w:rFonts w:hint="eastAsia" w:ascii="宋体" w:hAnsi="宋体" w:eastAsia="宋体" w:cs="宋体"/>
          <w:b/>
          <w:bCs/>
          <w:color w:val="auto"/>
          <w:szCs w:val="21"/>
          <w:highlight w:val="none"/>
          <w:lang w:val="en-US" w:eastAsia="zh-CN"/>
        </w:rPr>
      </w:pPr>
      <w:r>
        <w:rPr>
          <w:rFonts w:hint="eastAsia" w:ascii="宋体" w:hAnsi="宋体" w:cs="宋体"/>
          <w:color w:val="auto"/>
          <w:szCs w:val="21"/>
          <w:highlight w:val="none"/>
        </w:rPr>
        <w:t>3.本项目的特定资格要求：本项目允许分公司参与投标，分公司参与投标的，须取得总公司授权</w:t>
      </w:r>
      <w:r>
        <w:rPr>
          <w:rFonts w:hint="eastAsia" w:ascii="Calibri" w:hAnsi="Calibri" w:cs="Calibri"/>
          <w:b/>
          <w:bCs/>
          <w:color w:val="auto"/>
          <w:szCs w:val="21"/>
          <w:highlight w:val="none"/>
          <w:lang w:val="en-US" w:eastAsia="zh-CN"/>
        </w:rPr>
        <w:t>。</w:t>
      </w:r>
    </w:p>
    <w:bookmarkEnd w:id="24"/>
    <w:bookmarkEnd w:id="25"/>
    <w:p w14:paraId="7439D3C1">
      <w:pPr>
        <w:pStyle w:val="196"/>
        <w:spacing w:before="0" w:after="0" w:line="320" w:lineRule="exact"/>
        <w:rPr>
          <w:rFonts w:hint="eastAsia" w:ascii="宋体" w:hAnsi="宋体" w:eastAsia="宋体" w:cs="宋体"/>
          <w:bCs w:val="0"/>
          <w:color w:val="auto"/>
          <w:sz w:val="21"/>
          <w:szCs w:val="21"/>
          <w:highlight w:val="none"/>
        </w:rPr>
      </w:pPr>
      <w:bookmarkStart w:id="26" w:name="_Toc35393792"/>
      <w:bookmarkStart w:id="27" w:name="_Toc35393623"/>
      <w:bookmarkStart w:id="28" w:name="_Toc19186"/>
      <w:bookmarkStart w:id="29" w:name="_Toc44405603"/>
      <w:bookmarkStart w:id="30" w:name="_Toc23891"/>
      <w:bookmarkStart w:id="31" w:name="_Toc30063"/>
      <w:bookmarkStart w:id="32" w:name="_Toc4670"/>
      <w:bookmarkStart w:id="33" w:name="_Toc28319"/>
      <w:r>
        <w:rPr>
          <w:rFonts w:hint="eastAsia" w:ascii="宋体" w:hAnsi="宋体" w:eastAsia="宋体" w:cs="宋体"/>
          <w:bCs w:val="0"/>
          <w:color w:val="auto"/>
          <w:sz w:val="21"/>
          <w:szCs w:val="21"/>
          <w:highlight w:val="none"/>
        </w:rPr>
        <w:t>三、获取招标文件</w:t>
      </w:r>
      <w:bookmarkEnd w:id="26"/>
      <w:bookmarkEnd w:id="27"/>
      <w:bookmarkEnd w:id="28"/>
      <w:bookmarkEnd w:id="29"/>
      <w:bookmarkEnd w:id="30"/>
      <w:bookmarkEnd w:id="31"/>
      <w:bookmarkEnd w:id="32"/>
      <w:bookmarkEnd w:id="33"/>
    </w:p>
    <w:p w14:paraId="40B3D1D5">
      <w:pPr>
        <w:spacing w:line="320" w:lineRule="exact"/>
        <w:ind w:firstLine="540"/>
        <w:rPr>
          <w:rFonts w:hint="eastAsia" w:ascii="宋体" w:hAnsi="宋体" w:cs="宋体"/>
          <w:color w:val="auto"/>
          <w:highlight w:val="none"/>
        </w:rPr>
      </w:pPr>
      <w:r>
        <w:rPr>
          <w:rFonts w:hint="eastAsia" w:ascii="宋体" w:hAnsi="宋体" w:cs="宋体"/>
          <w:color w:val="auto"/>
          <w:highlight w:val="none"/>
        </w:rPr>
        <w:t>时间：</w:t>
      </w:r>
      <w:r>
        <w:rPr>
          <w:rFonts w:hint="eastAsia" w:ascii="宋体" w:hAnsi="宋体" w:cs="宋体"/>
          <w:bCs/>
          <w:color w:val="auto"/>
          <w:highlight w:val="none"/>
          <w:u w:val="single"/>
          <w:lang w:eastAsia="zh-CN"/>
        </w:rPr>
        <w:t>2026</w:t>
      </w:r>
      <w:r>
        <w:rPr>
          <w:rFonts w:hint="eastAsia" w:ascii="宋体" w:hAnsi="宋体" w:cs="宋体"/>
          <w:bCs/>
          <w:color w:val="auto"/>
          <w:highlight w:val="none"/>
          <w:u w:val="single"/>
        </w:rPr>
        <w:t>年</w:t>
      </w:r>
      <w:r>
        <w:rPr>
          <w:rFonts w:hint="eastAsia" w:ascii="宋体" w:hAnsi="宋体" w:cs="宋体"/>
          <w:bCs/>
          <w:color w:val="auto"/>
          <w:highlight w:val="none"/>
          <w:u w:val="single"/>
          <w:lang w:val="en-US" w:eastAsia="zh-CN"/>
        </w:rPr>
        <w:t>9</w:t>
      </w:r>
      <w:r>
        <w:rPr>
          <w:rFonts w:hint="eastAsia" w:ascii="宋体" w:hAnsi="宋体" w:cs="宋体"/>
          <w:bCs/>
          <w:color w:val="auto"/>
          <w:highlight w:val="none"/>
          <w:u w:val="single"/>
        </w:rPr>
        <w:t>月</w:t>
      </w:r>
      <w:r>
        <w:rPr>
          <w:rFonts w:hint="eastAsia" w:ascii="宋体" w:hAnsi="宋体" w:cs="宋体"/>
          <w:bCs/>
          <w:color w:val="auto"/>
          <w:highlight w:val="none"/>
          <w:u w:val="single"/>
          <w:lang w:val="en-US" w:eastAsia="zh-CN"/>
        </w:rPr>
        <w:t>7</w:t>
      </w:r>
      <w:r>
        <w:rPr>
          <w:rFonts w:hint="eastAsia" w:ascii="宋体" w:hAnsi="宋体" w:cs="宋体"/>
          <w:bCs/>
          <w:color w:val="auto"/>
          <w:highlight w:val="none"/>
          <w:u w:val="single"/>
        </w:rPr>
        <w:t>日</w:t>
      </w:r>
      <w:r>
        <w:rPr>
          <w:rFonts w:hint="eastAsia" w:ascii="宋体" w:hAnsi="宋体" w:cs="宋体"/>
          <w:color w:val="auto"/>
          <w:highlight w:val="none"/>
          <w:u w:val="single"/>
        </w:rPr>
        <w:t>起</w:t>
      </w:r>
      <w:r>
        <w:rPr>
          <w:rFonts w:hint="eastAsia" w:ascii="宋体" w:hAnsi="宋体" w:cs="宋体"/>
          <w:color w:val="auto"/>
          <w:highlight w:val="none"/>
        </w:rPr>
        <w:t>至</w:t>
      </w:r>
      <w:r>
        <w:rPr>
          <w:rFonts w:hint="eastAsia" w:ascii="宋体" w:hAnsi="宋体" w:cs="宋体"/>
          <w:bCs/>
          <w:color w:val="auto"/>
          <w:highlight w:val="none"/>
          <w:u w:val="single"/>
          <w:lang w:eastAsia="zh-CN"/>
        </w:rPr>
        <w:t>2026年</w:t>
      </w:r>
      <w:r>
        <w:rPr>
          <w:rFonts w:hint="eastAsia" w:ascii="宋体" w:hAnsi="宋体" w:cs="宋体"/>
          <w:bCs/>
          <w:color w:val="auto"/>
          <w:highlight w:val="none"/>
          <w:u w:val="single"/>
          <w:lang w:val="en-US" w:eastAsia="zh-CN"/>
        </w:rPr>
        <w:t>9</w:t>
      </w:r>
      <w:r>
        <w:rPr>
          <w:rFonts w:hint="eastAsia" w:ascii="宋体" w:hAnsi="宋体" w:cs="宋体"/>
          <w:bCs/>
          <w:color w:val="auto"/>
          <w:highlight w:val="none"/>
          <w:u w:val="single"/>
          <w:lang w:eastAsia="zh-CN"/>
        </w:rPr>
        <w:t>月</w:t>
      </w:r>
      <w:r>
        <w:rPr>
          <w:rFonts w:hint="eastAsia" w:ascii="宋体" w:hAnsi="宋体" w:cs="宋体"/>
          <w:bCs/>
          <w:color w:val="auto"/>
          <w:highlight w:val="none"/>
          <w:u w:val="single"/>
          <w:lang w:val="en-US" w:eastAsia="zh-CN"/>
        </w:rPr>
        <w:t>14</w:t>
      </w:r>
      <w:r>
        <w:rPr>
          <w:rFonts w:hint="eastAsia" w:ascii="宋体" w:hAnsi="宋体" w:cs="宋体"/>
          <w:bCs/>
          <w:color w:val="auto"/>
          <w:highlight w:val="none"/>
          <w:u w:val="single"/>
          <w:lang w:eastAsia="zh-CN"/>
        </w:rPr>
        <w:t>日</w:t>
      </w:r>
      <w:r>
        <w:rPr>
          <w:rFonts w:hint="eastAsia" w:ascii="宋体" w:hAnsi="宋体" w:cs="宋体"/>
          <w:bCs/>
          <w:color w:val="auto"/>
          <w:highlight w:val="none"/>
          <w:u w:val="single"/>
        </w:rPr>
        <w:t>，每天上午00：00至12：00 ，下午12：00至23：59（北京时间，法定节假日除外）</w:t>
      </w:r>
    </w:p>
    <w:p w14:paraId="2A9FF740">
      <w:pPr>
        <w:spacing w:line="360" w:lineRule="auto"/>
        <w:ind w:firstLine="540"/>
        <w:rPr>
          <w:rFonts w:hint="eastAsia" w:ascii="宋体" w:hAnsi="宋体"/>
          <w:color w:val="auto"/>
          <w:szCs w:val="21"/>
          <w:highlight w:val="none"/>
        </w:rPr>
      </w:pPr>
      <w:bookmarkStart w:id="34" w:name="_Toc28359082"/>
      <w:bookmarkStart w:id="35" w:name="_Toc28359005"/>
      <w:bookmarkStart w:id="36" w:name="_Toc19229"/>
      <w:bookmarkStart w:id="37" w:name="_Toc44405604"/>
      <w:bookmarkStart w:id="38" w:name="_Toc21666"/>
      <w:bookmarkStart w:id="39" w:name="_Toc8738"/>
      <w:bookmarkStart w:id="40" w:name="_Toc35393624"/>
      <w:bookmarkStart w:id="41" w:name="_Toc35393793"/>
      <w:r>
        <w:rPr>
          <w:rFonts w:hint="eastAsia" w:ascii="宋体" w:hAnsi="宋体" w:cs="宋体"/>
          <w:bCs/>
          <w:color w:val="auto"/>
          <w:szCs w:val="21"/>
          <w:highlight w:val="none"/>
        </w:rPr>
        <w:t>地点：</w:t>
      </w:r>
      <w:r>
        <w:rPr>
          <w:rFonts w:hint="eastAsia" w:ascii="宋体" w:hAnsi="宋体"/>
          <w:color w:val="auto"/>
          <w:szCs w:val="21"/>
          <w:highlight w:val="none"/>
        </w:rPr>
        <w:t>广西政府采购云平台（</w:t>
      </w:r>
      <w:r>
        <w:rPr>
          <w:rFonts w:hint="eastAsia" w:ascii="宋体" w:hAnsi="宋体"/>
          <w:bCs/>
          <w:color w:val="auto"/>
          <w:szCs w:val="21"/>
          <w:highlight w:val="none"/>
        </w:rPr>
        <w:t>https：//www.gcy.zfcg.gxzf.gov.cn/</w:t>
      </w:r>
      <w:r>
        <w:rPr>
          <w:rFonts w:hint="eastAsia" w:ascii="宋体" w:hAnsi="宋体"/>
          <w:color w:val="auto"/>
          <w:szCs w:val="21"/>
          <w:highlight w:val="none"/>
        </w:rPr>
        <w:t>）</w:t>
      </w:r>
    </w:p>
    <w:p w14:paraId="4CB5214B">
      <w:pPr>
        <w:spacing w:line="360" w:lineRule="auto"/>
        <w:ind w:firstLine="540"/>
        <w:rPr>
          <w:rFonts w:hint="eastAsia" w:ascii="宋体" w:hAnsi="宋体" w:cs="宋体"/>
          <w:bCs/>
          <w:color w:val="auto"/>
          <w:szCs w:val="21"/>
          <w:highlight w:val="none"/>
        </w:rPr>
      </w:pPr>
      <w:r>
        <w:rPr>
          <w:rFonts w:hint="eastAsia" w:ascii="宋体" w:hAnsi="宋体" w:cs="宋体"/>
          <w:bCs/>
          <w:color w:val="auto"/>
          <w:szCs w:val="21"/>
          <w:highlight w:val="none"/>
        </w:rPr>
        <w:t>方式：网上下载。本项目不提供纸质文件，潜在供应商需在</w:t>
      </w:r>
      <w:r>
        <w:rPr>
          <w:rFonts w:ascii="宋体" w:hAnsi="宋体"/>
          <w:color w:val="auto"/>
          <w:szCs w:val="21"/>
          <w:highlight w:val="none"/>
        </w:rPr>
        <w:t>广西政府采购云平台</w:t>
      </w:r>
      <w:r>
        <w:rPr>
          <w:rFonts w:hint="eastAsia" w:ascii="宋体" w:hAnsi="宋体"/>
          <w:color w:val="auto"/>
          <w:szCs w:val="21"/>
          <w:highlight w:val="none"/>
        </w:rPr>
        <w:t>（</w:t>
      </w:r>
      <w:r>
        <w:rPr>
          <w:rFonts w:ascii="宋体" w:hAnsi="宋体"/>
          <w:bCs/>
          <w:color w:val="auto"/>
          <w:szCs w:val="21"/>
          <w:highlight w:val="none"/>
        </w:rPr>
        <w:t>https</w:t>
      </w:r>
      <w:r>
        <w:rPr>
          <w:rFonts w:hint="eastAsia" w:ascii="宋体" w:hAnsi="宋体"/>
          <w:bCs/>
          <w:color w:val="auto"/>
          <w:szCs w:val="21"/>
          <w:highlight w:val="none"/>
        </w:rPr>
        <w:t>：</w:t>
      </w:r>
      <w:r>
        <w:rPr>
          <w:rFonts w:ascii="宋体" w:hAnsi="宋体"/>
          <w:bCs/>
          <w:color w:val="auto"/>
          <w:szCs w:val="21"/>
          <w:highlight w:val="none"/>
        </w:rPr>
        <w:t>//www.gcy.zfcg.gxzf.gov.cn/</w:t>
      </w:r>
      <w:r>
        <w:rPr>
          <w:rFonts w:hint="eastAsia" w:ascii="宋体" w:hAnsi="宋体"/>
          <w:color w:val="auto"/>
          <w:szCs w:val="21"/>
          <w:highlight w:val="none"/>
        </w:rPr>
        <w:t>）</w:t>
      </w:r>
      <w:r>
        <w:rPr>
          <w:rFonts w:hint="eastAsia" w:ascii="宋体" w:hAnsi="宋体" w:cs="宋体"/>
          <w:bCs/>
          <w:color w:val="auto"/>
          <w:szCs w:val="21"/>
          <w:highlight w:val="none"/>
        </w:rPr>
        <w:t>-进入“项目采购”应用，在获取采购文件菜单中选择项目，获取招标文件。</w:t>
      </w:r>
      <w:r>
        <w:rPr>
          <w:rFonts w:hint="eastAsia" w:ascii="宋体" w:hAnsi="宋体"/>
          <w:color w:val="auto"/>
          <w:szCs w:val="21"/>
          <w:highlight w:val="none"/>
        </w:rPr>
        <w:t>电子投标文件制作需要基于</w:t>
      </w:r>
      <w:r>
        <w:rPr>
          <w:rFonts w:ascii="宋体" w:hAnsi="宋体"/>
          <w:color w:val="auto"/>
          <w:szCs w:val="21"/>
          <w:highlight w:val="none"/>
        </w:rPr>
        <w:t>广西政府采购云平台</w:t>
      </w:r>
      <w:r>
        <w:rPr>
          <w:rFonts w:hint="eastAsia" w:ascii="宋体" w:hAnsi="宋体"/>
          <w:color w:val="auto"/>
          <w:szCs w:val="21"/>
          <w:highlight w:val="none"/>
        </w:rPr>
        <w:t>获取的招标文件编制，</w:t>
      </w:r>
      <w:r>
        <w:rPr>
          <w:rFonts w:hint="eastAsia" w:ascii="宋体" w:hAnsi="宋体" w:cs="宋体"/>
          <w:bCs/>
          <w:color w:val="auto"/>
          <w:szCs w:val="21"/>
          <w:highlight w:val="none"/>
        </w:rPr>
        <w:t>通过其他方式获取招标文件的，将有可能导致供应商无法在</w:t>
      </w:r>
      <w:r>
        <w:rPr>
          <w:rFonts w:hint="eastAsia" w:ascii="宋体" w:hAnsi="宋体"/>
          <w:color w:val="auto"/>
          <w:szCs w:val="21"/>
          <w:highlight w:val="none"/>
        </w:rPr>
        <w:t>“</w:t>
      </w:r>
      <w:r>
        <w:rPr>
          <w:rFonts w:ascii="宋体" w:hAnsi="宋体"/>
          <w:color w:val="auto"/>
          <w:szCs w:val="21"/>
          <w:highlight w:val="none"/>
        </w:rPr>
        <w:t>广西政府采购云平台</w:t>
      </w:r>
      <w:r>
        <w:rPr>
          <w:rFonts w:hint="eastAsia" w:ascii="宋体" w:hAnsi="宋体"/>
          <w:color w:val="auto"/>
          <w:szCs w:val="21"/>
          <w:highlight w:val="none"/>
          <w:lang w:eastAsia="zh-CN"/>
        </w:rPr>
        <w:t>”</w:t>
      </w:r>
      <w:r>
        <w:rPr>
          <w:rFonts w:hint="eastAsia" w:ascii="宋体" w:hAnsi="宋体" w:cs="宋体"/>
          <w:bCs/>
          <w:color w:val="auto"/>
          <w:szCs w:val="21"/>
          <w:highlight w:val="none"/>
        </w:rPr>
        <w:t>编制及上传投标文件。</w:t>
      </w:r>
    </w:p>
    <w:p w14:paraId="09E6B8A1">
      <w:pPr>
        <w:spacing w:line="360" w:lineRule="auto"/>
        <w:ind w:firstLine="540"/>
        <w:rPr>
          <w:rFonts w:hint="eastAsia" w:ascii="宋体" w:hAnsi="宋体" w:cs="宋体"/>
          <w:bCs/>
          <w:color w:val="auto"/>
          <w:szCs w:val="21"/>
          <w:highlight w:val="none"/>
        </w:rPr>
      </w:pPr>
      <w:r>
        <w:rPr>
          <w:rFonts w:hint="eastAsia" w:ascii="宋体" w:hAnsi="宋体" w:cs="宋体"/>
          <w:bCs/>
          <w:color w:val="auto"/>
          <w:szCs w:val="21"/>
          <w:highlight w:val="none"/>
        </w:rPr>
        <w:t xml:space="preserve"> 售价：0元</w:t>
      </w:r>
    </w:p>
    <w:p w14:paraId="2B7DFC94">
      <w:pPr>
        <w:pStyle w:val="196"/>
        <w:spacing w:before="0" w:after="0" w:line="320" w:lineRule="exact"/>
        <w:rPr>
          <w:rFonts w:hint="eastAsia" w:ascii="宋体" w:hAnsi="宋体" w:eastAsia="宋体" w:cs="宋体"/>
          <w:bCs w:val="0"/>
          <w:color w:val="auto"/>
          <w:sz w:val="21"/>
          <w:szCs w:val="21"/>
          <w:highlight w:val="none"/>
        </w:rPr>
      </w:pPr>
      <w:bookmarkStart w:id="42" w:name="_Toc23129"/>
      <w:bookmarkStart w:id="43" w:name="_Toc25816"/>
      <w:r>
        <w:rPr>
          <w:rFonts w:hint="eastAsia" w:ascii="宋体" w:hAnsi="宋体" w:eastAsia="宋体" w:cs="宋体"/>
          <w:bCs w:val="0"/>
          <w:color w:val="auto"/>
          <w:sz w:val="21"/>
          <w:szCs w:val="21"/>
          <w:highlight w:val="none"/>
        </w:rPr>
        <w:t>四、提交投标文件</w:t>
      </w:r>
      <w:bookmarkEnd w:id="34"/>
      <w:bookmarkEnd w:id="35"/>
      <w:r>
        <w:rPr>
          <w:rFonts w:hint="eastAsia" w:ascii="宋体" w:hAnsi="宋体" w:eastAsia="宋体" w:cs="宋体"/>
          <w:bCs w:val="0"/>
          <w:color w:val="auto"/>
          <w:sz w:val="21"/>
          <w:szCs w:val="21"/>
          <w:highlight w:val="none"/>
        </w:rPr>
        <w:t>截止时间、开标时间和地点</w:t>
      </w:r>
      <w:bookmarkEnd w:id="36"/>
      <w:bookmarkEnd w:id="37"/>
      <w:bookmarkEnd w:id="38"/>
      <w:bookmarkEnd w:id="39"/>
      <w:bookmarkEnd w:id="40"/>
      <w:bookmarkEnd w:id="41"/>
      <w:bookmarkEnd w:id="42"/>
      <w:bookmarkEnd w:id="43"/>
    </w:p>
    <w:p w14:paraId="7747D765">
      <w:pPr>
        <w:spacing w:line="320" w:lineRule="exact"/>
        <w:ind w:firstLine="420"/>
        <w:rPr>
          <w:rFonts w:hint="eastAsia" w:ascii="宋体" w:hAnsi="宋体" w:cs="宋体"/>
          <w:color w:val="auto"/>
          <w:highlight w:val="none"/>
        </w:rPr>
      </w:pPr>
      <w:bookmarkStart w:id="44" w:name="_Toc35393794"/>
      <w:bookmarkStart w:id="45" w:name="_Toc44405605"/>
      <w:bookmarkStart w:id="46" w:name="_Toc4255"/>
      <w:bookmarkStart w:id="47" w:name="_Toc35393625"/>
      <w:bookmarkStart w:id="48" w:name="_Toc28359084"/>
      <w:bookmarkStart w:id="49" w:name="_Toc28359007"/>
      <w:r>
        <w:rPr>
          <w:rFonts w:hint="eastAsia" w:ascii="宋体" w:hAnsi="宋体" w:cs="宋体"/>
          <w:color w:val="auto"/>
          <w:highlight w:val="none"/>
        </w:rPr>
        <w:t>时间：</w:t>
      </w:r>
      <w:r>
        <w:rPr>
          <w:rFonts w:hint="eastAsia" w:ascii="宋体" w:hAnsi="宋体" w:cs="宋体"/>
          <w:color w:val="auto"/>
          <w:highlight w:val="none"/>
          <w:u w:val="single"/>
          <w:lang w:eastAsia="zh-CN"/>
        </w:rPr>
        <w:t>2026年9月28日上午9时00分</w:t>
      </w:r>
      <w:r>
        <w:rPr>
          <w:rFonts w:hint="eastAsia" w:ascii="宋体" w:hAnsi="宋体" w:cs="宋体"/>
          <w:color w:val="auto"/>
          <w:highlight w:val="none"/>
        </w:rPr>
        <w:t>（北京时间）</w:t>
      </w:r>
    </w:p>
    <w:p w14:paraId="1219A9D2">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地点：</w:t>
      </w:r>
      <w:r>
        <w:rPr>
          <w:rFonts w:ascii="宋体" w:hAnsi="宋体"/>
          <w:color w:val="auto"/>
          <w:szCs w:val="21"/>
          <w:highlight w:val="none"/>
        </w:rPr>
        <w:t>广西政府采购云平台</w:t>
      </w:r>
      <w:r>
        <w:rPr>
          <w:rFonts w:hint="eastAsia" w:ascii="宋体" w:hAnsi="宋体"/>
          <w:color w:val="auto"/>
          <w:szCs w:val="21"/>
          <w:highlight w:val="none"/>
        </w:rPr>
        <w:t>（</w:t>
      </w:r>
      <w:r>
        <w:rPr>
          <w:rFonts w:ascii="宋体" w:hAnsi="宋体"/>
          <w:bCs/>
          <w:color w:val="auto"/>
          <w:szCs w:val="21"/>
          <w:highlight w:val="none"/>
        </w:rPr>
        <w:t>https</w:t>
      </w:r>
      <w:r>
        <w:rPr>
          <w:rFonts w:hint="eastAsia" w:ascii="宋体" w:hAnsi="宋体"/>
          <w:bCs/>
          <w:color w:val="auto"/>
          <w:szCs w:val="21"/>
          <w:highlight w:val="none"/>
        </w:rPr>
        <w:t>：</w:t>
      </w:r>
      <w:r>
        <w:rPr>
          <w:rFonts w:ascii="宋体" w:hAnsi="宋体"/>
          <w:bCs/>
          <w:color w:val="auto"/>
          <w:szCs w:val="21"/>
          <w:highlight w:val="none"/>
        </w:rPr>
        <w:t>//www.gcy.zfcg.gxzf.gov.cn/</w:t>
      </w:r>
      <w:r>
        <w:rPr>
          <w:rFonts w:hint="eastAsia" w:ascii="宋体" w:hAnsi="宋体"/>
          <w:color w:val="auto"/>
          <w:szCs w:val="21"/>
          <w:highlight w:val="none"/>
        </w:rPr>
        <w:t>）</w:t>
      </w:r>
    </w:p>
    <w:p w14:paraId="400150DF">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投标地点：</w:t>
      </w:r>
      <w:r>
        <w:rPr>
          <w:rFonts w:ascii="宋体" w:hAnsi="宋体"/>
          <w:color w:val="auto"/>
          <w:szCs w:val="21"/>
          <w:highlight w:val="none"/>
        </w:rPr>
        <w:t>广西政府采购云平台</w:t>
      </w:r>
      <w:r>
        <w:rPr>
          <w:rFonts w:hint="eastAsia" w:ascii="宋体" w:hAnsi="宋体"/>
          <w:color w:val="auto"/>
          <w:szCs w:val="21"/>
          <w:highlight w:val="none"/>
        </w:rPr>
        <w:t>（</w:t>
      </w:r>
      <w:r>
        <w:rPr>
          <w:rFonts w:ascii="宋体" w:hAnsi="宋体"/>
          <w:bCs/>
          <w:color w:val="auto"/>
          <w:szCs w:val="21"/>
          <w:highlight w:val="none"/>
        </w:rPr>
        <w:t>https</w:t>
      </w:r>
      <w:r>
        <w:rPr>
          <w:rFonts w:hint="eastAsia" w:ascii="宋体" w:hAnsi="宋体"/>
          <w:bCs/>
          <w:color w:val="auto"/>
          <w:szCs w:val="21"/>
          <w:highlight w:val="none"/>
        </w:rPr>
        <w:t>：</w:t>
      </w:r>
      <w:r>
        <w:rPr>
          <w:rFonts w:ascii="宋体" w:hAnsi="宋体"/>
          <w:bCs/>
          <w:color w:val="auto"/>
          <w:szCs w:val="21"/>
          <w:highlight w:val="none"/>
        </w:rPr>
        <w:t>//www.gcy.zfcg.gxzf.gov.cn/</w:t>
      </w:r>
      <w:r>
        <w:rPr>
          <w:rFonts w:hint="eastAsia" w:ascii="宋体" w:hAnsi="宋体"/>
          <w:color w:val="auto"/>
          <w:szCs w:val="21"/>
          <w:highlight w:val="none"/>
        </w:rPr>
        <w:t>）</w:t>
      </w:r>
    </w:p>
    <w:p w14:paraId="7BC79278">
      <w:pPr>
        <w:spacing w:line="320" w:lineRule="exact"/>
        <w:ind w:firstLine="420"/>
        <w:rPr>
          <w:rFonts w:hint="eastAsia" w:ascii="宋体" w:hAnsi="宋体" w:cs="宋体"/>
          <w:color w:val="auto"/>
          <w:highlight w:val="none"/>
        </w:rPr>
      </w:pPr>
      <w:r>
        <w:rPr>
          <w:rFonts w:hint="eastAsia" w:ascii="宋体" w:hAnsi="宋体"/>
          <w:color w:val="auto"/>
          <w:szCs w:val="21"/>
          <w:highlight w:val="none"/>
        </w:rPr>
        <w:t>开标地点：</w:t>
      </w:r>
      <w:r>
        <w:rPr>
          <w:rFonts w:ascii="宋体" w:hAnsi="宋体"/>
          <w:color w:val="auto"/>
          <w:szCs w:val="21"/>
          <w:highlight w:val="none"/>
        </w:rPr>
        <w:t>广西政府采购云平台</w:t>
      </w:r>
      <w:r>
        <w:rPr>
          <w:rFonts w:hint="eastAsia" w:ascii="宋体" w:hAnsi="宋体"/>
          <w:color w:val="auto"/>
          <w:szCs w:val="21"/>
          <w:highlight w:val="none"/>
        </w:rPr>
        <w:t>电子开标大厅</w:t>
      </w:r>
    </w:p>
    <w:p w14:paraId="0C546CC6">
      <w:pPr>
        <w:pStyle w:val="196"/>
        <w:spacing w:before="0" w:after="0" w:line="320" w:lineRule="exact"/>
        <w:rPr>
          <w:rFonts w:hint="eastAsia" w:ascii="宋体" w:hAnsi="宋体" w:eastAsia="宋体" w:cs="宋体"/>
          <w:bCs w:val="0"/>
          <w:color w:val="auto"/>
          <w:sz w:val="21"/>
          <w:szCs w:val="21"/>
          <w:highlight w:val="none"/>
        </w:rPr>
      </w:pPr>
      <w:bookmarkStart w:id="50" w:name="_Toc17155"/>
      <w:bookmarkStart w:id="51" w:name="_Toc20853"/>
      <w:bookmarkStart w:id="52" w:name="_Toc30919"/>
      <w:bookmarkStart w:id="53" w:name="_Toc27130"/>
      <w:r>
        <w:rPr>
          <w:rFonts w:hint="eastAsia" w:ascii="宋体" w:hAnsi="宋体" w:eastAsia="宋体" w:cs="宋体"/>
          <w:bCs w:val="0"/>
          <w:color w:val="auto"/>
          <w:sz w:val="21"/>
          <w:szCs w:val="21"/>
          <w:highlight w:val="none"/>
        </w:rPr>
        <w:t>五、公告期限</w:t>
      </w:r>
      <w:bookmarkEnd w:id="44"/>
      <w:bookmarkEnd w:id="45"/>
      <w:bookmarkEnd w:id="46"/>
      <w:bookmarkEnd w:id="47"/>
      <w:bookmarkEnd w:id="48"/>
      <w:bookmarkEnd w:id="49"/>
      <w:bookmarkEnd w:id="50"/>
      <w:bookmarkEnd w:id="51"/>
      <w:bookmarkEnd w:id="52"/>
      <w:bookmarkEnd w:id="53"/>
    </w:p>
    <w:p w14:paraId="40029CEE">
      <w:pPr>
        <w:spacing w:line="320" w:lineRule="exact"/>
        <w:ind w:firstLine="420"/>
        <w:rPr>
          <w:rFonts w:hint="eastAsia" w:ascii="宋体" w:hAnsi="宋体" w:cs="宋体"/>
          <w:color w:val="auto"/>
          <w:highlight w:val="none"/>
        </w:rPr>
      </w:pPr>
      <w:r>
        <w:rPr>
          <w:rFonts w:hint="eastAsia" w:ascii="宋体" w:hAnsi="宋体" w:cs="宋体"/>
          <w:color w:val="auto"/>
          <w:highlight w:val="none"/>
        </w:rPr>
        <w:t>自本公告发布之日起5个工作日。</w:t>
      </w:r>
    </w:p>
    <w:p w14:paraId="068A7F22">
      <w:pPr>
        <w:pStyle w:val="196"/>
        <w:spacing w:before="0" w:after="0" w:line="320" w:lineRule="exact"/>
        <w:rPr>
          <w:rFonts w:hint="eastAsia" w:ascii="宋体" w:hAnsi="宋体" w:eastAsia="宋体" w:cs="宋体"/>
          <w:bCs w:val="0"/>
          <w:color w:val="auto"/>
          <w:sz w:val="21"/>
          <w:szCs w:val="21"/>
          <w:highlight w:val="none"/>
        </w:rPr>
      </w:pPr>
      <w:bookmarkStart w:id="54" w:name="_Toc14112"/>
      <w:bookmarkStart w:id="55" w:name="_Toc18475"/>
      <w:bookmarkStart w:id="56" w:name="_Toc35393795"/>
      <w:bookmarkStart w:id="57" w:name="_Toc44405606"/>
      <w:bookmarkStart w:id="58" w:name="_Toc1241"/>
      <w:bookmarkStart w:id="59" w:name="_Toc17855"/>
      <w:bookmarkStart w:id="60" w:name="_Toc35393626"/>
      <w:bookmarkStart w:id="61" w:name="_Toc22774"/>
      <w:r>
        <w:rPr>
          <w:rFonts w:hint="eastAsia" w:ascii="宋体" w:hAnsi="宋体" w:eastAsia="宋体" w:cs="宋体"/>
          <w:bCs w:val="0"/>
          <w:color w:val="auto"/>
          <w:sz w:val="21"/>
          <w:szCs w:val="21"/>
          <w:highlight w:val="none"/>
        </w:rPr>
        <w:t>六、其他补充事宜</w:t>
      </w:r>
      <w:bookmarkEnd w:id="54"/>
      <w:bookmarkEnd w:id="55"/>
      <w:bookmarkEnd w:id="56"/>
      <w:bookmarkEnd w:id="57"/>
      <w:bookmarkEnd w:id="58"/>
      <w:bookmarkEnd w:id="59"/>
      <w:bookmarkEnd w:id="60"/>
      <w:bookmarkEnd w:id="61"/>
    </w:p>
    <w:p w14:paraId="70D2FA6B">
      <w:pPr>
        <w:spacing w:line="320" w:lineRule="exact"/>
        <w:ind w:firstLine="315"/>
        <w:rPr>
          <w:rFonts w:hint="eastAsia" w:ascii="宋体" w:hAnsi="宋体" w:cs="宋体"/>
          <w:color w:val="auto"/>
          <w:szCs w:val="21"/>
          <w:highlight w:val="none"/>
        </w:rPr>
      </w:pPr>
      <w:r>
        <w:rPr>
          <w:rFonts w:hint="eastAsia" w:ascii="宋体" w:hAnsi="宋体" w:cs="宋体"/>
          <w:color w:val="auto"/>
          <w:szCs w:val="21"/>
          <w:highlight w:val="none"/>
        </w:rPr>
        <w:t>1.投标保证金</w:t>
      </w:r>
    </w:p>
    <w:p w14:paraId="5CDDC676">
      <w:pPr>
        <w:spacing w:line="320" w:lineRule="exact"/>
        <w:ind w:left="495"/>
        <w:rPr>
          <w:rFonts w:hint="eastAsia" w:ascii="宋体" w:hAnsi="宋体" w:cs="宋体"/>
          <w:color w:val="auto"/>
          <w:szCs w:val="21"/>
          <w:highlight w:val="none"/>
        </w:rPr>
      </w:pPr>
      <w:r>
        <w:rPr>
          <w:rFonts w:hint="eastAsia" w:ascii="宋体" w:hAnsi="宋体" w:cs="宋体"/>
          <w:color w:val="auto"/>
          <w:highlight w:val="none"/>
        </w:rPr>
        <w:t>本项目投</w:t>
      </w:r>
      <w:r>
        <w:rPr>
          <w:rFonts w:hint="eastAsia" w:ascii="宋体" w:hAnsi="宋体" w:cs="宋体"/>
          <w:color w:val="auto"/>
          <w:szCs w:val="21"/>
          <w:highlight w:val="none"/>
        </w:rPr>
        <w:t>标保证金：无。http：//ggzy.jgswj.gxzf.gov.cn/ggggzy/</w:t>
      </w:r>
    </w:p>
    <w:p w14:paraId="35FD5D08">
      <w:pPr>
        <w:spacing w:line="320" w:lineRule="exact"/>
        <w:ind w:firstLine="315"/>
        <w:rPr>
          <w:rFonts w:hint="eastAsia" w:ascii="宋体" w:hAnsi="宋体" w:cs="宋体"/>
          <w:color w:val="auto"/>
          <w:szCs w:val="21"/>
          <w:highlight w:val="none"/>
        </w:rPr>
      </w:pPr>
      <w:bookmarkStart w:id="62" w:name="_Hlk37429585"/>
      <w:r>
        <w:rPr>
          <w:rFonts w:hint="eastAsia" w:ascii="宋体" w:hAnsi="宋体" w:cs="宋体"/>
          <w:color w:val="auto"/>
          <w:szCs w:val="21"/>
          <w:highlight w:val="none"/>
        </w:rPr>
        <w:t xml:space="preserve">2. </w:t>
      </w:r>
      <w:bookmarkStart w:id="63" w:name="_Hlk37429595"/>
      <w:r>
        <w:rPr>
          <w:rFonts w:hint="eastAsia" w:ascii="宋体" w:hAnsi="宋体" w:cs="宋体"/>
          <w:color w:val="auto"/>
          <w:szCs w:val="21"/>
          <w:highlight w:val="none"/>
        </w:rPr>
        <w:t>网上查询地址</w:t>
      </w:r>
    </w:p>
    <w:bookmarkEnd w:id="62"/>
    <w:p w14:paraId="0651DC8A">
      <w:pPr>
        <w:spacing w:line="320" w:lineRule="exact"/>
        <w:ind w:left="495"/>
        <w:rPr>
          <w:rFonts w:hint="eastAsia" w:ascii="宋体" w:hAnsi="宋体" w:cs="宋体"/>
          <w:color w:val="auto"/>
          <w:szCs w:val="21"/>
          <w:highlight w:val="none"/>
        </w:rPr>
      </w:pPr>
      <w:r>
        <w:rPr>
          <w:rFonts w:hint="eastAsia" w:ascii="宋体" w:hAnsi="宋体" w:cs="宋体"/>
          <w:color w:val="auto"/>
          <w:szCs w:val="21"/>
          <w:highlight w:val="none"/>
        </w:rPr>
        <w:t>http：//www.ccgp.gov.cn（中国政府采购网）、http：//</w:t>
      </w: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HYPERLINK "http://www.gxzfcg.gov.cn" </w:instrText>
      </w:r>
      <w:r>
        <w:rPr>
          <w:rFonts w:hint="eastAsia" w:ascii="宋体" w:hAnsi="宋体" w:cs="宋体"/>
          <w:color w:val="auto"/>
          <w:szCs w:val="21"/>
          <w:highlight w:val="none"/>
        </w:rPr>
        <w:fldChar w:fldCharType="separate"/>
      </w:r>
      <w:r>
        <w:rPr>
          <w:rStyle w:val="272"/>
          <w:rFonts w:hint="eastAsia" w:ascii="宋体" w:hAnsi="宋体" w:cs="宋体"/>
          <w:color w:val="auto"/>
          <w:szCs w:val="21"/>
          <w:highlight w:val="none"/>
          <w:u w:val="none"/>
        </w:rPr>
        <w:t>zfcg.gxzf.gov.cn/</w:t>
      </w:r>
      <w:r>
        <w:rPr>
          <w:rFonts w:hint="eastAsia" w:ascii="宋体" w:hAnsi="宋体" w:cs="宋体"/>
          <w:color w:val="auto"/>
          <w:szCs w:val="21"/>
          <w:highlight w:val="none"/>
        </w:rPr>
        <w:fldChar w:fldCharType="end"/>
      </w:r>
      <w:r>
        <w:rPr>
          <w:rFonts w:hint="eastAsia" w:ascii="宋体" w:hAnsi="宋体" w:cs="宋体"/>
          <w:color w:val="auto"/>
          <w:szCs w:val="21"/>
          <w:highlight w:val="none"/>
        </w:rPr>
        <w:t>（广西壮族自治区政府采购网）、全国公共资源交易平台（广西·贵港）</w:t>
      </w:r>
    </w:p>
    <w:bookmarkEnd w:id="63"/>
    <w:p w14:paraId="6BB67CDE">
      <w:pPr>
        <w:spacing w:line="320" w:lineRule="exact"/>
        <w:ind w:firstLine="315"/>
        <w:rPr>
          <w:rFonts w:hint="eastAsia" w:ascii="宋体" w:hAnsi="宋体" w:cs="宋体"/>
          <w:color w:val="auto"/>
          <w:szCs w:val="21"/>
          <w:highlight w:val="none"/>
        </w:rPr>
      </w:pPr>
      <w:bookmarkStart w:id="64" w:name="_Hlk37429674"/>
      <w:r>
        <w:rPr>
          <w:rFonts w:hint="eastAsia" w:ascii="宋体" w:hAnsi="宋体" w:cs="宋体"/>
          <w:color w:val="auto"/>
          <w:szCs w:val="21"/>
          <w:highlight w:val="none"/>
        </w:rPr>
        <w:t>3. 本项目需要落实的政府采购政策</w:t>
      </w:r>
    </w:p>
    <w:p w14:paraId="07F328F3">
      <w:pPr>
        <w:spacing w:line="320" w:lineRule="exact"/>
        <w:ind w:firstLine="315"/>
        <w:rPr>
          <w:rFonts w:hint="eastAsia" w:ascii="宋体" w:hAnsi="宋体" w:cs="宋体"/>
          <w:color w:val="auto"/>
          <w:szCs w:val="21"/>
          <w:highlight w:val="none"/>
        </w:rPr>
      </w:pPr>
      <w:r>
        <w:rPr>
          <w:rFonts w:hint="eastAsia" w:ascii="宋体" w:hAnsi="宋体" w:cs="宋体"/>
          <w:color w:val="auto"/>
          <w:szCs w:val="21"/>
          <w:highlight w:val="none"/>
        </w:rPr>
        <w:t>（1）政府采购促进中小企业发展。</w:t>
      </w:r>
    </w:p>
    <w:p w14:paraId="4CE81EE1">
      <w:pPr>
        <w:spacing w:line="320" w:lineRule="exact"/>
        <w:ind w:firstLine="315"/>
        <w:rPr>
          <w:rFonts w:hint="eastAsia" w:ascii="宋体" w:hAnsi="宋体" w:cs="宋体"/>
          <w:color w:val="auto"/>
          <w:szCs w:val="21"/>
          <w:highlight w:val="none"/>
        </w:rPr>
      </w:pPr>
      <w:r>
        <w:rPr>
          <w:rFonts w:hint="eastAsia" w:ascii="宋体" w:hAnsi="宋体" w:cs="宋体"/>
          <w:color w:val="auto"/>
          <w:szCs w:val="21"/>
          <w:highlight w:val="none"/>
        </w:rPr>
        <w:t>（2）政府采购促进残疾人就业政策。</w:t>
      </w:r>
    </w:p>
    <w:p w14:paraId="3B1619DA">
      <w:pPr>
        <w:spacing w:line="320" w:lineRule="exact"/>
        <w:ind w:firstLine="315"/>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）政府采购支持监狱企业发展。</w:t>
      </w:r>
      <w:bookmarkEnd w:id="64"/>
    </w:p>
    <w:p w14:paraId="7EFA1586">
      <w:pPr>
        <w:spacing w:line="320" w:lineRule="exact"/>
        <w:ind w:firstLine="315"/>
        <w:rPr>
          <w:rFonts w:hint="eastAsia" w:ascii="宋体" w:hAnsi="宋体" w:cs="宋体"/>
          <w:color w:val="auto"/>
          <w:szCs w:val="21"/>
          <w:highlight w:val="none"/>
        </w:rPr>
      </w:pPr>
      <w:r>
        <w:rPr>
          <w:rFonts w:hint="eastAsia" w:ascii="宋体" w:hAnsi="宋体" w:cs="宋体"/>
          <w:color w:val="auto"/>
          <w:szCs w:val="21"/>
          <w:highlight w:val="none"/>
        </w:rPr>
        <w:t>4.监督部门</w:t>
      </w:r>
    </w:p>
    <w:p w14:paraId="79592621">
      <w:pPr>
        <w:widowControl/>
        <w:spacing w:line="360" w:lineRule="auto"/>
        <w:ind w:firstLine="420" w:firstLineChars="200"/>
        <w:jc w:val="left"/>
        <w:rPr>
          <w:rFonts w:ascii="宋体" w:hAnsi="宋体" w:cs="宋体"/>
          <w:color w:val="auto"/>
          <w:kern w:val="0"/>
          <w:szCs w:val="21"/>
          <w:highlight w:val="none"/>
        </w:rPr>
      </w:pPr>
      <w:bookmarkStart w:id="65" w:name="_Toc28359085"/>
      <w:bookmarkStart w:id="66" w:name="_Toc35393796"/>
      <w:bookmarkStart w:id="67" w:name="_Toc35393627"/>
      <w:bookmarkStart w:id="68" w:name="_Toc44405607"/>
      <w:bookmarkStart w:id="69" w:name="_Toc28359008"/>
      <w:bookmarkStart w:id="70" w:name="_Toc32606"/>
      <w:r>
        <w:rPr>
          <w:rFonts w:hint="eastAsia" w:ascii="宋体" w:hAnsi="宋体" w:cs="宋体"/>
          <w:color w:val="auto"/>
          <w:kern w:val="0"/>
          <w:szCs w:val="21"/>
          <w:highlight w:val="none"/>
        </w:rPr>
        <w:t xml:space="preserve">名  称：贵港市财政局政府采购监督管理科 </w:t>
      </w:r>
    </w:p>
    <w:p w14:paraId="6AAF3381">
      <w:pPr>
        <w:widowControl/>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电  话：0775-4555290、0775-4564649</w:t>
      </w:r>
    </w:p>
    <w:p w14:paraId="37C04464">
      <w:pPr>
        <w:spacing w:line="32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5.投标人投标注意事项</w:t>
      </w:r>
    </w:p>
    <w:p w14:paraId="46F2F159">
      <w:pPr>
        <w:widowControl/>
        <w:spacing w:line="360" w:lineRule="auto"/>
        <w:ind w:firstLine="420"/>
        <w:jc w:val="left"/>
        <w:rPr>
          <w:rFonts w:hint="eastAsia" w:ascii="宋体" w:hAnsi="宋体"/>
          <w:bCs/>
          <w:color w:val="auto"/>
          <w:szCs w:val="21"/>
          <w:highlight w:val="none"/>
        </w:rPr>
      </w:pPr>
      <w:r>
        <w:rPr>
          <w:rFonts w:hint="eastAsia" w:ascii="宋体" w:hAnsi="宋体"/>
          <w:color w:val="auto"/>
          <w:szCs w:val="21"/>
          <w:highlight w:val="none"/>
        </w:rPr>
        <w:t>（1）本项目为全流程电子化采购项目，通过</w:t>
      </w:r>
      <w:r>
        <w:rPr>
          <w:rFonts w:hint="eastAsia" w:ascii="宋体" w:hAnsi="宋体"/>
          <w:color w:val="auto"/>
          <w:szCs w:val="21"/>
          <w:highlight w:val="none"/>
          <w:lang w:eastAsia="zh-CN"/>
        </w:rPr>
        <w:t>广西政府采购云平台（</w:t>
      </w:r>
      <w:r>
        <w:rPr>
          <w:rFonts w:hint="eastAsia" w:ascii="宋体" w:hAnsi="宋体"/>
          <w:bCs/>
          <w:color w:val="auto"/>
          <w:szCs w:val="21"/>
          <w:highlight w:val="none"/>
        </w:rPr>
        <w:t>https</w:t>
      </w:r>
      <w:r>
        <w:rPr>
          <w:rFonts w:hint="eastAsia" w:ascii="宋体" w:hAnsi="宋体"/>
          <w:bCs/>
          <w:color w:val="auto"/>
          <w:szCs w:val="21"/>
          <w:highlight w:val="none"/>
          <w:lang w:eastAsia="zh-CN"/>
        </w:rPr>
        <w:t>：</w:t>
      </w:r>
      <w:r>
        <w:rPr>
          <w:rFonts w:hint="eastAsia" w:ascii="宋体" w:hAnsi="宋体"/>
          <w:bCs/>
          <w:color w:val="auto"/>
          <w:szCs w:val="21"/>
          <w:highlight w:val="none"/>
        </w:rPr>
        <w:t>//www.gcy.</w:t>
      </w:r>
    </w:p>
    <w:p w14:paraId="16F463EB">
      <w:pPr>
        <w:widowControl/>
        <w:spacing w:line="360" w:lineRule="auto"/>
        <w:jc w:val="left"/>
        <w:rPr>
          <w:rFonts w:hint="eastAsia" w:ascii="宋体" w:hAnsi="宋体"/>
          <w:color w:val="auto"/>
          <w:szCs w:val="21"/>
          <w:highlight w:val="none"/>
        </w:rPr>
      </w:pPr>
      <w:r>
        <w:rPr>
          <w:rFonts w:hint="eastAsia" w:ascii="宋体" w:hAnsi="宋体"/>
          <w:bCs/>
          <w:color w:val="auto"/>
          <w:szCs w:val="21"/>
          <w:highlight w:val="none"/>
        </w:rPr>
        <w:t>zfcg.gxzf.gov.cn/</w:t>
      </w:r>
      <w:r>
        <w:rPr>
          <w:rFonts w:hint="eastAsia" w:ascii="宋体" w:hAnsi="宋体"/>
          <w:color w:val="auto"/>
          <w:szCs w:val="21"/>
          <w:highlight w:val="none"/>
        </w:rPr>
        <w:t>）实行在线电子投标，投标人应按照本项目招标文件和广西政府采购云平台的要求编制、加密后在投标截止时间前通过网络上传至广西政府采购云平台（加密的电子投标文件是指</w:t>
      </w:r>
      <w:r>
        <w:rPr>
          <w:rFonts w:hint="eastAsia"/>
          <w:color w:val="auto"/>
          <w:highlight w:val="none"/>
        </w:rPr>
        <w:t>后缀名为“jm</w:t>
      </w:r>
      <w:r>
        <w:rPr>
          <w:color w:val="auto"/>
          <w:highlight w:val="none"/>
        </w:rPr>
        <w:t>bs</w:t>
      </w:r>
      <w:r>
        <w:rPr>
          <w:rFonts w:hint="eastAsia"/>
          <w:color w:val="auto"/>
          <w:highlight w:val="none"/>
        </w:rPr>
        <w:t>”的文件</w:t>
      </w:r>
      <w:r>
        <w:rPr>
          <w:rFonts w:hint="eastAsia" w:ascii="宋体" w:hAnsi="宋体"/>
          <w:color w:val="auto"/>
          <w:szCs w:val="21"/>
          <w:highlight w:val="none"/>
        </w:rPr>
        <w:t>），</w:t>
      </w:r>
      <w:r>
        <w:rPr>
          <w:rFonts w:hint="eastAsia" w:ascii="宋体" w:hAnsi="宋体"/>
          <w:b/>
          <w:color w:val="auto"/>
          <w:szCs w:val="21"/>
          <w:highlight w:val="none"/>
        </w:rPr>
        <w:t>投标人在</w:t>
      </w:r>
      <w:r>
        <w:rPr>
          <w:rFonts w:hint="eastAsia" w:ascii="宋体" w:hAnsi="宋体"/>
          <w:color w:val="auto"/>
          <w:szCs w:val="21"/>
          <w:highlight w:val="none"/>
        </w:rPr>
        <w:t>广西政府采购云平台</w:t>
      </w:r>
      <w:r>
        <w:rPr>
          <w:rFonts w:hint="eastAsia" w:ascii="宋体" w:hAnsi="宋体"/>
          <w:b/>
          <w:color w:val="auto"/>
          <w:szCs w:val="21"/>
          <w:highlight w:val="none"/>
        </w:rPr>
        <w:t>提交电子投标文件时，请填写参加远程开标活动经办人联系方式。</w:t>
      </w:r>
      <w:r>
        <w:rPr>
          <w:rFonts w:hint="eastAsia" w:ascii="宋体" w:hAnsi="宋体"/>
          <w:color w:val="auto"/>
          <w:szCs w:val="21"/>
          <w:highlight w:val="none"/>
        </w:rPr>
        <w:t>投标人登录广西政府采购云平台，依次进入“服务中心-项目采购-操作流程-电子招投标-</w:t>
      </w:r>
      <w:r>
        <w:rPr>
          <w:color w:val="auto"/>
          <w:highlight w:val="none"/>
        </w:rPr>
        <w:t>政府采购项目电子交易管理操作指南-供应商</w:t>
      </w:r>
      <w:r>
        <w:rPr>
          <w:rFonts w:hint="eastAsia" w:ascii="宋体" w:hAnsi="宋体"/>
          <w:color w:val="auto"/>
          <w:szCs w:val="21"/>
          <w:highlight w:val="none"/>
        </w:rPr>
        <w:t>”查看电子投标具体操作流程。</w:t>
      </w:r>
    </w:p>
    <w:p w14:paraId="5DA1D3F8">
      <w:pPr>
        <w:widowControl/>
        <w:spacing w:line="360" w:lineRule="auto"/>
        <w:ind w:firstLine="420"/>
        <w:jc w:val="left"/>
        <w:rPr>
          <w:rFonts w:ascii="宋体" w:hAnsi="宋体"/>
          <w:color w:val="auto"/>
          <w:szCs w:val="21"/>
          <w:highlight w:val="none"/>
        </w:rPr>
      </w:pPr>
      <w:r>
        <w:rPr>
          <w:rFonts w:hint="eastAsia" w:ascii="宋体" w:hAnsi="宋体"/>
          <w:color w:val="auto"/>
          <w:szCs w:val="21"/>
          <w:highlight w:val="none"/>
        </w:rPr>
        <w:t>（2）未进行网上注册并办理数字证书（CA认证）的投标人将无法参与本项目政府采购活动，投标人应当在投标截止时间前，完成电子交易平台上的CA数字证书办理及投标文件的提交（投标人可登录“广西政府采购网”，依次进入“办事服务-下载专区”或者登录广西政府采购云平台</w:t>
      </w:r>
      <w:r>
        <w:rPr>
          <w:rFonts w:hint="eastAsia" w:ascii="宋体" w:hAnsi="宋体" w:cs="宋体"/>
          <w:color w:val="auto"/>
          <w:szCs w:val="21"/>
          <w:highlight w:val="none"/>
        </w:rPr>
        <w:t>，</w:t>
      </w:r>
      <w:r>
        <w:rPr>
          <w:rFonts w:hint="eastAsia" w:ascii="宋体" w:hAnsi="宋体"/>
          <w:color w:val="auto"/>
          <w:szCs w:val="21"/>
          <w:highlight w:val="none"/>
        </w:rPr>
        <w:t>依次进入“服务中心-入驻与配置”中查看CA数字证书办理操作流程。</w:t>
      </w:r>
      <w:r>
        <w:rPr>
          <w:rFonts w:hint="eastAsia" w:ascii="宋体" w:hAnsi="宋体" w:cs="宋体"/>
          <w:bCs/>
          <w:color w:val="auto"/>
          <w:szCs w:val="21"/>
          <w:highlight w:val="none"/>
        </w:rPr>
        <w:t>如在操作过程中遇到问题或者需要技术支持，请致电客服热线：95763</w:t>
      </w:r>
      <w:r>
        <w:rPr>
          <w:rFonts w:hint="eastAsia" w:ascii="宋体" w:hAnsi="宋体" w:eastAsia="宋体" w:cs="宋体"/>
          <w:color w:val="auto"/>
          <w:szCs w:val="21"/>
          <w:highlight w:val="none"/>
        </w:rPr>
        <w:t>或者0771-3381253</w:t>
      </w:r>
      <w:r>
        <w:rPr>
          <w:rFonts w:hint="eastAsia" w:ascii="宋体" w:hAnsi="宋体"/>
          <w:color w:val="auto"/>
          <w:szCs w:val="21"/>
          <w:highlight w:val="none"/>
        </w:rPr>
        <w:t>）。</w:t>
      </w:r>
    </w:p>
    <w:p w14:paraId="4E9195E0">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（3）CA证书在线解密：投标人投标时，需凭制作投标文件时用来加密的有效数字证书（CA认证）登录</w:t>
      </w:r>
      <w:r>
        <w:rPr>
          <w:rFonts w:hint="eastAsia" w:ascii="宋体" w:hAnsi="宋体"/>
          <w:color w:val="auto"/>
          <w:szCs w:val="21"/>
          <w:highlight w:val="none"/>
        </w:rPr>
        <w:t>广西政府采购云平台</w:t>
      </w:r>
      <w:r>
        <w:rPr>
          <w:rFonts w:hint="eastAsia" w:ascii="宋体" w:hAnsi="宋体" w:cs="宋体"/>
          <w:color w:val="auto"/>
          <w:szCs w:val="21"/>
          <w:highlight w:val="none"/>
        </w:rPr>
        <w:t>电子开标大厅现场按规定时间对加密的投标文件进行解密，否则后果自负。</w:t>
      </w:r>
    </w:p>
    <w:p w14:paraId="3B811354">
      <w:pPr>
        <w:spacing w:line="360" w:lineRule="auto"/>
        <w:ind w:firstLine="424"/>
        <w:rPr>
          <w:rFonts w:hint="eastAsia" w:ascii="宋体" w:hAnsi="宋体"/>
          <w:bCs/>
          <w:color w:val="auto"/>
          <w:szCs w:val="21"/>
          <w:highlight w:val="none"/>
        </w:rPr>
      </w:pPr>
      <w:r>
        <w:rPr>
          <w:rFonts w:hint="eastAsia" w:ascii="宋体" w:hAnsi="宋体"/>
          <w:color w:val="auto"/>
          <w:szCs w:val="21"/>
          <w:highlight w:val="none"/>
        </w:rPr>
        <w:t>注：1）为确保网上操作合法、有效和安全，请投标人确保在电子投标过程中能够对相关数据电文进行加密和使用电子签章，妥善保管C</w:t>
      </w:r>
      <w:r>
        <w:rPr>
          <w:rFonts w:ascii="宋体" w:hAnsi="宋体"/>
          <w:color w:val="auto"/>
          <w:szCs w:val="21"/>
          <w:highlight w:val="none"/>
        </w:rPr>
        <w:t>A</w:t>
      </w:r>
      <w:r>
        <w:rPr>
          <w:rFonts w:hint="eastAsia" w:ascii="宋体" w:hAnsi="宋体"/>
          <w:color w:val="auto"/>
          <w:szCs w:val="21"/>
          <w:highlight w:val="none"/>
        </w:rPr>
        <w:t>数字证书并使用有效的CA数字证书参与整个招标活动。2）</w:t>
      </w:r>
      <w:r>
        <w:rPr>
          <w:rFonts w:hint="eastAsia" w:ascii="宋体" w:hAnsi="宋体"/>
          <w:bCs/>
          <w:color w:val="auto"/>
          <w:szCs w:val="21"/>
          <w:highlight w:val="none"/>
        </w:rPr>
        <w:t>投标人应当在投标截止时间前完成电子投标文件的上传、提交，投标截止时间前可以补充、修改或者撤回投标文件。补充或者修改投标文件的，应当先行撤回原投标文件，补充、修改后重新上传、提交，投标截止时间前未完成上传、提交的，视为撤回投标文件。投标截止时间以后上传递交的投标文件，</w:t>
      </w:r>
      <w:r>
        <w:rPr>
          <w:rFonts w:hint="eastAsia" w:ascii="宋体" w:hAnsi="宋体"/>
          <w:color w:val="auto"/>
          <w:szCs w:val="21"/>
          <w:highlight w:val="none"/>
        </w:rPr>
        <w:t>广西政府采购云平台</w:t>
      </w:r>
      <w:r>
        <w:rPr>
          <w:rFonts w:hint="eastAsia" w:ascii="宋体" w:hAnsi="宋体"/>
          <w:bCs/>
          <w:color w:val="auto"/>
          <w:szCs w:val="21"/>
          <w:highlight w:val="none"/>
        </w:rPr>
        <w:t>将予以拒收。</w:t>
      </w:r>
    </w:p>
    <w:p w14:paraId="70CF6C29">
      <w:pPr>
        <w:keepNext/>
        <w:keepLines/>
        <w:spacing w:line="320" w:lineRule="exact"/>
        <w:outlineLvl w:val="1"/>
        <w:rPr>
          <w:rFonts w:hint="eastAsia" w:ascii="宋体" w:hAnsi="宋体" w:cs="宋体"/>
          <w:b/>
          <w:color w:val="auto"/>
          <w:szCs w:val="21"/>
          <w:highlight w:val="none"/>
        </w:rPr>
      </w:pPr>
      <w:bookmarkStart w:id="71" w:name="_Toc22633"/>
      <w:bookmarkStart w:id="72" w:name="_Toc27703"/>
      <w:bookmarkStart w:id="73" w:name="_Toc16000"/>
      <w:bookmarkStart w:id="74" w:name="_Toc2497"/>
      <w:r>
        <w:rPr>
          <w:rFonts w:hint="eastAsia" w:ascii="宋体" w:hAnsi="宋体" w:cs="宋体"/>
          <w:b/>
          <w:color w:val="auto"/>
          <w:szCs w:val="21"/>
          <w:highlight w:val="none"/>
        </w:rPr>
        <w:t>七、对本次招标提出询问，请按以下方式联系。</w:t>
      </w:r>
      <w:bookmarkEnd w:id="65"/>
      <w:bookmarkEnd w:id="66"/>
      <w:bookmarkEnd w:id="67"/>
      <w:bookmarkEnd w:id="68"/>
      <w:bookmarkEnd w:id="69"/>
      <w:bookmarkEnd w:id="70"/>
      <w:bookmarkEnd w:id="71"/>
      <w:bookmarkEnd w:id="72"/>
      <w:bookmarkEnd w:id="73"/>
      <w:bookmarkEnd w:id="74"/>
    </w:p>
    <w:p w14:paraId="45D3DA24">
      <w:pPr>
        <w:ind w:firstLine="315"/>
        <w:rPr>
          <w:rFonts w:hint="eastAsia" w:ascii="宋体" w:hAnsi="宋体" w:cs="宋体"/>
          <w:color w:val="auto"/>
          <w:szCs w:val="21"/>
          <w:highlight w:val="none"/>
        </w:rPr>
      </w:pPr>
      <w:r>
        <w:rPr>
          <w:rFonts w:hint="eastAsia" w:ascii="宋体" w:hAnsi="宋体" w:cs="宋体"/>
          <w:color w:val="auto"/>
          <w:szCs w:val="21"/>
          <w:highlight w:val="none"/>
        </w:rPr>
        <w:t>1.采购人信息</w:t>
      </w:r>
    </w:p>
    <w:p w14:paraId="6B9B47DD">
      <w:pPr>
        <w:spacing w:line="320" w:lineRule="exact"/>
        <w:ind w:firstLine="315"/>
        <w:rPr>
          <w:rFonts w:ascii="宋体" w:hAnsi="宋体" w:cs="宋体"/>
          <w:color w:val="auto"/>
          <w:szCs w:val="21"/>
          <w:highlight w:val="none"/>
        </w:rPr>
      </w:pPr>
      <w:r>
        <w:rPr>
          <w:rFonts w:hint="eastAsia" w:ascii="宋体" w:hAnsi="宋体" w:cs="宋体"/>
          <w:color w:val="auto"/>
          <w:szCs w:val="21"/>
          <w:highlight w:val="none"/>
        </w:rPr>
        <w:t>名    称：</w:t>
      </w:r>
      <w:r>
        <w:rPr>
          <w:rFonts w:hint="eastAsia" w:ascii="宋体" w:hAnsi="宋体" w:cs="宋体"/>
          <w:color w:val="auto"/>
          <w:szCs w:val="21"/>
          <w:highlight w:val="none"/>
          <w:lang w:eastAsia="zh-CN"/>
        </w:rPr>
        <w:t>贵港市公安局</w:t>
      </w:r>
      <w:r>
        <w:rPr>
          <w:rFonts w:hint="eastAsia" w:ascii="宋体" w:hAnsi="宋体" w:cs="宋体"/>
          <w:color w:val="auto"/>
          <w:szCs w:val="21"/>
          <w:highlight w:val="none"/>
        </w:rPr>
        <w:t>　</w:t>
      </w:r>
    </w:p>
    <w:p w14:paraId="1DB13E7C">
      <w:pPr>
        <w:spacing w:line="320" w:lineRule="exact"/>
        <w:ind w:firstLine="315"/>
        <w:rPr>
          <w:rFonts w:ascii="宋体" w:hAnsi="宋体" w:cs="宋体"/>
          <w:color w:val="auto"/>
          <w:szCs w:val="21"/>
          <w:highlight w:val="none"/>
        </w:rPr>
      </w:pPr>
      <w:r>
        <w:rPr>
          <w:rFonts w:hint="eastAsia" w:ascii="宋体" w:hAnsi="宋体" w:cs="宋体"/>
          <w:color w:val="auto"/>
          <w:szCs w:val="21"/>
          <w:highlight w:val="none"/>
        </w:rPr>
        <w:t>地    址：广西贵港市建设西路558号　　</w:t>
      </w:r>
    </w:p>
    <w:p w14:paraId="653279A9">
      <w:pPr>
        <w:widowControl/>
        <w:ind w:firstLine="210"/>
        <w:jc w:val="left"/>
        <w:rPr>
          <w:rFonts w:hint="default" w:ascii="宋体" w:hAnsi="宋体" w:eastAsia="宋体" w:cs="宋体"/>
          <w:color w:val="auto"/>
          <w:sz w:val="20"/>
          <w:szCs w:val="20"/>
          <w:highlight w:val="none"/>
          <w:lang w:val="en-US" w:eastAsia="zh-CN"/>
        </w:rPr>
      </w:pPr>
      <w:r>
        <w:rPr>
          <w:rFonts w:hint="eastAsia" w:ascii="宋体" w:hAnsi="宋体" w:cs="宋体"/>
          <w:color w:val="auto"/>
          <w:szCs w:val="21"/>
          <w:highlight w:val="none"/>
        </w:rPr>
        <w:t>项目联系人：</w:t>
      </w:r>
      <w:r>
        <w:rPr>
          <w:rFonts w:hint="eastAsia" w:ascii="宋体" w:hAnsi="宋体" w:cs="宋体"/>
          <w:color w:val="auto"/>
          <w:szCs w:val="21"/>
          <w:highlight w:val="none"/>
          <w:lang w:val="en-US" w:eastAsia="zh-CN"/>
        </w:rPr>
        <w:t>郑警官</w:t>
      </w:r>
    </w:p>
    <w:p w14:paraId="268FD1D0">
      <w:pPr>
        <w:widowControl/>
        <w:ind w:firstLine="210"/>
        <w:jc w:val="left"/>
        <w:rPr>
          <w:rFonts w:ascii="宋体" w:hAnsi="宋体" w:cs="宋体"/>
          <w:color w:val="auto"/>
          <w:szCs w:val="21"/>
          <w:highlight w:val="none"/>
        </w:rPr>
      </w:pPr>
      <w:r>
        <w:rPr>
          <w:rFonts w:hint="eastAsia" w:ascii="宋体" w:hAnsi="宋体" w:cs="宋体"/>
          <w:color w:val="auto"/>
          <w:szCs w:val="21"/>
          <w:highlight w:val="none"/>
        </w:rPr>
        <w:t>项目联系方式：0775-4362711</w:t>
      </w:r>
    </w:p>
    <w:p w14:paraId="1C038818">
      <w:pPr>
        <w:spacing w:line="320" w:lineRule="exact"/>
        <w:ind w:firstLine="315"/>
        <w:rPr>
          <w:rFonts w:ascii="宋体" w:hAnsi="宋体" w:cs="宋体"/>
          <w:color w:val="auto"/>
          <w:szCs w:val="21"/>
          <w:highlight w:val="none"/>
        </w:rPr>
      </w:pPr>
      <w:r>
        <w:rPr>
          <w:rFonts w:hint="eastAsia" w:ascii="宋体" w:hAnsi="宋体" w:cs="宋体"/>
          <w:color w:val="auto"/>
          <w:szCs w:val="21"/>
          <w:highlight w:val="none"/>
        </w:rPr>
        <w:t>2.采购代理机构信息</w:t>
      </w:r>
    </w:p>
    <w:p w14:paraId="7871EF9E">
      <w:pPr>
        <w:spacing w:line="320" w:lineRule="exact"/>
        <w:ind w:firstLine="315"/>
        <w:rPr>
          <w:rFonts w:ascii="宋体" w:hAnsi="宋体" w:cs="宋体"/>
          <w:color w:val="auto"/>
          <w:szCs w:val="21"/>
          <w:highlight w:val="none"/>
        </w:rPr>
      </w:pPr>
      <w:r>
        <w:rPr>
          <w:rFonts w:hint="eastAsia" w:ascii="宋体" w:hAnsi="宋体" w:cs="宋体"/>
          <w:color w:val="auto"/>
          <w:szCs w:val="21"/>
          <w:highlight w:val="none"/>
        </w:rPr>
        <w:t>名    称：云之龙咨询集团有限公司　</w:t>
      </w:r>
    </w:p>
    <w:p w14:paraId="793F0077">
      <w:pPr>
        <w:spacing w:line="320" w:lineRule="exact"/>
        <w:ind w:firstLine="315"/>
        <w:rPr>
          <w:rFonts w:ascii="宋体" w:hAnsi="宋体" w:cs="宋体"/>
          <w:color w:val="auto"/>
          <w:szCs w:val="21"/>
          <w:highlight w:val="none"/>
        </w:rPr>
      </w:pPr>
      <w:r>
        <w:rPr>
          <w:rFonts w:hint="eastAsia" w:ascii="宋体" w:hAnsi="宋体" w:cs="宋体"/>
          <w:color w:val="auto"/>
          <w:szCs w:val="21"/>
          <w:highlight w:val="none"/>
        </w:rPr>
        <w:t>地　　址：广西贵港市港北区荷城路 1132 号华泰官邸1栋6楼</w:t>
      </w:r>
    </w:p>
    <w:p w14:paraId="4E8BED8C">
      <w:pPr>
        <w:spacing w:line="320" w:lineRule="exact"/>
        <w:ind w:firstLine="315"/>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项目联系人：甘建程、</w:t>
      </w:r>
      <w:r>
        <w:rPr>
          <w:rFonts w:hint="eastAsia" w:ascii="宋体" w:hAnsi="宋体" w:cs="宋体"/>
          <w:color w:val="auto"/>
          <w:szCs w:val="21"/>
          <w:highlight w:val="none"/>
          <w:lang w:eastAsia="zh-CN"/>
        </w:rPr>
        <w:t>石宗艳</w:t>
      </w:r>
    </w:p>
    <w:p w14:paraId="7868E297">
      <w:pPr>
        <w:ind w:firstLine="210"/>
        <w:rPr>
          <w:rFonts w:hint="eastAsia" w:ascii="宋体" w:hAnsi="宋体" w:cs="宋体"/>
          <w:color w:val="auto"/>
          <w:szCs w:val="21"/>
          <w:highlight w:val="none"/>
        </w:rPr>
      </w:pPr>
      <w:r>
        <w:rPr>
          <w:rFonts w:hint="eastAsia" w:ascii="宋体" w:hAnsi="宋体" w:cs="宋体"/>
          <w:color w:val="auto"/>
          <w:szCs w:val="21"/>
          <w:highlight w:val="none"/>
        </w:rPr>
        <w:t>项目联系方式：0775-4565100、4569690</w:t>
      </w:r>
    </w:p>
    <w:p w14:paraId="6F06C24D">
      <w:pPr>
        <w:ind w:firstLine="210"/>
        <w:rPr>
          <w:rFonts w:hint="eastAsia" w:ascii="宋体" w:hAnsi="宋体" w:cs="宋体"/>
          <w:color w:val="auto"/>
          <w:szCs w:val="21"/>
          <w:highlight w:val="none"/>
        </w:rPr>
      </w:pPr>
    </w:p>
    <w:p w14:paraId="49E917D7">
      <w:pPr>
        <w:ind w:firstLine="210"/>
        <w:rPr>
          <w:rFonts w:hint="eastAsia" w:ascii="宋体" w:hAnsi="宋体" w:cs="宋体"/>
          <w:color w:val="auto"/>
          <w:szCs w:val="21"/>
          <w:highlight w:val="none"/>
        </w:rPr>
      </w:pPr>
    </w:p>
    <w:p w14:paraId="6C3A0627">
      <w:pPr>
        <w:ind w:firstLine="210"/>
        <w:rPr>
          <w:rFonts w:hint="eastAsia" w:ascii="宋体" w:hAnsi="宋体" w:cs="宋体"/>
          <w:color w:val="auto"/>
          <w:szCs w:val="21"/>
          <w:highlight w:val="none"/>
        </w:rPr>
      </w:pPr>
    </w:p>
    <w:p w14:paraId="0D5005E8">
      <w:pPr>
        <w:ind w:firstLine="210"/>
        <w:rPr>
          <w:rFonts w:hint="eastAsia" w:ascii="宋体" w:hAnsi="宋体" w:cs="宋体"/>
          <w:color w:val="auto"/>
          <w:szCs w:val="21"/>
          <w:highlight w:val="none"/>
        </w:rPr>
      </w:pPr>
    </w:p>
    <w:p w14:paraId="2F877B13">
      <w:pPr>
        <w:jc w:val="right"/>
        <w:rPr>
          <w:rFonts w:hint="eastAsia" w:ascii="宋体" w:hAnsi="宋体" w:cs="宋体"/>
          <w:color w:val="auto"/>
          <w:szCs w:val="21"/>
          <w:highlight w:val="none"/>
        </w:rPr>
      </w:pPr>
      <w:r>
        <w:rPr>
          <w:rFonts w:hint="eastAsia" w:ascii="宋体" w:hAnsi="宋体" w:cs="宋体"/>
          <w:color w:val="auto"/>
          <w:szCs w:val="21"/>
          <w:highlight w:val="none"/>
        </w:rPr>
        <w:t>云之龙咨询集团有限公司</w:t>
      </w:r>
    </w:p>
    <w:p w14:paraId="6F495C03">
      <w:pPr>
        <w:pStyle w:val="241"/>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                                                          </w:t>
      </w:r>
      <w:r>
        <w:rPr>
          <w:rFonts w:hint="eastAsia" w:ascii="宋体" w:hAnsi="宋体" w:cs="宋体"/>
          <w:color w:val="auto"/>
          <w:sz w:val="21"/>
          <w:szCs w:val="21"/>
          <w:highlight w:val="none"/>
          <w:u w:val="single"/>
          <w:lang w:eastAsia="zh-CN"/>
        </w:rPr>
        <w:t>2026</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lang w:val="en-US" w:eastAsia="zh-CN"/>
        </w:rPr>
        <w:t>9</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lang w:val="en-US" w:eastAsia="zh-CN"/>
        </w:rPr>
        <w:t>7</w:t>
      </w:r>
      <w:r>
        <w:rPr>
          <w:rFonts w:hint="eastAsia" w:ascii="宋体" w:hAnsi="宋体" w:cs="宋体"/>
          <w:color w:val="auto"/>
          <w:sz w:val="21"/>
          <w:szCs w:val="21"/>
          <w:highlight w:val="none"/>
        </w:rPr>
        <w:t>日</w:t>
      </w:r>
    </w:p>
    <w:p w14:paraId="7928429E">
      <w:pPr>
        <w:pStyle w:val="241"/>
        <w:jc w:val="center"/>
        <w:rPr>
          <w:rFonts w:hint="eastAsia" w:ascii="宋体" w:hAnsi="宋体" w:cs="宋体"/>
          <w:color w:val="auto"/>
          <w:sz w:val="21"/>
          <w:szCs w:val="21"/>
          <w:highlight w:val="none"/>
        </w:rPr>
      </w:pPr>
    </w:p>
    <w:p w14:paraId="0C332F01">
      <w:pPr>
        <w:pStyle w:val="256"/>
        <w:rPr>
          <w:rFonts w:hint="eastAsia" w:ascii="宋体" w:hAnsi="宋体" w:cs="宋体"/>
          <w:color w:val="auto"/>
          <w:highlight w:val="none"/>
        </w:rPr>
      </w:pPr>
    </w:p>
    <w:p w14:paraId="646C5268">
      <w:pPr>
        <w:rPr>
          <w:rFonts w:hint="eastAsia" w:ascii="宋体" w:hAnsi="宋体" w:cs="宋体"/>
          <w:color w:val="auto"/>
          <w:highlight w:val="none"/>
        </w:rPr>
      </w:pPr>
    </w:p>
    <w:p w14:paraId="69514EB1">
      <w:pPr>
        <w:pStyle w:val="276"/>
        <w:rPr>
          <w:rFonts w:hint="eastAsia" w:ascii="宋体" w:hAnsi="宋体" w:cs="宋体"/>
          <w:color w:val="auto"/>
          <w:highlight w:val="none"/>
        </w:rPr>
      </w:pPr>
    </w:p>
    <w:p w14:paraId="346063FB">
      <w:pPr>
        <w:pStyle w:val="276"/>
        <w:rPr>
          <w:rFonts w:hint="eastAsia" w:ascii="宋体" w:hAnsi="宋体" w:cs="宋体"/>
          <w:color w:val="auto"/>
          <w:highlight w:val="none"/>
        </w:rPr>
      </w:pPr>
    </w:p>
    <w:p w14:paraId="611A5590">
      <w:pPr>
        <w:pStyle w:val="276"/>
        <w:rPr>
          <w:rFonts w:hint="eastAsia" w:ascii="宋体" w:hAnsi="宋体" w:cs="宋体"/>
          <w:color w:val="auto"/>
          <w:highlight w:val="none"/>
        </w:rPr>
      </w:pPr>
    </w:p>
    <w:p w14:paraId="3929A9E0">
      <w:pPr>
        <w:pStyle w:val="276"/>
        <w:rPr>
          <w:rFonts w:hint="eastAsia" w:ascii="宋体" w:hAnsi="宋体" w:cs="宋体"/>
          <w:color w:val="auto"/>
          <w:highlight w:val="none"/>
        </w:rPr>
      </w:pPr>
    </w:p>
    <w:p w14:paraId="315E6104">
      <w:pPr>
        <w:pStyle w:val="276"/>
        <w:rPr>
          <w:rFonts w:hint="eastAsia" w:ascii="宋体" w:hAnsi="宋体" w:cs="宋体"/>
          <w:color w:val="auto"/>
          <w:highlight w:val="none"/>
        </w:rPr>
      </w:pPr>
    </w:p>
    <w:p w14:paraId="623BB857">
      <w:pPr>
        <w:pStyle w:val="276"/>
        <w:rPr>
          <w:rFonts w:hint="eastAsia" w:ascii="宋体" w:hAnsi="宋体" w:cs="宋体"/>
          <w:color w:val="auto"/>
          <w:highlight w:val="none"/>
        </w:rPr>
      </w:pPr>
    </w:p>
    <w:p w14:paraId="2FD9FE06">
      <w:pPr>
        <w:pStyle w:val="276"/>
        <w:rPr>
          <w:rFonts w:hint="eastAsia" w:ascii="宋体" w:hAnsi="宋体" w:cs="宋体"/>
          <w:color w:val="auto"/>
          <w:highlight w:val="none"/>
        </w:rPr>
      </w:pPr>
    </w:p>
    <w:p w14:paraId="30AE9942">
      <w:pPr>
        <w:pStyle w:val="276"/>
        <w:rPr>
          <w:rFonts w:hint="eastAsia" w:ascii="宋体" w:hAnsi="宋体" w:cs="宋体"/>
          <w:color w:val="auto"/>
          <w:highlight w:val="none"/>
        </w:rPr>
      </w:pPr>
    </w:p>
    <w:p w14:paraId="1F49805B">
      <w:pPr>
        <w:pStyle w:val="276"/>
        <w:rPr>
          <w:rFonts w:hint="eastAsia" w:ascii="宋体" w:hAnsi="宋体" w:cs="宋体"/>
          <w:color w:val="auto"/>
          <w:highlight w:val="none"/>
        </w:rPr>
      </w:pPr>
      <w:r>
        <w:rPr>
          <w:rFonts w:hint="eastAsia" w:ascii="宋体" w:hAnsi="宋体" w:cs="宋体"/>
          <w:color w:val="auto"/>
          <w:highlight w:val="none"/>
        </w:rPr>
        <w:br w:type="page" w:clear="all"/>
      </w:r>
    </w:p>
    <w:p w14:paraId="3E0FD890">
      <w:pPr>
        <w:pStyle w:val="196"/>
        <w:jc w:val="center"/>
        <w:rPr>
          <w:rFonts w:hint="eastAsia" w:ascii="宋体" w:hAnsi="宋体"/>
          <w:color w:val="auto"/>
          <w:szCs w:val="21"/>
          <w:highlight w:val="none"/>
        </w:rPr>
      </w:pPr>
      <w:bookmarkStart w:id="75" w:name="_Toc1871"/>
      <w:r>
        <w:rPr>
          <w:rFonts w:hint="eastAsia" w:ascii="宋体" w:hAnsi="宋体" w:eastAsia="宋体" w:cs="宋体"/>
          <w:color w:val="auto"/>
          <w:highlight w:val="none"/>
        </w:rPr>
        <w:t>第二章  采购需求</w:t>
      </w:r>
      <w:bookmarkEnd w:id="75"/>
    </w:p>
    <w:p w14:paraId="46CCC907">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说明：</w:t>
      </w:r>
    </w:p>
    <w:p w14:paraId="477F221C">
      <w:pPr>
        <w:spacing w:line="360" w:lineRule="auto"/>
        <w:ind w:firstLine="420"/>
        <w:jc w:val="left"/>
        <w:rPr>
          <w:rFonts w:hint="eastAsia" w:ascii="宋体" w:hAnsi="宋体"/>
          <w:color w:val="auto"/>
          <w:highlight w:val="none"/>
        </w:rPr>
      </w:pPr>
      <w:r>
        <w:rPr>
          <w:rFonts w:hint="eastAsia" w:ascii="宋体" w:hAnsi="宋体"/>
          <w:color w:val="auto"/>
          <w:highlight w:val="none"/>
        </w:rPr>
        <w:t>1.为落实政府采购政策需满足的要求</w:t>
      </w:r>
    </w:p>
    <w:p w14:paraId="3A21E638">
      <w:pPr>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（1）本招标文件所称中小企业必须符合《政府采购促进中小企业发展管理办法》（财库〔2020〕46号）的规定。</w:t>
      </w:r>
    </w:p>
    <w:p w14:paraId="25C1A358">
      <w:pPr>
        <w:spacing w:line="360" w:lineRule="auto"/>
        <w:ind w:firstLine="424"/>
        <w:jc w:val="left"/>
        <w:rPr>
          <w:rFonts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21E864E6">
      <w:pPr>
        <w:spacing w:line="360" w:lineRule="auto"/>
        <w:ind w:firstLine="426"/>
        <w:jc w:val="left"/>
        <w:rPr>
          <w:rFonts w:ascii="宋体" w:hAnsi="宋体" w:cs="宋体"/>
          <w:b/>
          <w:bCs/>
          <w:color w:val="auto"/>
          <w:szCs w:val="21"/>
          <w:highlight w:val="none"/>
        </w:rPr>
      </w:pPr>
      <w:r>
        <w:rPr>
          <w:rFonts w:hint="eastAsia" w:ascii="宋体" w:hAnsi="宋体" w:cs="宋体"/>
          <w:b/>
          <w:bCs/>
          <w:color w:val="auto"/>
          <w:szCs w:val="21"/>
          <w:highlight w:val="none"/>
        </w:rPr>
        <w:t>2.“实质性要求”是指招标文件中已经指明不满足则投标无效的条款，或者不能负偏离的条款，或者采购需求中带“▲”的条款。</w:t>
      </w:r>
    </w:p>
    <w:p w14:paraId="0B836C41">
      <w:pPr>
        <w:spacing w:line="480" w:lineRule="auto"/>
        <w:ind w:firstLine="424"/>
        <w:jc w:val="left"/>
        <w:rPr>
          <w:rFonts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.投标人必须对投标文件中提供的证明材料和资质文件真实性负责，如出现虚假应标情况，投标人除了应接受有关部门的处罚外，还应依据《中华人民共和国民法典》的相关条款来进行赔偿。</w:t>
      </w:r>
    </w:p>
    <w:p w14:paraId="60453FF1">
      <w:pPr>
        <w:spacing w:line="480" w:lineRule="auto"/>
        <w:ind w:firstLine="424"/>
        <w:jc w:val="left"/>
        <w:rPr>
          <w:rFonts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zCs w:val="21"/>
          <w:highlight w:val="none"/>
        </w:rPr>
        <w:t>.投标人应对投标内容所涉及的专利承担法律责任，并负责保护</w:t>
      </w:r>
      <w:r>
        <w:rPr>
          <w:rFonts w:hint="eastAsia" w:ascii="宋体" w:hAnsi="宋体" w:cs="宋体"/>
          <w:color w:val="auto"/>
          <w:szCs w:val="21"/>
          <w:highlight w:val="none"/>
          <w:lang w:eastAsia="zh-CN"/>
        </w:rPr>
        <w:t>采购人</w:t>
      </w:r>
      <w:r>
        <w:rPr>
          <w:rFonts w:ascii="宋体" w:hAnsi="宋体" w:cs="宋体"/>
          <w:color w:val="auto"/>
          <w:szCs w:val="21"/>
          <w:highlight w:val="none"/>
        </w:rPr>
        <w:t>的利益不受任何损害。一切由于文字、商标、技术和软件专利授权引起的法律裁决、诉讼和赔偿费用均由</w:t>
      </w:r>
      <w:r>
        <w:rPr>
          <w:rFonts w:hint="eastAsia" w:ascii="宋体" w:hAnsi="宋体" w:cs="宋体"/>
          <w:color w:val="auto"/>
          <w:szCs w:val="21"/>
          <w:highlight w:val="none"/>
          <w:lang w:eastAsia="zh-CN"/>
        </w:rPr>
        <w:t>中标供应商</w:t>
      </w:r>
      <w:r>
        <w:rPr>
          <w:rFonts w:ascii="宋体" w:hAnsi="宋体" w:cs="宋体"/>
          <w:color w:val="auto"/>
          <w:szCs w:val="21"/>
          <w:highlight w:val="none"/>
        </w:rPr>
        <w:t>负责。</w:t>
      </w:r>
    </w:p>
    <w:p w14:paraId="7A46AD4B">
      <w:pPr>
        <w:spacing w:line="480" w:lineRule="auto"/>
        <w:ind w:firstLine="424"/>
        <w:jc w:val="left"/>
        <w:rPr>
          <w:rFonts w:hint="eastAsia" w:ascii="宋体" w:hAnsi="宋体" w:cs="宋体"/>
          <w:color w:val="auto"/>
          <w:szCs w:val="21"/>
          <w:highlight w:val="none"/>
        </w:rPr>
      </w:pPr>
      <w:r>
        <w:rPr>
          <w:rFonts w:hint="eastAsia" w:ascii="宋体" w:hAnsi="宋体" w:cs="宋体"/>
          <w:color w:val="auto"/>
          <w:szCs w:val="21"/>
          <w:highlight w:val="none"/>
        </w:rPr>
        <w:t>5.采购需求中出现的品牌、型号或者生产厂家仅起参考作用，不属于指定品牌、型号或者生产厂家的情形。投标人可以参照或者选用其他相当的品牌、型号或者生产厂家替代，但选用的投标产品参数性能必须满足实质性要求。</w:t>
      </w:r>
    </w:p>
    <w:p w14:paraId="510A9341">
      <w:pPr>
        <w:spacing w:line="480" w:lineRule="auto"/>
        <w:ind w:firstLine="424"/>
        <w:jc w:val="left"/>
        <w:rPr>
          <w:rFonts w:hint="eastAsia" w:ascii="黑体" w:hAnsi="黑体" w:eastAsia="黑体" w:cs="黑体"/>
          <w:color w:val="auto"/>
          <w:sz w:val="32"/>
          <w:szCs w:val="32"/>
          <w:highlight w:val="none"/>
        </w:rPr>
      </w:pPr>
      <w:r>
        <w:rPr>
          <w:rFonts w:hint="eastAsia" w:ascii="宋体" w:hAnsi="宋体" w:cs="宋体"/>
          <w:color w:val="auto"/>
          <w:szCs w:val="21"/>
          <w:highlight w:val="none"/>
        </w:rPr>
        <w:t>6.根据《关于在政府采购活动中对有关美国企业采取相关措施的通知》（财库〔2026〕10号）的规定，供应商提供的产品不得为财库〔2026〕10号文件附件规定的46家美国企业（不包括在华美资企业）生产的产品。</w:t>
      </w:r>
    </w:p>
    <w:p w14:paraId="2770EAF1">
      <w:pPr>
        <w:pStyle w:val="222"/>
        <w:rPr>
          <w:color w:val="auto"/>
          <w:highlight w:val="none"/>
        </w:rPr>
      </w:pPr>
      <w:r>
        <w:rPr>
          <w:rFonts w:hint="eastAsia" w:ascii="宋体" w:hAnsi="宋体"/>
          <w:b w:val="0"/>
          <w:bCs/>
          <w:color w:val="auto"/>
          <w:szCs w:val="21"/>
          <w:highlight w:val="none"/>
        </w:rPr>
        <w:t xml:space="preserve">     采购预算：</w:t>
      </w:r>
      <w:r>
        <w:rPr>
          <w:rFonts w:hint="eastAsia" w:ascii="宋体" w:hAnsi="宋体" w:cs="Arial"/>
          <w:b w:val="0"/>
          <w:bCs/>
          <w:color w:val="auto"/>
          <w:szCs w:val="21"/>
          <w:highlight w:val="none"/>
          <w:u w:val="single"/>
        </w:rPr>
        <w:t>5324200.00元</w:t>
      </w:r>
    </w:p>
    <w:tbl>
      <w:tblPr>
        <w:tblStyle w:val="33"/>
        <w:tblW w:w="961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0"/>
        <w:gridCol w:w="885"/>
        <w:gridCol w:w="685"/>
        <w:gridCol w:w="215"/>
        <w:gridCol w:w="810"/>
        <w:gridCol w:w="6596"/>
      </w:tblGrid>
      <w:tr w14:paraId="1C7DAA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4" w:hRule="atLeast"/>
          <w:jc w:val="center"/>
        </w:trPr>
        <w:tc>
          <w:tcPr>
            <w:tcW w:w="420" w:type="dxa"/>
            <w:tcBorders>
              <w:top w:val="single" w:color="000000" w:sz="4" w:space="0"/>
              <w:left w:val="single" w:color="000000" w:sz="4" w:space="0"/>
              <w:bottom w:val="single" w:color="000000" w:sz="4" w:space="0"/>
              <w:right w:val="single" w:color="000000" w:sz="4" w:space="0"/>
            </w:tcBorders>
            <w:noWrap w:val="0"/>
            <w:vAlign w:val="center"/>
          </w:tcPr>
          <w:p w14:paraId="31EAFF8C">
            <w:pPr>
              <w:tabs>
                <w:tab w:val="left" w:pos="180"/>
                <w:tab w:val="left" w:pos="1620"/>
              </w:tabs>
              <w:spacing w:line="360" w:lineRule="auto"/>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序号</w:t>
            </w: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02C8B904">
            <w:pPr>
              <w:tabs>
                <w:tab w:val="left" w:pos="180"/>
                <w:tab w:val="left" w:pos="1620"/>
              </w:tabs>
              <w:spacing w:line="360" w:lineRule="auto"/>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标的的名称</w:t>
            </w:r>
          </w:p>
        </w:tc>
        <w:tc>
          <w:tcPr>
            <w:tcW w:w="900" w:type="dxa"/>
            <w:gridSpan w:val="2"/>
            <w:tcBorders>
              <w:top w:val="single" w:color="000000" w:sz="4" w:space="0"/>
              <w:left w:val="single" w:color="000000" w:sz="4" w:space="0"/>
              <w:bottom w:val="single" w:color="000000" w:sz="4" w:space="0"/>
              <w:right w:val="single" w:color="000000" w:sz="4" w:space="0"/>
            </w:tcBorders>
            <w:noWrap w:val="0"/>
            <w:vAlign w:val="center"/>
          </w:tcPr>
          <w:p w14:paraId="1B1BBDD1">
            <w:pPr>
              <w:tabs>
                <w:tab w:val="left" w:pos="180"/>
                <w:tab w:val="left" w:pos="1620"/>
              </w:tabs>
              <w:spacing w:line="360" w:lineRule="auto"/>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数量及</w:t>
            </w:r>
          </w:p>
          <w:p w14:paraId="7A4C8D90">
            <w:pPr>
              <w:tabs>
                <w:tab w:val="left" w:pos="180"/>
                <w:tab w:val="left" w:pos="1620"/>
              </w:tabs>
              <w:spacing w:line="360" w:lineRule="auto"/>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单位</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64B93343">
            <w:pPr>
              <w:tabs>
                <w:tab w:val="left" w:pos="180"/>
                <w:tab w:val="left" w:pos="1620"/>
              </w:tabs>
              <w:spacing w:line="360" w:lineRule="auto"/>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所属行业</w:t>
            </w:r>
          </w:p>
        </w:tc>
        <w:tc>
          <w:tcPr>
            <w:tcW w:w="6596" w:type="dxa"/>
            <w:tcBorders>
              <w:top w:val="single" w:color="000000" w:sz="4" w:space="0"/>
              <w:left w:val="single" w:color="000000" w:sz="4" w:space="0"/>
              <w:bottom w:val="single" w:color="000000" w:sz="4" w:space="0"/>
              <w:right w:val="single" w:color="000000" w:sz="4" w:space="0"/>
            </w:tcBorders>
            <w:noWrap w:val="0"/>
            <w:vAlign w:val="center"/>
          </w:tcPr>
          <w:p w14:paraId="6F972325">
            <w:pPr>
              <w:tabs>
                <w:tab w:val="left" w:pos="180"/>
                <w:tab w:val="left" w:pos="1620"/>
              </w:tabs>
              <w:spacing w:line="360" w:lineRule="auto"/>
              <w:jc w:val="center"/>
              <w:rPr>
                <w:rFonts w:hint="eastAsia" w:ascii="宋体" w:hAnsi="宋体" w:eastAsia="宋体" w:cs="宋体"/>
                <w:b w:val="0"/>
                <w:bCs/>
                <w:color w:val="auto"/>
                <w:sz w:val="21"/>
                <w:szCs w:val="21"/>
                <w:highlight w:val="none"/>
              </w:rPr>
            </w:pPr>
            <w:r>
              <w:rPr>
                <w:rFonts w:hint="eastAsia" w:ascii="宋体" w:hAnsi="宋体" w:eastAsia="宋体" w:cs="宋体"/>
                <w:b/>
                <w:bCs/>
                <w:color w:val="auto"/>
                <w:sz w:val="21"/>
                <w:szCs w:val="21"/>
                <w:highlight w:val="none"/>
              </w:rPr>
              <w:t>▲</w:t>
            </w:r>
            <w:r>
              <w:rPr>
                <w:rFonts w:hint="eastAsia" w:ascii="宋体" w:hAnsi="宋体" w:eastAsia="宋体" w:cs="宋体"/>
                <w:b/>
                <w:bCs w:val="0"/>
                <w:color w:val="auto"/>
                <w:sz w:val="21"/>
                <w:szCs w:val="21"/>
                <w:highlight w:val="none"/>
              </w:rPr>
              <w:t>技术要求</w:t>
            </w:r>
          </w:p>
        </w:tc>
      </w:tr>
      <w:tr w14:paraId="4308A1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0" w:hRule="atLeast"/>
          <w:jc w:val="center"/>
        </w:trPr>
        <w:tc>
          <w:tcPr>
            <w:tcW w:w="420" w:type="dxa"/>
            <w:tcBorders>
              <w:top w:val="single" w:color="000000" w:sz="4" w:space="0"/>
              <w:left w:val="single" w:color="000000" w:sz="4" w:space="0"/>
              <w:bottom w:val="single" w:color="000000" w:sz="4" w:space="0"/>
              <w:right w:val="single" w:color="000000" w:sz="4" w:space="0"/>
            </w:tcBorders>
            <w:noWrap w:val="0"/>
            <w:vAlign w:val="top"/>
          </w:tcPr>
          <w:p w14:paraId="43DB26EC">
            <w:pPr>
              <w:tabs>
                <w:tab w:val="left" w:pos="180"/>
                <w:tab w:val="left" w:pos="1620"/>
              </w:tabs>
              <w:spacing w:line="36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1</w:t>
            </w:r>
          </w:p>
        </w:tc>
        <w:tc>
          <w:tcPr>
            <w:tcW w:w="885" w:type="dxa"/>
            <w:tcBorders>
              <w:top w:val="single" w:color="000000" w:sz="4" w:space="0"/>
              <w:left w:val="single" w:color="000000" w:sz="4" w:space="0"/>
              <w:bottom w:val="single" w:color="000000" w:sz="4" w:space="0"/>
              <w:right w:val="single" w:color="000000" w:sz="4" w:space="0"/>
            </w:tcBorders>
            <w:noWrap w:val="0"/>
            <w:vAlign w:val="top"/>
          </w:tcPr>
          <w:p w14:paraId="5335BDCF">
            <w:pPr>
              <w:tabs>
                <w:tab w:val="left" w:pos="180"/>
                <w:tab w:val="left" w:pos="1620"/>
              </w:tabs>
              <w:spacing w:line="360" w:lineRule="auto"/>
              <w:rPr>
                <w:rFonts w:hint="eastAsia" w:ascii="宋体" w:hAnsi="宋体" w:eastAsia="宋体" w:cs="宋体"/>
                <w:b w:val="0"/>
                <w:bCs/>
                <w:color w:val="auto"/>
                <w:sz w:val="21"/>
                <w:szCs w:val="21"/>
                <w:highlight w:val="none"/>
              </w:rPr>
            </w:pPr>
            <w:r>
              <w:rPr>
                <w:rFonts w:hint="eastAsia" w:ascii="宋体" w:hAnsi="宋体" w:cs="宋体"/>
                <w:color w:val="auto"/>
                <w:sz w:val="21"/>
                <w:szCs w:val="21"/>
                <w:highlight w:val="none"/>
                <w:lang w:eastAsia="zh-CN"/>
              </w:rPr>
              <w:t>贵港市城市监控联网系统（二期）项目供电及网络服务</w:t>
            </w:r>
          </w:p>
        </w:tc>
        <w:tc>
          <w:tcPr>
            <w:tcW w:w="900" w:type="dxa"/>
            <w:gridSpan w:val="2"/>
            <w:tcBorders>
              <w:top w:val="single" w:color="000000" w:sz="4" w:space="0"/>
              <w:left w:val="single" w:color="000000" w:sz="4" w:space="0"/>
              <w:bottom w:val="single" w:color="000000" w:sz="4" w:space="0"/>
              <w:right w:val="single" w:color="000000" w:sz="4" w:space="0"/>
            </w:tcBorders>
            <w:noWrap w:val="0"/>
            <w:vAlign w:val="top"/>
          </w:tcPr>
          <w:p w14:paraId="42336A05">
            <w:pPr>
              <w:tabs>
                <w:tab w:val="left" w:pos="180"/>
                <w:tab w:val="left" w:pos="1620"/>
              </w:tabs>
              <w:spacing w:line="36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1项</w:t>
            </w:r>
          </w:p>
        </w:tc>
        <w:tc>
          <w:tcPr>
            <w:tcW w:w="810" w:type="dxa"/>
            <w:tcBorders>
              <w:top w:val="single" w:color="000000" w:sz="4" w:space="0"/>
              <w:left w:val="single" w:color="000000" w:sz="4" w:space="0"/>
              <w:bottom w:val="single" w:color="000000" w:sz="4" w:space="0"/>
              <w:right w:val="single" w:color="000000" w:sz="4" w:space="0"/>
            </w:tcBorders>
            <w:noWrap w:val="0"/>
            <w:vAlign w:val="top"/>
          </w:tcPr>
          <w:p w14:paraId="0DE7D9BE">
            <w:pPr>
              <w:pStyle w:val="218"/>
              <w:spacing w:line="360" w:lineRule="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租赁和商务服务业</w:t>
            </w:r>
          </w:p>
        </w:tc>
        <w:tc>
          <w:tcPr>
            <w:tcW w:w="6596" w:type="dxa"/>
            <w:tcBorders>
              <w:top w:val="single" w:color="000000" w:sz="4" w:space="0"/>
              <w:left w:val="single" w:color="000000" w:sz="4" w:space="0"/>
              <w:bottom w:val="single" w:color="000000" w:sz="4" w:space="0"/>
              <w:right w:val="single" w:color="000000" w:sz="4" w:space="0"/>
            </w:tcBorders>
            <w:noWrap w:val="0"/>
            <w:vAlign w:val="center"/>
          </w:tcPr>
          <w:p w14:paraId="5C31BC67">
            <w:pPr>
              <w:spacing w:line="360" w:lineRule="auto"/>
              <w:jc w:val="left"/>
              <w:rPr>
                <w:rFonts w:hint="eastAsia" w:ascii="宋体" w:hAnsi="宋体" w:eastAsia="宋体" w:cs="宋体"/>
                <w:b/>
                <w:bCs w:val="0"/>
                <w:color w:val="auto"/>
                <w:sz w:val="21"/>
                <w:szCs w:val="21"/>
                <w:highlight w:val="none"/>
                <w:lang w:eastAsia="zh-CN"/>
              </w:rPr>
            </w:pPr>
            <w:r>
              <w:rPr>
                <w:rFonts w:hint="eastAsia" w:ascii="宋体" w:hAnsi="宋体" w:eastAsia="宋体" w:cs="宋体"/>
                <w:b/>
                <w:bCs w:val="0"/>
                <w:color w:val="auto"/>
                <w:sz w:val="21"/>
                <w:szCs w:val="21"/>
                <w:highlight w:val="none"/>
                <w:lang w:eastAsia="zh-CN"/>
              </w:rPr>
              <w:t>一、线路租赁服务</w:t>
            </w:r>
          </w:p>
          <w:p w14:paraId="05D370CD">
            <w:pPr>
              <w:spacing w:line="360" w:lineRule="auto"/>
              <w:jc w:val="left"/>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lang w:eastAsia="zh-CN"/>
              </w:rPr>
              <w:t>传输线路服务满足以下技术要求：</w:t>
            </w:r>
            <w:bookmarkStart w:id="147" w:name="_GoBack"/>
            <w:bookmarkEnd w:id="147"/>
          </w:p>
          <w:p w14:paraId="3D586EFE">
            <w:pPr>
              <w:spacing w:line="360" w:lineRule="auto"/>
              <w:ind w:firstLine="420"/>
              <w:jc w:val="left"/>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lang w:eastAsia="zh-CN"/>
              </w:rPr>
              <w:t>1.提供不少于524条光纤专线链路，为贵港市城市监控联网系统（二期）项目524个监控点提供网络传输服务，主要内容包括：提供传输线路的敷设、维护和保障，与网络</w:t>
            </w:r>
            <w:r>
              <w:rPr>
                <w:rFonts w:hint="eastAsia" w:ascii="宋体" w:hAnsi="宋体" w:cs="宋体"/>
                <w:b w:val="0"/>
                <w:bCs/>
                <w:color w:val="auto"/>
                <w:sz w:val="21"/>
                <w:szCs w:val="21"/>
                <w:highlight w:val="none"/>
                <w:lang w:eastAsia="zh-CN"/>
              </w:rPr>
              <w:t>运营商</w:t>
            </w:r>
            <w:r>
              <w:rPr>
                <w:rFonts w:hint="eastAsia" w:ascii="宋体" w:hAnsi="宋体" w:eastAsia="宋体" w:cs="宋体"/>
                <w:b w:val="0"/>
                <w:bCs/>
                <w:color w:val="auto"/>
                <w:sz w:val="21"/>
                <w:szCs w:val="21"/>
                <w:highlight w:val="none"/>
                <w:lang w:eastAsia="zh-CN"/>
              </w:rPr>
              <w:t>的沟通与协调，确保网络传输稳定，保障前端点位设备电源正常运行。</w:t>
            </w:r>
          </w:p>
          <w:p w14:paraId="72D9A327">
            <w:pPr>
              <w:spacing w:line="360" w:lineRule="auto"/>
              <w:ind w:firstLine="420"/>
              <w:jc w:val="left"/>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lang w:eastAsia="zh-CN"/>
              </w:rPr>
              <w:t>2.传输线路带宽不低于100M，实际可用带宽≥90%。</w:t>
            </w:r>
          </w:p>
          <w:p w14:paraId="550BDEC2">
            <w:pPr>
              <w:spacing w:line="360" w:lineRule="auto"/>
              <w:jc w:val="left"/>
              <w:rPr>
                <w:rFonts w:hint="eastAsia" w:ascii="宋体" w:hAnsi="宋体" w:eastAsia="宋体" w:cs="宋体"/>
                <w:b/>
                <w:bCs w:val="0"/>
                <w:color w:val="auto"/>
                <w:sz w:val="21"/>
                <w:szCs w:val="21"/>
                <w:highlight w:val="none"/>
                <w:lang w:eastAsia="zh-CN"/>
              </w:rPr>
            </w:pPr>
            <w:r>
              <w:rPr>
                <w:rFonts w:hint="eastAsia" w:ascii="宋体" w:hAnsi="宋体" w:eastAsia="宋体" w:cs="宋体"/>
                <w:b/>
                <w:bCs w:val="0"/>
                <w:color w:val="auto"/>
                <w:sz w:val="21"/>
                <w:szCs w:val="21"/>
                <w:highlight w:val="none"/>
                <w:lang w:eastAsia="zh-CN"/>
              </w:rPr>
              <w:t>二、提供用电服务</w:t>
            </w:r>
          </w:p>
          <w:p w14:paraId="781BC5F4">
            <w:pPr>
              <w:spacing w:line="360" w:lineRule="auto"/>
              <w:ind w:firstLine="420"/>
              <w:jc w:val="left"/>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lang w:eastAsia="zh-CN"/>
              </w:rPr>
              <w:t>1.贵港市城市监控联网系统（二期）项目524</w:t>
            </w:r>
            <w:r>
              <w:rPr>
                <w:rFonts w:hint="eastAsia" w:ascii="宋体" w:hAnsi="宋体" w:cs="宋体"/>
                <w:b w:val="0"/>
                <w:bCs/>
                <w:color w:val="auto"/>
                <w:sz w:val="21"/>
                <w:szCs w:val="21"/>
                <w:highlight w:val="none"/>
                <w:lang w:eastAsia="zh-CN"/>
              </w:rPr>
              <w:t>个</w:t>
            </w:r>
            <w:r>
              <w:rPr>
                <w:rFonts w:hint="eastAsia" w:ascii="宋体" w:hAnsi="宋体" w:eastAsia="宋体" w:cs="宋体"/>
                <w:b w:val="0"/>
                <w:bCs/>
                <w:color w:val="auto"/>
                <w:sz w:val="21"/>
                <w:szCs w:val="21"/>
                <w:highlight w:val="none"/>
                <w:lang w:eastAsia="zh-CN"/>
              </w:rPr>
              <w:t>监控点位设备(含抓拍摄像机、测速雷达、高清红外球机、补光灯、闪光灯、光纤收发器、交换机等设备)提供电源配套保障服务，提供整体项目监控前端设备2年电费服务，主要内容包括：提供电源接入及电源取电线路的敷设、维护和保障，市电和私电的电费结算，与第三方电源接入的沟通与协调，确保电源电压稳定，保障前端点位设备电源正常运行。</w:t>
            </w:r>
          </w:p>
          <w:p w14:paraId="2E9F2EDB">
            <w:pPr>
              <w:spacing w:line="360" w:lineRule="auto"/>
              <w:ind w:firstLine="420"/>
              <w:jc w:val="left"/>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lang w:eastAsia="zh-CN"/>
              </w:rPr>
              <w:t>2.接入地点：贵港市范围内；</w:t>
            </w:r>
          </w:p>
          <w:p w14:paraId="330BF759">
            <w:pPr>
              <w:spacing w:line="360" w:lineRule="auto"/>
              <w:jc w:val="left"/>
              <w:rPr>
                <w:rFonts w:hint="eastAsia" w:ascii="宋体" w:hAnsi="宋体" w:eastAsia="宋体" w:cs="宋体"/>
                <w:b/>
                <w:bCs w:val="0"/>
                <w:color w:val="auto"/>
                <w:sz w:val="21"/>
                <w:szCs w:val="21"/>
                <w:highlight w:val="none"/>
                <w:lang w:eastAsia="zh-CN"/>
              </w:rPr>
            </w:pPr>
            <w:r>
              <w:rPr>
                <w:rFonts w:hint="eastAsia" w:ascii="宋体" w:hAnsi="宋体" w:eastAsia="宋体" w:cs="宋体"/>
                <w:b/>
                <w:bCs w:val="0"/>
                <w:color w:val="auto"/>
                <w:sz w:val="21"/>
                <w:szCs w:val="21"/>
                <w:highlight w:val="none"/>
                <w:lang w:eastAsia="zh-CN"/>
              </w:rPr>
              <w:t>三、运维服务要求</w:t>
            </w:r>
          </w:p>
          <w:p w14:paraId="211656B9">
            <w:pPr>
              <w:spacing w:line="360" w:lineRule="auto"/>
              <w:ind w:firstLine="420"/>
              <w:jc w:val="left"/>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lang w:eastAsia="zh-CN"/>
              </w:rPr>
              <w:t>对贵港市城市监控联网系统（二期）项目前端监控点位的电路及线路进行维护服务，前端监控点位共524个，包含线路、电路的维护服务。具体服务内容如下：</w:t>
            </w:r>
          </w:p>
          <w:p w14:paraId="4237DF94">
            <w:pPr>
              <w:spacing w:line="360" w:lineRule="auto"/>
              <w:ind w:firstLine="420"/>
              <w:jc w:val="left"/>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lang w:eastAsia="zh-CN"/>
              </w:rPr>
              <w:t>1.运维力量要求：需安排≥5名运维人员对贵港市城市监控联网系统（二期）项目进行维护，需安排至少2名技术员驻点本地，以提供快速、有效的运维服务，提供≥5辆运维车辆保障。</w:t>
            </w:r>
          </w:p>
          <w:p w14:paraId="14D8DDB4">
            <w:pPr>
              <w:spacing w:line="360" w:lineRule="auto"/>
              <w:ind w:firstLine="420"/>
              <w:jc w:val="left"/>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lang w:eastAsia="zh-CN"/>
              </w:rPr>
              <w:t>2.提供巡检服务：维护方应对监控点位定期进行检查，定期对传输网线、光纤光缆、光收发器、电线电缆等进行巡检、对损坏器件进行更换，对设备运行情况进行检测并填写记录表。</w:t>
            </w:r>
          </w:p>
          <w:p w14:paraId="28228E52">
            <w:pPr>
              <w:spacing w:line="360" w:lineRule="auto"/>
              <w:ind w:firstLine="420"/>
              <w:jc w:val="left"/>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lang w:eastAsia="zh-CN"/>
              </w:rPr>
              <w:t>3.提供电源维护服务：对前端点位配套的电力线、设备电源、电源插座、空气开关进行维护，定期巡检电力线路、设备电源，对损坏器件进行更换，排除用电隐患，对断开电力线进行重新拉线、取电并恢复通电。</w:t>
            </w:r>
          </w:p>
          <w:p w14:paraId="7A60419F">
            <w:pPr>
              <w:spacing w:line="360" w:lineRule="auto"/>
              <w:ind w:firstLine="420"/>
              <w:jc w:val="left"/>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lang w:eastAsia="zh-CN"/>
              </w:rPr>
              <w:t>4.</w:t>
            </w:r>
            <w:r>
              <w:rPr>
                <w:rFonts w:hint="eastAsia" w:ascii="宋体" w:hAnsi="宋体" w:cs="宋体"/>
                <w:b w:val="0"/>
                <w:bCs/>
                <w:color w:val="auto"/>
                <w:sz w:val="21"/>
                <w:szCs w:val="21"/>
                <w:highlight w:val="none"/>
                <w:lang w:val="en-US" w:eastAsia="zh-CN"/>
              </w:rPr>
              <w:t>故障排除</w:t>
            </w:r>
            <w:r>
              <w:rPr>
                <w:rFonts w:hint="eastAsia" w:ascii="宋体" w:hAnsi="宋体" w:eastAsia="宋体" w:cs="宋体"/>
                <w:b w:val="0"/>
                <w:bCs/>
                <w:color w:val="auto"/>
                <w:sz w:val="21"/>
                <w:szCs w:val="21"/>
                <w:highlight w:val="none"/>
                <w:lang w:eastAsia="zh-CN"/>
              </w:rPr>
              <w:t>服务响应：接到故障通知1小时内响应，城区内2小时</w:t>
            </w:r>
            <w:r>
              <w:rPr>
                <w:rFonts w:hint="eastAsia" w:ascii="宋体" w:hAnsi="宋体" w:cs="宋体"/>
                <w:b w:val="0"/>
                <w:bCs/>
                <w:color w:val="auto"/>
                <w:sz w:val="21"/>
                <w:szCs w:val="21"/>
                <w:highlight w:val="none"/>
                <w:lang w:eastAsia="zh-CN"/>
              </w:rPr>
              <w:t>到达，</w:t>
            </w:r>
            <w:r>
              <w:rPr>
                <w:rFonts w:hint="eastAsia" w:ascii="宋体" w:hAnsi="宋体" w:eastAsia="宋体" w:cs="宋体"/>
                <w:b w:val="0"/>
                <w:bCs/>
                <w:color w:val="auto"/>
                <w:sz w:val="21"/>
                <w:szCs w:val="21"/>
                <w:highlight w:val="none"/>
                <w:lang w:eastAsia="zh-CN"/>
              </w:rPr>
              <w:t>乡镇4小时内派技术人员到达现场维修，12小时内修复或更换配件，线路问题在24小时内恢复，同时提供7x24小时技术支持服务。</w:t>
            </w:r>
          </w:p>
        </w:tc>
      </w:tr>
      <w:tr w14:paraId="59664E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11" w:type="dxa"/>
            <w:gridSpan w:val="6"/>
            <w:tcBorders>
              <w:top w:val="single" w:color="auto" w:sz="4" w:space="0"/>
              <w:left w:val="single" w:color="auto" w:sz="4" w:space="0"/>
              <w:bottom w:val="single" w:color="auto" w:sz="4" w:space="0"/>
              <w:right w:val="single" w:color="auto" w:sz="4" w:space="0"/>
            </w:tcBorders>
            <w:noWrap w:val="0"/>
            <w:vAlign w:val="top"/>
          </w:tcPr>
          <w:p w14:paraId="52A3DAF4">
            <w:pPr>
              <w:spacing w:line="360" w:lineRule="auto"/>
              <w:rPr>
                <w:rFonts w:hint="eastAsia" w:ascii="宋体" w:hAnsi="宋体" w:eastAsia="宋体" w:cs="宋体"/>
                <w:b w:val="0"/>
                <w:bCs/>
                <w:color w:val="auto"/>
                <w:sz w:val="21"/>
                <w:szCs w:val="21"/>
                <w:highlight w:val="none"/>
                <w:lang w:eastAsia="zh-CN"/>
              </w:rPr>
            </w:pPr>
            <w:r>
              <w:rPr>
                <w:rFonts w:hint="eastAsia" w:ascii="宋体" w:hAnsi="宋体" w:eastAsia="宋体" w:cs="宋体"/>
                <w:b/>
                <w:bCs w:val="0"/>
                <w:color w:val="auto"/>
                <w:sz w:val="21"/>
                <w:szCs w:val="21"/>
                <w:highlight w:val="none"/>
                <w:lang w:eastAsia="zh-CN"/>
              </w:rPr>
              <w:t>▲一、商务要求</w:t>
            </w:r>
          </w:p>
        </w:tc>
      </w:tr>
      <w:tr w14:paraId="6BE317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90" w:type="dxa"/>
            <w:gridSpan w:val="3"/>
            <w:tcBorders>
              <w:top w:val="single" w:color="auto" w:sz="4" w:space="0"/>
              <w:left w:val="single" w:color="auto" w:sz="4" w:space="0"/>
              <w:bottom w:val="single" w:color="auto" w:sz="4" w:space="0"/>
              <w:right w:val="single" w:color="auto" w:sz="4" w:space="0"/>
            </w:tcBorders>
            <w:noWrap w:val="0"/>
            <w:vAlign w:val="center"/>
          </w:tcPr>
          <w:p w14:paraId="33EF5554">
            <w:pPr>
              <w:spacing w:line="360" w:lineRule="auto"/>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实施的期限和地点</w:t>
            </w:r>
          </w:p>
        </w:tc>
        <w:tc>
          <w:tcPr>
            <w:tcW w:w="7621" w:type="dxa"/>
            <w:gridSpan w:val="3"/>
            <w:tcBorders>
              <w:top w:val="single" w:color="auto" w:sz="4" w:space="0"/>
              <w:left w:val="single" w:color="auto" w:sz="4" w:space="0"/>
              <w:bottom w:val="single" w:color="auto" w:sz="4" w:space="0"/>
              <w:right w:val="single" w:color="auto" w:sz="4" w:space="0"/>
            </w:tcBorders>
            <w:noWrap w:val="0"/>
            <w:vAlign w:val="center"/>
          </w:tcPr>
          <w:p w14:paraId="091AA30D">
            <w:pPr>
              <w:spacing w:line="360" w:lineRule="auto"/>
              <w:rPr>
                <w:rFonts w:hint="eastAsia" w:ascii="宋体" w:hAnsi="宋体" w:eastAsia="宋体" w:cs="宋体"/>
                <w:b/>
                <w:bCs w:val="0"/>
                <w:color w:val="auto"/>
                <w:sz w:val="21"/>
                <w:szCs w:val="21"/>
                <w:highlight w:val="none"/>
              </w:rPr>
            </w:pPr>
            <w:r>
              <w:rPr>
                <w:rFonts w:hint="eastAsia" w:ascii="宋体" w:hAnsi="宋体" w:cs="宋体"/>
                <w:b/>
                <w:bCs w:val="0"/>
                <w:color w:val="auto"/>
                <w:sz w:val="21"/>
                <w:szCs w:val="21"/>
                <w:highlight w:val="none"/>
                <w:lang w:eastAsia="zh-CN"/>
              </w:rPr>
              <w:t>1.</w:t>
            </w:r>
            <w:r>
              <w:rPr>
                <w:rFonts w:hint="eastAsia" w:ascii="宋体" w:hAnsi="宋体" w:eastAsia="宋体" w:cs="宋体"/>
                <w:b/>
                <w:bCs w:val="0"/>
                <w:color w:val="auto"/>
                <w:sz w:val="21"/>
                <w:szCs w:val="21"/>
                <w:highlight w:val="none"/>
              </w:rPr>
              <w:t>实施的期限：</w:t>
            </w:r>
            <w:r>
              <w:rPr>
                <w:rFonts w:hint="eastAsia" w:ascii="宋体" w:hAnsi="宋体" w:cs="宋体"/>
                <w:b/>
                <w:bCs w:val="0"/>
                <w:color w:val="auto"/>
                <w:sz w:val="21"/>
                <w:szCs w:val="21"/>
                <w:highlight w:val="none"/>
                <w:lang w:eastAsia="zh-CN"/>
              </w:rPr>
              <w:t>自合同签订之日起24个月</w:t>
            </w:r>
            <w:r>
              <w:rPr>
                <w:rFonts w:hint="eastAsia" w:ascii="宋体" w:hAnsi="宋体" w:eastAsia="宋体" w:cs="宋体"/>
                <w:b/>
                <w:bCs w:val="0"/>
                <w:color w:val="auto"/>
                <w:sz w:val="21"/>
                <w:szCs w:val="21"/>
                <w:highlight w:val="none"/>
              </w:rPr>
              <w:t>。</w:t>
            </w:r>
          </w:p>
          <w:p w14:paraId="06931257">
            <w:pPr>
              <w:spacing w:line="360" w:lineRule="auto"/>
              <w:rPr>
                <w:rFonts w:hint="eastAsia" w:ascii="宋体" w:hAnsi="宋体" w:eastAsia="宋体" w:cs="宋体"/>
                <w:b/>
                <w:bCs w:val="0"/>
                <w:color w:val="auto"/>
                <w:sz w:val="21"/>
                <w:szCs w:val="21"/>
                <w:highlight w:val="none"/>
              </w:rPr>
            </w:pPr>
            <w:r>
              <w:rPr>
                <w:rFonts w:hint="eastAsia" w:ascii="宋体" w:hAnsi="宋体" w:cs="宋体"/>
                <w:b/>
                <w:bCs w:val="0"/>
                <w:color w:val="auto"/>
                <w:sz w:val="21"/>
                <w:szCs w:val="21"/>
                <w:highlight w:val="none"/>
                <w:lang w:eastAsia="zh-CN"/>
              </w:rPr>
              <w:t>2.</w:t>
            </w:r>
            <w:r>
              <w:rPr>
                <w:rFonts w:hint="eastAsia" w:ascii="宋体" w:hAnsi="宋体" w:eastAsia="宋体" w:cs="宋体"/>
                <w:b/>
                <w:bCs w:val="0"/>
                <w:color w:val="auto"/>
                <w:sz w:val="21"/>
                <w:szCs w:val="21"/>
                <w:highlight w:val="none"/>
              </w:rPr>
              <w:t>实施的地点：</w:t>
            </w:r>
            <w:r>
              <w:rPr>
                <w:rFonts w:hint="eastAsia" w:ascii="宋体" w:hAnsi="宋体" w:cs="宋体"/>
                <w:b/>
                <w:bCs w:val="0"/>
                <w:color w:val="auto"/>
                <w:sz w:val="21"/>
                <w:szCs w:val="21"/>
                <w:highlight w:val="none"/>
                <w:lang w:eastAsia="zh-CN"/>
              </w:rPr>
              <w:t>广西贵港市范围内采购人指定地点</w:t>
            </w:r>
            <w:r>
              <w:rPr>
                <w:rFonts w:hint="eastAsia" w:ascii="宋体" w:hAnsi="宋体" w:eastAsia="宋体" w:cs="宋体"/>
                <w:b/>
                <w:bCs w:val="0"/>
                <w:color w:val="auto"/>
                <w:sz w:val="21"/>
                <w:szCs w:val="21"/>
                <w:highlight w:val="none"/>
              </w:rPr>
              <w:t>。</w:t>
            </w:r>
          </w:p>
        </w:tc>
      </w:tr>
      <w:tr w14:paraId="15B4ED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90" w:type="dxa"/>
            <w:gridSpan w:val="3"/>
            <w:tcBorders>
              <w:top w:val="single" w:color="auto" w:sz="4" w:space="0"/>
              <w:left w:val="single" w:color="auto" w:sz="4" w:space="0"/>
              <w:bottom w:val="single" w:color="auto" w:sz="4" w:space="0"/>
              <w:right w:val="single" w:color="auto" w:sz="4" w:space="0"/>
            </w:tcBorders>
            <w:noWrap w:val="0"/>
            <w:vAlign w:val="center"/>
          </w:tcPr>
          <w:p w14:paraId="0FB4DD9F">
            <w:pPr>
              <w:spacing w:line="360" w:lineRule="auto"/>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合同签订时间</w:t>
            </w:r>
          </w:p>
        </w:tc>
        <w:tc>
          <w:tcPr>
            <w:tcW w:w="7621" w:type="dxa"/>
            <w:gridSpan w:val="3"/>
            <w:tcBorders>
              <w:top w:val="single" w:color="auto" w:sz="4" w:space="0"/>
              <w:left w:val="single" w:color="auto" w:sz="4" w:space="0"/>
              <w:bottom w:val="single" w:color="auto" w:sz="4" w:space="0"/>
              <w:right w:val="single" w:color="auto" w:sz="4" w:space="0"/>
            </w:tcBorders>
            <w:noWrap w:val="0"/>
            <w:vAlign w:val="center"/>
          </w:tcPr>
          <w:p w14:paraId="033040BF">
            <w:pPr>
              <w:spacing w:line="360" w:lineRule="auto"/>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自中标通知书发出之日起</w:t>
            </w:r>
            <w:r>
              <w:rPr>
                <w:rFonts w:hint="eastAsia" w:ascii="宋体" w:hAnsi="宋体" w:eastAsia="宋体" w:cs="宋体"/>
                <w:b/>
                <w:bCs w:val="0"/>
                <w:color w:val="auto"/>
                <w:sz w:val="21"/>
                <w:szCs w:val="21"/>
                <w:highlight w:val="none"/>
                <w:u w:val="single"/>
              </w:rPr>
              <w:t xml:space="preserve"> </w:t>
            </w:r>
            <w:r>
              <w:rPr>
                <w:rFonts w:hint="eastAsia" w:ascii="宋体" w:hAnsi="宋体" w:cs="宋体"/>
                <w:b/>
                <w:bCs w:val="0"/>
                <w:color w:val="auto"/>
                <w:sz w:val="21"/>
                <w:szCs w:val="21"/>
                <w:highlight w:val="none"/>
                <w:u w:val="single"/>
                <w:lang w:val="en-US" w:eastAsia="zh-CN"/>
              </w:rPr>
              <w:t>25</w:t>
            </w:r>
            <w:r>
              <w:rPr>
                <w:rFonts w:hint="eastAsia" w:ascii="宋体" w:hAnsi="宋体" w:eastAsia="宋体" w:cs="宋体"/>
                <w:b/>
                <w:bCs w:val="0"/>
                <w:color w:val="auto"/>
                <w:sz w:val="21"/>
                <w:szCs w:val="21"/>
                <w:highlight w:val="none"/>
              </w:rPr>
              <w:t>日内</w:t>
            </w:r>
          </w:p>
        </w:tc>
      </w:tr>
      <w:tr w14:paraId="0F3E07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90" w:type="dxa"/>
            <w:gridSpan w:val="3"/>
            <w:tcBorders>
              <w:top w:val="single" w:color="auto" w:sz="4" w:space="0"/>
              <w:left w:val="single" w:color="auto" w:sz="4" w:space="0"/>
              <w:bottom w:val="single" w:color="auto" w:sz="4" w:space="0"/>
              <w:right w:val="single" w:color="auto" w:sz="4" w:space="0"/>
            </w:tcBorders>
            <w:noWrap w:val="0"/>
            <w:vAlign w:val="center"/>
          </w:tcPr>
          <w:p w14:paraId="4FC25881">
            <w:pPr>
              <w:spacing w:line="360" w:lineRule="auto"/>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付款条件（进度和方式）</w:t>
            </w:r>
          </w:p>
        </w:tc>
        <w:tc>
          <w:tcPr>
            <w:tcW w:w="7621" w:type="dxa"/>
            <w:gridSpan w:val="3"/>
            <w:tcBorders>
              <w:top w:val="single" w:color="auto" w:sz="4" w:space="0"/>
              <w:left w:val="single" w:color="auto" w:sz="4" w:space="0"/>
              <w:bottom w:val="single" w:color="auto" w:sz="4" w:space="0"/>
              <w:right w:val="single" w:color="auto" w:sz="4" w:space="0"/>
            </w:tcBorders>
            <w:noWrap w:val="0"/>
            <w:vAlign w:val="center"/>
          </w:tcPr>
          <w:p w14:paraId="5DE897AC">
            <w:pP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b/>
                <w:bCs w:val="0"/>
                <w:color w:val="auto"/>
                <w:szCs w:val="21"/>
                <w:highlight w:val="none"/>
                <w:lang w:val="en-US" w:eastAsia="zh-CN"/>
              </w:rPr>
              <w:t>无预付款。签订合同后，每6个月结算一次，即半年后支付合同金额的</w:t>
            </w:r>
            <w:r>
              <w:rPr>
                <w:rFonts w:hint="eastAsia" w:ascii="宋体" w:hAnsi="宋体" w:cs="宋体"/>
                <w:b/>
                <w:bCs w:val="0"/>
                <w:color w:val="auto"/>
                <w:szCs w:val="21"/>
                <w:highlight w:val="none"/>
                <w:lang w:val="en-US" w:eastAsia="zh-CN"/>
              </w:rPr>
              <w:t>25</w:t>
            </w:r>
            <w:r>
              <w:rPr>
                <w:rFonts w:hint="eastAsia" w:ascii="宋体" w:hAnsi="宋体" w:eastAsia="宋体" w:cs="宋体"/>
                <w:b/>
                <w:bCs w:val="0"/>
                <w:color w:val="auto"/>
                <w:szCs w:val="21"/>
                <w:highlight w:val="none"/>
                <w:lang w:val="en-US" w:eastAsia="zh-CN"/>
              </w:rPr>
              <w:t>%；履约完毕并最终项目验收通过后1个月内支付至合同总金额的100%。</w:t>
            </w:r>
          </w:p>
        </w:tc>
      </w:tr>
      <w:tr w14:paraId="5D5FDD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90" w:type="dxa"/>
            <w:gridSpan w:val="3"/>
            <w:tcBorders>
              <w:top w:val="single" w:color="auto" w:sz="4" w:space="0"/>
              <w:left w:val="single" w:color="auto" w:sz="4" w:space="0"/>
              <w:bottom w:val="single" w:color="auto" w:sz="4" w:space="0"/>
              <w:right w:val="single" w:color="auto" w:sz="4" w:space="0"/>
            </w:tcBorders>
            <w:noWrap w:val="0"/>
            <w:vAlign w:val="center"/>
          </w:tcPr>
          <w:p w14:paraId="2199B989">
            <w:pPr>
              <w:spacing w:line="360" w:lineRule="exact"/>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验收标准及要</w:t>
            </w:r>
            <w:r>
              <w:rPr>
                <w:rFonts w:hint="eastAsia" w:ascii="宋体" w:hAnsi="宋体" w:eastAsia="宋体" w:cs="宋体"/>
                <w:b/>
                <w:bCs w:val="0"/>
                <w:color w:val="auto"/>
                <w:sz w:val="21"/>
                <w:szCs w:val="21"/>
                <w:highlight w:val="none"/>
                <w:lang w:eastAsia="zh-CN"/>
              </w:rPr>
              <w:t>求</w:t>
            </w:r>
          </w:p>
        </w:tc>
        <w:tc>
          <w:tcPr>
            <w:tcW w:w="7621" w:type="dxa"/>
            <w:gridSpan w:val="3"/>
            <w:tcBorders>
              <w:top w:val="single" w:color="auto" w:sz="4" w:space="0"/>
              <w:left w:val="single" w:color="auto" w:sz="4" w:space="0"/>
              <w:bottom w:val="single" w:color="auto" w:sz="4" w:space="0"/>
              <w:right w:val="single" w:color="auto" w:sz="4" w:space="0"/>
            </w:tcBorders>
            <w:noWrap w:val="0"/>
            <w:vAlign w:val="center"/>
          </w:tcPr>
          <w:p w14:paraId="37FB8E59">
            <w:pPr>
              <w:spacing w:line="360" w:lineRule="exact"/>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1.中标供应商向采购人提供的所有涉及成果资料必须符合国家、广西、贵港市的最新规范及要求。</w:t>
            </w:r>
          </w:p>
          <w:p w14:paraId="74848981">
            <w:pPr>
              <w:spacing w:line="360" w:lineRule="exact"/>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2.验收过程中所产生的一切费用均由中标人承担。报价时应考虑相关费用。</w:t>
            </w:r>
          </w:p>
          <w:p w14:paraId="4962D75F">
            <w:pPr>
              <w:spacing w:line="360" w:lineRule="exact"/>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3.采购人根据工作实际所需环节组织验收，中标人必须到场配合，验收合格后双方签署验收合格凭证。</w:t>
            </w:r>
          </w:p>
          <w:p w14:paraId="0C7F5989">
            <w:pPr>
              <w:spacing w:line="360" w:lineRule="auto"/>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4.其他未尽事宜应严格按照《关于印发广西壮族自治区政府采购项目履约验收管理办法的通知》[桂财采〔2015〕22号]以及《财政部关于进一步加强政府采购需求和履约验收管理的指导意见》[财库〔2016〕205号]规定执行。</w:t>
            </w:r>
          </w:p>
        </w:tc>
      </w:tr>
      <w:tr w14:paraId="19B392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11" w:type="dxa"/>
            <w:gridSpan w:val="6"/>
            <w:tcBorders>
              <w:top w:val="single" w:color="auto" w:sz="4" w:space="0"/>
              <w:left w:val="single" w:color="auto" w:sz="4" w:space="0"/>
              <w:bottom w:val="single" w:color="auto" w:sz="4" w:space="0"/>
              <w:right w:val="single" w:color="auto" w:sz="4" w:space="0"/>
            </w:tcBorders>
            <w:noWrap w:val="0"/>
            <w:vAlign w:val="center"/>
          </w:tcPr>
          <w:p w14:paraId="68A00C1D">
            <w:pPr>
              <w:spacing w:line="360" w:lineRule="auto"/>
              <w:rPr>
                <w:rFonts w:hint="eastAsia" w:ascii="宋体" w:hAnsi="宋体" w:eastAsia="宋体" w:cs="宋体"/>
                <w:b w:val="0"/>
                <w:bCs/>
                <w:color w:val="auto"/>
                <w:sz w:val="21"/>
                <w:szCs w:val="21"/>
                <w:highlight w:val="none"/>
              </w:rPr>
            </w:pPr>
            <w:r>
              <w:rPr>
                <w:rFonts w:hint="eastAsia" w:ascii="宋体" w:hAnsi="宋体" w:eastAsia="宋体" w:cs="宋体"/>
                <w:b/>
                <w:bCs w:val="0"/>
                <w:color w:val="auto"/>
                <w:sz w:val="21"/>
                <w:szCs w:val="21"/>
                <w:highlight w:val="none"/>
              </w:rPr>
              <w:t>二、与实现项目目标相关的其他要求</w:t>
            </w:r>
          </w:p>
        </w:tc>
      </w:tr>
      <w:tr w14:paraId="6D9211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11" w:type="dxa"/>
            <w:gridSpan w:val="6"/>
            <w:tcBorders>
              <w:top w:val="single" w:color="auto" w:sz="4" w:space="0"/>
              <w:left w:val="single" w:color="auto" w:sz="4" w:space="0"/>
              <w:bottom w:val="single" w:color="auto" w:sz="4" w:space="0"/>
              <w:right w:val="single" w:color="auto" w:sz="4" w:space="0"/>
            </w:tcBorders>
            <w:noWrap w:val="0"/>
            <w:vAlign w:val="center"/>
          </w:tcPr>
          <w:p w14:paraId="6EDD4912">
            <w:pPr>
              <w:spacing w:line="360" w:lineRule="auto"/>
              <w:rPr>
                <w:rFonts w:hint="eastAsia" w:ascii="宋体" w:hAnsi="宋体" w:eastAsia="宋体" w:cs="宋体"/>
                <w:b w:val="0"/>
                <w:bCs/>
                <w:color w:val="auto"/>
                <w:sz w:val="21"/>
                <w:szCs w:val="21"/>
                <w:highlight w:val="none"/>
              </w:rPr>
            </w:pPr>
            <w:r>
              <w:rPr>
                <w:rFonts w:hint="eastAsia" w:ascii="宋体" w:hAnsi="宋体" w:eastAsia="宋体" w:cs="宋体"/>
                <w:b/>
                <w:bCs w:val="0"/>
                <w:color w:val="auto"/>
                <w:sz w:val="21"/>
                <w:szCs w:val="21"/>
                <w:highlight w:val="none"/>
              </w:rPr>
              <w:t>（一）投标人的履约能力要求</w:t>
            </w:r>
          </w:p>
        </w:tc>
      </w:tr>
      <w:tr w14:paraId="386640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90" w:type="dxa"/>
            <w:gridSpan w:val="3"/>
            <w:tcBorders>
              <w:top w:val="single" w:color="auto" w:sz="4" w:space="0"/>
              <w:left w:val="single" w:color="auto" w:sz="4" w:space="0"/>
              <w:bottom w:val="single" w:color="auto" w:sz="4" w:space="0"/>
              <w:right w:val="single" w:color="auto" w:sz="4" w:space="0"/>
            </w:tcBorders>
            <w:noWrap w:val="0"/>
            <w:vAlign w:val="center"/>
          </w:tcPr>
          <w:p w14:paraId="410DFC0A">
            <w:pPr>
              <w:spacing w:line="360" w:lineRule="exact"/>
              <w:rPr>
                <w:rFonts w:hint="eastAsia" w:ascii="宋体" w:hAnsi="宋体" w:eastAsia="宋体" w:cs="宋体"/>
                <w:b w:val="0"/>
                <w:bCs/>
                <w:color w:val="auto"/>
                <w:sz w:val="21"/>
                <w:szCs w:val="21"/>
                <w:highlight w:val="none"/>
              </w:rPr>
            </w:pPr>
            <w:r>
              <w:rPr>
                <w:rFonts w:hint="eastAsia" w:ascii="宋体" w:hAnsi="宋体" w:eastAsia="宋体" w:cs="宋体"/>
                <w:color w:val="auto"/>
                <w:sz w:val="21"/>
                <w:szCs w:val="21"/>
                <w:highlight w:val="none"/>
              </w:rPr>
              <w:t>政策性加分条件</w:t>
            </w:r>
          </w:p>
        </w:tc>
        <w:tc>
          <w:tcPr>
            <w:tcW w:w="7621" w:type="dxa"/>
            <w:gridSpan w:val="3"/>
            <w:tcBorders>
              <w:top w:val="single" w:color="auto" w:sz="4" w:space="0"/>
              <w:left w:val="single" w:color="auto" w:sz="4" w:space="0"/>
              <w:bottom w:val="single" w:color="auto" w:sz="4" w:space="0"/>
              <w:right w:val="single" w:color="auto" w:sz="4" w:space="0"/>
            </w:tcBorders>
            <w:noWrap w:val="0"/>
            <w:vAlign w:val="center"/>
          </w:tcPr>
          <w:p w14:paraId="512C1DE4">
            <w:pPr>
              <w:spacing w:line="360" w:lineRule="exact"/>
              <w:rPr>
                <w:rFonts w:hint="eastAsia" w:ascii="宋体" w:hAnsi="宋体" w:eastAsia="宋体" w:cs="宋体"/>
                <w:b w:val="0"/>
                <w:bCs/>
                <w:color w:val="auto"/>
                <w:sz w:val="21"/>
                <w:szCs w:val="21"/>
                <w:highlight w:val="none"/>
              </w:rPr>
            </w:pPr>
            <w:r>
              <w:rPr>
                <w:rFonts w:hint="eastAsia" w:ascii="宋体" w:hAnsi="宋体" w:eastAsia="宋体" w:cs="宋体"/>
                <w:color w:val="auto"/>
                <w:sz w:val="21"/>
                <w:szCs w:val="21"/>
                <w:highlight w:val="none"/>
              </w:rPr>
              <w:t>见本</w:t>
            </w:r>
            <w:r>
              <w:rPr>
                <w:rFonts w:hint="eastAsia" w:ascii="宋体" w:hAnsi="宋体" w:cs="宋体"/>
                <w:color w:val="auto"/>
                <w:sz w:val="21"/>
                <w:szCs w:val="21"/>
                <w:highlight w:val="none"/>
                <w:lang w:eastAsia="zh-CN"/>
              </w:rPr>
              <w:t>招标文件</w:t>
            </w:r>
            <w:r>
              <w:rPr>
                <w:rFonts w:hint="eastAsia" w:ascii="宋体" w:hAnsi="宋体" w:eastAsia="宋体" w:cs="宋体"/>
                <w:color w:val="auto"/>
                <w:sz w:val="21"/>
                <w:szCs w:val="21"/>
                <w:highlight w:val="none"/>
              </w:rPr>
              <w:t>第四章“评标方法及评标标准”。</w:t>
            </w:r>
          </w:p>
        </w:tc>
      </w:tr>
      <w:tr w14:paraId="058158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90" w:type="dxa"/>
            <w:gridSpan w:val="3"/>
            <w:tcBorders>
              <w:top w:val="single" w:color="auto" w:sz="4" w:space="0"/>
              <w:left w:val="single" w:color="auto" w:sz="4" w:space="0"/>
              <w:bottom w:val="single" w:color="auto" w:sz="4" w:space="0"/>
              <w:right w:val="single" w:color="auto" w:sz="4" w:space="0"/>
            </w:tcBorders>
            <w:noWrap w:val="0"/>
            <w:vAlign w:val="center"/>
          </w:tcPr>
          <w:p w14:paraId="05D76259">
            <w:pPr>
              <w:spacing w:line="360" w:lineRule="exact"/>
              <w:rPr>
                <w:rFonts w:hint="eastAsia" w:ascii="宋体" w:hAnsi="宋体" w:eastAsia="宋体" w:cs="宋体"/>
                <w:b w:val="0"/>
                <w:bCs/>
                <w:color w:val="auto"/>
                <w:sz w:val="21"/>
                <w:szCs w:val="21"/>
                <w:highlight w:val="none"/>
              </w:rPr>
            </w:pPr>
            <w:r>
              <w:rPr>
                <w:rFonts w:hint="eastAsia" w:ascii="宋体" w:hAnsi="宋体" w:eastAsia="宋体" w:cs="宋体"/>
                <w:color w:val="auto"/>
                <w:sz w:val="21"/>
                <w:szCs w:val="21"/>
                <w:highlight w:val="none"/>
              </w:rPr>
              <w:t>质量管理体系要求</w:t>
            </w:r>
          </w:p>
        </w:tc>
        <w:tc>
          <w:tcPr>
            <w:tcW w:w="7621" w:type="dxa"/>
            <w:gridSpan w:val="3"/>
            <w:tcBorders>
              <w:top w:val="single" w:color="auto" w:sz="4" w:space="0"/>
              <w:left w:val="single" w:color="auto" w:sz="4" w:space="0"/>
              <w:bottom w:val="single" w:color="auto" w:sz="4" w:space="0"/>
              <w:right w:val="single" w:color="auto" w:sz="4" w:space="0"/>
            </w:tcBorders>
            <w:noWrap w:val="0"/>
            <w:vAlign w:val="center"/>
          </w:tcPr>
          <w:p w14:paraId="160C2409">
            <w:pPr>
              <w:spacing w:line="360" w:lineRule="exact"/>
              <w:rPr>
                <w:rFonts w:hint="eastAsia" w:ascii="宋体" w:hAnsi="宋体" w:eastAsia="宋体" w:cs="宋体"/>
                <w:b w:val="0"/>
                <w:bCs/>
                <w:color w:val="auto"/>
                <w:sz w:val="21"/>
                <w:szCs w:val="21"/>
                <w:highlight w:val="none"/>
              </w:rPr>
            </w:pPr>
            <w:r>
              <w:rPr>
                <w:rFonts w:hint="eastAsia" w:ascii="宋体" w:hAnsi="宋体" w:eastAsia="宋体" w:cs="宋体"/>
                <w:color w:val="auto"/>
                <w:sz w:val="21"/>
                <w:szCs w:val="21"/>
                <w:highlight w:val="none"/>
              </w:rPr>
              <w:t>如有，请于投标文件中自行提供。</w:t>
            </w:r>
          </w:p>
        </w:tc>
      </w:tr>
      <w:tr w14:paraId="136E7E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90" w:type="dxa"/>
            <w:gridSpan w:val="3"/>
            <w:tcBorders>
              <w:top w:val="single" w:color="auto" w:sz="4" w:space="0"/>
              <w:left w:val="single" w:color="auto" w:sz="4" w:space="0"/>
              <w:bottom w:val="single" w:color="auto" w:sz="4" w:space="0"/>
              <w:right w:val="single" w:color="auto" w:sz="4" w:space="0"/>
            </w:tcBorders>
            <w:noWrap w:val="0"/>
            <w:vAlign w:val="center"/>
          </w:tcPr>
          <w:p w14:paraId="7CAC976B">
            <w:pPr>
              <w:spacing w:line="360" w:lineRule="exact"/>
              <w:rPr>
                <w:rFonts w:hint="eastAsia" w:ascii="宋体" w:hAnsi="宋体" w:eastAsia="宋体" w:cs="宋体"/>
                <w:b w:val="0"/>
                <w:bCs/>
                <w:color w:val="auto"/>
                <w:sz w:val="21"/>
                <w:szCs w:val="21"/>
                <w:highlight w:val="none"/>
              </w:rPr>
            </w:pPr>
            <w:r>
              <w:rPr>
                <w:rFonts w:hint="eastAsia" w:ascii="宋体" w:hAnsi="宋体" w:eastAsia="宋体" w:cs="宋体"/>
                <w:color w:val="auto"/>
                <w:sz w:val="21"/>
                <w:szCs w:val="21"/>
                <w:highlight w:val="none"/>
              </w:rPr>
              <w:t>业绩要求</w:t>
            </w:r>
          </w:p>
        </w:tc>
        <w:tc>
          <w:tcPr>
            <w:tcW w:w="7621" w:type="dxa"/>
            <w:gridSpan w:val="3"/>
            <w:tcBorders>
              <w:top w:val="single" w:color="auto" w:sz="4" w:space="0"/>
              <w:left w:val="single" w:color="auto" w:sz="4" w:space="0"/>
              <w:bottom w:val="single" w:color="auto" w:sz="4" w:space="0"/>
              <w:right w:val="single" w:color="auto" w:sz="4" w:space="0"/>
            </w:tcBorders>
            <w:noWrap w:val="0"/>
            <w:vAlign w:val="center"/>
          </w:tcPr>
          <w:p w14:paraId="08C1D545">
            <w:pPr>
              <w:spacing w:line="360" w:lineRule="exact"/>
              <w:rPr>
                <w:rFonts w:hint="eastAsia" w:ascii="宋体" w:hAnsi="宋体" w:eastAsia="宋体" w:cs="宋体"/>
                <w:b w:val="0"/>
                <w:bCs/>
                <w:color w:val="auto"/>
                <w:sz w:val="21"/>
                <w:szCs w:val="21"/>
                <w:highlight w:val="none"/>
              </w:rPr>
            </w:pPr>
            <w:r>
              <w:rPr>
                <w:rFonts w:hint="eastAsia" w:ascii="宋体" w:hAnsi="宋体" w:eastAsia="宋体" w:cs="宋体"/>
                <w:color w:val="auto"/>
                <w:sz w:val="21"/>
                <w:szCs w:val="21"/>
                <w:highlight w:val="none"/>
              </w:rPr>
              <w:t>如有，请于投标文件中自行提供。</w:t>
            </w:r>
          </w:p>
        </w:tc>
      </w:tr>
      <w:tr w14:paraId="52082A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11" w:type="dxa"/>
            <w:gridSpan w:val="6"/>
            <w:tcBorders>
              <w:top w:val="single" w:color="auto" w:sz="4" w:space="0"/>
              <w:left w:val="single" w:color="auto" w:sz="4" w:space="0"/>
              <w:bottom w:val="single" w:color="auto" w:sz="4" w:space="0"/>
              <w:right w:val="single" w:color="auto" w:sz="4" w:space="0"/>
            </w:tcBorders>
            <w:noWrap w:val="0"/>
            <w:vAlign w:val="center"/>
          </w:tcPr>
          <w:p w14:paraId="656EDC60">
            <w:pPr>
              <w:numPr>
                <w:ilvl w:val="0"/>
                <w:numId w:val="0"/>
              </w:numPr>
              <w:spacing w:line="36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bidi="ar-SA"/>
              </w:rPr>
              <w:t>（二）</w:t>
            </w:r>
            <w:r>
              <w:rPr>
                <w:rFonts w:hint="eastAsia" w:ascii="宋体" w:hAnsi="宋体" w:eastAsia="宋体" w:cs="宋体"/>
                <w:b/>
                <w:bCs w:val="0"/>
                <w:color w:val="auto"/>
                <w:sz w:val="21"/>
                <w:szCs w:val="21"/>
                <w:highlight w:val="none"/>
              </w:rPr>
              <w:t>其他要求：</w:t>
            </w:r>
            <w:r>
              <w:rPr>
                <w:rFonts w:hint="eastAsia" w:ascii="宋体" w:hAnsi="宋体" w:eastAsia="宋体" w:cs="宋体"/>
                <w:b/>
                <w:bCs w:val="0"/>
                <w:color w:val="auto"/>
                <w:sz w:val="21"/>
                <w:szCs w:val="21"/>
                <w:highlight w:val="none"/>
                <w:lang w:val="en-US" w:eastAsia="zh-CN"/>
              </w:rPr>
              <w:t>1.</w:t>
            </w:r>
            <w:r>
              <w:rPr>
                <w:rFonts w:hint="eastAsia" w:ascii="宋体" w:hAnsi="宋体" w:eastAsia="宋体" w:cs="宋体"/>
                <w:b/>
                <w:bCs w:val="0"/>
                <w:color w:val="auto"/>
                <w:sz w:val="21"/>
                <w:szCs w:val="21"/>
                <w:highlight w:val="none"/>
              </w:rPr>
              <w:t>投标人</w:t>
            </w:r>
            <w:r>
              <w:rPr>
                <w:rFonts w:hint="eastAsia" w:ascii="宋体" w:hAnsi="宋体" w:eastAsia="宋体" w:cs="宋体"/>
                <w:b/>
                <w:bCs w:val="0"/>
                <w:color w:val="auto"/>
                <w:sz w:val="21"/>
                <w:szCs w:val="21"/>
                <w:highlight w:val="none"/>
                <w:lang w:eastAsia="zh-CN"/>
              </w:rPr>
              <w:t>在投标文件中必须提供针对本项目的技术方案（可包括但不限于</w:t>
            </w:r>
            <w:r>
              <w:rPr>
                <w:rFonts w:hint="eastAsia" w:ascii="宋体" w:hAnsi="宋体" w:cs="宋体"/>
                <w:b/>
                <w:bCs w:val="0"/>
                <w:color w:val="auto"/>
                <w:sz w:val="21"/>
                <w:szCs w:val="21"/>
                <w:highlight w:val="none"/>
                <w:lang w:val="en-US" w:eastAsia="zh-CN"/>
              </w:rPr>
              <w:t>项目建设方案</w:t>
            </w:r>
            <w:r>
              <w:rPr>
                <w:rFonts w:hint="eastAsia" w:ascii="宋体" w:hAnsi="宋体" w:eastAsia="宋体" w:cs="宋体"/>
                <w:b/>
                <w:bCs w:val="0"/>
                <w:color w:val="auto"/>
                <w:sz w:val="21"/>
                <w:szCs w:val="21"/>
                <w:highlight w:val="none"/>
              </w:rPr>
              <w:t>、项目实施方案及</w:t>
            </w:r>
            <w:r>
              <w:rPr>
                <w:rFonts w:hint="eastAsia" w:ascii="宋体" w:hAnsi="宋体" w:cs="宋体"/>
                <w:b/>
                <w:bCs w:val="0"/>
                <w:color w:val="auto"/>
                <w:sz w:val="21"/>
                <w:szCs w:val="21"/>
                <w:highlight w:val="none"/>
                <w:lang w:val="en-US" w:eastAsia="zh-CN"/>
              </w:rPr>
              <w:t>运维服务方案</w:t>
            </w:r>
            <w:r>
              <w:rPr>
                <w:rFonts w:hint="eastAsia" w:ascii="宋体" w:hAnsi="宋体" w:eastAsia="宋体" w:cs="宋体"/>
                <w:b/>
                <w:bCs w:val="0"/>
                <w:color w:val="auto"/>
                <w:sz w:val="21"/>
                <w:szCs w:val="21"/>
                <w:highlight w:val="none"/>
              </w:rPr>
              <w:t>等内容）。</w:t>
            </w:r>
          </w:p>
          <w:p w14:paraId="0478BC22">
            <w:pPr>
              <w:pStyle w:val="276"/>
              <w:numPr>
                <w:ilvl w:val="0"/>
                <w:numId w:val="0"/>
              </w:numPr>
              <w:ind w:left="0" w:firstLine="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2.如有，请提供</w:t>
            </w:r>
            <w:r>
              <w:rPr>
                <w:rFonts w:hint="eastAsia" w:cs="宋体"/>
                <w:color w:val="auto"/>
                <w:sz w:val="21"/>
                <w:szCs w:val="21"/>
                <w:highlight w:val="none"/>
                <w:lang w:eastAsia="zh-CN"/>
              </w:rPr>
              <w:t>人员配置</w:t>
            </w:r>
            <w:r>
              <w:rPr>
                <w:rFonts w:hint="eastAsia" w:ascii="宋体" w:hAnsi="宋体" w:eastAsia="宋体" w:cs="宋体"/>
                <w:color w:val="auto"/>
                <w:sz w:val="21"/>
                <w:szCs w:val="21"/>
                <w:highlight w:val="none"/>
              </w:rPr>
              <w:t>或业绩证明。</w:t>
            </w:r>
          </w:p>
        </w:tc>
      </w:tr>
    </w:tbl>
    <w:p w14:paraId="18C75428">
      <w:pPr>
        <w:widowControl/>
        <w:jc w:val="left"/>
        <w:rPr>
          <w:rFonts w:hint="eastAsia" w:ascii="黑体" w:hAnsi="黑体" w:eastAsia="黑体" w:cs="黑体"/>
          <w:color w:val="auto"/>
          <w:sz w:val="32"/>
          <w:szCs w:val="32"/>
          <w:highlight w:val="none"/>
        </w:rPr>
      </w:pPr>
    </w:p>
    <w:p w14:paraId="04F10955">
      <w:pPr>
        <w:widowControl/>
        <w:jc w:val="left"/>
        <w:rPr>
          <w:rFonts w:hint="eastAsia" w:ascii="黑体" w:hAnsi="黑体" w:eastAsia="黑体" w:cs="黑体"/>
          <w:color w:val="auto"/>
          <w:sz w:val="32"/>
          <w:szCs w:val="32"/>
          <w:highlight w:val="none"/>
        </w:rPr>
      </w:pPr>
    </w:p>
    <w:p w14:paraId="4238FAAF">
      <w:pPr>
        <w:widowControl/>
        <w:jc w:val="left"/>
        <w:rPr>
          <w:rFonts w:hint="eastAsia" w:ascii="黑体" w:hAnsi="黑体" w:eastAsia="黑体" w:cs="黑体"/>
          <w:color w:val="auto"/>
          <w:sz w:val="32"/>
          <w:szCs w:val="32"/>
          <w:highlight w:val="none"/>
        </w:rPr>
      </w:pPr>
    </w:p>
    <w:p w14:paraId="6B82BBDF">
      <w:pPr>
        <w:widowControl/>
        <w:jc w:val="left"/>
        <w:rPr>
          <w:rFonts w:hint="eastAsia" w:ascii="黑体" w:hAnsi="黑体" w:eastAsia="黑体" w:cs="黑体"/>
          <w:color w:val="auto"/>
          <w:sz w:val="32"/>
          <w:szCs w:val="32"/>
          <w:highlight w:val="none"/>
        </w:rPr>
      </w:pPr>
    </w:p>
    <w:p w14:paraId="618C2BEF">
      <w:pPr>
        <w:pStyle w:val="276"/>
        <w:rPr>
          <w:rFonts w:hint="eastAsia" w:ascii="黑体" w:hAnsi="黑体" w:eastAsia="黑体" w:cs="黑体"/>
          <w:color w:val="auto"/>
          <w:sz w:val="32"/>
          <w:szCs w:val="32"/>
          <w:highlight w:val="none"/>
        </w:rPr>
      </w:pPr>
    </w:p>
    <w:p w14:paraId="5C1785B2">
      <w:pPr>
        <w:pStyle w:val="276"/>
        <w:rPr>
          <w:rFonts w:hint="eastAsia" w:ascii="黑体" w:hAnsi="黑体" w:eastAsia="黑体" w:cs="黑体"/>
          <w:color w:val="auto"/>
          <w:sz w:val="32"/>
          <w:szCs w:val="32"/>
          <w:highlight w:val="none"/>
        </w:rPr>
      </w:pPr>
    </w:p>
    <w:p w14:paraId="667E6717">
      <w:pPr>
        <w:pStyle w:val="276"/>
        <w:rPr>
          <w:rFonts w:hint="eastAsia" w:ascii="黑体" w:hAnsi="黑体" w:eastAsia="黑体" w:cs="黑体"/>
          <w:color w:val="auto"/>
          <w:sz w:val="32"/>
          <w:szCs w:val="32"/>
          <w:highlight w:val="none"/>
        </w:rPr>
      </w:pPr>
    </w:p>
    <w:p w14:paraId="2ABE1BBD">
      <w:pPr>
        <w:pStyle w:val="276"/>
        <w:rPr>
          <w:rFonts w:hint="eastAsia" w:ascii="黑体" w:hAnsi="黑体" w:eastAsia="黑体" w:cs="黑体"/>
          <w:color w:val="auto"/>
          <w:sz w:val="32"/>
          <w:szCs w:val="32"/>
          <w:highlight w:val="none"/>
        </w:rPr>
      </w:pPr>
    </w:p>
    <w:p w14:paraId="541304A6">
      <w:pPr>
        <w:pStyle w:val="276"/>
        <w:rPr>
          <w:rFonts w:hint="eastAsia" w:ascii="黑体" w:hAnsi="黑体" w:eastAsia="黑体" w:cs="黑体"/>
          <w:color w:val="auto"/>
          <w:sz w:val="32"/>
          <w:szCs w:val="32"/>
          <w:highlight w:val="none"/>
        </w:rPr>
      </w:pPr>
    </w:p>
    <w:p w14:paraId="675A052B">
      <w:pPr>
        <w:pStyle w:val="276"/>
        <w:rPr>
          <w:rFonts w:hint="eastAsia" w:ascii="黑体" w:hAnsi="黑体" w:eastAsia="黑体" w:cs="黑体"/>
          <w:color w:val="auto"/>
          <w:sz w:val="32"/>
          <w:szCs w:val="32"/>
          <w:highlight w:val="none"/>
        </w:rPr>
      </w:pPr>
    </w:p>
    <w:p w14:paraId="210D3D29">
      <w:pPr>
        <w:pStyle w:val="276"/>
        <w:rPr>
          <w:rFonts w:hint="eastAsia" w:ascii="黑体" w:hAnsi="黑体" w:eastAsia="黑体" w:cs="黑体"/>
          <w:color w:val="auto"/>
          <w:sz w:val="32"/>
          <w:szCs w:val="32"/>
          <w:highlight w:val="none"/>
        </w:rPr>
      </w:pPr>
    </w:p>
    <w:p w14:paraId="7C478727">
      <w:pPr>
        <w:pStyle w:val="222"/>
        <w:rPr>
          <w:rFonts w:hint="eastAsia" w:ascii="宋体" w:hAnsi="宋体" w:cs="Arial"/>
          <w:b w:val="0"/>
          <w:bCs/>
          <w:color w:val="auto"/>
          <w:szCs w:val="21"/>
          <w:highlight w:val="none"/>
          <w:u w:val="single"/>
          <w:lang w:val="en-US" w:eastAsia="zh-CN"/>
        </w:rPr>
      </w:pPr>
    </w:p>
    <w:p w14:paraId="7457C413">
      <w:pPr>
        <w:widowControl/>
        <w:jc w:val="left"/>
        <w:rPr>
          <w:rFonts w:hint="eastAsia" w:ascii="黑体" w:hAnsi="黑体" w:eastAsia="黑体" w:cs="黑体"/>
          <w:color w:val="auto"/>
          <w:sz w:val="32"/>
          <w:szCs w:val="32"/>
          <w:highlight w:val="none"/>
        </w:rPr>
      </w:pPr>
    </w:p>
    <w:p w14:paraId="4DA07407">
      <w:pPr>
        <w:widowControl/>
        <w:jc w:val="left"/>
        <w:rPr>
          <w:rFonts w:hint="eastAsia" w:ascii="黑体" w:hAnsi="黑体" w:eastAsia="黑体" w:cs="黑体"/>
          <w:color w:val="auto"/>
          <w:sz w:val="32"/>
          <w:szCs w:val="32"/>
          <w:highlight w:val="none"/>
        </w:rPr>
      </w:pPr>
    </w:p>
    <w:p w14:paraId="5DCA156D">
      <w:pPr>
        <w:widowControl/>
        <w:jc w:val="left"/>
        <w:rPr>
          <w:rFonts w:hint="eastAsia" w:ascii="黑体" w:hAnsi="黑体" w:eastAsia="黑体" w:cs="黑体"/>
          <w:color w:val="auto"/>
          <w:sz w:val="32"/>
          <w:szCs w:val="32"/>
          <w:highlight w:val="none"/>
        </w:rPr>
      </w:pPr>
    </w:p>
    <w:p w14:paraId="527B392A">
      <w:pPr>
        <w:widowControl/>
        <w:jc w:val="left"/>
        <w:rPr>
          <w:rFonts w:hint="eastAsia" w:ascii="黑体" w:hAnsi="黑体" w:eastAsia="黑体" w:cs="黑体"/>
          <w:color w:val="auto"/>
          <w:sz w:val="32"/>
          <w:szCs w:val="32"/>
          <w:highlight w:val="none"/>
        </w:rPr>
      </w:pPr>
    </w:p>
    <w:p w14:paraId="7FC27924">
      <w:pPr>
        <w:widowControl/>
        <w:jc w:val="left"/>
        <w:rPr>
          <w:rFonts w:hint="eastAsia" w:ascii="黑体" w:hAnsi="黑体" w:eastAsia="黑体" w:cs="黑体"/>
          <w:color w:val="auto"/>
          <w:sz w:val="32"/>
          <w:szCs w:val="32"/>
          <w:highlight w:val="none"/>
        </w:rPr>
      </w:pPr>
    </w:p>
    <w:p w14:paraId="11062DCF">
      <w:pPr>
        <w:widowControl/>
        <w:jc w:val="left"/>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附件1：</w:t>
      </w:r>
    </w:p>
    <w:p w14:paraId="46F1351D">
      <w:pPr>
        <w:pStyle w:val="222"/>
        <w:jc w:val="center"/>
        <w:rPr>
          <w:rFonts w:hint="eastAsia"/>
          <w:b/>
          <w:color w:val="auto"/>
          <w:sz w:val="28"/>
          <w:szCs w:val="28"/>
          <w:highlight w:val="none"/>
        </w:rPr>
      </w:pPr>
      <w:r>
        <w:rPr>
          <w:rFonts w:hint="eastAsia"/>
          <w:b/>
          <w:color w:val="auto"/>
          <w:sz w:val="28"/>
          <w:szCs w:val="28"/>
          <w:highlight w:val="none"/>
        </w:rPr>
        <w:t>中小企业划型标准规定</w:t>
      </w:r>
    </w:p>
    <w:p w14:paraId="714A616F">
      <w:pPr>
        <w:pStyle w:val="222"/>
        <w:jc w:val="center"/>
        <w:rPr>
          <w:rFonts w:ascii="宋体" w:hAnsi="宋体"/>
          <w:color w:val="auto"/>
          <w:sz w:val="21"/>
          <w:szCs w:val="21"/>
          <w:highlight w:val="none"/>
        </w:rPr>
      </w:pPr>
      <w:r>
        <w:rPr>
          <w:rFonts w:hint="eastAsia" w:ascii="宋体" w:hAnsi="宋体"/>
          <w:color w:val="auto"/>
          <w:szCs w:val="21"/>
          <w:highlight w:val="none"/>
        </w:rPr>
        <w:t>工信部联企业[2011]300号</w:t>
      </w:r>
    </w:p>
    <w:p w14:paraId="6684511D">
      <w:pPr>
        <w:pStyle w:val="222"/>
        <w:rPr>
          <w:rFonts w:hint="eastAsia"/>
          <w:color w:val="auto"/>
          <w:szCs w:val="21"/>
          <w:highlight w:val="none"/>
        </w:rPr>
      </w:pPr>
    </w:p>
    <w:p w14:paraId="545DCDE1">
      <w:pPr>
        <w:pStyle w:val="222"/>
        <w:rPr>
          <w:color w:val="auto"/>
          <w:szCs w:val="21"/>
          <w:highlight w:val="none"/>
        </w:rPr>
      </w:pPr>
      <w:r>
        <w:rPr>
          <w:rFonts w:hint="eastAsia"/>
          <w:color w:val="auto"/>
          <w:szCs w:val="21"/>
          <w:highlight w:val="none"/>
        </w:rPr>
        <w:t>　　一、根据《中华人民共和国中小企业促进法》和《国务院关于进一步促进中小企业发展的若干意见》</w:t>
      </w:r>
      <w:r>
        <w:rPr>
          <w:color w:val="auto"/>
          <w:szCs w:val="21"/>
          <w:highlight w:val="none"/>
        </w:rPr>
        <w:t>(</w:t>
      </w:r>
      <w:r>
        <w:rPr>
          <w:rFonts w:hint="eastAsia"/>
          <w:color w:val="auto"/>
          <w:szCs w:val="21"/>
          <w:highlight w:val="none"/>
        </w:rPr>
        <w:t>国发</w:t>
      </w:r>
      <w:r>
        <w:rPr>
          <w:color w:val="auto"/>
          <w:szCs w:val="21"/>
          <w:highlight w:val="none"/>
        </w:rPr>
        <w:t>[2009]36</w:t>
      </w:r>
      <w:r>
        <w:rPr>
          <w:rFonts w:hint="eastAsia"/>
          <w:color w:val="auto"/>
          <w:szCs w:val="21"/>
          <w:highlight w:val="none"/>
        </w:rPr>
        <w:t>号</w:t>
      </w:r>
      <w:r>
        <w:rPr>
          <w:color w:val="auto"/>
          <w:szCs w:val="21"/>
          <w:highlight w:val="none"/>
        </w:rPr>
        <w:t>)</w:t>
      </w:r>
      <w:r>
        <w:rPr>
          <w:rFonts w:hint="eastAsia"/>
          <w:color w:val="auto"/>
          <w:szCs w:val="21"/>
          <w:highlight w:val="none"/>
        </w:rPr>
        <w:t>，制定本规定。</w:t>
      </w:r>
    </w:p>
    <w:p w14:paraId="4C487828">
      <w:pPr>
        <w:pStyle w:val="222"/>
        <w:rPr>
          <w:color w:val="auto"/>
          <w:szCs w:val="21"/>
          <w:highlight w:val="none"/>
        </w:rPr>
      </w:pPr>
      <w:r>
        <w:rPr>
          <w:rFonts w:hint="eastAsia"/>
          <w:color w:val="auto"/>
          <w:szCs w:val="21"/>
          <w:highlight w:val="none"/>
        </w:rPr>
        <w:t>　　二、中小企业划分为中型、小型、微型三种类型，具体标准根据企业从业人员、营业收入、资产总额等指标，结合行业特点制定。</w:t>
      </w:r>
    </w:p>
    <w:p w14:paraId="086599B8">
      <w:pPr>
        <w:pStyle w:val="222"/>
        <w:rPr>
          <w:color w:val="auto"/>
          <w:szCs w:val="21"/>
          <w:highlight w:val="none"/>
        </w:rPr>
      </w:pPr>
      <w:r>
        <w:rPr>
          <w:rFonts w:hint="eastAsia"/>
          <w:color w:val="auto"/>
          <w:szCs w:val="21"/>
          <w:highlight w:val="none"/>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4337D0A5">
      <w:pPr>
        <w:pStyle w:val="222"/>
        <w:rPr>
          <w:color w:val="auto"/>
          <w:szCs w:val="21"/>
          <w:highlight w:val="none"/>
        </w:rPr>
      </w:pPr>
      <w:r>
        <w:rPr>
          <w:rFonts w:hint="eastAsia"/>
          <w:color w:val="auto"/>
          <w:szCs w:val="21"/>
          <w:highlight w:val="none"/>
        </w:rPr>
        <w:t>　　四、各行业划型标准为：</w:t>
      </w:r>
    </w:p>
    <w:p w14:paraId="189F1BFF">
      <w:pPr>
        <w:pStyle w:val="222"/>
        <w:rPr>
          <w:color w:val="auto"/>
          <w:szCs w:val="21"/>
          <w:highlight w:val="none"/>
        </w:rPr>
      </w:pPr>
      <w:r>
        <w:rPr>
          <w:rFonts w:hint="eastAsia"/>
          <w:color w:val="auto"/>
          <w:szCs w:val="21"/>
          <w:highlight w:val="none"/>
        </w:rPr>
        <w:t>　　（一）农、林、牧、渔业。营业收入</w:t>
      </w:r>
      <w:r>
        <w:rPr>
          <w:color w:val="auto"/>
          <w:szCs w:val="21"/>
          <w:highlight w:val="none"/>
        </w:rPr>
        <w:t>20000</w:t>
      </w:r>
      <w:r>
        <w:rPr>
          <w:rFonts w:hint="eastAsia"/>
          <w:color w:val="auto"/>
          <w:szCs w:val="21"/>
          <w:highlight w:val="none"/>
        </w:rPr>
        <w:t>万元以下的为中小微型企业。其中，营业收入</w:t>
      </w:r>
      <w:r>
        <w:rPr>
          <w:color w:val="auto"/>
          <w:szCs w:val="21"/>
          <w:highlight w:val="none"/>
        </w:rPr>
        <w:t>500</w:t>
      </w:r>
      <w:r>
        <w:rPr>
          <w:rFonts w:hint="eastAsia"/>
          <w:color w:val="auto"/>
          <w:szCs w:val="21"/>
          <w:highlight w:val="none"/>
        </w:rPr>
        <w:t>万元及以上的为中型企业，营业收入</w:t>
      </w:r>
      <w:r>
        <w:rPr>
          <w:color w:val="auto"/>
          <w:szCs w:val="21"/>
          <w:highlight w:val="none"/>
        </w:rPr>
        <w:t>50</w:t>
      </w:r>
      <w:r>
        <w:rPr>
          <w:rFonts w:hint="eastAsia"/>
          <w:color w:val="auto"/>
          <w:szCs w:val="21"/>
          <w:highlight w:val="none"/>
        </w:rPr>
        <w:t>万元及以上的为小型企业，营业收入</w:t>
      </w:r>
      <w:r>
        <w:rPr>
          <w:color w:val="auto"/>
          <w:szCs w:val="21"/>
          <w:highlight w:val="none"/>
        </w:rPr>
        <w:t>50</w:t>
      </w:r>
      <w:r>
        <w:rPr>
          <w:rFonts w:hint="eastAsia"/>
          <w:color w:val="auto"/>
          <w:szCs w:val="21"/>
          <w:highlight w:val="none"/>
        </w:rPr>
        <w:t>万元以下的为微型企业。</w:t>
      </w:r>
    </w:p>
    <w:p w14:paraId="17EAF4C9">
      <w:pPr>
        <w:pStyle w:val="222"/>
        <w:rPr>
          <w:color w:val="auto"/>
          <w:szCs w:val="21"/>
          <w:highlight w:val="none"/>
        </w:rPr>
      </w:pPr>
      <w:r>
        <w:rPr>
          <w:rFonts w:hint="eastAsia"/>
          <w:color w:val="auto"/>
          <w:szCs w:val="21"/>
          <w:highlight w:val="none"/>
        </w:rPr>
        <w:t>　　（二）工业。从业人员</w:t>
      </w:r>
      <w:r>
        <w:rPr>
          <w:color w:val="auto"/>
          <w:szCs w:val="21"/>
          <w:highlight w:val="none"/>
        </w:rPr>
        <w:t>1000</w:t>
      </w:r>
      <w:r>
        <w:rPr>
          <w:rFonts w:hint="eastAsia"/>
          <w:color w:val="auto"/>
          <w:szCs w:val="21"/>
          <w:highlight w:val="none"/>
        </w:rPr>
        <w:t>人以下或营业收入</w:t>
      </w:r>
      <w:r>
        <w:rPr>
          <w:color w:val="auto"/>
          <w:szCs w:val="21"/>
          <w:highlight w:val="none"/>
        </w:rPr>
        <w:t>40000</w:t>
      </w:r>
      <w:r>
        <w:rPr>
          <w:rFonts w:hint="eastAsia"/>
          <w:color w:val="auto"/>
          <w:szCs w:val="21"/>
          <w:highlight w:val="none"/>
        </w:rPr>
        <w:t>万元以下的为中小微型企业。其中，从业人员</w:t>
      </w:r>
      <w:r>
        <w:rPr>
          <w:color w:val="auto"/>
          <w:szCs w:val="21"/>
          <w:highlight w:val="none"/>
        </w:rPr>
        <w:t>300</w:t>
      </w:r>
      <w:r>
        <w:rPr>
          <w:rFonts w:hint="eastAsia"/>
          <w:color w:val="auto"/>
          <w:szCs w:val="21"/>
          <w:highlight w:val="none"/>
        </w:rPr>
        <w:t>人及以上，且营业收入</w:t>
      </w:r>
      <w:r>
        <w:rPr>
          <w:color w:val="auto"/>
          <w:szCs w:val="21"/>
          <w:highlight w:val="none"/>
        </w:rPr>
        <w:t>2000</w:t>
      </w:r>
      <w:r>
        <w:rPr>
          <w:rFonts w:hint="eastAsia"/>
          <w:color w:val="auto"/>
          <w:szCs w:val="21"/>
          <w:highlight w:val="none"/>
        </w:rPr>
        <w:t>万元及以上的为中型企业；从业人员</w:t>
      </w:r>
      <w:r>
        <w:rPr>
          <w:color w:val="auto"/>
          <w:szCs w:val="21"/>
          <w:highlight w:val="none"/>
        </w:rPr>
        <w:t>20</w:t>
      </w:r>
      <w:r>
        <w:rPr>
          <w:rFonts w:hint="eastAsia"/>
          <w:color w:val="auto"/>
          <w:szCs w:val="21"/>
          <w:highlight w:val="none"/>
        </w:rPr>
        <w:t>人及以上，且营业收入</w:t>
      </w:r>
      <w:r>
        <w:rPr>
          <w:color w:val="auto"/>
          <w:szCs w:val="21"/>
          <w:highlight w:val="none"/>
        </w:rPr>
        <w:t>300</w:t>
      </w:r>
      <w:r>
        <w:rPr>
          <w:rFonts w:hint="eastAsia"/>
          <w:color w:val="auto"/>
          <w:szCs w:val="21"/>
          <w:highlight w:val="none"/>
        </w:rPr>
        <w:t>万元及以上的为小型企业；从业人员</w:t>
      </w:r>
      <w:r>
        <w:rPr>
          <w:color w:val="auto"/>
          <w:szCs w:val="21"/>
          <w:highlight w:val="none"/>
        </w:rPr>
        <w:t>20</w:t>
      </w:r>
      <w:r>
        <w:rPr>
          <w:rFonts w:hint="eastAsia"/>
          <w:color w:val="auto"/>
          <w:szCs w:val="21"/>
          <w:highlight w:val="none"/>
        </w:rPr>
        <w:t>人以下或营业收入</w:t>
      </w:r>
      <w:r>
        <w:rPr>
          <w:color w:val="auto"/>
          <w:szCs w:val="21"/>
          <w:highlight w:val="none"/>
        </w:rPr>
        <w:t>300</w:t>
      </w:r>
      <w:r>
        <w:rPr>
          <w:rFonts w:hint="eastAsia"/>
          <w:color w:val="auto"/>
          <w:szCs w:val="21"/>
          <w:highlight w:val="none"/>
        </w:rPr>
        <w:t>万元以下的为微型企业。</w:t>
      </w:r>
    </w:p>
    <w:p w14:paraId="04B9545C">
      <w:pPr>
        <w:pStyle w:val="222"/>
        <w:rPr>
          <w:color w:val="auto"/>
          <w:szCs w:val="21"/>
          <w:highlight w:val="none"/>
        </w:rPr>
      </w:pPr>
      <w:r>
        <w:rPr>
          <w:rFonts w:hint="eastAsia"/>
          <w:color w:val="auto"/>
          <w:szCs w:val="21"/>
          <w:highlight w:val="none"/>
        </w:rPr>
        <w:t>　　（三）建筑业。营业收入</w:t>
      </w:r>
      <w:r>
        <w:rPr>
          <w:color w:val="auto"/>
          <w:szCs w:val="21"/>
          <w:highlight w:val="none"/>
        </w:rPr>
        <w:t>80000</w:t>
      </w:r>
      <w:r>
        <w:rPr>
          <w:rFonts w:hint="eastAsia"/>
          <w:color w:val="auto"/>
          <w:szCs w:val="21"/>
          <w:highlight w:val="none"/>
        </w:rPr>
        <w:t>万元以下或资产总额</w:t>
      </w:r>
      <w:r>
        <w:rPr>
          <w:color w:val="auto"/>
          <w:szCs w:val="21"/>
          <w:highlight w:val="none"/>
        </w:rPr>
        <w:t>80000</w:t>
      </w:r>
      <w:r>
        <w:rPr>
          <w:rFonts w:hint="eastAsia"/>
          <w:color w:val="auto"/>
          <w:szCs w:val="21"/>
          <w:highlight w:val="none"/>
        </w:rPr>
        <w:t>万元以下的为中小微型企业。其中，营业收入</w:t>
      </w:r>
      <w:r>
        <w:rPr>
          <w:color w:val="auto"/>
          <w:szCs w:val="21"/>
          <w:highlight w:val="none"/>
        </w:rPr>
        <w:t>6000</w:t>
      </w:r>
      <w:r>
        <w:rPr>
          <w:rFonts w:hint="eastAsia"/>
          <w:color w:val="auto"/>
          <w:szCs w:val="21"/>
          <w:highlight w:val="none"/>
        </w:rPr>
        <w:t>万元及以上，且资产总额</w:t>
      </w:r>
      <w:r>
        <w:rPr>
          <w:color w:val="auto"/>
          <w:szCs w:val="21"/>
          <w:highlight w:val="none"/>
        </w:rPr>
        <w:t>5000</w:t>
      </w:r>
      <w:r>
        <w:rPr>
          <w:rFonts w:hint="eastAsia"/>
          <w:color w:val="auto"/>
          <w:szCs w:val="21"/>
          <w:highlight w:val="none"/>
        </w:rPr>
        <w:t>万元及以上的为中型企业；营业收入</w:t>
      </w:r>
      <w:r>
        <w:rPr>
          <w:color w:val="auto"/>
          <w:szCs w:val="21"/>
          <w:highlight w:val="none"/>
        </w:rPr>
        <w:t>300</w:t>
      </w:r>
      <w:r>
        <w:rPr>
          <w:rFonts w:hint="eastAsia"/>
          <w:color w:val="auto"/>
          <w:szCs w:val="21"/>
          <w:highlight w:val="none"/>
        </w:rPr>
        <w:t>万元及以上，且资产总额</w:t>
      </w:r>
      <w:r>
        <w:rPr>
          <w:color w:val="auto"/>
          <w:szCs w:val="21"/>
          <w:highlight w:val="none"/>
        </w:rPr>
        <w:t>300</w:t>
      </w:r>
      <w:r>
        <w:rPr>
          <w:rFonts w:hint="eastAsia"/>
          <w:color w:val="auto"/>
          <w:szCs w:val="21"/>
          <w:highlight w:val="none"/>
        </w:rPr>
        <w:t>万元及以上的为小型企业；营业收入</w:t>
      </w:r>
      <w:r>
        <w:rPr>
          <w:color w:val="auto"/>
          <w:szCs w:val="21"/>
          <w:highlight w:val="none"/>
        </w:rPr>
        <w:t>300</w:t>
      </w:r>
      <w:r>
        <w:rPr>
          <w:rFonts w:hint="eastAsia"/>
          <w:color w:val="auto"/>
          <w:szCs w:val="21"/>
          <w:highlight w:val="none"/>
        </w:rPr>
        <w:t>万元以下或资产总额</w:t>
      </w:r>
      <w:r>
        <w:rPr>
          <w:color w:val="auto"/>
          <w:szCs w:val="21"/>
          <w:highlight w:val="none"/>
        </w:rPr>
        <w:t>300</w:t>
      </w:r>
      <w:r>
        <w:rPr>
          <w:rFonts w:hint="eastAsia"/>
          <w:color w:val="auto"/>
          <w:szCs w:val="21"/>
          <w:highlight w:val="none"/>
        </w:rPr>
        <w:t>万元以下的为微型企业。</w:t>
      </w:r>
    </w:p>
    <w:p w14:paraId="2F2A257C">
      <w:pPr>
        <w:pStyle w:val="222"/>
        <w:rPr>
          <w:color w:val="auto"/>
          <w:szCs w:val="21"/>
          <w:highlight w:val="none"/>
        </w:rPr>
      </w:pPr>
      <w:r>
        <w:rPr>
          <w:rFonts w:hint="eastAsia"/>
          <w:color w:val="auto"/>
          <w:szCs w:val="21"/>
          <w:highlight w:val="none"/>
        </w:rPr>
        <w:t>　　（四）批发业。从业人员</w:t>
      </w:r>
      <w:r>
        <w:rPr>
          <w:color w:val="auto"/>
          <w:szCs w:val="21"/>
          <w:highlight w:val="none"/>
        </w:rPr>
        <w:t>200</w:t>
      </w:r>
      <w:r>
        <w:rPr>
          <w:rFonts w:hint="eastAsia"/>
          <w:color w:val="auto"/>
          <w:szCs w:val="21"/>
          <w:highlight w:val="none"/>
        </w:rPr>
        <w:t>人以下或营业收入</w:t>
      </w:r>
      <w:r>
        <w:rPr>
          <w:color w:val="auto"/>
          <w:szCs w:val="21"/>
          <w:highlight w:val="none"/>
        </w:rPr>
        <w:t>40000</w:t>
      </w:r>
      <w:r>
        <w:rPr>
          <w:rFonts w:hint="eastAsia"/>
          <w:color w:val="auto"/>
          <w:szCs w:val="21"/>
          <w:highlight w:val="none"/>
        </w:rPr>
        <w:t>万元以下的为中小微型企业。其中，从业人员</w:t>
      </w:r>
      <w:r>
        <w:rPr>
          <w:color w:val="auto"/>
          <w:szCs w:val="21"/>
          <w:highlight w:val="none"/>
        </w:rPr>
        <w:t>20</w:t>
      </w:r>
      <w:r>
        <w:rPr>
          <w:rFonts w:hint="eastAsia"/>
          <w:color w:val="auto"/>
          <w:szCs w:val="21"/>
          <w:highlight w:val="none"/>
        </w:rPr>
        <w:t>人及以上，且营业收入</w:t>
      </w:r>
      <w:r>
        <w:rPr>
          <w:color w:val="auto"/>
          <w:szCs w:val="21"/>
          <w:highlight w:val="none"/>
        </w:rPr>
        <w:t>5000</w:t>
      </w:r>
      <w:r>
        <w:rPr>
          <w:rFonts w:hint="eastAsia"/>
          <w:color w:val="auto"/>
          <w:szCs w:val="21"/>
          <w:highlight w:val="none"/>
        </w:rPr>
        <w:t>万元及以上的为中型企业；从业人员</w:t>
      </w:r>
      <w:r>
        <w:rPr>
          <w:color w:val="auto"/>
          <w:szCs w:val="21"/>
          <w:highlight w:val="none"/>
        </w:rPr>
        <w:t>5</w:t>
      </w:r>
      <w:r>
        <w:rPr>
          <w:rFonts w:hint="eastAsia"/>
          <w:color w:val="auto"/>
          <w:szCs w:val="21"/>
          <w:highlight w:val="none"/>
        </w:rPr>
        <w:t>人及以上，且营业收入</w:t>
      </w:r>
      <w:r>
        <w:rPr>
          <w:color w:val="auto"/>
          <w:szCs w:val="21"/>
          <w:highlight w:val="none"/>
        </w:rPr>
        <w:t>1000</w:t>
      </w:r>
      <w:r>
        <w:rPr>
          <w:rFonts w:hint="eastAsia"/>
          <w:color w:val="auto"/>
          <w:szCs w:val="21"/>
          <w:highlight w:val="none"/>
        </w:rPr>
        <w:t>万元及以上的为小型企业；从业人员</w:t>
      </w:r>
      <w:r>
        <w:rPr>
          <w:color w:val="auto"/>
          <w:szCs w:val="21"/>
          <w:highlight w:val="none"/>
        </w:rPr>
        <w:t>5</w:t>
      </w:r>
      <w:r>
        <w:rPr>
          <w:rFonts w:hint="eastAsia"/>
          <w:color w:val="auto"/>
          <w:szCs w:val="21"/>
          <w:highlight w:val="none"/>
        </w:rPr>
        <w:t>人以下或营业收入</w:t>
      </w:r>
      <w:r>
        <w:rPr>
          <w:color w:val="auto"/>
          <w:szCs w:val="21"/>
          <w:highlight w:val="none"/>
        </w:rPr>
        <w:t>1000</w:t>
      </w:r>
      <w:r>
        <w:rPr>
          <w:rFonts w:hint="eastAsia"/>
          <w:color w:val="auto"/>
          <w:szCs w:val="21"/>
          <w:highlight w:val="none"/>
        </w:rPr>
        <w:t>万元以下的为微型企业。</w:t>
      </w:r>
    </w:p>
    <w:p w14:paraId="21491EA8">
      <w:pPr>
        <w:pStyle w:val="222"/>
        <w:rPr>
          <w:color w:val="auto"/>
          <w:szCs w:val="21"/>
          <w:highlight w:val="none"/>
        </w:rPr>
      </w:pPr>
      <w:r>
        <w:rPr>
          <w:rFonts w:hint="eastAsia"/>
          <w:color w:val="auto"/>
          <w:szCs w:val="21"/>
          <w:highlight w:val="none"/>
        </w:rPr>
        <w:t>　　（五）零售业。从业人员</w:t>
      </w:r>
      <w:r>
        <w:rPr>
          <w:color w:val="auto"/>
          <w:szCs w:val="21"/>
          <w:highlight w:val="none"/>
        </w:rPr>
        <w:t>300</w:t>
      </w:r>
      <w:r>
        <w:rPr>
          <w:rFonts w:hint="eastAsia"/>
          <w:color w:val="auto"/>
          <w:szCs w:val="21"/>
          <w:highlight w:val="none"/>
        </w:rPr>
        <w:t>人以下或营业收入</w:t>
      </w:r>
      <w:r>
        <w:rPr>
          <w:color w:val="auto"/>
          <w:szCs w:val="21"/>
          <w:highlight w:val="none"/>
        </w:rPr>
        <w:t>20000</w:t>
      </w:r>
      <w:r>
        <w:rPr>
          <w:rFonts w:hint="eastAsia"/>
          <w:color w:val="auto"/>
          <w:szCs w:val="21"/>
          <w:highlight w:val="none"/>
        </w:rPr>
        <w:t>万元以下的为中小微型企业。其中，从业人员</w:t>
      </w:r>
      <w:r>
        <w:rPr>
          <w:color w:val="auto"/>
          <w:szCs w:val="21"/>
          <w:highlight w:val="none"/>
        </w:rPr>
        <w:t>50</w:t>
      </w:r>
      <w:r>
        <w:rPr>
          <w:rFonts w:hint="eastAsia"/>
          <w:color w:val="auto"/>
          <w:szCs w:val="21"/>
          <w:highlight w:val="none"/>
        </w:rPr>
        <w:t>人及以上，且营业收入</w:t>
      </w:r>
      <w:r>
        <w:rPr>
          <w:color w:val="auto"/>
          <w:szCs w:val="21"/>
          <w:highlight w:val="none"/>
        </w:rPr>
        <w:t>500</w:t>
      </w:r>
      <w:r>
        <w:rPr>
          <w:rFonts w:hint="eastAsia"/>
          <w:color w:val="auto"/>
          <w:szCs w:val="21"/>
          <w:highlight w:val="none"/>
        </w:rPr>
        <w:t>万元及以上的为中型企业；从业人员</w:t>
      </w:r>
      <w:r>
        <w:rPr>
          <w:color w:val="auto"/>
          <w:szCs w:val="21"/>
          <w:highlight w:val="none"/>
        </w:rPr>
        <w:t>10</w:t>
      </w:r>
      <w:r>
        <w:rPr>
          <w:rFonts w:hint="eastAsia"/>
          <w:color w:val="auto"/>
          <w:szCs w:val="21"/>
          <w:highlight w:val="none"/>
        </w:rPr>
        <w:t>人及以上，且营业收入</w:t>
      </w:r>
      <w:r>
        <w:rPr>
          <w:color w:val="auto"/>
          <w:szCs w:val="21"/>
          <w:highlight w:val="none"/>
        </w:rPr>
        <w:t>100</w:t>
      </w:r>
      <w:r>
        <w:rPr>
          <w:rFonts w:hint="eastAsia"/>
          <w:color w:val="auto"/>
          <w:szCs w:val="21"/>
          <w:highlight w:val="none"/>
        </w:rPr>
        <w:t>万元及以上的为小型企业；从业人员</w:t>
      </w:r>
      <w:r>
        <w:rPr>
          <w:color w:val="auto"/>
          <w:szCs w:val="21"/>
          <w:highlight w:val="none"/>
        </w:rPr>
        <w:t>10</w:t>
      </w:r>
      <w:r>
        <w:rPr>
          <w:rFonts w:hint="eastAsia"/>
          <w:color w:val="auto"/>
          <w:szCs w:val="21"/>
          <w:highlight w:val="none"/>
        </w:rPr>
        <w:t>人以下或营业收入</w:t>
      </w:r>
      <w:r>
        <w:rPr>
          <w:color w:val="auto"/>
          <w:szCs w:val="21"/>
          <w:highlight w:val="none"/>
        </w:rPr>
        <w:t>100</w:t>
      </w:r>
      <w:r>
        <w:rPr>
          <w:rFonts w:hint="eastAsia"/>
          <w:color w:val="auto"/>
          <w:szCs w:val="21"/>
          <w:highlight w:val="none"/>
        </w:rPr>
        <w:t>万元以下的为微型企业。</w:t>
      </w:r>
    </w:p>
    <w:p w14:paraId="4E83F278">
      <w:pPr>
        <w:pStyle w:val="222"/>
        <w:rPr>
          <w:color w:val="auto"/>
          <w:szCs w:val="21"/>
          <w:highlight w:val="none"/>
        </w:rPr>
      </w:pPr>
      <w:r>
        <w:rPr>
          <w:rFonts w:hint="eastAsia"/>
          <w:color w:val="auto"/>
          <w:szCs w:val="21"/>
          <w:highlight w:val="none"/>
        </w:rPr>
        <w:t>　　（六）交通运输业。从业人员</w:t>
      </w:r>
      <w:r>
        <w:rPr>
          <w:color w:val="auto"/>
          <w:szCs w:val="21"/>
          <w:highlight w:val="none"/>
        </w:rPr>
        <w:t>1000</w:t>
      </w:r>
      <w:r>
        <w:rPr>
          <w:rFonts w:hint="eastAsia"/>
          <w:color w:val="auto"/>
          <w:szCs w:val="21"/>
          <w:highlight w:val="none"/>
        </w:rPr>
        <w:t>人以下或营业收入</w:t>
      </w:r>
      <w:r>
        <w:rPr>
          <w:color w:val="auto"/>
          <w:szCs w:val="21"/>
          <w:highlight w:val="none"/>
        </w:rPr>
        <w:t>30000</w:t>
      </w:r>
      <w:r>
        <w:rPr>
          <w:rFonts w:hint="eastAsia"/>
          <w:color w:val="auto"/>
          <w:szCs w:val="21"/>
          <w:highlight w:val="none"/>
        </w:rPr>
        <w:t>万元以下的为中小微型企业。其中，从业人员</w:t>
      </w:r>
      <w:r>
        <w:rPr>
          <w:color w:val="auto"/>
          <w:szCs w:val="21"/>
          <w:highlight w:val="none"/>
        </w:rPr>
        <w:t>300</w:t>
      </w:r>
      <w:r>
        <w:rPr>
          <w:rFonts w:hint="eastAsia"/>
          <w:color w:val="auto"/>
          <w:szCs w:val="21"/>
          <w:highlight w:val="none"/>
        </w:rPr>
        <w:t>人及以上，且营业收入</w:t>
      </w:r>
      <w:r>
        <w:rPr>
          <w:color w:val="auto"/>
          <w:szCs w:val="21"/>
          <w:highlight w:val="none"/>
        </w:rPr>
        <w:t>3000</w:t>
      </w:r>
      <w:r>
        <w:rPr>
          <w:rFonts w:hint="eastAsia"/>
          <w:color w:val="auto"/>
          <w:szCs w:val="21"/>
          <w:highlight w:val="none"/>
        </w:rPr>
        <w:t>万元及以上的为中型企业；从业人员</w:t>
      </w:r>
      <w:r>
        <w:rPr>
          <w:color w:val="auto"/>
          <w:szCs w:val="21"/>
          <w:highlight w:val="none"/>
        </w:rPr>
        <w:t>20</w:t>
      </w:r>
      <w:r>
        <w:rPr>
          <w:rFonts w:hint="eastAsia"/>
          <w:color w:val="auto"/>
          <w:szCs w:val="21"/>
          <w:highlight w:val="none"/>
        </w:rPr>
        <w:t>人及以上，且营业收入</w:t>
      </w:r>
      <w:r>
        <w:rPr>
          <w:color w:val="auto"/>
          <w:szCs w:val="21"/>
          <w:highlight w:val="none"/>
        </w:rPr>
        <w:t>200</w:t>
      </w:r>
      <w:r>
        <w:rPr>
          <w:rFonts w:hint="eastAsia"/>
          <w:color w:val="auto"/>
          <w:szCs w:val="21"/>
          <w:highlight w:val="none"/>
        </w:rPr>
        <w:t>万元及以上的为小型企业；从业人员</w:t>
      </w:r>
      <w:r>
        <w:rPr>
          <w:color w:val="auto"/>
          <w:szCs w:val="21"/>
          <w:highlight w:val="none"/>
        </w:rPr>
        <w:t>20</w:t>
      </w:r>
      <w:r>
        <w:rPr>
          <w:rFonts w:hint="eastAsia"/>
          <w:color w:val="auto"/>
          <w:szCs w:val="21"/>
          <w:highlight w:val="none"/>
        </w:rPr>
        <w:t>人以下或营业收入</w:t>
      </w:r>
      <w:r>
        <w:rPr>
          <w:color w:val="auto"/>
          <w:szCs w:val="21"/>
          <w:highlight w:val="none"/>
        </w:rPr>
        <w:t>200</w:t>
      </w:r>
      <w:r>
        <w:rPr>
          <w:rFonts w:hint="eastAsia"/>
          <w:color w:val="auto"/>
          <w:szCs w:val="21"/>
          <w:highlight w:val="none"/>
        </w:rPr>
        <w:t>万元以下的为微型企业。</w:t>
      </w:r>
    </w:p>
    <w:p w14:paraId="1C9A6951">
      <w:pPr>
        <w:pStyle w:val="222"/>
        <w:rPr>
          <w:color w:val="auto"/>
          <w:szCs w:val="21"/>
          <w:highlight w:val="none"/>
        </w:rPr>
      </w:pPr>
      <w:r>
        <w:rPr>
          <w:rFonts w:hint="eastAsia"/>
          <w:color w:val="auto"/>
          <w:szCs w:val="21"/>
          <w:highlight w:val="none"/>
        </w:rPr>
        <w:t>　　（七）仓储业。从业人员</w:t>
      </w:r>
      <w:r>
        <w:rPr>
          <w:color w:val="auto"/>
          <w:szCs w:val="21"/>
          <w:highlight w:val="none"/>
        </w:rPr>
        <w:t>200</w:t>
      </w:r>
      <w:r>
        <w:rPr>
          <w:rFonts w:hint="eastAsia"/>
          <w:color w:val="auto"/>
          <w:szCs w:val="21"/>
          <w:highlight w:val="none"/>
        </w:rPr>
        <w:t>人以下或营业收入</w:t>
      </w:r>
      <w:r>
        <w:rPr>
          <w:color w:val="auto"/>
          <w:szCs w:val="21"/>
          <w:highlight w:val="none"/>
        </w:rPr>
        <w:t>30000</w:t>
      </w:r>
      <w:r>
        <w:rPr>
          <w:rFonts w:hint="eastAsia"/>
          <w:color w:val="auto"/>
          <w:szCs w:val="21"/>
          <w:highlight w:val="none"/>
        </w:rPr>
        <w:t>万元以下的为中小微型企业。其中，从业人员</w:t>
      </w:r>
      <w:r>
        <w:rPr>
          <w:color w:val="auto"/>
          <w:szCs w:val="21"/>
          <w:highlight w:val="none"/>
        </w:rPr>
        <w:t>100</w:t>
      </w:r>
      <w:r>
        <w:rPr>
          <w:rFonts w:hint="eastAsia"/>
          <w:color w:val="auto"/>
          <w:szCs w:val="21"/>
          <w:highlight w:val="none"/>
        </w:rPr>
        <w:t>人及以上，且营业收入</w:t>
      </w:r>
      <w:r>
        <w:rPr>
          <w:color w:val="auto"/>
          <w:szCs w:val="21"/>
          <w:highlight w:val="none"/>
        </w:rPr>
        <w:t>1000</w:t>
      </w:r>
      <w:r>
        <w:rPr>
          <w:rFonts w:hint="eastAsia"/>
          <w:color w:val="auto"/>
          <w:szCs w:val="21"/>
          <w:highlight w:val="none"/>
        </w:rPr>
        <w:t>万元及以上的为中型企业；从业人员</w:t>
      </w:r>
      <w:r>
        <w:rPr>
          <w:color w:val="auto"/>
          <w:szCs w:val="21"/>
          <w:highlight w:val="none"/>
        </w:rPr>
        <w:t>20</w:t>
      </w:r>
      <w:r>
        <w:rPr>
          <w:rFonts w:hint="eastAsia"/>
          <w:color w:val="auto"/>
          <w:szCs w:val="21"/>
          <w:highlight w:val="none"/>
        </w:rPr>
        <w:t>人及以上，且营业收入</w:t>
      </w:r>
      <w:r>
        <w:rPr>
          <w:color w:val="auto"/>
          <w:szCs w:val="21"/>
          <w:highlight w:val="none"/>
        </w:rPr>
        <w:t>100</w:t>
      </w:r>
      <w:r>
        <w:rPr>
          <w:rFonts w:hint="eastAsia"/>
          <w:color w:val="auto"/>
          <w:szCs w:val="21"/>
          <w:highlight w:val="none"/>
        </w:rPr>
        <w:t>万元及以上的为小型企业；从业人员</w:t>
      </w:r>
      <w:r>
        <w:rPr>
          <w:color w:val="auto"/>
          <w:szCs w:val="21"/>
          <w:highlight w:val="none"/>
        </w:rPr>
        <w:t>20</w:t>
      </w:r>
      <w:r>
        <w:rPr>
          <w:rFonts w:hint="eastAsia"/>
          <w:color w:val="auto"/>
          <w:szCs w:val="21"/>
          <w:highlight w:val="none"/>
        </w:rPr>
        <w:t>人以下或营业收入</w:t>
      </w:r>
      <w:r>
        <w:rPr>
          <w:color w:val="auto"/>
          <w:szCs w:val="21"/>
          <w:highlight w:val="none"/>
        </w:rPr>
        <w:t>100</w:t>
      </w:r>
      <w:r>
        <w:rPr>
          <w:rFonts w:hint="eastAsia"/>
          <w:color w:val="auto"/>
          <w:szCs w:val="21"/>
          <w:highlight w:val="none"/>
        </w:rPr>
        <w:t>万元以下的为微型企业。</w:t>
      </w:r>
    </w:p>
    <w:p w14:paraId="15E9AC86">
      <w:pPr>
        <w:pStyle w:val="222"/>
        <w:rPr>
          <w:color w:val="auto"/>
          <w:szCs w:val="21"/>
          <w:highlight w:val="none"/>
        </w:rPr>
      </w:pPr>
      <w:r>
        <w:rPr>
          <w:rFonts w:hint="eastAsia"/>
          <w:color w:val="auto"/>
          <w:szCs w:val="21"/>
          <w:highlight w:val="none"/>
        </w:rPr>
        <w:t>　　（八）邮政业。从业人员</w:t>
      </w:r>
      <w:r>
        <w:rPr>
          <w:color w:val="auto"/>
          <w:szCs w:val="21"/>
          <w:highlight w:val="none"/>
        </w:rPr>
        <w:t>1000</w:t>
      </w:r>
      <w:r>
        <w:rPr>
          <w:rFonts w:hint="eastAsia"/>
          <w:color w:val="auto"/>
          <w:szCs w:val="21"/>
          <w:highlight w:val="none"/>
        </w:rPr>
        <w:t>人以下或营业收入</w:t>
      </w:r>
      <w:r>
        <w:rPr>
          <w:color w:val="auto"/>
          <w:szCs w:val="21"/>
          <w:highlight w:val="none"/>
        </w:rPr>
        <w:t>30000</w:t>
      </w:r>
      <w:r>
        <w:rPr>
          <w:rFonts w:hint="eastAsia"/>
          <w:color w:val="auto"/>
          <w:szCs w:val="21"/>
          <w:highlight w:val="none"/>
        </w:rPr>
        <w:t>万元以下的为中小微型企业。其中，从业人员</w:t>
      </w:r>
      <w:r>
        <w:rPr>
          <w:color w:val="auto"/>
          <w:szCs w:val="21"/>
          <w:highlight w:val="none"/>
        </w:rPr>
        <w:t>300</w:t>
      </w:r>
      <w:r>
        <w:rPr>
          <w:rFonts w:hint="eastAsia"/>
          <w:color w:val="auto"/>
          <w:szCs w:val="21"/>
          <w:highlight w:val="none"/>
        </w:rPr>
        <w:t>人及以上，且营业收入</w:t>
      </w:r>
      <w:r>
        <w:rPr>
          <w:color w:val="auto"/>
          <w:szCs w:val="21"/>
          <w:highlight w:val="none"/>
        </w:rPr>
        <w:t>2000</w:t>
      </w:r>
      <w:r>
        <w:rPr>
          <w:rFonts w:hint="eastAsia"/>
          <w:color w:val="auto"/>
          <w:szCs w:val="21"/>
          <w:highlight w:val="none"/>
        </w:rPr>
        <w:t>万元及以上的为中型企业；从业人员</w:t>
      </w:r>
      <w:r>
        <w:rPr>
          <w:color w:val="auto"/>
          <w:szCs w:val="21"/>
          <w:highlight w:val="none"/>
        </w:rPr>
        <w:t>20</w:t>
      </w:r>
      <w:r>
        <w:rPr>
          <w:rFonts w:hint="eastAsia"/>
          <w:color w:val="auto"/>
          <w:szCs w:val="21"/>
          <w:highlight w:val="none"/>
        </w:rPr>
        <w:t>人及以上，且营业收入</w:t>
      </w:r>
      <w:r>
        <w:rPr>
          <w:color w:val="auto"/>
          <w:szCs w:val="21"/>
          <w:highlight w:val="none"/>
        </w:rPr>
        <w:t>100</w:t>
      </w:r>
      <w:r>
        <w:rPr>
          <w:rFonts w:hint="eastAsia"/>
          <w:color w:val="auto"/>
          <w:szCs w:val="21"/>
          <w:highlight w:val="none"/>
        </w:rPr>
        <w:t>万元及以上的为小型企业；从业人员</w:t>
      </w:r>
      <w:r>
        <w:rPr>
          <w:color w:val="auto"/>
          <w:szCs w:val="21"/>
          <w:highlight w:val="none"/>
        </w:rPr>
        <w:t>20</w:t>
      </w:r>
      <w:r>
        <w:rPr>
          <w:rFonts w:hint="eastAsia"/>
          <w:color w:val="auto"/>
          <w:szCs w:val="21"/>
          <w:highlight w:val="none"/>
        </w:rPr>
        <w:t>人以下或营业收入</w:t>
      </w:r>
      <w:r>
        <w:rPr>
          <w:color w:val="auto"/>
          <w:szCs w:val="21"/>
          <w:highlight w:val="none"/>
        </w:rPr>
        <w:t>100</w:t>
      </w:r>
      <w:r>
        <w:rPr>
          <w:rFonts w:hint="eastAsia"/>
          <w:color w:val="auto"/>
          <w:szCs w:val="21"/>
          <w:highlight w:val="none"/>
        </w:rPr>
        <w:t>万元以下的为微型企业。</w:t>
      </w:r>
    </w:p>
    <w:p w14:paraId="1BE75CBD">
      <w:pPr>
        <w:pStyle w:val="222"/>
        <w:rPr>
          <w:color w:val="auto"/>
          <w:szCs w:val="21"/>
          <w:highlight w:val="none"/>
        </w:rPr>
      </w:pPr>
      <w:r>
        <w:rPr>
          <w:rFonts w:hint="eastAsia"/>
          <w:color w:val="auto"/>
          <w:szCs w:val="21"/>
          <w:highlight w:val="none"/>
        </w:rPr>
        <w:t>　　（九）住宿业。从业人员</w:t>
      </w:r>
      <w:r>
        <w:rPr>
          <w:color w:val="auto"/>
          <w:szCs w:val="21"/>
          <w:highlight w:val="none"/>
        </w:rPr>
        <w:t>300</w:t>
      </w:r>
      <w:r>
        <w:rPr>
          <w:rFonts w:hint="eastAsia"/>
          <w:color w:val="auto"/>
          <w:szCs w:val="21"/>
          <w:highlight w:val="none"/>
        </w:rPr>
        <w:t>人以下或营业收入</w:t>
      </w:r>
      <w:r>
        <w:rPr>
          <w:color w:val="auto"/>
          <w:szCs w:val="21"/>
          <w:highlight w:val="none"/>
        </w:rPr>
        <w:t>10000</w:t>
      </w:r>
      <w:r>
        <w:rPr>
          <w:rFonts w:hint="eastAsia"/>
          <w:color w:val="auto"/>
          <w:szCs w:val="21"/>
          <w:highlight w:val="none"/>
        </w:rPr>
        <w:t>万元以下的为中小微型企业。其中，从业人员</w:t>
      </w:r>
      <w:r>
        <w:rPr>
          <w:color w:val="auto"/>
          <w:szCs w:val="21"/>
          <w:highlight w:val="none"/>
        </w:rPr>
        <w:t>100</w:t>
      </w:r>
      <w:r>
        <w:rPr>
          <w:rFonts w:hint="eastAsia"/>
          <w:color w:val="auto"/>
          <w:szCs w:val="21"/>
          <w:highlight w:val="none"/>
        </w:rPr>
        <w:t>人及以上，且营业收入</w:t>
      </w:r>
      <w:r>
        <w:rPr>
          <w:color w:val="auto"/>
          <w:szCs w:val="21"/>
          <w:highlight w:val="none"/>
        </w:rPr>
        <w:t>2000</w:t>
      </w:r>
      <w:r>
        <w:rPr>
          <w:rFonts w:hint="eastAsia"/>
          <w:color w:val="auto"/>
          <w:szCs w:val="21"/>
          <w:highlight w:val="none"/>
        </w:rPr>
        <w:t>万元及以上的为中型企业；从业人员</w:t>
      </w:r>
      <w:r>
        <w:rPr>
          <w:color w:val="auto"/>
          <w:szCs w:val="21"/>
          <w:highlight w:val="none"/>
        </w:rPr>
        <w:t>10</w:t>
      </w:r>
      <w:r>
        <w:rPr>
          <w:rFonts w:hint="eastAsia"/>
          <w:color w:val="auto"/>
          <w:szCs w:val="21"/>
          <w:highlight w:val="none"/>
        </w:rPr>
        <w:t>人及以上，且营业收入</w:t>
      </w:r>
      <w:r>
        <w:rPr>
          <w:color w:val="auto"/>
          <w:szCs w:val="21"/>
          <w:highlight w:val="none"/>
        </w:rPr>
        <w:t>100</w:t>
      </w:r>
      <w:r>
        <w:rPr>
          <w:rFonts w:hint="eastAsia"/>
          <w:color w:val="auto"/>
          <w:szCs w:val="21"/>
          <w:highlight w:val="none"/>
        </w:rPr>
        <w:t>万元及以上的为小型企业；从业人员</w:t>
      </w:r>
      <w:r>
        <w:rPr>
          <w:color w:val="auto"/>
          <w:szCs w:val="21"/>
          <w:highlight w:val="none"/>
        </w:rPr>
        <w:t>10</w:t>
      </w:r>
      <w:r>
        <w:rPr>
          <w:rFonts w:hint="eastAsia"/>
          <w:color w:val="auto"/>
          <w:szCs w:val="21"/>
          <w:highlight w:val="none"/>
        </w:rPr>
        <w:t>人以下或营业收入</w:t>
      </w:r>
      <w:r>
        <w:rPr>
          <w:color w:val="auto"/>
          <w:szCs w:val="21"/>
          <w:highlight w:val="none"/>
        </w:rPr>
        <w:t>100</w:t>
      </w:r>
      <w:r>
        <w:rPr>
          <w:rFonts w:hint="eastAsia"/>
          <w:color w:val="auto"/>
          <w:szCs w:val="21"/>
          <w:highlight w:val="none"/>
        </w:rPr>
        <w:t>万元以下的为微型企业。</w:t>
      </w:r>
    </w:p>
    <w:p w14:paraId="734230AB">
      <w:pPr>
        <w:pStyle w:val="222"/>
        <w:rPr>
          <w:color w:val="auto"/>
          <w:szCs w:val="21"/>
          <w:highlight w:val="none"/>
        </w:rPr>
      </w:pPr>
      <w:r>
        <w:rPr>
          <w:rFonts w:hint="eastAsia"/>
          <w:color w:val="auto"/>
          <w:szCs w:val="21"/>
          <w:highlight w:val="none"/>
        </w:rPr>
        <w:t>　　（十）餐饮业。从业人员</w:t>
      </w:r>
      <w:r>
        <w:rPr>
          <w:color w:val="auto"/>
          <w:szCs w:val="21"/>
          <w:highlight w:val="none"/>
        </w:rPr>
        <w:t>300</w:t>
      </w:r>
      <w:r>
        <w:rPr>
          <w:rFonts w:hint="eastAsia"/>
          <w:color w:val="auto"/>
          <w:szCs w:val="21"/>
          <w:highlight w:val="none"/>
        </w:rPr>
        <w:t>人以下或营业收入</w:t>
      </w:r>
      <w:r>
        <w:rPr>
          <w:color w:val="auto"/>
          <w:szCs w:val="21"/>
          <w:highlight w:val="none"/>
        </w:rPr>
        <w:t>10000</w:t>
      </w:r>
      <w:r>
        <w:rPr>
          <w:rFonts w:hint="eastAsia"/>
          <w:color w:val="auto"/>
          <w:szCs w:val="21"/>
          <w:highlight w:val="none"/>
        </w:rPr>
        <w:t>万元以下的为中小微型企业。其中，从业人员</w:t>
      </w:r>
      <w:r>
        <w:rPr>
          <w:color w:val="auto"/>
          <w:szCs w:val="21"/>
          <w:highlight w:val="none"/>
        </w:rPr>
        <w:t>100</w:t>
      </w:r>
      <w:r>
        <w:rPr>
          <w:rFonts w:hint="eastAsia"/>
          <w:color w:val="auto"/>
          <w:szCs w:val="21"/>
          <w:highlight w:val="none"/>
        </w:rPr>
        <w:t>人及以上，且营业收入</w:t>
      </w:r>
      <w:r>
        <w:rPr>
          <w:color w:val="auto"/>
          <w:szCs w:val="21"/>
          <w:highlight w:val="none"/>
        </w:rPr>
        <w:t>2000</w:t>
      </w:r>
      <w:r>
        <w:rPr>
          <w:rFonts w:hint="eastAsia"/>
          <w:color w:val="auto"/>
          <w:szCs w:val="21"/>
          <w:highlight w:val="none"/>
        </w:rPr>
        <w:t>万元及以上的为中型企业；从业人员</w:t>
      </w:r>
      <w:r>
        <w:rPr>
          <w:color w:val="auto"/>
          <w:szCs w:val="21"/>
          <w:highlight w:val="none"/>
        </w:rPr>
        <w:t>10</w:t>
      </w:r>
      <w:r>
        <w:rPr>
          <w:rFonts w:hint="eastAsia"/>
          <w:color w:val="auto"/>
          <w:szCs w:val="21"/>
          <w:highlight w:val="none"/>
        </w:rPr>
        <w:t>人及以上，且营业收入</w:t>
      </w:r>
      <w:r>
        <w:rPr>
          <w:color w:val="auto"/>
          <w:szCs w:val="21"/>
          <w:highlight w:val="none"/>
        </w:rPr>
        <w:t>100</w:t>
      </w:r>
      <w:r>
        <w:rPr>
          <w:rFonts w:hint="eastAsia"/>
          <w:color w:val="auto"/>
          <w:szCs w:val="21"/>
          <w:highlight w:val="none"/>
        </w:rPr>
        <w:t>万元及以上的为小型企业；从业人员</w:t>
      </w:r>
      <w:r>
        <w:rPr>
          <w:color w:val="auto"/>
          <w:szCs w:val="21"/>
          <w:highlight w:val="none"/>
        </w:rPr>
        <w:t>10</w:t>
      </w:r>
      <w:r>
        <w:rPr>
          <w:rFonts w:hint="eastAsia"/>
          <w:color w:val="auto"/>
          <w:szCs w:val="21"/>
          <w:highlight w:val="none"/>
        </w:rPr>
        <w:t>人以下或营业收入</w:t>
      </w:r>
      <w:r>
        <w:rPr>
          <w:color w:val="auto"/>
          <w:szCs w:val="21"/>
          <w:highlight w:val="none"/>
        </w:rPr>
        <w:t>100</w:t>
      </w:r>
      <w:r>
        <w:rPr>
          <w:rFonts w:hint="eastAsia"/>
          <w:color w:val="auto"/>
          <w:szCs w:val="21"/>
          <w:highlight w:val="none"/>
        </w:rPr>
        <w:t>万元以下的为微型企业。</w:t>
      </w:r>
    </w:p>
    <w:p w14:paraId="3EA70B57">
      <w:pPr>
        <w:pStyle w:val="222"/>
        <w:rPr>
          <w:color w:val="auto"/>
          <w:szCs w:val="21"/>
          <w:highlight w:val="none"/>
        </w:rPr>
      </w:pPr>
      <w:r>
        <w:rPr>
          <w:rFonts w:hint="eastAsia"/>
          <w:color w:val="auto"/>
          <w:szCs w:val="21"/>
          <w:highlight w:val="none"/>
        </w:rPr>
        <w:t>　　（十一）信息传输业。从业人员</w:t>
      </w:r>
      <w:r>
        <w:rPr>
          <w:color w:val="auto"/>
          <w:szCs w:val="21"/>
          <w:highlight w:val="none"/>
        </w:rPr>
        <w:t>2000</w:t>
      </w:r>
      <w:r>
        <w:rPr>
          <w:rFonts w:hint="eastAsia"/>
          <w:color w:val="auto"/>
          <w:szCs w:val="21"/>
          <w:highlight w:val="none"/>
        </w:rPr>
        <w:t>人以下或营业收入</w:t>
      </w:r>
      <w:r>
        <w:rPr>
          <w:color w:val="auto"/>
          <w:szCs w:val="21"/>
          <w:highlight w:val="none"/>
        </w:rPr>
        <w:t>100000</w:t>
      </w:r>
      <w:r>
        <w:rPr>
          <w:rFonts w:hint="eastAsia"/>
          <w:color w:val="auto"/>
          <w:szCs w:val="21"/>
          <w:highlight w:val="none"/>
        </w:rPr>
        <w:t>万元以下的为中小微型企业。其中，从业人员</w:t>
      </w:r>
      <w:r>
        <w:rPr>
          <w:color w:val="auto"/>
          <w:szCs w:val="21"/>
          <w:highlight w:val="none"/>
        </w:rPr>
        <w:t>100</w:t>
      </w:r>
      <w:r>
        <w:rPr>
          <w:rFonts w:hint="eastAsia"/>
          <w:color w:val="auto"/>
          <w:szCs w:val="21"/>
          <w:highlight w:val="none"/>
        </w:rPr>
        <w:t>人及以上，且营业收入</w:t>
      </w:r>
      <w:r>
        <w:rPr>
          <w:color w:val="auto"/>
          <w:szCs w:val="21"/>
          <w:highlight w:val="none"/>
        </w:rPr>
        <w:t>1000</w:t>
      </w:r>
      <w:r>
        <w:rPr>
          <w:rFonts w:hint="eastAsia"/>
          <w:color w:val="auto"/>
          <w:szCs w:val="21"/>
          <w:highlight w:val="none"/>
        </w:rPr>
        <w:t>万元及以上的为中型企业；从业人员</w:t>
      </w:r>
      <w:r>
        <w:rPr>
          <w:color w:val="auto"/>
          <w:szCs w:val="21"/>
          <w:highlight w:val="none"/>
        </w:rPr>
        <w:t>10</w:t>
      </w:r>
      <w:r>
        <w:rPr>
          <w:rFonts w:hint="eastAsia"/>
          <w:color w:val="auto"/>
          <w:szCs w:val="21"/>
          <w:highlight w:val="none"/>
        </w:rPr>
        <w:t>人及以上，且营业收入</w:t>
      </w:r>
      <w:r>
        <w:rPr>
          <w:color w:val="auto"/>
          <w:szCs w:val="21"/>
          <w:highlight w:val="none"/>
        </w:rPr>
        <w:t>100</w:t>
      </w:r>
      <w:r>
        <w:rPr>
          <w:rFonts w:hint="eastAsia"/>
          <w:color w:val="auto"/>
          <w:szCs w:val="21"/>
          <w:highlight w:val="none"/>
        </w:rPr>
        <w:t>万元及以上的为小型企业；从业人员</w:t>
      </w:r>
      <w:r>
        <w:rPr>
          <w:color w:val="auto"/>
          <w:szCs w:val="21"/>
          <w:highlight w:val="none"/>
        </w:rPr>
        <w:t>10</w:t>
      </w:r>
      <w:r>
        <w:rPr>
          <w:rFonts w:hint="eastAsia"/>
          <w:color w:val="auto"/>
          <w:szCs w:val="21"/>
          <w:highlight w:val="none"/>
        </w:rPr>
        <w:t>人以下或营业收入</w:t>
      </w:r>
      <w:r>
        <w:rPr>
          <w:color w:val="auto"/>
          <w:szCs w:val="21"/>
          <w:highlight w:val="none"/>
        </w:rPr>
        <w:t>100</w:t>
      </w:r>
      <w:r>
        <w:rPr>
          <w:rFonts w:hint="eastAsia"/>
          <w:color w:val="auto"/>
          <w:szCs w:val="21"/>
          <w:highlight w:val="none"/>
        </w:rPr>
        <w:t>万元以下的为微型企业。</w:t>
      </w:r>
    </w:p>
    <w:p w14:paraId="03F6CA8C">
      <w:pPr>
        <w:pStyle w:val="222"/>
        <w:rPr>
          <w:color w:val="auto"/>
          <w:szCs w:val="21"/>
          <w:highlight w:val="none"/>
        </w:rPr>
      </w:pPr>
      <w:r>
        <w:rPr>
          <w:rFonts w:hint="eastAsia"/>
          <w:color w:val="auto"/>
          <w:szCs w:val="21"/>
          <w:highlight w:val="none"/>
        </w:rPr>
        <w:t>　　（十二）软件和信息技术服务业。从业人员</w:t>
      </w:r>
      <w:r>
        <w:rPr>
          <w:color w:val="auto"/>
          <w:szCs w:val="21"/>
          <w:highlight w:val="none"/>
        </w:rPr>
        <w:t>300</w:t>
      </w:r>
      <w:r>
        <w:rPr>
          <w:rFonts w:hint="eastAsia"/>
          <w:color w:val="auto"/>
          <w:szCs w:val="21"/>
          <w:highlight w:val="none"/>
        </w:rPr>
        <w:t>人以下或营业收入</w:t>
      </w:r>
      <w:r>
        <w:rPr>
          <w:color w:val="auto"/>
          <w:szCs w:val="21"/>
          <w:highlight w:val="none"/>
        </w:rPr>
        <w:t>10000</w:t>
      </w:r>
      <w:r>
        <w:rPr>
          <w:rFonts w:hint="eastAsia"/>
          <w:color w:val="auto"/>
          <w:szCs w:val="21"/>
          <w:highlight w:val="none"/>
        </w:rPr>
        <w:t>万元以下的为中小微型企业。其中，从业人员</w:t>
      </w:r>
      <w:r>
        <w:rPr>
          <w:color w:val="auto"/>
          <w:szCs w:val="21"/>
          <w:highlight w:val="none"/>
        </w:rPr>
        <w:t>100</w:t>
      </w:r>
      <w:r>
        <w:rPr>
          <w:rFonts w:hint="eastAsia"/>
          <w:color w:val="auto"/>
          <w:szCs w:val="21"/>
          <w:highlight w:val="none"/>
        </w:rPr>
        <w:t>人及以上，且营业收入</w:t>
      </w:r>
      <w:r>
        <w:rPr>
          <w:color w:val="auto"/>
          <w:szCs w:val="21"/>
          <w:highlight w:val="none"/>
        </w:rPr>
        <w:t>1000</w:t>
      </w:r>
      <w:r>
        <w:rPr>
          <w:rFonts w:hint="eastAsia"/>
          <w:color w:val="auto"/>
          <w:szCs w:val="21"/>
          <w:highlight w:val="none"/>
        </w:rPr>
        <w:t>万元及以上的为中型企业；从业人员</w:t>
      </w:r>
      <w:r>
        <w:rPr>
          <w:color w:val="auto"/>
          <w:szCs w:val="21"/>
          <w:highlight w:val="none"/>
        </w:rPr>
        <w:t>10</w:t>
      </w:r>
      <w:r>
        <w:rPr>
          <w:rFonts w:hint="eastAsia"/>
          <w:color w:val="auto"/>
          <w:szCs w:val="21"/>
          <w:highlight w:val="none"/>
        </w:rPr>
        <w:t>人及以上，且营业收入</w:t>
      </w:r>
      <w:r>
        <w:rPr>
          <w:color w:val="auto"/>
          <w:szCs w:val="21"/>
          <w:highlight w:val="none"/>
        </w:rPr>
        <w:t>50</w:t>
      </w:r>
      <w:r>
        <w:rPr>
          <w:rFonts w:hint="eastAsia"/>
          <w:color w:val="auto"/>
          <w:szCs w:val="21"/>
          <w:highlight w:val="none"/>
        </w:rPr>
        <w:t>万元及以上的为小型企业；从业人员</w:t>
      </w:r>
      <w:r>
        <w:rPr>
          <w:color w:val="auto"/>
          <w:szCs w:val="21"/>
          <w:highlight w:val="none"/>
        </w:rPr>
        <w:t>10</w:t>
      </w:r>
      <w:r>
        <w:rPr>
          <w:rFonts w:hint="eastAsia"/>
          <w:color w:val="auto"/>
          <w:szCs w:val="21"/>
          <w:highlight w:val="none"/>
        </w:rPr>
        <w:t>人以下或营业收入</w:t>
      </w:r>
      <w:r>
        <w:rPr>
          <w:color w:val="auto"/>
          <w:szCs w:val="21"/>
          <w:highlight w:val="none"/>
        </w:rPr>
        <w:t>50</w:t>
      </w:r>
      <w:r>
        <w:rPr>
          <w:rFonts w:hint="eastAsia"/>
          <w:color w:val="auto"/>
          <w:szCs w:val="21"/>
          <w:highlight w:val="none"/>
        </w:rPr>
        <w:t>万元以下的为微型企业。</w:t>
      </w:r>
    </w:p>
    <w:p w14:paraId="131D9F8C">
      <w:pPr>
        <w:pStyle w:val="222"/>
        <w:rPr>
          <w:color w:val="auto"/>
          <w:szCs w:val="21"/>
          <w:highlight w:val="none"/>
        </w:rPr>
      </w:pPr>
      <w:r>
        <w:rPr>
          <w:rFonts w:hint="eastAsia"/>
          <w:color w:val="auto"/>
          <w:szCs w:val="21"/>
          <w:highlight w:val="none"/>
        </w:rPr>
        <w:t>　　（十三）房地产开发经营。营业收入</w:t>
      </w:r>
      <w:r>
        <w:rPr>
          <w:color w:val="auto"/>
          <w:szCs w:val="21"/>
          <w:highlight w:val="none"/>
        </w:rPr>
        <w:t>200000</w:t>
      </w:r>
      <w:r>
        <w:rPr>
          <w:rFonts w:hint="eastAsia"/>
          <w:color w:val="auto"/>
          <w:szCs w:val="21"/>
          <w:highlight w:val="none"/>
        </w:rPr>
        <w:t>万元以下或资产总额</w:t>
      </w:r>
      <w:r>
        <w:rPr>
          <w:color w:val="auto"/>
          <w:szCs w:val="21"/>
          <w:highlight w:val="none"/>
        </w:rPr>
        <w:t>10000</w:t>
      </w:r>
      <w:r>
        <w:rPr>
          <w:rFonts w:hint="eastAsia"/>
          <w:color w:val="auto"/>
          <w:szCs w:val="21"/>
          <w:highlight w:val="none"/>
        </w:rPr>
        <w:t>万元以下的为中小微型企业。其中，营业收入</w:t>
      </w:r>
      <w:r>
        <w:rPr>
          <w:color w:val="auto"/>
          <w:szCs w:val="21"/>
          <w:highlight w:val="none"/>
        </w:rPr>
        <w:t>1000</w:t>
      </w:r>
      <w:r>
        <w:rPr>
          <w:rFonts w:hint="eastAsia"/>
          <w:color w:val="auto"/>
          <w:szCs w:val="21"/>
          <w:highlight w:val="none"/>
        </w:rPr>
        <w:t>万元及以上，且资产总额</w:t>
      </w:r>
      <w:r>
        <w:rPr>
          <w:color w:val="auto"/>
          <w:szCs w:val="21"/>
          <w:highlight w:val="none"/>
        </w:rPr>
        <w:t>5000</w:t>
      </w:r>
      <w:r>
        <w:rPr>
          <w:rFonts w:hint="eastAsia"/>
          <w:color w:val="auto"/>
          <w:szCs w:val="21"/>
          <w:highlight w:val="none"/>
        </w:rPr>
        <w:t>万元及以上的为中型企业；营业收入</w:t>
      </w:r>
      <w:r>
        <w:rPr>
          <w:color w:val="auto"/>
          <w:szCs w:val="21"/>
          <w:highlight w:val="none"/>
        </w:rPr>
        <w:t>100</w:t>
      </w:r>
      <w:r>
        <w:rPr>
          <w:rFonts w:hint="eastAsia"/>
          <w:color w:val="auto"/>
          <w:szCs w:val="21"/>
          <w:highlight w:val="none"/>
        </w:rPr>
        <w:t>万元及以上，且资产总额</w:t>
      </w:r>
      <w:r>
        <w:rPr>
          <w:color w:val="auto"/>
          <w:szCs w:val="21"/>
          <w:highlight w:val="none"/>
        </w:rPr>
        <w:t>2000</w:t>
      </w:r>
      <w:r>
        <w:rPr>
          <w:rFonts w:hint="eastAsia"/>
          <w:color w:val="auto"/>
          <w:szCs w:val="21"/>
          <w:highlight w:val="none"/>
        </w:rPr>
        <w:t>万元及以上的为小型企业；营业收入</w:t>
      </w:r>
      <w:r>
        <w:rPr>
          <w:color w:val="auto"/>
          <w:szCs w:val="21"/>
          <w:highlight w:val="none"/>
        </w:rPr>
        <w:t>100</w:t>
      </w:r>
      <w:r>
        <w:rPr>
          <w:rFonts w:hint="eastAsia"/>
          <w:color w:val="auto"/>
          <w:szCs w:val="21"/>
          <w:highlight w:val="none"/>
        </w:rPr>
        <w:t>万元以下或资产总额</w:t>
      </w:r>
      <w:r>
        <w:rPr>
          <w:color w:val="auto"/>
          <w:szCs w:val="21"/>
          <w:highlight w:val="none"/>
        </w:rPr>
        <w:t>2000</w:t>
      </w:r>
      <w:r>
        <w:rPr>
          <w:rFonts w:hint="eastAsia"/>
          <w:color w:val="auto"/>
          <w:szCs w:val="21"/>
          <w:highlight w:val="none"/>
        </w:rPr>
        <w:t>万元以下的为微型企业。</w:t>
      </w:r>
    </w:p>
    <w:p w14:paraId="164822AE">
      <w:pPr>
        <w:pStyle w:val="222"/>
        <w:rPr>
          <w:color w:val="auto"/>
          <w:szCs w:val="21"/>
          <w:highlight w:val="none"/>
        </w:rPr>
      </w:pPr>
      <w:r>
        <w:rPr>
          <w:rFonts w:hint="eastAsia"/>
          <w:color w:val="auto"/>
          <w:szCs w:val="21"/>
          <w:highlight w:val="none"/>
        </w:rPr>
        <w:t>　　（十四）物业管理。从业人员</w:t>
      </w:r>
      <w:r>
        <w:rPr>
          <w:color w:val="auto"/>
          <w:szCs w:val="21"/>
          <w:highlight w:val="none"/>
        </w:rPr>
        <w:t>1000</w:t>
      </w:r>
      <w:r>
        <w:rPr>
          <w:rFonts w:hint="eastAsia"/>
          <w:color w:val="auto"/>
          <w:szCs w:val="21"/>
          <w:highlight w:val="none"/>
        </w:rPr>
        <w:t>人以下或营业收入</w:t>
      </w:r>
      <w:r>
        <w:rPr>
          <w:color w:val="auto"/>
          <w:szCs w:val="21"/>
          <w:highlight w:val="none"/>
        </w:rPr>
        <w:t>5000</w:t>
      </w:r>
      <w:r>
        <w:rPr>
          <w:rFonts w:hint="eastAsia"/>
          <w:color w:val="auto"/>
          <w:szCs w:val="21"/>
          <w:highlight w:val="none"/>
        </w:rPr>
        <w:t>万元以下的为中小微型企业。其中，从业人员</w:t>
      </w:r>
      <w:r>
        <w:rPr>
          <w:color w:val="auto"/>
          <w:szCs w:val="21"/>
          <w:highlight w:val="none"/>
        </w:rPr>
        <w:t>300</w:t>
      </w:r>
      <w:r>
        <w:rPr>
          <w:rFonts w:hint="eastAsia"/>
          <w:color w:val="auto"/>
          <w:szCs w:val="21"/>
          <w:highlight w:val="none"/>
        </w:rPr>
        <w:t>人及以上，且营业收入</w:t>
      </w:r>
      <w:r>
        <w:rPr>
          <w:color w:val="auto"/>
          <w:szCs w:val="21"/>
          <w:highlight w:val="none"/>
        </w:rPr>
        <w:t>1000</w:t>
      </w:r>
      <w:r>
        <w:rPr>
          <w:rFonts w:hint="eastAsia"/>
          <w:color w:val="auto"/>
          <w:szCs w:val="21"/>
          <w:highlight w:val="none"/>
        </w:rPr>
        <w:t>万元及以上的为中型企业；从业人员</w:t>
      </w:r>
      <w:r>
        <w:rPr>
          <w:color w:val="auto"/>
          <w:szCs w:val="21"/>
          <w:highlight w:val="none"/>
        </w:rPr>
        <w:t>100</w:t>
      </w:r>
      <w:r>
        <w:rPr>
          <w:rFonts w:hint="eastAsia"/>
          <w:color w:val="auto"/>
          <w:szCs w:val="21"/>
          <w:highlight w:val="none"/>
        </w:rPr>
        <w:t>人及以上，且营业收入</w:t>
      </w:r>
      <w:r>
        <w:rPr>
          <w:color w:val="auto"/>
          <w:szCs w:val="21"/>
          <w:highlight w:val="none"/>
        </w:rPr>
        <w:t>500</w:t>
      </w:r>
      <w:r>
        <w:rPr>
          <w:rFonts w:hint="eastAsia"/>
          <w:color w:val="auto"/>
          <w:szCs w:val="21"/>
          <w:highlight w:val="none"/>
        </w:rPr>
        <w:t>万元及以上的为小型企业；从业人员</w:t>
      </w:r>
      <w:r>
        <w:rPr>
          <w:color w:val="auto"/>
          <w:szCs w:val="21"/>
          <w:highlight w:val="none"/>
        </w:rPr>
        <w:t>100</w:t>
      </w:r>
      <w:r>
        <w:rPr>
          <w:rFonts w:hint="eastAsia"/>
          <w:color w:val="auto"/>
          <w:szCs w:val="21"/>
          <w:highlight w:val="none"/>
        </w:rPr>
        <w:t>人以下或营业收入</w:t>
      </w:r>
      <w:r>
        <w:rPr>
          <w:color w:val="auto"/>
          <w:szCs w:val="21"/>
          <w:highlight w:val="none"/>
        </w:rPr>
        <w:t>500</w:t>
      </w:r>
      <w:r>
        <w:rPr>
          <w:rFonts w:hint="eastAsia"/>
          <w:color w:val="auto"/>
          <w:szCs w:val="21"/>
          <w:highlight w:val="none"/>
        </w:rPr>
        <w:t>万元以下的为微型企业。</w:t>
      </w:r>
    </w:p>
    <w:p w14:paraId="0A4379B2">
      <w:pPr>
        <w:pStyle w:val="222"/>
        <w:rPr>
          <w:color w:val="auto"/>
          <w:szCs w:val="21"/>
          <w:highlight w:val="none"/>
        </w:rPr>
      </w:pPr>
      <w:r>
        <w:rPr>
          <w:rFonts w:hint="eastAsia"/>
          <w:color w:val="auto"/>
          <w:szCs w:val="21"/>
          <w:highlight w:val="none"/>
        </w:rPr>
        <w:t>　　（十五）租赁和商务服务业。从业人员</w:t>
      </w:r>
      <w:r>
        <w:rPr>
          <w:color w:val="auto"/>
          <w:szCs w:val="21"/>
          <w:highlight w:val="none"/>
        </w:rPr>
        <w:t>300</w:t>
      </w:r>
      <w:r>
        <w:rPr>
          <w:rFonts w:hint="eastAsia"/>
          <w:color w:val="auto"/>
          <w:szCs w:val="21"/>
          <w:highlight w:val="none"/>
        </w:rPr>
        <w:t>人以下或资产总额</w:t>
      </w:r>
      <w:r>
        <w:rPr>
          <w:color w:val="auto"/>
          <w:szCs w:val="21"/>
          <w:highlight w:val="none"/>
        </w:rPr>
        <w:t>120000</w:t>
      </w:r>
      <w:r>
        <w:rPr>
          <w:rFonts w:hint="eastAsia"/>
          <w:color w:val="auto"/>
          <w:szCs w:val="21"/>
          <w:highlight w:val="none"/>
        </w:rPr>
        <w:t>万元以下的为中小微型企业。其中，从业人员</w:t>
      </w:r>
      <w:r>
        <w:rPr>
          <w:color w:val="auto"/>
          <w:szCs w:val="21"/>
          <w:highlight w:val="none"/>
        </w:rPr>
        <w:t>100</w:t>
      </w:r>
      <w:r>
        <w:rPr>
          <w:rFonts w:hint="eastAsia"/>
          <w:color w:val="auto"/>
          <w:szCs w:val="21"/>
          <w:highlight w:val="none"/>
        </w:rPr>
        <w:t>人及以上，且资产总额</w:t>
      </w:r>
      <w:r>
        <w:rPr>
          <w:color w:val="auto"/>
          <w:szCs w:val="21"/>
          <w:highlight w:val="none"/>
        </w:rPr>
        <w:t>8000</w:t>
      </w:r>
      <w:r>
        <w:rPr>
          <w:rFonts w:hint="eastAsia"/>
          <w:color w:val="auto"/>
          <w:szCs w:val="21"/>
          <w:highlight w:val="none"/>
        </w:rPr>
        <w:t>万元及以上的为中型企业；从业人员</w:t>
      </w:r>
      <w:r>
        <w:rPr>
          <w:color w:val="auto"/>
          <w:szCs w:val="21"/>
          <w:highlight w:val="none"/>
        </w:rPr>
        <w:t>10</w:t>
      </w:r>
      <w:r>
        <w:rPr>
          <w:rFonts w:hint="eastAsia"/>
          <w:color w:val="auto"/>
          <w:szCs w:val="21"/>
          <w:highlight w:val="none"/>
        </w:rPr>
        <w:t>人及以上，且资产总额</w:t>
      </w:r>
      <w:r>
        <w:rPr>
          <w:color w:val="auto"/>
          <w:szCs w:val="21"/>
          <w:highlight w:val="none"/>
        </w:rPr>
        <w:t>100</w:t>
      </w:r>
      <w:r>
        <w:rPr>
          <w:rFonts w:hint="eastAsia"/>
          <w:color w:val="auto"/>
          <w:szCs w:val="21"/>
          <w:highlight w:val="none"/>
        </w:rPr>
        <w:t>万元及以上的为小型企业；从业人员</w:t>
      </w:r>
      <w:r>
        <w:rPr>
          <w:color w:val="auto"/>
          <w:szCs w:val="21"/>
          <w:highlight w:val="none"/>
        </w:rPr>
        <w:t>10</w:t>
      </w:r>
      <w:r>
        <w:rPr>
          <w:rFonts w:hint="eastAsia"/>
          <w:color w:val="auto"/>
          <w:szCs w:val="21"/>
          <w:highlight w:val="none"/>
        </w:rPr>
        <w:t>人以下或资产总额</w:t>
      </w:r>
      <w:r>
        <w:rPr>
          <w:color w:val="auto"/>
          <w:szCs w:val="21"/>
          <w:highlight w:val="none"/>
        </w:rPr>
        <w:t>100</w:t>
      </w:r>
      <w:r>
        <w:rPr>
          <w:rFonts w:hint="eastAsia"/>
          <w:color w:val="auto"/>
          <w:szCs w:val="21"/>
          <w:highlight w:val="none"/>
        </w:rPr>
        <w:t>万元以下的为微型企业。</w:t>
      </w:r>
    </w:p>
    <w:p w14:paraId="2C33F0BC">
      <w:pPr>
        <w:pStyle w:val="222"/>
        <w:rPr>
          <w:color w:val="auto"/>
          <w:szCs w:val="21"/>
          <w:highlight w:val="none"/>
        </w:rPr>
      </w:pPr>
      <w:r>
        <w:rPr>
          <w:rFonts w:hint="eastAsia"/>
          <w:color w:val="auto"/>
          <w:szCs w:val="21"/>
          <w:highlight w:val="none"/>
        </w:rPr>
        <w:t>　　（十六）其他未列明行业。从业人员</w:t>
      </w:r>
      <w:r>
        <w:rPr>
          <w:color w:val="auto"/>
          <w:szCs w:val="21"/>
          <w:highlight w:val="none"/>
        </w:rPr>
        <w:t>300</w:t>
      </w:r>
      <w:r>
        <w:rPr>
          <w:rFonts w:hint="eastAsia"/>
          <w:color w:val="auto"/>
          <w:szCs w:val="21"/>
          <w:highlight w:val="none"/>
        </w:rPr>
        <w:t>人以下的为中小微型企业。其中，从业人员</w:t>
      </w:r>
      <w:r>
        <w:rPr>
          <w:color w:val="auto"/>
          <w:szCs w:val="21"/>
          <w:highlight w:val="none"/>
        </w:rPr>
        <w:t>100</w:t>
      </w:r>
      <w:r>
        <w:rPr>
          <w:rFonts w:hint="eastAsia"/>
          <w:color w:val="auto"/>
          <w:szCs w:val="21"/>
          <w:highlight w:val="none"/>
        </w:rPr>
        <w:t>人及以上的为中型企业；从业人员</w:t>
      </w:r>
      <w:r>
        <w:rPr>
          <w:color w:val="auto"/>
          <w:szCs w:val="21"/>
          <w:highlight w:val="none"/>
        </w:rPr>
        <w:t>10</w:t>
      </w:r>
      <w:r>
        <w:rPr>
          <w:rFonts w:hint="eastAsia"/>
          <w:color w:val="auto"/>
          <w:szCs w:val="21"/>
          <w:highlight w:val="none"/>
        </w:rPr>
        <w:t>人及以上的为小型企业；从业人员</w:t>
      </w:r>
      <w:r>
        <w:rPr>
          <w:color w:val="auto"/>
          <w:szCs w:val="21"/>
          <w:highlight w:val="none"/>
        </w:rPr>
        <w:t>10</w:t>
      </w:r>
      <w:r>
        <w:rPr>
          <w:rFonts w:hint="eastAsia"/>
          <w:color w:val="auto"/>
          <w:szCs w:val="21"/>
          <w:highlight w:val="none"/>
        </w:rPr>
        <w:t>人以下的为微型企业。</w:t>
      </w:r>
    </w:p>
    <w:p w14:paraId="1F41C703">
      <w:pPr>
        <w:pStyle w:val="222"/>
        <w:rPr>
          <w:color w:val="auto"/>
          <w:szCs w:val="21"/>
          <w:highlight w:val="none"/>
        </w:rPr>
      </w:pPr>
      <w:r>
        <w:rPr>
          <w:rFonts w:hint="eastAsia"/>
          <w:color w:val="auto"/>
          <w:szCs w:val="21"/>
          <w:highlight w:val="none"/>
        </w:rPr>
        <w:t>　　五、企业类型的划分以统计部门的统计数据为依据。</w:t>
      </w:r>
    </w:p>
    <w:p w14:paraId="68542470">
      <w:pPr>
        <w:pStyle w:val="222"/>
        <w:rPr>
          <w:color w:val="auto"/>
          <w:szCs w:val="21"/>
          <w:highlight w:val="none"/>
        </w:rPr>
      </w:pPr>
      <w:r>
        <w:rPr>
          <w:rFonts w:hint="eastAsia"/>
          <w:color w:val="auto"/>
          <w:szCs w:val="21"/>
          <w:highlight w:val="none"/>
        </w:rPr>
        <w:t>　　六、本规定适用于在中华人民共和国境内依法设立的各类所有制和各种组织形式的企业。个体工商户和本规定以外的行业，参照本规定进行划型。</w:t>
      </w:r>
    </w:p>
    <w:p w14:paraId="383D9678">
      <w:pPr>
        <w:pStyle w:val="222"/>
        <w:rPr>
          <w:color w:val="auto"/>
          <w:szCs w:val="21"/>
          <w:highlight w:val="none"/>
        </w:rPr>
      </w:pPr>
      <w:r>
        <w:rPr>
          <w:rFonts w:hint="eastAsia"/>
          <w:color w:val="auto"/>
          <w:szCs w:val="21"/>
          <w:highlight w:val="none"/>
        </w:rPr>
        <w:t>　　七、本规定的中型企业标准上限即为大型企业标准的下限，国家统计部门据此制定大中小微型企业的统计分类。国务院有关部门据此进行相关数据分析，不得制定与本规定不一致的企业划型标准。</w:t>
      </w:r>
    </w:p>
    <w:p w14:paraId="17A1282E">
      <w:pPr>
        <w:pStyle w:val="222"/>
        <w:rPr>
          <w:color w:val="auto"/>
          <w:szCs w:val="21"/>
          <w:highlight w:val="none"/>
        </w:rPr>
      </w:pPr>
      <w:r>
        <w:rPr>
          <w:rFonts w:hint="eastAsia"/>
          <w:color w:val="auto"/>
          <w:szCs w:val="21"/>
          <w:highlight w:val="none"/>
        </w:rPr>
        <w:t>　　八、本规定由工业和信息化部、国家统计局会同有关部门根据《国民经济行业分类》修订情况和企业发展变化情况适时修订。</w:t>
      </w:r>
    </w:p>
    <w:p w14:paraId="45664DF8">
      <w:pPr>
        <w:pStyle w:val="222"/>
        <w:rPr>
          <w:color w:val="auto"/>
          <w:szCs w:val="21"/>
          <w:highlight w:val="none"/>
        </w:rPr>
      </w:pPr>
      <w:r>
        <w:rPr>
          <w:rFonts w:hint="eastAsia"/>
          <w:color w:val="auto"/>
          <w:szCs w:val="21"/>
          <w:highlight w:val="none"/>
        </w:rPr>
        <w:t>　　九、本规定由工业和信息化部、国家统计局会同有关部门负责解释。</w:t>
      </w:r>
    </w:p>
    <w:p w14:paraId="5CE9A8ED">
      <w:pPr>
        <w:pStyle w:val="222"/>
        <w:ind w:firstLine="420"/>
        <w:rPr>
          <w:rFonts w:hint="eastAsia"/>
          <w:color w:val="auto"/>
          <w:szCs w:val="21"/>
          <w:highlight w:val="none"/>
        </w:rPr>
      </w:pPr>
      <w:r>
        <w:rPr>
          <w:rFonts w:hint="eastAsia"/>
          <w:color w:val="auto"/>
          <w:szCs w:val="21"/>
          <w:highlight w:val="none"/>
        </w:rPr>
        <w:t>十、本规定自发布之日起执行，原国家经贸委、原国家计委、财政部和国家统计局</w:t>
      </w:r>
      <w:r>
        <w:rPr>
          <w:color w:val="auto"/>
          <w:szCs w:val="21"/>
          <w:highlight w:val="none"/>
        </w:rPr>
        <w:t>2003</w:t>
      </w:r>
      <w:r>
        <w:rPr>
          <w:rFonts w:hint="eastAsia"/>
          <w:color w:val="auto"/>
          <w:szCs w:val="21"/>
          <w:highlight w:val="none"/>
        </w:rPr>
        <w:t>年颁布的《中小企业标准暂行规定》同时废止。</w:t>
      </w:r>
    </w:p>
    <w:p w14:paraId="5B3C092C">
      <w:pPr>
        <w:pStyle w:val="222"/>
        <w:ind w:firstLine="420"/>
        <w:rPr>
          <w:rFonts w:hint="eastAsia"/>
          <w:color w:val="auto"/>
          <w:szCs w:val="21"/>
          <w:highlight w:val="none"/>
        </w:rPr>
      </w:pPr>
    </w:p>
    <w:p w14:paraId="05BB5E0E">
      <w:pPr>
        <w:pStyle w:val="222"/>
        <w:ind w:firstLine="420"/>
        <w:rPr>
          <w:rFonts w:hint="eastAsia"/>
          <w:color w:val="auto"/>
          <w:szCs w:val="21"/>
          <w:highlight w:val="none"/>
        </w:rPr>
      </w:pPr>
    </w:p>
    <w:p w14:paraId="5A0620F7">
      <w:pPr>
        <w:pStyle w:val="222"/>
        <w:ind w:firstLine="420"/>
        <w:rPr>
          <w:rFonts w:hint="eastAsia"/>
          <w:color w:val="auto"/>
          <w:szCs w:val="21"/>
          <w:highlight w:val="none"/>
        </w:rPr>
      </w:pPr>
    </w:p>
    <w:p w14:paraId="5BEB9B27">
      <w:pPr>
        <w:pStyle w:val="222"/>
        <w:ind w:firstLine="420"/>
        <w:rPr>
          <w:rFonts w:hint="eastAsia"/>
          <w:color w:val="auto"/>
          <w:szCs w:val="21"/>
          <w:highlight w:val="none"/>
        </w:rPr>
      </w:pPr>
    </w:p>
    <w:p w14:paraId="09E6FBE8">
      <w:pPr>
        <w:pStyle w:val="222"/>
        <w:ind w:firstLine="420"/>
        <w:rPr>
          <w:rFonts w:hint="eastAsia"/>
          <w:color w:val="auto"/>
          <w:szCs w:val="21"/>
          <w:highlight w:val="none"/>
        </w:rPr>
      </w:pPr>
    </w:p>
    <w:p w14:paraId="009FAF77">
      <w:pPr>
        <w:pStyle w:val="222"/>
        <w:ind w:firstLine="420"/>
        <w:rPr>
          <w:rFonts w:hint="eastAsia"/>
          <w:color w:val="auto"/>
          <w:szCs w:val="21"/>
          <w:highlight w:val="none"/>
        </w:rPr>
      </w:pPr>
    </w:p>
    <w:p w14:paraId="1B8414EF">
      <w:pPr>
        <w:pStyle w:val="222"/>
        <w:ind w:firstLine="420"/>
        <w:rPr>
          <w:rFonts w:hint="eastAsia"/>
          <w:color w:val="auto"/>
          <w:szCs w:val="21"/>
          <w:highlight w:val="none"/>
        </w:rPr>
      </w:pPr>
    </w:p>
    <w:p w14:paraId="4BA1CDC4">
      <w:pPr>
        <w:pStyle w:val="222"/>
        <w:ind w:firstLine="420"/>
        <w:rPr>
          <w:rFonts w:hint="eastAsia"/>
          <w:color w:val="auto"/>
          <w:szCs w:val="21"/>
          <w:highlight w:val="none"/>
        </w:rPr>
      </w:pPr>
    </w:p>
    <w:p w14:paraId="5CD8023C">
      <w:pPr>
        <w:pStyle w:val="222"/>
        <w:ind w:firstLine="420"/>
        <w:rPr>
          <w:rFonts w:hint="eastAsia"/>
          <w:color w:val="auto"/>
          <w:szCs w:val="21"/>
          <w:highlight w:val="none"/>
        </w:rPr>
      </w:pPr>
    </w:p>
    <w:p w14:paraId="4765BDA8">
      <w:pPr>
        <w:pStyle w:val="222"/>
        <w:ind w:firstLine="420"/>
        <w:rPr>
          <w:rFonts w:hint="eastAsia"/>
          <w:color w:val="auto"/>
          <w:szCs w:val="21"/>
          <w:highlight w:val="none"/>
        </w:rPr>
      </w:pPr>
    </w:p>
    <w:p w14:paraId="258D40F1">
      <w:pPr>
        <w:pStyle w:val="222"/>
        <w:ind w:firstLine="420"/>
        <w:rPr>
          <w:rFonts w:hint="eastAsia"/>
          <w:color w:val="auto"/>
          <w:szCs w:val="21"/>
          <w:highlight w:val="none"/>
        </w:rPr>
      </w:pPr>
    </w:p>
    <w:p w14:paraId="29F45A00">
      <w:pPr>
        <w:pStyle w:val="222"/>
        <w:ind w:firstLine="420"/>
        <w:rPr>
          <w:rFonts w:hint="eastAsia"/>
          <w:color w:val="auto"/>
          <w:szCs w:val="21"/>
          <w:highlight w:val="none"/>
        </w:rPr>
      </w:pPr>
    </w:p>
    <w:p w14:paraId="694F7F7B">
      <w:pPr>
        <w:pStyle w:val="222"/>
        <w:ind w:firstLine="420"/>
        <w:rPr>
          <w:rFonts w:hint="eastAsia"/>
          <w:color w:val="auto"/>
          <w:szCs w:val="21"/>
          <w:highlight w:val="none"/>
        </w:rPr>
      </w:pPr>
    </w:p>
    <w:p w14:paraId="376DC537">
      <w:pPr>
        <w:pStyle w:val="222"/>
        <w:ind w:firstLine="420"/>
        <w:rPr>
          <w:rFonts w:hint="eastAsia"/>
          <w:color w:val="auto"/>
          <w:szCs w:val="21"/>
          <w:highlight w:val="none"/>
        </w:rPr>
      </w:pPr>
    </w:p>
    <w:p w14:paraId="622D53E3">
      <w:pPr>
        <w:pStyle w:val="222"/>
        <w:rPr>
          <w:rFonts w:hint="eastAsia"/>
          <w:color w:val="auto"/>
          <w:szCs w:val="21"/>
          <w:highlight w:val="none"/>
        </w:rPr>
      </w:pPr>
    </w:p>
    <w:p w14:paraId="31A8ED7D">
      <w:pPr>
        <w:pStyle w:val="196"/>
        <w:jc w:val="center"/>
        <w:rPr>
          <w:rFonts w:hint="eastAsia" w:ascii="宋体" w:hAnsi="宋体" w:eastAsia="宋体" w:cs="宋体"/>
          <w:color w:val="auto"/>
          <w:highlight w:val="none"/>
        </w:rPr>
      </w:pPr>
      <w:bookmarkStart w:id="76" w:name="_Toc28618"/>
      <w:r>
        <w:rPr>
          <w:rFonts w:hint="eastAsia" w:ascii="宋体" w:hAnsi="宋体" w:eastAsia="宋体" w:cs="宋体"/>
          <w:color w:val="auto"/>
          <w:highlight w:val="none"/>
        </w:rPr>
        <w:t>第三章  投标人须知</w:t>
      </w:r>
      <w:bookmarkEnd w:id="76"/>
    </w:p>
    <w:p w14:paraId="54027CD4">
      <w:pPr>
        <w:jc w:val="center"/>
        <w:rPr>
          <w:rFonts w:hint="eastAsia" w:ascii="宋体" w:hAnsi="宋体" w:cs="宋体"/>
          <w:color w:val="auto"/>
          <w:sz w:val="36"/>
          <w:szCs w:val="36"/>
          <w:highlight w:val="none"/>
        </w:rPr>
      </w:pPr>
      <w:r>
        <w:rPr>
          <w:rFonts w:hint="eastAsia" w:ascii="宋体" w:hAnsi="宋体" w:cs="宋体"/>
          <w:color w:val="auto"/>
          <w:sz w:val="36"/>
          <w:szCs w:val="36"/>
          <w:highlight w:val="none"/>
        </w:rPr>
        <w:t>投标人须知前附表</w:t>
      </w:r>
    </w:p>
    <w:tbl>
      <w:tblPr>
        <w:tblStyle w:val="33"/>
        <w:tblW w:w="9074"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14"/>
        <w:gridCol w:w="8160"/>
      </w:tblGrid>
      <w:tr w14:paraId="016B4B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left w:val="single" w:color="auto" w:sz="4" w:space="0"/>
              <w:bottom w:val="single" w:color="auto" w:sz="4" w:space="0"/>
              <w:right w:val="single" w:color="auto" w:sz="4" w:space="0"/>
            </w:tcBorders>
            <w:noWrap w:val="0"/>
            <w:vAlign w:val="center"/>
          </w:tcPr>
          <w:p w14:paraId="0A7D0060">
            <w:pPr>
              <w:jc w:val="center"/>
              <w:rPr>
                <w:rFonts w:hint="eastAsia" w:ascii="宋体" w:hAnsi="宋体" w:cs="宋体"/>
                <w:color w:val="auto"/>
                <w:szCs w:val="21"/>
                <w:highlight w:val="none"/>
              </w:rPr>
            </w:pPr>
            <w:r>
              <w:rPr>
                <w:rFonts w:hint="eastAsia" w:ascii="宋体" w:hAnsi="宋体" w:cs="宋体"/>
                <w:color w:val="auto"/>
                <w:spacing w:val="-6"/>
                <w:szCs w:val="21"/>
                <w:highlight w:val="none"/>
              </w:rPr>
              <w:t>条款号</w:t>
            </w:r>
          </w:p>
        </w:tc>
        <w:tc>
          <w:tcPr>
            <w:tcW w:w="8160" w:type="dxa"/>
            <w:tcBorders>
              <w:top w:val="single" w:color="auto" w:sz="4" w:space="0"/>
              <w:left w:val="single" w:color="auto" w:sz="4" w:space="0"/>
              <w:bottom w:val="single" w:color="auto" w:sz="4" w:space="0"/>
              <w:right w:val="single" w:color="auto" w:sz="4" w:space="0"/>
            </w:tcBorders>
            <w:noWrap w:val="0"/>
            <w:vAlign w:val="center"/>
          </w:tcPr>
          <w:p w14:paraId="30B4FD38">
            <w:pPr>
              <w:jc w:val="center"/>
              <w:rPr>
                <w:rFonts w:hint="eastAsia" w:ascii="宋体" w:hAnsi="宋体" w:cs="宋体"/>
                <w:color w:val="auto"/>
                <w:szCs w:val="21"/>
                <w:highlight w:val="none"/>
              </w:rPr>
            </w:pPr>
            <w:r>
              <w:rPr>
                <w:rFonts w:hint="eastAsia" w:ascii="宋体" w:hAnsi="宋体" w:cs="宋体"/>
                <w:color w:val="auto"/>
                <w:szCs w:val="21"/>
                <w:highlight w:val="none"/>
              </w:rPr>
              <w:t>编列内容</w:t>
            </w:r>
          </w:p>
        </w:tc>
      </w:tr>
      <w:tr w14:paraId="0C5107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left w:val="single" w:color="auto" w:sz="4" w:space="0"/>
              <w:bottom w:val="single" w:color="auto" w:sz="4" w:space="0"/>
              <w:right w:val="single" w:color="auto" w:sz="4" w:space="0"/>
            </w:tcBorders>
            <w:noWrap w:val="0"/>
            <w:vAlign w:val="center"/>
          </w:tcPr>
          <w:p w14:paraId="5114323D">
            <w:pPr>
              <w:jc w:val="center"/>
              <w:rPr>
                <w:rFonts w:hint="eastAsia" w:ascii="宋体" w:hAnsi="宋体" w:cs="宋体"/>
                <w:color w:val="auto"/>
                <w:highlight w:val="none"/>
              </w:rPr>
            </w:pPr>
            <w:bookmarkStart w:id="77" w:name="_5"/>
            <w:bookmarkEnd w:id="77"/>
            <w:r>
              <w:rPr>
                <w:rFonts w:hint="eastAsia" w:ascii="宋体" w:hAnsi="宋体" w:cs="宋体"/>
                <w:color w:val="auto"/>
                <w:highlight w:val="none"/>
              </w:rPr>
              <w:t>3</w:t>
            </w:r>
          </w:p>
        </w:tc>
        <w:tc>
          <w:tcPr>
            <w:tcW w:w="8160" w:type="dxa"/>
            <w:tcBorders>
              <w:top w:val="single" w:color="auto" w:sz="4" w:space="0"/>
              <w:left w:val="single" w:color="auto" w:sz="4" w:space="0"/>
              <w:bottom w:val="single" w:color="auto" w:sz="4" w:space="0"/>
              <w:right w:val="single" w:color="auto" w:sz="4" w:space="0"/>
            </w:tcBorders>
            <w:noWrap w:val="0"/>
            <w:vAlign w:val="center"/>
          </w:tcPr>
          <w:p w14:paraId="39CB37BC">
            <w:pPr>
              <w:rPr>
                <w:rFonts w:hint="eastAsia" w:ascii="宋体" w:hAnsi="宋体" w:cs="宋体"/>
                <w:color w:val="auto"/>
                <w:highlight w:val="none"/>
              </w:rPr>
            </w:pPr>
            <w:r>
              <w:rPr>
                <w:rFonts w:hint="eastAsia" w:ascii="宋体" w:hAnsi="宋体" w:cs="宋体"/>
                <w:color w:val="auto"/>
                <w:highlight w:val="none"/>
              </w:rPr>
              <w:t>1.投标人的资格要求详见招标公告。</w:t>
            </w:r>
          </w:p>
          <w:p w14:paraId="23A019F1">
            <w:pPr>
              <w:rPr>
                <w:rFonts w:hint="eastAsia" w:ascii="宋体" w:hAnsi="宋体" w:cs="宋体"/>
                <w:color w:val="auto"/>
                <w:highlight w:val="none"/>
              </w:rPr>
            </w:pPr>
            <w:r>
              <w:rPr>
                <w:rFonts w:hint="eastAsia" w:ascii="宋体" w:hAnsi="宋体" w:cs="宋体"/>
                <w:color w:val="auto"/>
                <w:highlight w:val="none"/>
              </w:rPr>
              <w:t>2.投标人出现下列情形之一的，不得参加政府采购活动：</w:t>
            </w:r>
          </w:p>
          <w:p w14:paraId="4709D542">
            <w:pPr>
              <w:ind w:firstLine="420"/>
              <w:rPr>
                <w:rFonts w:hint="eastAsia" w:ascii="宋体" w:hAnsi="宋体" w:cs="宋体"/>
                <w:color w:val="auto"/>
                <w:highlight w:val="none"/>
              </w:rPr>
            </w:pPr>
            <w:r>
              <w:rPr>
                <w:rFonts w:hint="eastAsia" w:ascii="宋体" w:hAnsi="宋体" w:cs="宋体"/>
                <w:color w:val="auto"/>
                <w:highlight w:val="none"/>
              </w:rPr>
              <w:t>2.1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1E7AF2F2">
            <w:pPr>
              <w:ind w:firstLine="420"/>
              <w:rPr>
                <w:rFonts w:hint="eastAsia" w:ascii="宋体" w:hAnsi="宋体" w:cs="宋体"/>
                <w:color w:val="auto"/>
                <w:szCs w:val="21"/>
                <w:highlight w:val="none"/>
              </w:rPr>
            </w:pPr>
            <w:r>
              <w:rPr>
                <w:rFonts w:hint="eastAsia" w:ascii="宋体" w:hAnsi="宋体" w:cs="宋体"/>
                <w:color w:val="auto"/>
                <w:highlight w:val="none"/>
              </w:rPr>
              <w:t>2.2对在“信用中国”网站(www.creditchina.gov.cn)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tc>
      </w:tr>
      <w:tr w14:paraId="547E88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left w:val="single" w:color="auto" w:sz="4" w:space="0"/>
              <w:bottom w:val="single" w:color="auto" w:sz="4" w:space="0"/>
              <w:right w:val="single" w:color="auto" w:sz="4" w:space="0"/>
            </w:tcBorders>
            <w:noWrap w:val="0"/>
            <w:vAlign w:val="center"/>
          </w:tcPr>
          <w:p w14:paraId="46046374">
            <w:pPr>
              <w:jc w:val="center"/>
              <w:rPr>
                <w:rFonts w:hint="eastAsia" w:ascii="宋体" w:hAnsi="宋体" w:cs="宋体"/>
                <w:color w:val="auto"/>
                <w:highlight w:val="none"/>
              </w:rPr>
            </w:pPr>
            <w:bookmarkStart w:id="78" w:name="_9.2"/>
            <w:bookmarkEnd w:id="78"/>
            <w:bookmarkStart w:id="79" w:name="_8.1"/>
            <w:bookmarkEnd w:id="79"/>
            <w:r>
              <w:rPr>
                <w:rFonts w:hint="eastAsia" w:ascii="宋体" w:hAnsi="宋体" w:cs="宋体"/>
                <w:color w:val="auto"/>
                <w:highlight w:val="none"/>
              </w:rPr>
              <w:t>6.1</w:t>
            </w:r>
          </w:p>
        </w:tc>
        <w:tc>
          <w:tcPr>
            <w:tcW w:w="8160" w:type="dxa"/>
            <w:tcBorders>
              <w:top w:val="single" w:color="auto" w:sz="4" w:space="0"/>
              <w:left w:val="single" w:color="auto" w:sz="4" w:space="0"/>
              <w:bottom w:val="single" w:color="auto" w:sz="4" w:space="0"/>
              <w:right w:val="single" w:color="auto" w:sz="4" w:space="0"/>
            </w:tcBorders>
            <w:noWrap w:val="0"/>
            <w:vAlign w:val="center"/>
          </w:tcPr>
          <w:p w14:paraId="17E43F06">
            <w:pPr>
              <w:pStyle w:val="218"/>
              <w:spacing w:line="360" w:lineRule="auto"/>
              <w:rPr>
                <w:rFonts w:hint="eastAsia" w:ascii="宋体" w:hAnsi="宋体" w:cs="宋体"/>
                <w:color w:val="auto"/>
                <w:highlight w:val="none"/>
                <w:lang w:val="en-US" w:eastAsia="zh-CN"/>
              </w:rPr>
            </w:pPr>
            <w:r>
              <w:rPr>
                <w:rFonts w:hint="eastAsia" w:ascii="宋体" w:hAnsi="宋体" w:cs="宋体"/>
                <w:color w:val="auto"/>
                <w:szCs w:val="21"/>
                <w:highlight w:val="none"/>
                <w:lang w:val="en-US" w:eastAsia="zh-CN"/>
              </w:rPr>
              <w:t>本项目是否接受联合体投标：详见招标公告。</w:t>
            </w:r>
          </w:p>
        </w:tc>
      </w:tr>
      <w:tr w14:paraId="672039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left w:val="single" w:color="auto" w:sz="4" w:space="0"/>
              <w:bottom w:val="single" w:color="auto" w:sz="4" w:space="0"/>
              <w:right w:val="single" w:color="auto" w:sz="4" w:space="0"/>
            </w:tcBorders>
            <w:noWrap w:val="0"/>
            <w:vAlign w:val="center"/>
          </w:tcPr>
          <w:p w14:paraId="3E997B9B">
            <w:pPr>
              <w:jc w:val="center"/>
              <w:rPr>
                <w:rFonts w:hint="eastAsia" w:ascii="宋体" w:hAnsi="宋体" w:cs="宋体"/>
                <w:color w:val="auto"/>
                <w:highlight w:val="none"/>
              </w:rPr>
            </w:pPr>
            <w:r>
              <w:rPr>
                <w:rFonts w:hint="eastAsia" w:ascii="宋体" w:hAnsi="宋体" w:cs="宋体"/>
                <w:color w:val="auto"/>
                <w:highlight w:val="none"/>
              </w:rPr>
              <w:t>6.2</w:t>
            </w:r>
          </w:p>
        </w:tc>
        <w:tc>
          <w:tcPr>
            <w:tcW w:w="8160" w:type="dxa"/>
            <w:tcBorders>
              <w:top w:val="single" w:color="auto" w:sz="4" w:space="0"/>
              <w:left w:val="single" w:color="auto" w:sz="4" w:space="0"/>
              <w:bottom w:val="single" w:color="auto" w:sz="4" w:space="0"/>
              <w:right w:val="single" w:color="auto" w:sz="4" w:space="0"/>
            </w:tcBorders>
            <w:noWrap w:val="0"/>
            <w:vAlign w:val="center"/>
          </w:tcPr>
          <w:p w14:paraId="475EBC33">
            <w:pPr>
              <w:pStyle w:val="218"/>
              <w:spacing w:line="360" w:lineRule="auto"/>
              <w:rPr>
                <w:rFonts w:hint="eastAsia" w:ascii="宋体" w:hAnsi="宋体" w:cs="宋体"/>
                <w:color w:val="auto"/>
                <w:highlight w:val="none"/>
                <w:lang w:val="en-US" w:eastAsia="zh-CN"/>
              </w:rPr>
            </w:pPr>
            <w:r>
              <w:rPr>
                <w:rFonts w:hint="eastAsia" w:ascii="宋体" w:hAnsi="宋体" w:cs="宋体"/>
                <w:color w:val="auto"/>
                <w:szCs w:val="21"/>
                <w:highlight w:val="none"/>
                <w:lang w:val="en-US" w:eastAsia="zh-CN"/>
              </w:rPr>
              <w:t>联合体投标要求：无。</w:t>
            </w:r>
          </w:p>
        </w:tc>
      </w:tr>
      <w:tr w14:paraId="7C013C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left w:val="single" w:color="auto" w:sz="4" w:space="0"/>
              <w:bottom w:val="single" w:color="auto" w:sz="4" w:space="0"/>
              <w:right w:val="single" w:color="auto" w:sz="4" w:space="0"/>
            </w:tcBorders>
            <w:noWrap w:val="0"/>
            <w:vAlign w:val="center"/>
          </w:tcPr>
          <w:p w14:paraId="0F5DB974">
            <w:pPr>
              <w:jc w:val="center"/>
              <w:rPr>
                <w:rFonts w:hint="eastAsia" w:ascii="宋体" w:hAnsi="宋体" w:cs="宋体"/>
                <w:color w:val="auto"/>
                <w:highlight w:val="none"/>
              </w:rPr>
            </w:pPr>
            <w:r>
              <w:rPr>
                <w:rFonts w:hint="eastAsia" w:ascii="宋体" w:hAnsi="宋体" w:cs="宋体"/>
                <w:color w:val="auto"/>
                <w:highlight w:val="none"/>
              </w:rPr>
              <w:t>7.2</w:t>
            </w:r>
          </w:p>
        </w:tc>
        <w:tc>
          <w:tcPr>
            <w:tcW w:w="8160" w:type="dxa"/>
            <w:tcBorders>
              <w:top w:val="single" w:color="auto" w:sz="4" w:space="0"/>
              <w:left w:val="single" w:color="auto" w:sz="4" w:space="0"/>
              <w:bottom w:val="single" w:color="auto" w:sz="4" w:space="0"/>
              <w:right w:val="single" w:color="auto" w:sz="4" w:space="0"/>
            </w:tcBorders>
            <w:noWrap w:val="0"/>
            <w:vAlign w:val="center"/>
          </w:tcPr>
          <w:p w14:paraId="6C31CE75">
            <w:pPr>
              <w:pStyle w:val="218"/>
              <w:spacing w:line="360" w:lineRule="auto"/>
              <w:rPr>
                <w:rFonts w:hint="eastAsia" w:ascii="宋体" w:hAnsi="宋体" w:cs="宋体"/>
                <w:color w:val="auto"/>
                <w:szCs w:val="21"/>
                <w:highlight w:val="none"/>
                <w:lang w:val="en-US" w:eastAsia="zh-CN"/>
              </w:rPr>
            </w:pPr>
            <w:r>
              <w:rPr>
                <w:rFonts w:hint="eastAsia" w:ascii="宋体" w:hAnsi="宋体" w:cs="宋体"/>
                <w:color w:val="auto"/>
                <w:highlight w:val="none"/>
                <w:lang w:val="en-US" w:eastAsia="zh-CN"/>
              </w:rPr>
              <w:t>√不</w:t>
            </w:r>
            <w:r>
              <w:rPr>
                <w:rFonts w:hint="eastAsia" w:ascii="宋体" w:hAnsi="宋体" w:cs="宋体"/>
                <w:color w:val="auto"/>
                <w:szCs w:val="21"/>
                <w:highlight w:val="none"/>
                <w:lang w:val="en-US" w:eastAsia="zh-CN"/>
              </w:rPr>
              <w:t>允许分包</w:t>
            </w:r>
          </w:p>
        </w:tc>
      </w:tr>
      <w:tr w14:paraId="77C568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left w:val="single" w:color="auto" w:sz="4" w:space="0"/>
              <w:bottom w:val="single" w:color="auto" w:sz="4" w:space="0"/>
              <w:right w:val="single" w:color="auto" w:sz="4" w:space="0"/>
            </w:tcBorders>
            <w:noWrap w:val="0"/>
            <w:vAlign w:val="center"/>
          </w:tcPr>
          <w:p w14:paraId="1AA055E4">
            <w:pPr>
              <w:spacing w:line="360" w:lineRule="auto"/>
              <w:jc w:val="center"/>
              <w:rPr>
                <w:rFonts w:hint="eastAsia" w:ascii="宋体" w:hAnsi="宋体" w:cs="宋体"/>
                <w:color w:val="auto"/>
                <w:highlight w:val="none"/>
              </w:rPr>
            </w:pPr>
            <w:r>
              <w:rPr>
                <w:rFonts w:hint="eastAsia" w:ascii="宋体" w:hAnsi="宋体" w:cs="宋体"/>
                <w:color w:val="auto"/>
                <w:szCs w:val="21"/>
                <w:highlight w:val="none"/>
              </w:rPr>
              <w:t>11.2</w:t>
            </w:r>
          </w:p>
        </w:tc>
        <w:tc>
          <w:tcPr>
            <w:tcW w:w="8160" w:type="dxa"/>
            <w:tcBorders>
              <w:top w:val="single" w:color="auto" w:sz="4" w:space="0"/>
              <w:left w:val="single" w:color="auto" w:sz="4" w:space="0"/>
              <w:bottom w:val="single" w:color="auto" w:sz="4" w:space="0"/>
              <w:right w:val="single" w:color="auto" w:sz="4" w:space="0"/>
            </w:tcBorders>
            <w:noWrap w:val="0"/>
            <w:vAlign w:val="center"/>
          </w:tcPr>
          <w:p w14:paraId="2594485E">
            <w:pPr>
              <w:spacing w:line="360" w:lineRule="auto"/>
              <w:rPr>
                <w:rFonts w:hint="eastAsia" w:ascii="宋体" w:hAnsi="宋体" w:cs="宋体"/>
                <w:color w:val="auto"/>
                <w:szCs w:val="21"/>
                <w:highlight w:val="none"/>
              </w:rPr>
            </w:pPr>
            <w:r>
              <w:rPr>
                <w:rFonts w:hint="eastAsia" w:ascii="宋体" w:hAnsi="宋体" w:cs="宋体"/>
                <w:color w:val="auto"/>
                <w:highlight w:val="none"/>
              </w:rPr>
              <w:t>√</w:t>
            </w:r>
            <w:r>
              <w:rPr>
                <w:rFonts w:hint="eastAsia" w:ascii="宋体" w:hAnsi="宋体" w:cs="宋体"/>
                <w:color w:val="auto"/>
                <w:szCs w:val="21"/>
                <w:highlight w:val="none"/>
              </w:rPr>
              <w:t>不组织现场考察</w:t>
            </w:r>
          </w:p>
        </w:tc>
      </w:tr>
      <w:tr w14:paraId="308638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vMerge w:val="restart"/>
            <w:tcBorders>
              <w:top w:val="single" w:color="auto" w:sz="4" w:space="0"/>
              <w:left w:val="single" w:color="auto" w:sz="4" w:space="0"/>
              <w:bottom w:val="single" w:color="auto" w:sz="4" w:space="0"/>
              <w:right w:val="single" w:color="auto" w:sz="4" w:space="0"/>
            </w:tcBorders>
            <w:noWrap w:val="0"/>
            <w:vAlign w:val="center"/>
          </w:tcPr>
          <w:p w14:paraId="65BBA46B">
            <w:pPr>
              <w:jc w:val="center"/>
              <w:rPr>
                <w:rFonts w:hint="eastAsia" w:ascii="宋体" w:hAnsi="宋体" w:cs="宋体"/>
                <w:color w:val="auto"/>
                <w:highlight w:val="none"/>
              </w:rPr>
            </w:pPr>
            <w:bookmarkStart w:id="80" w:name="_13.1"/>
            <w:bookmarkEnd w:id="80"/>
            <w:r>
              <w:rPr>
                <w:rFonts w:hint="eastAsia" w:ascii="宋体" w:hAnsi="宋体" w:cs="宋体"/>
                <w:color w:val="auto"/>
                <w:highlight w:val="none"/>
              </w:rPr>
              <w:t>13</w:t>
            </w:r>
          </w:p>
        </w:tc>
        <w:tc>
          <w:tcPr>
            <w:tcW w:w="8160" w:type="dxa"/>
            <w:tcBorders>
              <w:top w:val="single" w:color="auto" w:sz="4" w:space="0"/>
              <w:left w:val="single" w:color="auto" w:sz="4" w:space="0"/>
              <w:bottom w:val="single" w:color="auto" w:sz="4" w:space="0"/>
              <w:right w:val="single" w:color="auto" w:sz="4" w:space="0"/>
            </w:tcBorders>
            <w:noWrap w:val="0"/>
            <w:vAlign w:val="center"/>
          </w:tcPr>
          <w:p w14:paraId="4C2684FD">
            <w:pPr>
              <w:jc w:val="left"/>
              <w:rPr>
                <w:rFonts w:hint="eastAsia" w:ascii="宋体" w:hAnsi="宋体" w:cs="宋体"/>
                <w:b/>
                <w:color w:val="auto"/>
                <w:szCs w:val="21"/>
                <w:highlight w:val="none"/>
              </w:rPr>
            </w:pPr>
            <w:r>
              <w:rPr>
                <w:rFonts w:hint="eastAsia" w:ascii="宋体" w:hAnsi="宋体" w:cs="宋体"/>
                <w:b/>
                <w:color w:val="auto"/>
                <w:szCs w:val="21"/>
                <w:highlight w:val="none"/>
              </w:rPr>
              <w:t>报价文件</w:t>
            </w:r>
            <w:r>
              <w:rPr>
                <w:rFonts w:hint="eastAsia" w:ascii="宋体" w:hAnsi="宋体" w:cs="宋体"/>
                <w:b/>
                <w:color w:val="auto"/>
                <w:sz w:val="24"/>
                <w:highlight w:val="none"/>
              </w:rPr>
              <w:t>：</w:t>
            </w:r>
          </w:p>
          <w:p w14:paraId="461C5B0E">
            <w:pPr>
              <w:numPr>
                <w:ilvl w:val="0"/>
                <w:numId w:val="0"/>
              </w:numPr>
              <w:tabs>
                <w:tab w:val="left" w:pos="459"/>
              </w:tabs>
              <w:ind w:left="459" w:hanging="39"/>
              <w:jc w:val="left"/>
              <w:rPr>
                <w:rFonts w:hint="eastAsia" w:ascii="宋体" w:hAnsi="宋体" w:cs="宋体"/>
                <w:color w:val="auto"/>
                <w:szCs w:val="21"/>
                <w:highlight w:val="none"/>
              </w:rPr>
            </w:pPr>
            <w:r>
              <w:rPr>
                <w:rFonts w:ascii="宋体" w:hAnsi="宋体" w:cs="宋体"/>
                <w:color w:val="auto"/>
                <w:sz w:val="21"/>
                <w:szCs w:val="21"/>
                <w:highlight w:val="none"/>
                <w:lang w:val="en-US" w:eastAsia="zh-CN" w:bidi="ar-SA"/>
              </w:rPr>
              <w:t>1.</w:t>
            </w:r>
            <w:r>
              <w:rPr>
                <w:rFonts w:hint="eastAsia" w:ascii="宋体" w:hAnsi="宋体" w:cs="宋体"/>
                <w:color w:val="auto"/>
                <w:szCs w:val="21"/>
                <w:highlight w:val="none"/>
              </w:rPr>
              <w:t>投标函（格式后附）；</w:t>
            </w:r>
            <w:r>
              <w:rPr>
                <w:rFonts w:hint="eastAsia" w:ascii="宋体" w:hAnsi="宋体" w:cs="宋体"/>
                <w:b/>
                <w:color w:val="auto"/>
                <w:szCs w:val="21"/>
                <w:highlight w:val="none"/>
              </w:rPr>
              <w:t>（必须提供，否则作无效投标处理）</w:t>
            </w:r>
          </w:p>
          <w:p w14:paraId="3048FDCD">
            <w:pPr>
              <w:numPr>
                <w:ilvl w:val="0"/>
                <w:numId w:val="0"/>
              </w:numPr>
              <w:tabs>
                <w:tab w:val="left" w:pos="459"/>
              </w:tabs>
              <w:ind w:left="459" w:hanging="39"/>
              <w:jc w:val="left"/>
              <w:rPr>
                <w:rFonts w:hint="eastAsia" w:ascii="宋体" w:hAnsi="宋体" w:cs="宋体"/>
                <w:color w:val="auto"/>
                <w:szCs w:val="21"/>
                <w:highlight w:val="none"/>
              </w:rPr>
            </w:pPr>
            <w:r>
              <w:rPr>
                <w:rFonts w:ascii="宋体" w:hAnsi="宋体" w:cs="宋体"/>
                <w:color w:val="auto"/>
                <w:sz w:val="21"/>
                <w:szCs w:val="21"/>
                <w:highlight w:val="none"/>
                <w:lang w:val="en-US" w:eastAsia="zh-CN" w:bidi="ar-SA"/>
              </w:rPr>
              <w:t>2.</w:t>
            </w:r>
            <w:r>
              <w:rPr>
                <w:rFonts w:hint="eastAsia" w:ascii="宋体" w:hAnsi="宋体" w:cs="宋体"/>
                <w:color w:val="auto"/>
                <w:szCs w:val="21"/>
                <w:highlight w:val="none"/>
              </w:rPr>
              <w:t>开标一览表（格式后附）；（</w:t>
            </w:r>
            <w:r>
              <w:rPr>
                <w:rFonts w:hint="eastAsia" w:ascii="宋体" w:hAnsi="宋体" w:cs="宋体"/>
                <w:b/>
                <w:color w:val="auto"/>
                <w:szCs w:val="21"/>
                <w:highlight w:val="none"/>
              </w:rPr>
              <w:t>必须提供，否则作无效投标处理</w:t>
            </w:r>
            <w:r>
              <w:rPr>
                <w:rFonts w:hint="eastAsia" w:ascii="宋体" w:hAnsi="宋体" w:cs="宋体"/>
                <w:color w:val="auto"/>
                <w:szCs w:val="21"/>
                <w:highlight w:val="none"/>
              </w:rPr>
              <w:t>）</w:t>
            </w:r>
          </w:p>
          <w:p w14:paraId="70D42226">
            <w:pPr>
              <w:tabs>
                <w:tab w:val="left" w:pos="459"/>
              </w:tabs>
              <w:ind w:left="459" w:hanging="39"/>
              <w:jc w:val="left"/>
              <w:rPr>
                <w:rFonts w:ascii="宋体" w:hAnsi="宋体" w:eastAsia="宋体" w:cs="宋体"/>
                <w:color w:val="auto"/>
                <w:szCs w:val="21"/>
                <w:highlight w:val="none"/>
              </w:rPr>
            </w:pPr>
            <w:r>
              <w:rPr>
                <w:rFonts w:ascii="宋体" w:hAnsi="宋体" w:eastAsia="宋体" w:cs="宋体"/>
                <w:color w:val="auto"/>
                <w:szCs w:val="21"/>
                <w:highlight w:val="none"/>
              </w:rPr>
              <w:t>3.</w:t>
            </w:r>
            <w:r>
              <w:rPr>
                <w:rFonts w:hint="eastAsia" w:ascii="宋体" w:hAnsi="宋体" w:eastAsia="宋体" w:cs="宋体"/>
                <w:color w:val="auto"/>
                <w:szCs w:val="21"/>
                <w:highlight w:val="none"/>
              </w:rPr>
              <w:t>供应商享受中小企业扶持政策的材料（供应商根据自身响应情况，提供以下任意一项材料以证明自身可享受中小企业扶持政策）：</w:t>
            </w:r>
          </w:p>
          <w:p w14:paraId="09CFAE3F">
            <w:pPr>
              <w:tabs>
                <w:tab w:val="left" w:pos="459"/>
              </w:tabs>
              <w:ind w:left="420"/>
              <w:jc w:val="left"/>
              <w:rPr>
                <w:rFonts w:ascii="宋体" w:hAnsi="宋体" w:eastAsia="宋体" w:cs="宋体"/>
                <w:color w:val="auto"/>
                <w:szCs w:val="21"/>
                <w:highlight w:val="none"/>
              </w:rPr>
            </w:pPr>
            <w:r>
              <w:rPr>
                <w:rFonts w:hint="eastAsia" w:ascii="宋体" w:hAnsi="宋体" w:eastAsia="宋体" w:cs="宋体"/>
                <w:color w:val="auto"/>
                <w:szCs w:val="21"/>
                <w:highlight w:val="none"/>
              </w:rPr>
              <w:t>（1）《中小企业声明函》（格式后附）；</w:t>
            </w:r>
          </w:p>
          <w:p w14:paraId="6717C249">
            <w:pPr>
              <w:tabs>
                <w:tab w:val="left" w:pos="459"/>
              </w:tabs>
              <w:ind w:left="420"/>
              <w:jc w:val="left"/>
              <w:rPr>
                <w:rFonts w:ascii="宋体" w:hAnsi="宋体" w:eastAsia="宋体" w:cs="宋体"/>
                <w:color w:val="auto"/>
                <w:szCs w:val="21"/>
                <w:highlight w:val="none"/>
              </w:rPr>
            </w:pPr>
            <w:r>
              <w:rPr>
                <w:rFonts w:hint="eastAsia" w:ascii="宋体" w:hAnsi="宋体" w:eastAsia="宋体" w:cs="宋体"/>
                <w:color w:val="auto"/>
                <w:szCs w:val="21"/>
                <w:highlight w:val="none"/>
              </w:rPr>
              <w:t>（2）《残疾人福利性单位声明函》（格式后附）</w:t>
            </w:r>
          </w:p>
          <w:p w14:paraId="3DC83F98">
            <w:pPr>
              <w:tabs>
                <w:tab w:val="left" w:pos="459"/>
              </w:tabs>
              <w:ind w:left="420"/>
              <w:jc w:val="left"/>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（3）省级以上监狱管理局、戒毒管理局(含新疆生产建设兵团)出具的属于监狱企业的证明文件； </w:t>
            </w:r>
          </w:p>
          <w:p w14:paraId="1749DF15">
            <w:pPr>
              <w:tabs>
                <w:tab w:val="left" w:pos="459"/>
              </w:tabs>
              <w:ind w:left="420"/>
              <w:jc w:val="left"/>
              <w:rPr>
                <w:rFonts w:ascii="宋体" w:hAnsi="宋体" w:eastAsia="宋体" w:cs="宋体"/>
                <w:color w:val="auto"/>
                <w:szCs w:val="21"/>
                <w:highlight w:val="none"/>
              </w:rPr>
            </w:pPr>
            <w:r>
              <w:rPr>
                <w:rFonts w:hint="eastAsia" w:ascii="宋体" w:hAnsi="宋体" w:eastAsia="宋体" w:cs="宋体"/>
                <w:color w:val="auto"/>
                <w:szCs w:val="21"/>
                <w:highlight w:val="none"/>
              </w:rPr>
              <w:t>4.《关于符合本国产品标准的声明函》或者财政部会同有关部门规定的有关证明文件；（供应商根据自身响应情况出具）</w:t>
            </w:r>
          </w:p>
          <w:p w14:paraId="3B863CD1">
            <w:pPr>
              <w:tabs>
                <w:tab w:val="left" w:pos="459"/>
              </w:tabs>
              <w:ind w:left="420"/>
              <w:jc w:val="left"/>
              <w:rPr>
                <w:rFonts w:ascii="宋体" w:hAnsi="宋体" w:eastAsia="宋体" w:cs="宋体"/>
                <w:color w:val="auto"/>
                <w:szCs w:val="21"/>
                <w:highlight w:val="none"/>
              </w:rPr>
            </w:pPr>
            <w:r>
              <w:rPr>
                <w:rFonts w:hint="eastAsia" w:ascii="宋体" w:hAnsi="宋体" w:eastAsia="宋体" w:cs="宋体"/>
                <w:color w:val="auto"/>
                <w:szCs w:val="21"/>
                <w:highlight w:val="none"/>
              </w:rPr>
              <w:t>5.投标人针对报价需要说明的其他文件和说明（格式自拟）。</w:t>
            </w:r>
          </w:p>
          <w:p w14:paraId="2FF81CF1">
            <w:pPr>
              <w:jc w:val="left"/>
              <w:rPr>
                <w:rFonts w:hint="eastAsia" w:ascii="宋体" w:hAnsi="宋体" w:cs="宋体"/>
                <w:color w:val="auto"/>
                <w:sz w:val="24"/>
                <w:highlight w:val="none"/>
              </w:rPr>
            </w:pPr>
            <w:r>
              <w:rPr>
                <w:rFonts w:hint="eastAsia" w:ascii="宋体" w:hAnsi="宋体" w:cs="宋体"/>
                <w:b/>
                <w:bCs/>
                <w:color w:val="auto"/>
                <w:szCs w:val="21"/>
                <w:highlight w:val="none"/>
              </w:rPr>
              <w:t>注：以上标明“必须提供”的，必须加盖投标人电子签章，否则按无效投标处理。</w:t>
            </w:r>
          </w:p>
        </w:tc>
      </w:tr>
      <w:tr w14:paraId="452883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vMerge w:val="continue"/>
            <w:tcBorders>
              <w:top w:val="single" w:color="auto" w:sz="4" w:space="0"/>
              <w:left w:val="single" w:color="auto" w:sz="4" w:space="0"/>
              <w:bottom w:val="single" w:color="auto" w:sz="4" w:space="0"/>
              <w:right w:val="single" w:color="auto" w:sz="4" w:space="0"/>
            </w:tcBorders>
            <w:noWrap w:val="0"/>
            <w:vAlign w:val="center"/>
          </w:tcPr>
          <w:p w14:paraId="1695176A">
            <w:pPr>
              <w:jc w:val="center"/>
              <w:rPr>
                <w:rFonts w:hint="eastAsia" w:ascii="宋体" w:hAnsi="宋体" w:cs="宋体"/>
                <w:color w:val="auto"/>
                <w:highlight w:val="none"/>
              </w:rPr>
            </w:pPr>
            <w:bookmarkStart w:id="81" w:name="_13.2"/>
            <w:bookmarkEnd w:id="81"/>
          </w:p>
        </w:tc>
        <w:tc>
          <w:tcPr>
            <w:tcW w:w="8160" w:type="dxa"/>
            <w:tcBorders>
              <w:top w:val="single" w:color="auto" w:sz="4" w:space="0"/>
              <w:left w:val="single" w:color="auto" w:sz="4" w:space="0"/>
              <w:bottom w:val="single" w:color="auto" w:sz="4" w:space="0"/>
              <w:right w:val="single" w:color="auto" w:sz="4" w:space="0"/>
            </w:tcBorders>
            <w:noWrap w:val="0"/>
            <w:vAlign w:val="center"/>
          </w:tcPr>
          <w:p w14:paraId="2F74C832">
            <w:pPr>
              <w:jc w:val="left"/>
              <w:rPr>
                <w:rFonts w:hint="eastAsia" w:ascii="宋体" w:hAnsi="宋体" w:cs="宋体"/>
                <w:color w:val="auto"/>
                <w:highlight w:val="none"/>
              </w:rPr>
            </w:pPr>
            <w:r>
              <w:rPr>
                <w:rFonts w:hint="eastAsia" w:ascii="宋体" w:hAnsi="宋体" w:cs="宋体"/>
                <w:color w:val="auto"/>
                <w:highlight w:val="none"/>
              </w:rPr>
              <w:t>资格证明文件</w:t>
            </w:r>
          </w:p>
          <w:p w14:paraId="3782CA1A">
            <w:pPr>
              <w:numPr>
                <w:ilvl w:val="0"/>
                <w:numId w:val="5"/>
              </w:numPr>
              <w:jc w:val="left"/>
              <w:rPr>
                <w:rFonts w:hint="eastAsia" w:ascii="宋体" w:hAnsi="宋体" w:cs="宋体"/>
                <w:color w:val="auto"/>
                <w:szCs w:val="21"/>
                <w:highlight w:val="none"/>
              </w:rPr>
            </w:pPr>
            <w:r>
              <w:rPr>
                <w:rFonts w:hint="eastAsia" w:ascii="宋体" w:hAnsi="宋体" w:cs="宋体"/>
                <w:color w:val="auto"/>
                <w:szCs w:val="21"/>
                <w:highlight w:val="none"/>
              </w:rPr>
              <w:t>投标人合法的主体资格证明（如营业执照、事业单位法人证书、执业许可证、资质证书、自然人身份证等）</w:t>
            </w:r>
            <w:r>
              <w:rPr>
                <w:rFonts w:hint="eastAsia" w:ascii="宋体" w:hAnsi="宋体" w:cs="宋体"/>
                <w:color w:val="auto"/>
                <w:szCs w:val="21"/>
                <w:highlight w:val="none"/>
                <w:lang w:eastAsia="zh-CN"/>
              </w:rPr>
              <w:t>复印件（或扫描件）</w:t>
            </w:r>
            <w:r>
              <w:rPr>
                <w:rFonts w:hint="eastAsia" w:ascii="宋体" w:hAnsi="宋体" w:cs="宋体"/>
                <w:b/>
                <w:bCs/>
                <w:color w:val="auto"/>
                <w:szCs w:val="21"/>
                <w:highlight w:val="none"/>
                <w:lang w:eastAsia="zh-CN"/>
              </w:rPr>
              <w:t>（分公司参与投标的，须</w:t>
            </w:r>
            <w:r>
              <w:rPr>
                <w:rFonts w:hint="eastAsia" w:ascii="宋体" w:hAnsi="宋体" w:cs="宋体"/>
                <w:b/>
                <w:bCs/>
                <w:color w:val="auto"/>
                <w:szCs w:val="21"/>
                <w:highlight w:val="none"/>
                <w:lang w:val="en-US" w:eastAsia="zh-CN"/>
              </w:rPr>
              <w:t>提供</w:t>
            </w:r>
            <w:r>
              <w:rPr>
                <w:rFonts w:hint="eastAsia" w:ascii="宋体" w:hAnsi="宋体" w:cs="宋体"/>
                <w:b/>
                <w:bCs/>
                <w:color w:val="auto"/>
                <w:szCs w:val="21"/>
                <w:highlight w:val="none"/>
                <w:lang w:eastAsia="zh-CN"/>
              </w:rPr>
              <w:t>总公司授权</w:t>
            </w:r>
            <w:r>
              <w:rPr>
                <w:rFonts w:hint="eastAsia" w:ascii="宋体" w:hAnsi="宋体" w:cs="宋体"/>
                <w:b/>
                <w:bCs/>
                <w:color w:val="auto"/>
                <w:szCs w:val="21"/>
                <w:highlight w:val="none"/>
                <w:lang w:val="en-US" w:eastAsia="zh-CN"/>
              </w:rPr>
              <w:t>投标证明</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rPr>
              <w:t>；（必须提供，否则作无效投标处理</w:t>
            </w:r>
            <w:r>
              <w:rPr>
                <w:rFonts w:hint="eastAsia" w:ascii="宋体" w:hAnsi="宋体" w:cs="宋体"/>
                <w:color w:val="auto"/>
                <w:szCs w:val="21"/>
                <w:highlight w:val="none"/>
              </w:rPr>
              <w:t>）</w:t>
            </w:r>
          </w:p>
          <w:p w14:paraId="09930CC2">
            <w:pPr>
              <w:numPr>
                <w:ilvl w:val="0"/>
                <w:numId w:val="5"/>
              </w:numPr>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eastAsia="zh-CN"/>
              </w:rPr>
              <w:t>贵港</w:t>
            </w:r>
            <w:r>
              <w:rPr>
                <w:rFonts w:hint="eastAsia" w:ascii="宋体" w:hAnsi="宋体" w:cs="宋体"/>
                <w:color w:val="auto"/>
                <w:szCs w:val="21"/>
                <w:highlight w:val="none"/>
              </w:rPr>
              <w:t>市政府采购项目投标资格承诺函》（详见附件）；（</w:t>
            </w:r>
            <w:r>
              <w:rPr>
                <w:rFonts w:hint="eastAsia" w:ascii="宋体" w:hAnsi="宋体" w:cs="宋体"/>
                <w:b/>
                <w:bCs/>
                <w:color w:val="auto"/>
                <w:szCs w:val="21"/>
                <w:highlight w:val="none"/>
              </w:rPr>
              <w:t>必须提供，否则作无效投标处理</w:t>
            </w:r>
            <w:r>
              <w:rPr>
                <w:rFonts w:hint="eastAsia" w:ascii="宋体" w:hAnsi="宋体" w:cs="宋体"/>
                <w:color w:val="auto"/>
                <w:szCs w:val="21"/>
                <w:highlight w:val="none"/>
              </w:rPr>
              <w:t>）</w:t>
            </w:r>
          </w:p>
          <w:p w14:paraId="4AFE094A">
            <w:pPr>
              <w:numPr>
                <w:ilvl w:val="0"/>
                <w:numId w:val="5"/>
              </w:numPr>
              <w:jc w:val="left"/>
              <w:rPr>
                <w:rFonts w:hint="eastAsia" w:ascii="宋体" w:hAnsi="宋体" w:cs="宋体"/>
                <w:color w:val="auto"/>
                <w:szCs w:val="21"/>
                <w:highlight w:val="none"/>
              </w:rPr>
            </w:pPr>
            <w:r>
              <w:rPr>
                <w:rFonts w:hint="eastAsia" w:ascii="宋体" w:hAnsi="宋体" w:cs="宋体"/>
                <w:color w:val="auto"/>
                <w:szCs w:val="21"/>
                <w:highlight w:val="none"/>
              </w:rPr>
              <w:t>投标声明（格式后附）；（</w:t>
            </w:r>
            <w:r>
              <w:rPr>
                <w:rFonts w:hint="eastAsia" w:ascii="宋体" w:hAnsi="宋体" w:cs="宋体"/>
                <w:b/>
                <w:bCs/>
                <w:color w:val="auto"/>
                <w:szCs w:val="21"/>
                <w:highlight w:val="none"/>
              </w:rPr>
              <w:t>必须提供，否则作无效投标处理</w:t>
            </w:r>
            <w:r>
              <w:rPr>
                <w:rFonts w:hint="eastAsia" w:ascii="宋体" w:hAnsi="宋体" w:cs="宋体"/>
                <w:color w:val="auto"/>
                <w:szCs w:val="21"/>
                <w:highlight w:val="none"/>
              </w:rPr>
              <w:t>）</w:t>
            </w:r>
          </w:p>
          <w:p w14:paraId="32109D4D">
            <w:pPr>
              <w:numPr>
                <w:ilvl w:val="0"/>
                <w:numId w:val="5"/>
              </w:numPr>
              <w:jc w:val="left"/>
              <w:rPr>
                <w:rFonts w:hint="eastAsia" w:ascii="宋体" w:hAnsi="宋体" w:cs="宋体"/>
                <w:color w:val="auto"/>
                <w:szCs w:val="21"/>
                <w:highlight w:val="none"/>
              </w:rPr>
            </w:pPr>
            <w:r>
              <w:rPr>
                <w:rFonts w:hint="eastAsia" w:ascii="宋体" w:hAnsi="宋体" w:cs="宋体"/>
                <w:color w:val="auto"/>
                <w:szCs w:val="21"/>
                <w:highlight w:val="none"/>
              </w:rPr>
              <w:t>投标人直接控股、管理关系信息表（格式后附）；（</w:t>
            </w:r>
            <w:r>
              <w:rPr>
                <w:rFonts w:hint="eastAsia" w:ascii="宋体" w:hAnsi="宋体" w:cs="宋体"/>
                <w:b/>
                <w:bCs/>
                <w:color w:val="auto"/>
                <w:szCs w:val="21"/>
                <w:highlight w:val="none"/>
              </w:rPr>
              <w:t>必须提供，否则作无效投标处理</w:t>
            </w:r>
            <w:r>
              <w:rPr>
                <w:rFonts w:hint="eastAsia" w:ascii="宋体" w:hAnsi="宋体" w:cs="宋体"/>
                <w:color w:val="auto"/>
                <w:szCs w:val="21"/>
                <w:highlight w:val="none"/>
              </w:rPr>
              <w:t>）</w:t>
            </w:r>
          </w:p>
          <w:p w14:paraId="286EFBA5">
            <w:pPr>
              <w:numPr>
                <w:ilvl w:val="0"/>
                <w:numId w:val="5"/>
              </w:numPr>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中小企业声明函（格式后附）或残疾人福利性单位声明函（格式后附）或监狱企业的证明文件；</w:t>
            </w:r>
            <w:r>
              <w:rPr>
                <w:rFonts w:hint="eastAsia" w:ascii="宋体" w:hAnsi="宋体" w:cs="宋体"/>
                <w:b/>
                <w:bCs/>
                <w:color w:val="auto"/>
                <w:szCs w:val="21"/>
                <w:highlight w:val="none"/>
                <w:lang w:val="en-US" w:eastAsia="zh-CN"/>
              </w:rPr>
              <w:t>（如有请提供）</w:t>
            </w:r>
          </w:p>
          <w:p w14:paraId="2AAD486C">
            <w:pPr>
              <w:numPr>
                <w:ilvl w:val="0"/>
                <w:numId w:val="5"/>
              </w:numPr>
              <w:jc w:val="left"/>
              <w:rPr>
                <w:rFonts w:hint="eastAsia" w:ascii="宋体" w:hAnsi="宋体" w:cs="宋体"/>
                <w:color w:val="auto"/>
                <w:highlight w:val="none"/>
              </w:rPr>
            </w:pPr>
            <w:r>
              <w:rPr>
                <w:rFonts w:hint="eastAsia" w:ascii="宋体" w:hAnsi="宋体" w:cs="宋体"/>
                <w:color w:val="auto"/>
                <w:szCs w:val="21"/>
                <w:highlight w:val="none"/>
              </w:rPr>
              <w:t>除</w:t>
            </w:r>
            <w:r>
              <w:rPr>
                <w:rFonts w:hint="eastAsia" w:ascii="宋体" w:hAnsi="宋体" w:cs="宋体"/>
                <w:color w:val="auto"/>
                <w:highlight w:val="none"/>
              </w:rPr>
              <w:t>招标文件规定必须提供以外，投标人认为需要提供的其他证明材料。</w:t>
            </w:r>
          </w:p>
          <w:p w14:paraId="1C24A3DB">
            <w:pPr>
              <w:jc w:val="left"/>
              <w:rPr>
                <w:rFonts w:hint="eastAsia" w:ascii="宋体" w:hAnsi="宋体" w:cs="宋体"/>
                <w:color w:val="auto"/>
                <w:highlight w:val="none"/>
              </w:rPr>
            </w:pPr>
            <w:r>
              <w:rPr>
                <w:rFonts w:hint="eastAsia" w:ascii="宋体" w:hAnsi="宋体" w:cs="宋体"/>
                <w:b/>
                <w:bCs/>
                <w:color w:val="auto"/>
                <w:szCs w:val="21"/>
                <w:highlight w:val="none"/>
              </w:rPr>
              <w:t>注：以上标明“必须</w:t>
            </w:r>
            <w:r>
              <w:rPr>
                <w:rFonts w:hint="eastAsia" w:ascii="宋体" w:hAnsi="宋体"/>
                <w:b/>
                <w:bCs/>
                <w:color w:val="auto"/>
                <w:szCs w:val="21"/>
                <w:highlight w:val="none"/>
              </w:rPr>
              <w:t>提供”的材料的，必须加盖投标人电子签章，否则按无效投标</w:t>
            </w:r>
            <w:r>
              <w:rPr>
                <w:rFonts w:hint="eastAsia" w:ascii="宋体" w:hAnsi="宋体" w:cs="Courier New"/>
                <w:b/>
                <w:color w:val="auto"/>
                <w:szCs w:val="21"/>
                <w:highlight w:val="none"/>
              </w:rPr>
              <w:t>处理。</w:t>
            </w:r>
          </w:p>
        </w:tc>
      </w:tr>
      <w:tr w14:paraId="21CF6A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vMerge w:val="continue"/>
            <w:tcBorders>
              <w:top w:val="single" w:color="auto" w:sz="4" w:space="0"/>
              <w:left w:val="single" w:color="auto" w:sz="4" w:space="0"/>
              <w:bottom w:val="single" w:color="auto" w:sz="4" w:space="0"/>
              <w:right w:val="single" w:color="auto" w:sz="4" w:space="0"/>
            </w:tcBorders>
            <w:noWrap w:val="0"/>
            <w:vAlign w:val="center"/>
          </w:tcPr>
          <w:p w14:paraId="6C7906BC">
            <w:pPr>
              <w:jc w:val="center"/>
              <w:rPr>
                <w:rFonts w:hint="eastAsia" w:ascii="宋体" w:hAnsi="宋体" w:cs="宋体"/>
                <w:color w:val="auto"/>
                <w:highlight w:val="none"/>
              </w:rPr>
            </w:pPr>
            <w:bookmarkStart w:id="82" w:name="_13.3"/>
            <w:bookmarkEnd w:id="82"/>
          </w:p>
        </w:tc>
        <w:tc>
          <w:tcPr>
            <w:tcW w:w="8160" w:type="dxa"/>
            <w:tcBorders>
              <w:top w:val="single" w:color="auto" w:sz="4" w:space="0"/>
              <w:left w:val="single" w:color="auto" w:sz="4" w:space="0"/>
              <w:bottom w:val="single" w:color="auto" w:sz="4" w:space="0"/>
              <w:right w:val="single" w:color="auto" w:sz="4" w:space="0"/>
            </w:tcBorders>
            <w:noWrap w:val="0"/>
            <w:vAlign w:val="center"/>
          </w:tcPr>
          <w:p w14:paraId="3A040293">
            <w:pPr>
              <w:jc w:val="left"/>
              <w:rPr>
                <w:rFonts w:hint="eastAsia" w:ascii="宋体" w:hAnsi="宋体" w:cs="宋体"/>
                <w:color w:val="auto"/>
                <w:highlight w:val="none"/>
              </w:rPr>
            </w:pPr>
            <w:r>
              <w:rPr>
                <w:rFonts w:hint="eastAsia" w:ascii="宋体" w:hAnsi="宋体" w:cs="宋体"/>
                <w:color w:val="auto"/>
                <w:highlight w:val="none"/>
              </w:rPr>
              <w:t>商务文件：</w:t>
            </w:r>
          </w:p>
          <w:p w14:paraId="78B661F5">
            <w:pPr>
              <w:ind w:left="413"/>
              <w:jc w:val="left"/>
              <w:rPr>
                <w:rFonts w:hint="eastAsia" w:ascii="宋体" w:hAnsi="宋体"/>
                <w:color w:val="auto"/>
                <w:szCs w:val="21"/>
                <w:highlight w:val="none"/>
              </w:rPr>
            </w:pPr>
            <w:r>
              <w:rPr>
                <w:rFonts w:hint="eastAsia" w:ascii="宋体" w:hAnsi="宋体"/>
                <w:color w:val="auto"/>
                <w:szCs w:val="21"/>
                <w:highlight w:val="none"/>
              </w:rPr>
              <w:t>1.投标人参加本项目无围标串标行为的承诺（格式后附）；（</w:t>
            </w:r>
            <w:r>
              <w:rPr>
                <w:rFonts w:hint="eastAsia" w:ascii="宋体" w:hAnsi="宋体"/>
                <w:b/>
                <w:bCs/>
                <w:color w:val="auto"/>
                <w:szCs w:val="21"/>
                <w:highlight w:val="none"/>
              </w:rPr>
              <w:t>必须提供，否则作无效投标处理</w:t>
            </w:r>
            <w:r>
              <w:rPr>
                <w:rFonts w:hint="eastAsia" w:ascii="宋体" w:hAnsi="宋体"/>
                <w:color w:val="auto"/>
                <w:szCs w:val="21"/>
                <w:highlight w:val="none"/>
              </w:rPr>
              <w:t>）</w:t>
            </w:r>
          </w:p>
          <w:p w14:paraId="4F1CE3EB">
            <w:pPr>
              <w:ind w:left="413"/>
              <w:jc w:val="left"/>
              <w:rPr>
                <w:rFonts w:hint="eastAsia" w:ascii="宋体" w:hAnsi="宋体"/>
                <w:color w:val="auto"/>
                <w:szCs w:val="21"/>
                <w:highlight w:val="none"/>
              </w:rPr>
            </w:pPr>
            <w:r>
              <w:rPr>
                <w:rFonts w:hint="eastAsia" w:ascii="宋体" w:hAnsi="宋体"/>
                <w:color w:val="auto"/>
                <w:szCs w:val="21"/>
                <w:highlight w:val="none"/>
              </w:rPr>
              <w:t>2.商务要求偏离表（格式后附）；（</w:t>
            </w:r>
            <w:r>
              <w:rPr>
                <w:rFonts w:hint="eastAsia" w:ascii="宋体" w:hAnsi="宋体"/>
                <w:b/>
                <w:color w:val="auto"/>
                <w:szCs w:val="21"/>
                <w:highlight w:val="none"/>
              </w:rPr>
              <w:t>必须提供，否则作无效投标处理</w:t>
            </w:r>
            <w:r>
              <w:rPr>
                <w:rFonts w:hint="eastAsia" w:ascii="宋体" w:hAnsi="宋体"/>
                <w:color w:val="auto"/>
                <w:szCs w:val="21"/>
                <w:highlight w:val="none"/>
              </w:rPr>
              <w:t>）</w:t>
            </w:r>
          </w:p>
          <w:p w14:paraId="018A768E">
            <w:pPr>
              <w:ind w:left="413"/>
              <w:jc w:val="left"/>
              <w:rPr>
                <w:color w:val="auto"/>
                <w:highlight w:val="none"/>
              </w:rPr>
            </w:pPr>
            <w:r>
              <w:rPr>
                <w:rFonts w:hint="eastAsia" w:ascii="宋体" w:hAnsi="宋体"/>
                <w:color w:val="auto"/>
                <w:szCs w:val="21"/>
                <w:highlight w:val="none"/>
              </w:rPr>
              <w:t>3.法定代表人(或负责人)身份证明及法定代表人(或负责人)有效身份证正反面</w:t>
            </w:r>
            <w:r>
              <w:rPr>
                <w:rFonts w:hint="eastAsia" w:ascii="宋体" w:hAnsi="宋体"/>
                <w:color w:val="auto"/>
                <w:szCs w:val="21"/>
                <w:highlight w:val="none"/>
                <w:lang w:eastAsia="zh-CN"/>
              </w:rPr>
              <w:t>复印件（或扫描件）</w:t>
            </w:r>
            <w:r>
              <w:rPr>
                <w:rFonts w:hint="eastAsia" w:ascii="宋体" w:hAnsi="宋体"/>
                <w:color w:val="auto"/>
                <w:szCs w:val="21"/>
                <w:highlight w:val="none"/>
              </w:rPr>
              <w:t>（格式后附）；（</w:t>
            </w:r>
            <w:r>
              <w:rPr>
                <w:rFonts w:hint="eastAsia" w:ascii="宋体" w:hAnsi="宋体"/>
                <w:b/>
                <w:color w:val="auto"/>
                <w:szCs w:val="21"/>
                <w:highlight w:val="none"/>
              </w:rPr>
              <w:t>必须提供，否则作无效投标处理</w:t>
            </w:r>
            <w:r>
              <w:rPr>
                <w:rFonts w:hint="eastAsia" w:ascii="宋体" w:hAnsi="宋体"/>
                <w:color w:val="auto"/>
                <w:szCs w:val="21"/>
                <w:highlight w:val="none"/>
              </w:rPr>
              <w:t>）</w:t>
            </w:r>
          </w:p>
          <w:p w14:paraId="1F3E8686">
            <w:pPr>
              <w:ind w:left="413"/>
              <w:jc w:val="left"/>
              <w:rPr>
                <w:rFonts w:hint="eastAsia" w:ascii="宋体" w:hAnsi="宋体"/>
                <w:color w:val="auto"/>
                <w:szCs w:val="21"/>
                <w:highlight w:val="none"/>
              </w:rPr>
            </w:pPr>
            <w:r>
              <w:rPr>
                <w:rFonts w:hint="eastAsia" w:ascii="宋体" w:hAnsi="宋体"/>
                <w:color w:val="auto"/>
                <w:szCs w:val="21"/>
                <w:highlight w:val="none"/>
              </w:rPr>
              <w:t>4.法定代表人(或负责人)授权委托书及委托代理人有效身份证正反面</w:t>
            </w:r>
            <w:r>
              <w:rPr>
                <w:rFonts w:hint="eastAsia" w:ascii="宋体" w:hAnsi="宋体"/>
                <w:color w:val="auto"/>
                <w:szCs w:val="21"/>
                <w:highlight w:val="none"/>
                <w:lang w:eastAsia="zh-CN"/>
              </w:rPr>
              <w:t>复印件（或扫描件）</w:t>
            </w:r>
            <w:r>
              <w:rPr>
                <w:rFonts w:hint="eastAsia" w:ascii="宋体" w:hAnsi="宋体"/>
                <w:color w:val="auto"/>
                <w:szCs w:val="21"/>
                <w:highlight w:val="none"/>
              </w:rPr>
              <w:t>（格式后附）；（</w:t>
            </w:r>
            <w:r>
              <w:rPr>
                <w:rFonts w:hint="eastAsia" w:ascii="宋体" w:hAnsi="宋体"/>
                <w:b/>
                <w:color w:val="auto"/>
                <w:szCs w:val="21"/>
                <w:highlight w:val="none"/>
              </w:rPr>
              <w:t>委托时必须提供，否则作无效投标处理</w:t>
            </w:r>
            <w:r>
              <w:rPr>
                <w:rFonts w:hint="eastAsia" w:ascii="宋体" w:hAnsi="宋体"/>
                <w:color w:val="auto"/>
                <w:szCs w:val="21"/>
                <w:highlight w:val="none"/>
              </w:rPr>
              <w:t>）</w:t>
            </w:r>
          </w:p>
          <w:p w14:paraId="1B2E3E2E">
            <w:pPr>
              <w:ind w:left="413"/>
              <w:jc w:val="left"/>
              <w:rPr>
                <w:rFonts w:hint="eastAsia" w:ascii="宋体" w:hAnsi="宋体"/>
                <w:color w:val="auto"/>
                <w:szCs w:val="21"/>
                <w:highlight w:val="none"/>
              </w:rPr>
            </w:pPr>
            <w:r>
              <w:rPr>
                <w:rFonts w:hint="eastAsia" w:ascii="宋体" w:hAnsi="宋体"/>
                <w:color w:val="auto"/>
                <w:szCs w:val="21"/>
                <w:highlight w:val="none"/>
              </w:rPr>
              <w:t>5.投标人情况介绍（格式自拟）；</w:t>
            </w:r>
          </w:p>
          <w:p w14:paraId="02EFB1EA">
            <w:pPr>
              <w:ind w:left="413"/>
              <w:jc w:val="left"/>
              <w:rPr>
                <w:rFonts w:hint="eastAsia" w:ascii="宋体" w:hAnsi="宋体"/>
                <w:color w:val="auto"/>
                <w:szCs w:val="21"/>
                <w:highlight w:val="none"/>
              </w:rPr>
            </w:pPr>
            <w:r>
              <w:rPr>
                <w:rFonts w:hint="eastAsia" w:ascii="宋体" w:hAnsi="宋体"/>
                <w:color w:val="auto"/>
                <w:szCs w:val="21"/>
                <w:highlight w:val="none"/>
              </w:rPr>
              <w:t>6.除招标文件规定必须提供以外，投标人认为需要提供的其他证明材料（格式自拟）。</w:t>
            </w:r>
          </w:p>
          <w:p w14:paraId="208269DB">
            <w:pPr>
              <w:jc w:val="left"/>
              <w:rPr>
                <w:rFonts w:hint="eastAsia" w:ascii="宋体" w:hAnsi="宋体" w:cs="宋体"/>
                <w:b/>
                <w:bCs/>
                <w:color w:val="auto"/>
                <w:sz w:val="24"/>
                <w:highlight w:val="none"/>
              </w:rPr>
            </w:pPr>
            <w:r>
              <w:rPr>
                <w:rFonts w:hint="eastAsia" w:ascii="宋体" w:hAnsi="宋体" w:cs="宋体"/>
                <w:b/>
                <w:bCs/>
                <w:color w:val="auto"/>
                <w:sz w:val="24"/>
                <w:highlight w:val="none"/>
              </w:rPr>
              <w:t>注： 1.法定代表人（或负责人）授权委托书必须由法定代表人（或负责人）及委托代理人签字（或电子签名），并加盖投标人电子签章，否则作无效投标处理。</w:t>
            </w:r>
          </w:p>
          <w:p w14:paraId="792C3497">
            <w:pPr>
              <w:jc w:val="left"/>
              <w:rPr>
                <w:rFonts w:hint="eastAsia" w:ascii="宋体" w:hAnsi="宋体" w:cs="宋体"/>
                <w:b/>
                <w:bCs/>
                <w:color w:val="auto"/>
                <w:sz w:val="24"/>
                <w:highlight w:val="none"/>
              </w:rPr>
            </w:pPr>
            <w:r>
              <w:rPr>
                <w:rFonts w:hint="eastAsia" w:ascii="宋体" w:hAnsi="宋体" w:cs="宋体"/>
                <w:b/>
                <w:bCs/>
                <w:color w:val="auto"/>
                <w:sz w:val="24"/>
                <w:highlight w:val="none"/>
              </w:rPr>
              <w:t>2.以上材料属于</w:t>
            </w:r>
            <w:r>
              <w:rPr>
                <w:rFonts w:hint="eastAsia" w:ascii="宋体" w:hAnsi="宋体" w:cs="宋体"/>
                <w:b/>
                <w:bCs/>
                <w:color w:val="auto"/>
                <w:sz w:val="24"/>
                <w:highlight w:val="none"/>
                <w:lang w:eastAsia="zh-CN"/>
              </w:rPr>
              <w:t>复印件或扫描件的</w:t>
            </w:r>
            <w:r>
              <w:rPr>
                <w:rFonts w:hint="eastAsia" w:ascii="宋体" w:hAnsi="宋体" w:cs="宋体"/>
                <w:b/>
                <w:bCs/>
                <w:color w:val="auto"/>
                <w:sz w:val="24"/>
                <w:highlight w:val="none"/>
              </w:rPr>
              <w:t>，必须加盖投标人电子签章，否则作无效投标处理。</w:t>
            </w:r>
          </w:p>
          <w:p w14:paraId="3393D05D">
            <w:pPr>
              <w:jc w:val="left"/>
              <w:rPr>
                <w:rFonts w:hint="eastAsia" w:ascii="宋体" w:hAnsi="宋体" w:cs="宋体"/>
                <w:color w:val="auto"/>
                <w:highlight w:val="none"/>
              </w:rPr>
            </w:pPr>
            <w:r>
              <w:rPr>
                <w:rFonts w:hint="eastAsia" w:ascii="宋体" w:hAnsi="宋体" w:cs="宋体"/>
                <w:b/>
                <w:bCs/>
                <w:color w:val="auto"/>
                <w:sz w:val="24"/>
                <w:highlight w:val="none"/>
              </w:rPr>
              <w:t>3.电子投标文件中所须加盖公章部分均建议采用</w:t>
            </w:r>
            <w:r>
              <w:rPr>
                <w:rFonts w:hint="eastAsia" w:ascii="宋体" w:hAnsi="宋体" w:cs="宋体"/>
                <w:b/>
                <w:bCs/>
                <w:color w:val="auto"/>
                <w:sz w:val="24"/>
                <w:highlight w:val="none"/>
                <w:lang w:eastAsia="zh-CN"/>
              </w:rPr>
              <w:t>电子签章</w:t>
            </w:r>
            <w:r>
              <w:rPr>
                <w:rFonts w:hint="eastAsia" w:ascii="宋体" w:hAnsi="宋体" w:cs="宋体"/>
                <w:b/>
                <w:bCs/>
                <w:color w:val="auto"/>
                <w:sz w:val="24"/>
                <w:highlight w:val="none"/>
              </w:rPr>
              <w:t>。若招标文件中有专门标注的某关联点，并要求投标人在电子投标系统中作出投标响应的，如投标人未对关联点进行响应或者在投标文件其它内容进行描述，造成电子评审不能查询的责任由投标人自行承担。</w:t>
            </w:r>
          </w:p>
        </w:tc>
      </w:tr>
      <w:tr w14:paraId="2DDE7D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vMerge w:val="continue"/>
            <w:tcBorders>
              <w:top w:val="single" w:color="auto" w:sz="4" w:space="0"/>
              <w:left w:val="single" w:color="auto" w:sz="4" w:space="0"/>
              <w:bottom w:val="single" w:color="auto" w:sz="4" w:space="0"/>
              <w:right w:val="single" w:color="auto" w:sz="4" w:space="0"/>
            </w:tcBorders>
            <w:noWrap w:val="0"/>
            <w:vAlign w:val="center"/>
          </w:tcPr>
          <w:p w14:paraId="2219D480">
            <w:pPr>
              <w:jc w:val="center"/>
              <w:rPr>
                <w:rFonts w:hint="eastAsia" w:ascii="宋体" w:hAnsi="宋体" w:cs="宋体"/>
                <w:color w:val="auto"/>
                <w:highlight w:val="none"/>
              </w:rPr>
            </w:pPr>
            <w:bookmarkStart w:id="83" w:name="_13.4"/>
            <w:bookmarkEnd w:id="83"/>
          </w:p>
        </w:tc>
        <w:tc>
          <w:tcPr>
            <w:tcW w:w="8160" w:type="dxa"/>
            <w:tcBorders>
              <w:top w:val="single" w:color="auto" w:sz="4" w:space="0"/>
              <w:left w:val="single" w:color="auto" w:sz="4" w:space="0"/>
              <w:bottom w:val="single" w:color="auto" w:sz="4" w:space="0"/>
              <w:right w:val="single" w:color="auto" w:sz="4" w:space="0"/>
            </w:tcBorders>
            <w:noWrap w:val="0"/>
            <w:vAlign w:val="center"/>
          </w:tcPr>
          <w:p w14:paraId="18B48320">
            <w:pPr>
              <w:jc w:val="left"/>
              <w:rPr>
                <w:rFonts w:hint="eastAsia" w:ascii="宋体" w:hAnsi="宋体" w:cs="宋体"/>
                <w:color w:val="auto"/>
                <w:highlight w:val="none"/>
              </w:rPr>
            </w:pPr>
            <w:r>
              <w:rPr>
                <w:rFonts w:hint="eastAsia" w:ascii="宋体" w:hAnsi="宋体" w:cs="宋体"/>
                <w:color w:val="auto"/>
                <w:highlight w:val="none"/>
              </w:rPr>
              <w:t>技术文件：</w:t>
            </w:r>
          </w:p>
          <w:p w14:paraId="4CA4CB9C">
            <w:pPr>
              <w:ind w:left="420"/>
              <w:jc w:val="left"/>
              <w:rPr>
                <w:rFonts w:hint="eastAsia" w:ascii="宋体" w:hAnsi="宋体"/>
                <w:color w:val="auto"/>
                <w:szCs w:val="21"/>
                <w:highlight w:val="none"/>
              </w:rPr>
            </w:pPr>
            <w:r>
              <w:rPr>
                <w:rFonts w:hint="eastAsia" w:ascii="宋体" w:hAnsi="宋体"/>
                <w:color w:val="auto"/>
                <w:szCs w:val="21"/>
                <w:highlight w:val="none"/>
              </w:rPr>
              <w:t>1.</w:t>
            </w:r>
            <w:r>
              <w:rPr>
                <w:rFonts w:hint="eastAsia"/>
                <w:color w:val="auto"/>
                <w:highlight w:val="none"/>
              </w:rPr>
              <w:t xml:space="preserve"> </w:t>
            </w:r>
            <w:r>
              <w:rPr>
                <w:rFonts w:hint="eastAsia" w:ascii="宋体" w:hAnsi="宋体"/>
                <w:color w:val="auto"/>
                <w:szCs w:val="21"/>
                <w:highlight w:val="none"/>
              </w:rPr>
              <w:t>技术要求偏离表；（</w:t>
            </w:r>
            <w:r>
              <w:rPr>
                <w:rFonts w:hint="eastAsia" w:ascii="宋体" w:hAnsi="宋体"/>
                <w:b/>
                <w:color w:val="auto"/>
                <w:szCs w:val="21"/>
                <w:highlight w:val="none"/>
              </w:rPr>
              <w:t>必须提供，否则作无效投标处理</w:t>
            </w:r>
            <w:r>
              <w:rPr>
                <w:rFonts w:hint="eastAsia" w:ascii="宋体" w:hAnsi="宋体"/>
                <w:color w:val="auto"/>
                <w:szCs w:val="21"/>
                <w:highlight w:val="none"/>
              </w:rPr>
              <w:t>）</w:t>
            </w:r>
          </w:p>
          <w:p w14:paraId="0105DF6D">
            <w:pPr>
              <w:ind w:left="420"/>
              <w:jc w:val="left"/>
              <w:rPr>
                <w:color w:val="auto"/>
                <w:highlight w:val="none"/>
              </w:rPr>
            </w:pPr>
            <w:r>
              <w:rPr>
                <w:rFonts w:hint="eastAsia" w:ascii="宋体" w:hAnsi="宋体"/>
                <w:color w:val="auto"/>
                <w:szCs w:val="21"/>
                <w:highlight w:val="none"/>
              </w:rPr>
              <w:t>2.</w:t>
            </w:r>
            <w:r>
              <w:rPr>
                <w:rFonts w:hint="eastAsia"/>
                <w:color w:val="auto"/>
                <w:highlight w:val="none"/>
              </w:rPr>
              <w:t xml:space="preserve"> </w:t>
            </w:r>
            <w:r>
              <w:rPr>
                <w:rFonts w:hint="eastAsia"/>
                <w:color w:val="auto"/>
                <w:highlight w:val="none"/>
                <w:lang w:eastAsia="zh-CN"/>
              </w:rPr>
              <w:t>技术方案（可包括但不限于项目建设方案、项目实施方案及运维服务方案等内容）</w:t>
            </w:r>
            <w:r>
              <w:rPr>
                <w:rFonts w:hint="eastAsia"/>
                <w:color w:val="auto"/>
                <w:highlight w:val="none"/>
              </w:rPr>
              <w:t>；（</w:t>
            </w:r>
            <w:r>
              <w:rPr>
                <w:rFonts w:hint="eastAsia"/>
                <w:b/>
                <w:bCs/>
                <w:color w:val="auto"/>
                <w:highlight w:val="none"/>
              </w:rPr>
              <w:t>必须提供，否则作无效投标处理</w:t>
            </w:r>
            <w:r>
              <w:rPr>
                <w:rFonts w:hint="eastAsia"/>
                <w:color w:val="auto"/>
                <w:highlight w:val="none"/>
              </w:rPr>
              <w:t>）</w:t>
            </w:r>
          </w:p>
          <w:p w14:paraId="07E07AFF">
            <w:pPr>
              <w:ind w:left="420"/>
              <w:jc w:val="left"/>
              <w:rPr>
                <w:rFonts w:hint="eastAsia" w:ascii="宋体" w:hAnsi="宋体"/>
                <w:color w:val="auto"/>
                <w:szCs w:val="21"/>
                <w:highlight w:val="none"/>
              </w:rPr>
            </w:pPr>
            <w:r>
              <w:rPr>
                <w:rFonts w:hint="eastAsia" w:ascii="宋体" w:hAnsi="宋体"/>
                <w:color w:val="auto"/>
                <w:szCs w:val="21"/>
                <w:highlight w:val="none"/>
              </w:rPr>
              <w:t>3. 对本项目总体要求的理解、合理化建议和改进措施；</w:t>
            </w:r>
          </w:p>
          <w:p w14:paraId="3FEE161F">
            <w:pPr>
              <w:ind w:left="420"/>
              <w:jc w:val="left"/>
              <w:rPr>
                <w:rFonts w:hint="eastAsia" w:ascii="宋体" w:hAnsi="宋体"/>
                <w:color w:val="auto"/>
                <w:szCs w:val="21"/>
                <w:highlight w:val="none"/>
              </w:rPr>
            </w:pPr>
            <w:r>
              <w:rPr>
                <w:rFonts w:hint="eastAsia" w:ascii="宋体" w:hAnsi="宋体"/>
                <w:color w:val="auto"/>
                <w:szCs w:val="21"/>
                <w:highlight w:val="none"/>
              </w:rPr>
              <w:t>4. 投标人需要说明的其他文件和说明（格式略）。</w:t>
            </w:r>
          </w:p>
          <w:p w14:paraId="740332F8">
            <w:pPr>
              <w:ind w:left="420"/>
              <w:jc w:val="left"/>
              <w:rPr>
                <w:rFonts w:hint="eastAsia" w:ascii="宋体" w:hAnsi="宋体" w:cs="宋体"/>
                <w:color w:val="auto"/>
                <w:highlight w:val="none"/>
              </w:rPr>
            </w:pPr>
            <w:r>
              <w:rPr>
                <w:rFonts w:hint="eastAsia" w:ascii="宋体" w:hAnsi="宋体"/>
                <w:color w:val="auto"/>
                <w:szCs w:val="21"/>
                <w:highlight w:val="none"/>
              </w:rPr>
              <w:t>5. 除招标文件规定必须提供以外，投标人需要说明的其他文件和说明（格式自拟）。</w:t>
            </w:r>
          </w:p>
          <w:p w14:paraId="171D38C7">
            <w:pPr>
              <w:jc w:val="left"/>
              <w:rPr>
                <w:rFonts w:hint="eastAsia" w:ascii="宋体" w:hAnsi="宋体" w:cs="宋体"/>
                <w:b/>
                <w:bCs/>
                <w:color w:val="auto"/>
                <w:sz w:val="24"/>
                <w:highlight w:val="none"/>
              </w:rPr>
            </w:pPr>
            <w:r>
              <w:rPr>
                <w:rFonts w:hint="eastAsia" w:ascii="宋体" w:hAnsi="宋体" w:cs="宋体"/>
                <w:b/>
                <w:bCs/>
                <w:color w:val="auto"/>
                <w:sz w:val="24"/>
                <w:highlight w:val="none"/>
              </w:rPr>
              <w:t>注： 1.以上材料属于</w:t>
            </w:r>
            <w:r>
              <w:rPr>
                <w:rFonts w:hint="eastAsia" w:ascii="宋体" w:hAnsi="宋体" w:cs="宋体"/>
                <w:b/>
                <w:bCs/>
                <w:color w:val="auto"/>
                <w:sz w:val="24"/>
                <w:highlight w:val="none"/>
                <w:lang w:eastAsia="zh-CN"/>
              </w:rPr>
              <w:t>复印件或扫描件的</w:t>
            </w:r>
            <w:r>
              <w:rPr>
                <w:rFonts w:hint="eastAsia" w:ascii="宋体" w:hAnsi="宋体" w:cs="宋体"/>
                <w:b/>
                <w:bCs/>
                <w:color w:val="auto"/>
                <w:sz w:val="24"/>
                <w:highlight w:val="none"/>
              </w:rPr>
              <w:t>，必须加盖投标人电子签章，否则作无效投标处理。</w:t>
            </w:r>
          </w:p>
          <w:p w14:paraId="5C6039F0">
            <w:pPr>
              <w:jc w:val="left"/>
              <w:rPr>
                <w:rFonts w:hint="eastAsia" w:ascii="宋体" w:hAnsi="宋体" w:cs="宋体"/>
                <w:color w:val="auto"/>
                <w:highlight w:val="none"/>
              </w:rPr>
            </w:pPr>
            <w:r>
              <w:rPr>
                <w:rFonts w:hint="eastAsia" w:ascii="宋体" w:hAnsi="宋体" w:cs="宋体"/>
                <w:b/>
                <w:bCs/>
                <w:color w:val="auto"/>
                <w:sz w:val="24"/>
                <w:highlight w:val="none"/>
              </w:rPr>
              <w:t>2.电子投标文件中所须加盖公章部分均建议采用</w:t>
            </w:r>
            <w:r>
              <w:rPr>
                <w:rFonts w:hint="eastAsia" w:ascii="宋体" w:hAnsi="宋体" w:cs="宋体"/>
                <w:b/>
                <w:bCs/>
                <w:color w:val="auto"/>
                <w:sz w:val="24"/>
                <w:highlight w:val="none"/>
                <w:lang w:eastAsia="zh-CN"/>
              </w:rPr>
              <w:t>电子签章</w:t>
            </w:r>
            <w:r>
              <w:rPr>
                <w:rFonts w:hint="eastAsia" w:ascii="宋体" w:hAnsi="宋体" w:cs="宋体"/>
                <w:b/>
                <w:bCs/>
                <w:color w:val="auto"/>
                <w:sz w:val="24"/>
                <w:highlight w:val="none"/>
              </w:rPr>
              <w:t>。若招标文件中有专门标注的某关联点，并要求投标人在电子投标系统中作出投标响应的，如投标人未对关联点进行响应或者在投标文件其它内容进行描述，造成电子评审不能查询的责任由投标人自行承担。</w:t>
            </w:r>
          </w:p>
        </w:tc>
      </w:tr>
      <w:tr w14:paraId="22081A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left w:val="single" w:color="auto" w:sz="4" w:space="0"/>
              <w:bottom w:val="single" w:color="auto" w:sz="4" w:space="0"/>
              <w:right w:val="single" w:color="auto" w:sz="4" w:space="0"/>
            </w:tcBorders>
            <w:noWrap w:val="0"/>
            <w:vAlign w:val="center"/>
          </w:tcPr>
          <w:p w14:paraId="379E346F">
            <w:pPr>
              <w:jc w:val="center"/>
              <w:rPr>
                <w:rFonts w:hint="eastAsia" w:ascii="宋体" w:hAnsi="宋体" w:cs="宋体"/>
                <w:color w:val="auto"/>
                <w:highlight w:val="none"/>
              </w:rPr>
            </w:pPr>
            <w:bookmarkStart w:id="84" w:name="_16.2"/>
            <w:bookmarkEnd w:id="84"/>
            <w:bookmarkStart w:id="85" w:name="_13.5"/>
            <w:bookmarkEnd w:id="85"/>
            <w:r>
              <w:rPr>
                <w:rFonts w:hint="eastAsia" w:ascii="宋体" w:hAnsi="宋体" w:cs="宋体"/>
                <w:color w:val="auto"/>
                <w:highlight w:val="none"/>
              </w:rPr>
              <w:t>16</w:t>
            </w:r>
            <w:bookmarkStart w:id="86" w:name="_Hlt19693759"/>
            <w:bookmarkStart w:id="87" w:name="_Hlt19194066"/>
            <w:bookmarkStart w:id="88" w:name="_Hlt19693758"/>
            <w:bookmarkStart w:id="89" w:name="_Hlt19194067"/>
            <w:r>
              <w:rPr>
                <w:rFonts w:hint="eastAsia" w:ascii="宋体" w:hAnsi="宋体" w:cs="宋体"/>
                <w:color w:val="auto"/>
                <w:highlight w:val="none"/>
              </w:rPr>
              <w:t>.</w:t>
            </w:r>
            <w:bookmarkEnd w:id="86"/>
            <w:bookmarkEnd w:id="87"/>
            <w:bookmarkEnd w:id="88"/>
            <w:bookmarkEnd w:id="89"/>
            <w:r>
              <w:rPr>
                <w:rFonts w:hint="eastAsia" w:ascii="宋体" w:hAnsi="宋体" w:cs="宋体"/>
                <w:color w:val="auto"/>
                <w:highlight w:val="none"/>
              </w:rPr>
              <w:t>2</w:t>
            </w:r>
          </w:p>
        </w:tc>
        <w:tc>
          <w:tcPr>
            <w:tcW w:w="8160" w:type="dxa"/>
            <w:tcBorders>
              <w:top w:val="single" w:color="auto" w:sz="4" w:space="0"/>
              <w:left w:val="single" w:color="auto" w:sz="4" w:space="0"/>
              <w:bottom w:val="single" w:color="auto" w:sz="4" w:space="0"/>
              <w:right w:val="single" w:color="auto" w:sz="4" w:space="0"/>
            </w:tcBorders>
            <w:noWrap w:val="0"/>
            <w:vAlign w:val="center"/>
          </w:tcPr>
          <w:p w14:paraId="1A9FD862">
            <w:pPr>
              <w:spacing w:line="360" w:lineRule="auto"/>
              <w:ind w:firstLine="420"/>
              <w:rPr>
                <w:rFonts w:hint="eastAsia" w:ascii="宋体" w:hAnsi="宋体" w:cs="宋体"/>
                <w:b/>
                <w:bCs/>
                <w:color w:val="auto"/>
                <w:sz w:val="24"/>
                <w:highlight w:val="none"/>
              </w:rPr>
            </w:pPr>
            <w:r>
              <w:rPr>
                <w:rFonts w:hint="eastAsia" w:ascii="宋体" w:hAnsi="宋体" w:cs="宋体"/>
                <w:color w:val="auto"/>
                <w:szCs w:val="21"/>
                <w:highlight w:val="none"/>
              </w:rPr>
              <w:t>投标报价是履行合同的最终价格，投标报价包含实施和完成本项目全部工作所需的服务期内所需的一切费用，包括但不限于</w:t>
            </w:r>
            <w:r>
              <w:rPr>
                <w:rFonts w:hint="eastAsia" w:ascii="宋体" w:hAnsi="宋体" w:cs="宋体"/>
                <w:color w:val="auto"/>
                <w:szCs w:val="21"/>
                <w:highlight w:val="none"/>
                <w:lang w:eastAsia="zh-CN"/>
              </w:rPr>
              <w:t>实施人员业务和劳务费、技术服务费、一般耗材、保险、税费、利润和招标代理服务费</w:t>
            </w:r>
            <w:r>
              <w:rPr>
                <w:rFonts w:hint="eastAsia" w:ascii="宋体" w:hAnsi="宋体" w:cs="宋体"/>
                <w:color w:val="auto"/>
                <w:szCs w:val="21"/>
                <w:highlight w:val="none"/>
              </w:rPr>
              <w:t>等所有服</w:t>
            </w:r>
            <w:r>
              <w:rPr>
                <w:rFonts w:hint="eastAsia" w:ascii="宋体" w:hAnsi="宋体" w:cs="宋体"/>
                <w:color w:val="auto"/>
                <w:szCs w:val="21"/>
                <w:highlight w:val="none"/>
                <w:lang w:eastAsia="zh-CN"/>
              </w:rPr>
              <w:t>务过程产生的费用</w:t>
            </w:r>
            <w:r>
              <w:rPr>
                <w:rFonts w:hint="eastAsia" w:ascii="宋体" w:hAnsi="宋体" w:cs="宋体"/>
                <w:b/>
                <w:bCs/>
                <w:color w:val="auto"/>
                <w:sz w:val="24"/>
                <w:highlight w:val="none"/>
              </w:rPr>
              <w:t>。</w:t>
            </w:r>
          </w:p>
        </w:tc>
      </w:tr>
      <w:tr w14:paraId="107AA9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left w:val="single" w:color="auto" w:sz="4" w:space="0"/>
              <w:bottom w:val="single" w:color="auto" w:sz="4" w:space="0"/>
              <w:right w:val="single" w:color="auto" w:sz="4" w:space="0"/>
            </w:tcBorders>
            <w:noWrap w:val="0"/>
            <w:vAlign w:val="center"/>
          </w:tcPr>
          <w:p w14:paraId="571C7E5D">
            <w:pPr>
              <w:jc w:val="center"/>
              <w:rPr>
                <w:rFonts w:hint="eastAsia" w:ascii="宋体" w:hAnsi="宋体" w:cs="宋体"/>
                <w:color w:val="auto"/>
                <w:highlight w:val="none"/>
              </w:rPr>
            </w:pPr>
            <w:bookmarkStart w:id="90" w:name="_17.1"/>
            <w:bookmarkEnd w:id="90"/>
            <w:r>
              <w:rPr>
                <w:rFonts w:hint="eastAsia" w:ascii="宋体" w:hAnsi="宋体" w:cs="宋体"/>
                <w:color w:val="auto"/>
                <w:highlight w:val="none"/>
              </w:rPr>
              <w:t>17.1</w:t>
            </w:r>
          </w:p>
        </w:tc>
        <w:tc>
          <w:tcPr>
            <w:tcW w:w="8160" w:type="dxa"/>
            <w:tcBorders>
              <w:top w:val="single" w:color="auto" w:sz="4" w:space="0"/>
              <w:left w:val="single" w:color="auto" w:sz="4" w:space="0"/>
              <w:bottom w:val="single" w:color="auto" w:sz="4" w:space="0"/>
              <w:right w:val="single" w:color="auto" w:sz="4" w:space="0"/>
            </w:tcBorders>
            <w:noWrap w:val="0"/>
            <w:vAlign w:val="center"/>
          </w:tcPr>
          <w:p w14:paraId="6EE6FBF6">
            <w:pPr>
              <w:pStyle w:val="218"/>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 xml:space="preserve">投标有效期： </w:t>
            </w:r>
            <w:r>
              <w:rPr>
                <w:rFonts w:hint="eastAsia" w:ascii="宋体" w:hAnsi="宋体" w:cs="宋体"/>
                <w:color w:val="auto"/>
                <w:highlight w:val="none"/>
                <w:lang w:val="en-US" w:eastAsia="zh-CN"/>
              </w:rPr>
              <w:t>自投标截止之日起120日</w:t>
            </w:r>
            <w:r>
              <w:rPr>
                <w:rFonts w:hint="eastAsia" w:ascii="宋体" w:hAnsi="宋体" w:cs="宋体"/>
                <w:color w:val="auto"/>
                <w:szCs w:val="21"/>
                <w:highlight w:val="none"/>
                <w:lang w:val="en-US" w:eastAsia="zh-CN"/>
              </w:rPr>
              <w:t>。</w:t>
            </w:r>
          </w:p>
        </w:tc>
      </w:tr>
      <w:tr w14:paraId="6191CE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left w:val="single" w:color="auto" w:sz="4" w:space="0"/>
              <w:bottom w:val="single" w:color="auto" w:sz="4" w:space="0"/>
              <w:right w:val="single" w:color="auto" w:sz="4" w:space="0"/>
            </w:tcBorders>
            <w:noWrap w:val="0"/>
            <w:vAlign w:val="center"/>
          </w:tcPr>
          <w:p w14:paraId="49A726F8">
            <w:pPr>
              <w:jc w:val="center"/>
              <w:rPr>
                <w:rFonts w:hint="eastAsia" w:ascii="宋体" w:hAnsi="宋体" w:cs="宋体"/>
                <w:color w:val="auto"/>
                <w:highlight w:val="none"/>
              </w:rPr>
            </w:pPr>
            <w:bookmarkStart w:id="91" w:name="_18"/>
            <w:bookmarkEnd w:id="91"/>
            <w:r>
              <w:rPr>
                <w:rFonts w:hint="eastAsia" w:ascii="宋体" w:hAnsi="宋体" w:cs="宋体"/>
                <w:color w:val="auto"/>
                <w:highlight w:val="none"/>
              </w:rPr>
              <w:t>18.1</w:t>
            </w:r>
          </w:p>
        </w:tc>
        <w:tc>
          <w:tcPr>
            <w:tcW w:w="8160" w:type="dxa"/>
            <w:tcBorders>
              <w:top w:val="single" w:color="auto" w:sz="4" w:space="0"/>
              <w:left w:val="single" w:color="auto" w:sz="4" w:space="0"/>
              <w:bottom w:val="single" w:color="auto" w:sz="4" w:space="0"/>
              <w:right w:val="single" w:color="auto" w:sz="4" w:space="0"/>
            </w:tcBorders>
            <w:noWrap w:val="0"/>
            <w:vAlign w:val="center"/>
          </w:tcPr>
          <w:p w14:paraId="72F49648">
            <w:pPr>
              <w:rPr>
                <w:rFonts w:hint="eastAsia" w:ascii="宋体" w:hAnsi="宋体" w:cs="宋体"/>
                <w:b/>
                <w:color w:val="auto"/>
                <w:sz w:val="24"/>
                <w:highlight w:val="none"/>
              </w:rPr>
            </w:pPr>
            <w:r>
              <w:rPr>
                <w:rFonts w:hint="eastAsia" w:ascii="宋体" w:hAnsi="宋体"/>
                <w:color w:val="auto"/>
                <w:szCs w:val="21"/>
                <w:highlight w:val="none"/>
              </w:rPr>
              <w:t>本项目不收取投标保证金</w:t>
            </w:r>
            <w:r>
              <w:rPr>
                <w:rFonts w:hint="eastAsia" w:ascii="宋体" w:hAnsi="宋体" w:cs="宋体"/>
                <w:color w:val="auto"/>
                <w:highlight w:val="none"/>
              </w:rPr>
              <w:t>。</w:t>
            </w:r>
          </w:p>
        </w:tc>
      </w:tr>
      <w:tr w14:paraId="099661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left w:val="single" w:color="auto" w:sz="4" w:space="0"/>
              <w:bottom w:val="single" w:color="auto" w:sz="4" w:space="0"/>
              <w:right w:val="single" w:color="auto" w:sz="4" w:space="0"/>
            </w:tcBorders>
            <w:noWrap w:val="0"/>
            <w:vAlign w:val="center"/>
          </w:tcPr>
          <w:p w14:paraId="197ACF59">
            <w:pPr>
              <w:spacing w:line="360" w:lineRule="auto"/>
              <w:jc w:val="center"/>
              <w:rPr>
                <w:rFonts w:hint="eastAsia" w:ascii="宋体" w:hAnsi="宋体" w:cs="宋体"/>
                <w:color w:val="auto"/>
                <w:highlight w:val="none"/>
              </w:rPr>
            </w:pPr>
            <w:r>
              <w:rPr>
                <w:rFonts w:hint="eastAsia" w:ascii="宋体" w:hAnsi="宋体" w:cs="宋体"/>
                <w:color w:val="auto"/>
                <w:szCs w:val="21"/>
                <w:highlight w:val="none"/>
              </w:rPr>
              <w:t>20</w:t>
            </w:r>
          </w:p>
        </w:tc>
        <w:tc>
          <w:tcPr>
            <w:tcW w:w="8160" w:type="dxa"/>
            <w:tcBorders>
              <w:top w:val="single" w:color="auto" w:sz="4" w:space="0"/>
              <w:left w:val="single" w:color="auto" w:sz="4" w:space="0"/>
              <w:bottom w:val="single" w:color="auto" w:sz="4" w:space="0"/>
              <w:right w:val="single" w:color="auto" w:sz="4" w:space="0"/>
            </w:tcBorders>
            <w:noWrap w:val="0"/>
            <w:vAlign w:val="center"/>
          </w:tcPr>
          <w:p w14:paraId="7EAD2909">
            <w:pPr>
              <w:spacing w:line="360" w:lineRule="auto"/>
              <w:ind w:firstLine="420"/>
              <w:rPr>
                <w:rFonts w:hint="eastAsia" w:ascii="宋体" w:hAnsi="宋体" w:cs="宋体"/>
                <w:color w:val="auto"/>
                <w:highlight w:val="none"/>
              </w:rPr>
            </w:pPr>
            <w:r>
              <w:rPr>
                <w:rFonts w:hint="eastAsia"/>
                <w:color w:val="auto"/>
                <w:highlight w:val="none"/>
              </w:rPr>
              <w:t>本项目</w:t>
            </w:r>
            <w:r>
              <w:rPr>
                <w:rFonts w:hint="eastAsia"/>
                <w:color w:val="auto"/>
                <w:highlight w:val="none"/>
                <w:lang w:eastAsia="zh-CN"/>
              </w:rPr>
              <w:t>不</w:t>
            </w:r>
            <w:r>
              <w:rPr>
                <w:rFonts w:hint="eastAsia"/>
                <w:color w:val="auto"/>
                <w:highlight w:val="none"/>
              </w:rPr>
              <w:t>接受电子备份投标文件。</w:t>
            </w:r>
          </w:p>
        </w:tc>
      </w:tr>
      <w:tr w14:paraId="2A235E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47"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2430B1E3">
            <w:pPr>
              <w:spacing w:line="360" w:lineRule="auto"/>
              <w:jc w:val="center"/>
              <w:rPr>
                <w:rFonts w:hint="eastAsia" w:ascii="宋体" w:hAnsi="宋体" w:cs="宋体"/>
                <w:color w:val="auto"/>
                <w:szCs w:val="21"/>
                <w:highlight w:val="none"/>
              </w:rPr>
            </w:pPr>
            <w:bookmarkStart w:id="92" w:name="_21.1"/>
            <w:bookmarkEnd w:id="92"/>
            <w:bookmarkStart w:id="93" w:name="_19.2"/>
            <w:bookmarkEnd w:id="93"/>
            <w:r>
              <w:rPr>
                <w:rFonts w:hint="eastAsia" w:ascii="宋体" w:hAnsi="宋体" w:cs="宋体"/>
                <w:color w:val="auto"/>
                <w:szCs w:val="21"/>
                <w:highlight w:val="none"/>
              </w:rPr>
              <w:t>21.1</w:t>
            </w:r>
          </w:p>
        </w:tc>
        <w:tc>
          <w:tcPr>
            <w:tcW w:w="8160" w:type="dxa"/>
            <w:tcBorders>
              <w:top w:val="single" w:color="auto" w:sz="4" w:space="0"/>
              <w:left w:val="single" w:color="auto" w:sz="4" w:space="0"/>
              <w:bottom w:val="single" w:color="auto" w:sz="4" w:space="0"/>
              <w:right w:val="single" w:color="auto" w:sz="4" w:space="0"/>
            </w:tcBorders>
            <w:noWrap w:val="0"/>
            <w:vAlign w:val="center"/>
          </w:tcPr>
          <w:p w14:paraId="765C0DF8">
            <w:pPr>
              <w:spacing w:line="360" w:lineRule="auto"/>
              <w:rPr>
                <w:rFonts w:hint="eastAsia" w:ascii="宋体" w:hAnsi="宋体" w:cs="宋体"/>
                <w:color w:val="auto"/>
                <w:szCs w:val="21"/>
                <w:highlight w:val="none"/>
                <w:u w:val="single"/>
              </w:rPr>
            </w:pPr>
            <w:r>
              <w:rPr>
                <w:rFonts w:hint="eastAsia" w:ascii="宋体" w:hAnsi="宋体" w:cs="宋体"/>
                <w:color w:val="auto"/>
                <w:szCs w:val="21"/>
                <w:highlight w:val="none"/>
              </w:rPr>
              <w:t>1.投标文件提交截止时间：详见招标公告</w:t>
            </w:r>
          </w:p>
          <w:p w14:paraId="3BF7A7BA">
            <w:pPr>
              <w:spacing w:line="360" w:lineRule="auto"/>
              <w:rPr>
                <w:rFonts w:hint="eastAsia" w:ascii="宋体" w:hAnsi="宋体" w:cs="宋体"/>
                <w:color w:val="auto"/>
                <w:highlight w:val="none"/>
              </w:rPr>
            </w:pPr>
            <w:r>
              <w:rPr>
                <w:rFonts w:hint="eastAsia" w:ascii="宋体" w:hAnsi="宋体" w:cs="宋体"/>
                <w:color w:val="auto"/>
                <w:szCs w:val="21"/>
                <w:highlight w:val="none"/>
              </w:rPr>
              <w:t>2.投标地点：详见招标公告</w:t>
            </w:r>
          </w:p>
        </w:tc>
      </w:tr>
      <w:tr w14:paraId="06226D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left w:val="single" w:color="auto" w:sz="4" w:space="0"/>
              <w:bottom w:val="single" w:color="auto" w:sz="4" w:space="0"/>
              <w:right w:val="single" w:color="auto" w:sz="4" w:space="0"/>
            </w:tcBorders>
            <w:noWrap w:val="0"/>
            <w:vAlign w:val="center"/>
          </w:tcPr>
          <w:p w14:paraId="1B84D1A7">
            <w:pPr>
              <w:spacing w:line="360" w:lineRule="auto"/>
              <w:jc w:val="center"/>
              <w:rPr>
                <w:rFonts w:hint="eastAsia" w:ascii="宋体" w:hAnsi="宋体" w:cs="宋体"/>
                <w:color w:val="auto"/>
                <w:highlight w:val="none"/>
              </w:rPr>
            </w:pPr>
            <w:bookmarkStart w:id="94" w:name="_23"/>
            <w:bookmarkEnd w:id="94"/>
            <w:r>
              <w:rPr>
                <w:rFonts w:hint="eastAsia" w:ascii="宋体" w:hAnsi="宋体" w:cs="宋体"/>
                <w:color w:val="auto"/>
                <w:szCs w:val="21"/>
                <w:highlight w:val="none"/>
              </w:rPr>
              <w:t>23</w:t>
            </w:r>
          </w:p>
        </w:tc>
        <w:tc>
          <w:tcPr>
            <w:tcW w:w="8160" w:type="dxa"/>
            <w:tcBorders>
              <w:top w:val="single" w:color="auto" w:sz="4" w:space="0"/>
              <w:left w:val="single" w:color="auto" w:sz="4" w:space="0"/>
              <w:bottom w:val="single" w:color="auto" w:sz="4" w:space="0"/>
              <w:right w:val="single" w:color="auto" w:sz="4" w:space="0"/>
            </w:tcBorders>
            <w:noWrap w:val="0"/>
            <w:vAlign w:val="center"/>
          </w:tcPr>
          <w:p w14:paraId="37C0E556">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1.开标时间：详见招标公告</w:t>
            </w:r>
          </w:p>
          <w:p w14:paraId="62310F2F">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2.开标地点：详见招标公告</w:t>
            </w:r>
          </w:p>
        </w:tc>
      </w:tr>
      <w:tr w14:paraId="444E26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left w:val="single" w:color="auto" w:sz="4" w:space="0"/>
              <w:bottom w:val="single" w:color="auto" w:sz="4" w:space="0"/>
              <w:right w:val="single" w:color="auto" w:sz="4" w:space="0"/>
            </w:tcBorders>
            <w:noWrap w:val="0"/>
            <w:vAlign w:val="center"/>
          </w:tcPr>
          <w:p w14:paraId="67D70F45">
            <w:pPr>
              <w:spacing w:line="360" w:lineRule="auto"/>
              <w:jc w:val="center"/>
              <w:rPr>
                <w:rFonts w:hint="eastAsia" w:ascii="宋体" w:hAnsi="宋体" w:cs="宋体"/>
                <w:color w:val="auto"/>
                <w:highlight w:val="none"/>
              </w:rPr>
            </w:pPr>
            <w:bookmarkStart w:id="95" w:name="_25.3"/>
            <w:bookmarkEnd w:id="95"/>
            <w:r>
              <w:rPr>
                <w:rFonts w:hint="eastAsia" w:ascii="宋体" w:hAnsi="宋体" w:cs="宋体"/>
                <w:color w:val="auto"/>
                <w:szCs w:val="21"/>
                <w:highlight w:val="none"/>
              </w:rPr>
              <w:t>24.3（1）</w:t>
            </w:r>
          </w:p>
        </w:tc>
        <w:tc>
          <w:tcPr>
            <w:tcW w:w="8160" w:type="dxa"/>
            <w:tcBorders>
              <w:top w:val="single" w:color="auto" w:sz="4" w:space="0"/>
              <w:left w:val="single" w:color="auto" w:sz="4" w:space="0"/>
              <w:bottom w:val="single" w:color="auto" w:sz="4" w:space="0"/>
              <w:right w:val="single" w:color="auto" w:sz="4" w:space="0"/>
            </w:tcBorders>
            <w:noWrap w:val="0"/>
            <w:vAlign w:val="center"/>
          </w:tcPr>
          <w:p w14:paraId="265E2503">
            <w:pPr>
              <w:spacing w:line="360" w:lineRule="auto"/>
              <w:rPr>
                <w:rFonts w:hint="eastAsia" w:ascii="宋体" w:hAnsi="宋体" w:cs="宋体"/>
                <w:b/>
                <w:color w:val="auto"/>
                <w:sz w:val="24"/>
                <w:highlight w:val="none"/>
              </w:rPr>
            </w:pPr>
            <w:r>
              <w:rPr>
                <w:rFonts w:hint="eastAsia" w:ascii="宋体" w:hAnsi="宋体" w:cs="宋体"/>
                <w:color w:val="auto"/>
                <w:highlight w:val="none"/>
              </w:rPr>
              <w:t>电子投标文件解密时间：</w:t>
            </w:r>
            <w:r>
              <w:rPr>
                <w:rFonts w:hint="eastAsia" w:ascii="宋体" w:hAnsi="宋体" w:cs="宋体"/>
                <w:color w:val="auto"/>
                <w:highlight w:val="none"/>
                <w:u w:val="single"/>
              </w:rPr>
              <w:t xml:space="preserve">  30  </w:t>
            </w:r>
            <w:r>
              <w:rPr>
                <w:rFonts w:hint="eastAsia" w:ascii="宋体" w:hAnsi="宋体" w:cs="宋体"/>
                <w:color w:val="auto"/>
                <w:highlight w:val="none"/>
              </w:rPr>
              <w:t>分钟</w:t>
            </w:r>
          </w:p>
        </w:tc>
      </w:tr>
      <w:tr w14:paraId="331594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left w:val="single" w:color="auto" w:sz="4" w:space="0"/>
              <w:bottom w:val="single" w:color="auto" w:sz="4" w:space="0"/>
              <w:right w:val="single" w:color="auto" w:sz="4" w:space="0"/>
            </w:tcBorders>
            <w:noWrap w:val="0"/>
            <w:vAlign w:val="center"/>
          </w:tcPr>
          <w:p w14:paraId="19C5732B">
            <w:pPr>
              <w:jc w:val="center"/>
              <w:rPr>
                <w:rFonts w:hint="eastAsia" w:ascii="宋体" w:hAnsi="宋体" w:cs="宋体"/>
                <w:color w:val="auto"/>
                <w:highlight w:val="none"/>
              </w:rPr>
            </w:pPr>
            <w:r>
              <w:rPr>
                <w:rFonts w:hint="eastAsia" w:ascii="宋体" w:hAnsi="宋体" w:cs="宋体"/>
                <w:color w:val="auto"/>
                <w:highlight w:val="none"/>
              </w:rPr>
              <w:t>25.3（3）</w:t>
            </w:r>
          </w:p>
        </w:tc>
        <w:tc>
          <w:tcPr>
            <w:tcW w:w="8160" w:type="dxa"/>
            <w:tcBorders>
              <w:top w:val="single" w:color="auto" w:sz="4" w:space="0"/>
              <w:left w:val="single" w:color="auto" w:sz="4" w:space="0"/>
              <w:bottom w:val="single" w:color="auto" w:sz="4" w:space="0"/>
              <w:right w:val="single" w:color="auto" w:sz="4" w:space="0"/>
            </w:tcBorders>
            <w:noWrap w:val="0"/>
            <w:vAlign w:val="center"/>
          </w:tcPr>
          <w:p w14:paraId="58CF7B40">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采购人或者采购代理机构在资格审查结束前，对投标人进行信用查询。</w:t>
            </w:r>
          </w:p>
          <w:p w14:paraId="01DBDA48">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查询渠道：“信用中国”网站（www.creditchina.gov.cn） 、中国政府采购网（www.ccgp.gov.cn）。</w:t>
            </w:r>
          </w:p>
          <w:p w14:paraId="7DC3DC50">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信用查询截止时点：资格审查结束前</w:t>
            </w:r>
          </w:p>
          <w:p w14:paraId="29F98F27">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查询记录和证据留存方式：在查询网站中直接截图查询记录，截图作为在广西政府采购云平台作为附件上传保存。</w:t>
            </w:r>
          </w:p>
          <w:p w14:paraId="0063272C">
            <w:pPr>
              <w:rPr>
                <w:rFonts w:hint="eastAsia" w:ascii="宋体" w:hAnsi="宋体" w:cs="宋体"/>
                <w:color w:val="auto"/>
                <w:highlight w:val="none"/>
              </w:rPr>
            </w:pPr>
            <w:r>
              <w:rPr>
                <w:rFonts w:hint="eastAsia" w:ascii="宋体" w:hAnsi="宋体" w:cs="宋体"/>
                <w:color w:val="auto"/>
                <w:szCs w:val="21"/>
                <w:highlight w:val="none"/>
              </w:rPr>
              <w:t>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采购人或者采购代理机构</w:t>
            </w:r>
            <w:r>
              <w:rPr>
                <w:rFonts w:hint="eastAsia" w:ascii="宋体" w:hAnsi="宋体" w:cs="宋体"/>
                <w:color w:val="auto"/>
                <w:sz w:val="22"/>
                <w:szCs w:val="22"/>
                <w:highlight w:val="none"/>
              </w:rPr>
              <w:t>应当拒绝其参与政府采购活动</w:t>
            </w:r>
            <w:r>
              <w:rPr>
                <w:rFonts w:hint="eastAsia" w:ascii="宋体" w:hAnsi="宋体" w:cs="宋体"/>
                <w:color w:val="auto"/>
                <w:szCs w:val="21"/>
                <w:highlight w:val="none"/>
              </w:rPr>
              <w:t>。两个以上的自然人、法人或者其他组织组成一个联合体，以一个供应商的身份共同参加政府采购活动的，应当对所有联合体成员进行信用记录查询，联合体成员存在不良信用记录（被列入失信被执行人、重大税收违法失信主体、政府采购严重违法失信行为记录名单及其他不符合《中华人民共和国政府采购法》第二十二条规定条件的供应商）的，视同联合体存在不良信用记录。</w:t>
            </w:r>
          </w:p>
        </w:tc>
      </w:tr>
      <w:tr w14:paraId="1DC863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left w:val="single" w:color="auto" w:sz="4" w:space="0"/>
              <w:bottom w:val="single" w:color="auto" w:sz="4" w:space="0"/>
              <w:right w:val="single" w:color="auto" w:sz="4" w:space="0"/>
            </w:tcBorders>
            <w:noWrap w:val="0"/>
            <w:vAlign w:val="center"/>
          </w:tcPr>
          <w:p w14:paraId="5307E0CB">
            <w:pPr>
              <w:jc w:val="center"/>
              <w:rPr>
                <w:rFonts w:hint="eastAsia" w:ascii="宋体" w:hAnsi="宋体" w:cs="宋体"/>
                <w:color w:val="auto"/>
                <w:highlight w:val="none"/>
              </w:rPr>
            </w:pPr>
            <w:bookmarkStart w:id="96" w:name="_26"/>
            <w:bookmarkEnd w:id="96"/>
            <w:r>
              <w:rPr>
                <w:rFonts w:hint="eastAsia" w:ascii="宋体" w:hAnsi="宋体" w:cs="宋体"/>
                <w:color w:val="auto"/>
                <w:highlight w:val="none"/>
              </w:rPr>
              <w:t>26</w:t>
            </w:r>
          </w:p>
        </w:tc>
        <w:tc>
          <w:tcPr>
            <w:tcW w:w="8160" w:type="dxa"/>
            <w:tcBorders>
              <w:top w:val="single" w:color="auto" w:sz="4" w:space="0"/>
              <w:left w:val="single" w:color="auto" w:sz="4" w:space="0"/>
              <w:bottom w:val="single" w:color="auto" w:sz="4" w:space="0"/>
              <w:right w:val="single" w:color="auto" w:sz="4" w:space="0"/>
            </w:tcBorders>
            <w:noWrap w:val="0"/>
            <w:vAlign w:val="center"/>
          </w:tcPr>
          <w:p w14:paraId="18CE42EE">
            <w:pPr>
              <w:rPr>
                <w:rFonts w:hint="eastAsia" w:ascii="宋体" w:hAnsi="宋体" w:cs="宋体"/>
                <w:color w:val="auto"/>
                <w:szCs w:val="21"/>
                <w:highlight w:val="none"/>
              </w:rPr>
            </w:pPr>
            <w:r>
              <w:rPr>
                <w:rFonts w:hint="eastAsia" w:ascii="宋体" w:hAnsi="宋体" w:cs="宋体"/>
                <w:color w:val="auto"/>
                <w:highlight w:val="none"/>
              </w:rPr>
              <w:t>评标委员会的人数：</w:t>
            </w:r>
            <w:r>
              <w:rPr>
                <w:rFonts w:hint="eastAsia" w:ascii="宋体" w:hAnsi="宋体" w:cs="宋体"/>
                <w:color w:val="auto"/>
                <w:highlight w:val="none"/>
                <w:u w:val="single"/>
              </w:rPr>
              <w:t xml:space="preserve">  5  </w:t>
            </w:r>
            <w:r>
              <w:rPr>
                <w:rFonts w:hint="eastAsia" w:ascii="宋体" w:hAnsi="宋体" w:cs="宋体"/>
                <w:color w:val="auto"/>
                <w:highlight w:val="none"/>
              </w:rPr>
              <w:t>人</w:t>
            </w:r>
          </w:p>
        </w:tc>
      </w:tr>
      <w:tr w14:paraId="5D92B4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left w:val="single" w:color="auto" w:sz="4" w:space="0"/>
              <w:bottom w:val="single" w:color="auto" w:sz="4" w:space="0"/>
              <w:right w:val="single" w:color="auto" w:sz="4" w:space="0"/>
            </w:tcBorders>
            <w:noWrap w:val="0"/>
            <w:vAlign w:val="center"/>
          </w:tcPr>
          <w:p w14:paraId="5A50158A">
            <w:pPr>
              <w:jc w:val="center"/>
              <w:rPr>
                <w:rFonts w:hint="eastAsia" w:ascii="宋体" w:hAnsi="宋体" w:cs="宋体"/>
                <w:color w:val="auto"/>
                <w:highlight w:val="none"/>
              </w:rPr>
            </w:pPr>
            <w:bookmarkStart w:id="97" w:name="_28.3"/>
            <w:bookmarkEnd w:id="97"/>
            <w:r>
              <w:rPr>
                <w:rFonts w:hint="eastAsia" w:ascii="宋体" w:hAnsi="宋体" w:cs="宋体"/>
                <w:color w:val="auto"/>
                <w:highlight w:val="none"/>
              </w:rPr>
              <w:t>29.1</w:t>
            </w:r>
          </w:p>
        </w:tc>
        <w:tc>
          <w:tcPr>
            <w:tcW w:w="8160" w:type="dxa"/>
            <w:tcBorders>
              <w:top w:val="single" w:color="auto" w:sz="4" w:space="0"/>
              <w:left w:val="single" w:color="auto" w:sz="4" w:space="0"/>
              <w:bottom w:val="single" w:color="auto" w:sz="4" w:space="0"/>
              <w:right w:val="single" w:color="auto" w:sz="4" w:space="0"/>
            </w:tcBorders>
            <w:noWrap w:val="0"/>
            <w:vAlign w:val="center"/>
          </w:tcPr>
          <w:p w14:paraId="4D64A767">
            <w:pPr>
              <w:rPr>
                <w:rFonts w:hint="eastAsia" w:ascii="宋体" w:hAnsi="宋体" w:cs="宋体"/>
                <w:color w:val="auto"/>
                <w:highlight w:val="none"/>
              </w:rPr>
            </w:pPr>
            <w:r>
              <w:rPr>
                <w:rFonts w:hint="eastAsia" w:ascii="宋体" w:hAnsi="宋体" w:cs="宋体"/>
                <w:color w:val="auto"/>
                <w:highlight w:val="none"/>
              </w:rPr>
              <w:t>评标方法：</w:t>
            </w:r>
          </w:p>
          <w:p w14:paraId="72C9E555">
            <w:pPr>
              <w:rPr>
                <w:rFonts w:hint="eastAsia" w:ascii="宋体" w:hAnsi="宋体" w:cs="宋体"/>
                <w:color w:val="auto"/>
                <w:highlight w:val="none"/>
              </w:rPr>
            </w:pPr>
            <w:r>
              <w:rPr>
                <w:rFonts w:hint="eastAsia" w:ascii="宋体" w:hAnsi="宋体" w:cs="宋体"/>
                <w:color w:val="auto"/>
                <w:highlight w:val="none"/>
              </w:rPr>
              <w:t>√综合评分法</w:t>
            </w:r>
          </w:p>
          <w:p w14:paraId="6B6D021B">
            <w:pPr>
              <w:rPr>
                <w:rFonts w:hint="eastAsia" w:ascii="宋体" w:hAnsi="宋体" w:cs="宋体"/>
                <w:color w:val="auto"/>
                <w:highlight w:val="none"/>
              </w:rPr>
            </w:pPr>
            <w:r>
              <w:rPr>
                <w:rFonts w:hint="eastAsia" w:ascii="宋体" w:hAnsi="宋体" w:cs="宋体"/>
                <w:color w:val="auto"/>
                <w:highlight w:val="none"/>
              </w:rPr>
              <w:t>□最低评标价法</w:t>
            </w:r>
          </w:p>
        </w:tc>
      </w:tr>
      <w:tr w14:paraId="4743C7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left w:val="single" w:color="auto" w:sz="4" w:space="0"/>
              <w:bottom w:val="single" w:color="auto" w:sz="4" w:space="0"/>
              <w:right w:val="single" w:color="auto" w:sz="4" w:space="0"/>
            </w:tcBorders>
            <w:noWrap w:val="0"/>
            <w:vAlign w:val="center"/>
          </w:tcPr>
          <w:p w14:paraId="6D9052A9">
            <w:pPr>
              <w:spacing w:line="360" w:lineRule="auto"/>
              <w:jc w:val="center"/>
              <w:rPr>
                <w:rFonts w:hint="eastAsia" w:ascii="宋体" w:hAnsi="宋体" w:cs="宋体"/>
                <w:color w:val="auto"/>
                <w:highlight w:val="none"/>
              </w:rPr>
            </w:pPr>
            <w:r>
              <w:rPr>
                <w:rFonts w:hint="eastAsia" w:ascii="宋体" w:hAnsi="宋体" w:cs="宋体"/>
                <w:color w:val="auto"/>
                <w:szCs w:val="21"/>
                <w:highlight w:val="none"/>
              </w:rPr>
              <w:t>29.2</w:t>
            </w:r>
          </w:p>
        </w:tc>
        <w:tc>
          <w:tcPr>
            <w:tcW w:w="8160" w:type="dxa"/>
            <w:tcBorders>
              <w:top w:val="single" w:color="auto" w:sz="4" w:space="0"/>
              <w:left w:val="single" w:color="auto" w:sz="4" w:space="0"/>
              <w:bottom w:val="single" w:color="auto" w:sz="4" w:space="0"/>
              <w:right w:val="single" w:color="auto" w:sz="4" w:space="0"/>
            </w:tcBorders>
            <w:noWrap w:val="0"/>
            <w:vAlign w:val="center"/>
          </w:tcPr>
          <w:p w14:paraId="09E6AC55">
            <w:pPr>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商务条款评审中允许负偏离的条款数为</w:t>
            </w:r>
            <w:r>
              <w:rPr>
                <w:rFonts w:hint="eastAsia" w:ascii="宋体" w:hAnsi="宋体" w:cs="宋体"/>
                <w:b/>
                <w:bCs/>
                <w:color w:val="auto"/>
                <w:szCs w:val="21"/>
                <w:highlight w:val="none"/>
                <w:u w:val="single"/>
              </w:rPr>
              <w:t xml:space="preserve"> 0 </w:t>
            </w:r>
            <w:r>
              <w:rPr>
                <w:rFonts w:hint="eastAsia" w:ascii="宋体" w:hAnsi="宋体" w:cs="宋体"/>
                <w:b/>
                <w:bCs/>
                <w:color w:val="auto"/>
                <w:szCs w:val="21"/>
                <w:highlight w:val="none"/>
              </w:rPr>
              <w:t>项。</w:t>
            </w:r>
          </w:p>
          <w:p w14:paraId="07E971D3">
            <w:pPr>
              <w:spacing w:line="360" w:lineRule="auto"/>
              <w:rPr>
                <w:rFonts w:hint="eastAsia" w:ascii="宋体" w:hAnsi="宋体" w:cs="宋体"/>
                <w:color w:val="auto"/>
                <w:highlight w:val="none"/>
              </w:rPr>
            </w:pPr>
            <w:r>
              <w:rPr>
                <w:rFonts w:hint="eastAsia" w:ascii="宋体" w:hAnsi="宋体" w:cs="宋体"/>
                <w:b/>
                <w:bCs/>
                <w:color w:val="auto"/>
                <w:szCs w:val="21"/>
                <w:highlight w:val="none"/>
              </w:rPr>
              <w:t>服务需求评审中允许负偏离的条款数为</w:t>
            </w:r>
            <w:r>
              <w:rPr>
                <w:rFonts w:hint="eastAsia" w:ascii="宋体" w:hAnsi="宋体" w:cs="宋体"/>
                <w:b/>
                <w:bCs/>
                <w:color w:val="auto"/>
                <w:szCs w:val="21"/>
                <w:highlight w:val="none"/>
                <w:u w:val="single"/>
              </w:rPr>
              <w:t xml:space="preserve"> 0</w:t>
            </w:r>
            <w:r>
              <w:rPr>
                <w:rFonts w:hint="eastAsia" w:ascii="宋体" w:hAnsi="宋体" w:cs="宋体"/>
                <w:b/>
                <w:bCs/>
                <w:color w:val="auto"/>
                <w:szCs w:val="21"/>
                <w:highlight w:val="none"/>
              </w:rPr>
              <w:t>项。</w:t>
            </w:r>
          </w:p>
        </w:tc>
      </w:tr>
      <w:tr w14:paraId="2C0AFE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left w:val="single" w:color="auto" w:sz="4" w:space="0"/>
              <w:bottom w:val="single" w:color="auto" w:sz="4" w:space="0"/>
              <w:right w:val="single" w:color="auto" w:sz="4" w:space="0"/>
            </w:tcBorders>
            <w:noWrap w:val="0"/>
            <w:vAlign w:val="center"/>
          </w:tcPr>
          <w:p w14:paraId="035D8B97">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29.3</w:t>
            </w:r>
          </w:p>
        </w:tc>
        <w:tc>
          <w:tcPr>
            <w:tcW w:w="8160" w:type="dxa"/>
            <w:tcBorders>
              <w:top w:val="single" w:color="auto" w:sz="4" w:space="0"/>
              <w:left w:val="single" w:color="auto" w:sz="4" w:space="0"/>
              <w:bottom w:val="single" w:color="auto" w:sz="4" w:space="0"/>
              <w:right w:val="single" w:color="auto" w:sz="4" w:space="0"/>
            </w:tcBorders>
            <w:noWrap w:val="0"/>
            <w:vAlign w:val="center"/>
          </w:tcPr>
          <w:p w14:paraId="71552DDF">
            <w:pPr>
              <w:spacing w:line="360" w:lineRule="auto"/>
              <w:rPr>
                <w:rFonts w:hint="eastAsia" w:ascii="宋体" w:hAnsi="宋体" w:cs="宋体"/>
                <w:color w:val="auto"/>
                <w:highlight w:val="none"/>
              </w:rPr>
            </w:pPr>
            <w:r>
              <w:rPr>
                <w:rFonts w:hint="eastAsia" w:ascii="宋体" w:hAnsi="宋体" w:cs="宋体"/>
                <w:color w:val="auto"/>
                <w:highlight w:val="none"/>
              </w:rPr>
              <w:t>中标候选人推荐数量：</w:t>
            </w:r>
          </w:p>
          <w:p w14:paraId="1F3D971C">
            <w:pPr>
              <w:spacing w:line="360" w:lineRule="auto"/>
              <w:rPr>
                <w:rFonts w:hint="eastAsia" w:ascii="宋体" w:hAnsi="宋体" w:cs="宋体"/>
                <w:color w:val="auto"/>
                <w:szCs w:val="21"/>
                <w:highlight w:val="none"/>
              </w:rPr>
            </w:pPr>
            <w:r>
              <w:rPr>
                <w:rFonts w:hint="eastAsia" w:ascii="宋体" w:hAnsi="宋体" w:cs="宋体"/>
                <w:color w:val="auto"/>
                <w:highlight w:val="none"/>
              </w:rPr>
              <w:t>√</w:t>
            </w:r>
            <w:r>
              <w:rPr>
                <w:rFonts w:hint="eastAsia" w:ascii="宋体" w:hAnsi="宋体" w:cs="宋体"/>
                <w:color w:val="auto"/>
                <w:highlight w:val="none"/>
                <w:u w:val="single"/>
              </w:rPr>
              <w:t xml:space="preserve">   3 </w:t>
            </w:r>
            <w:r>
              <w:rPr>
                <w:rFonts w:hint="eastAsia" w:ascii="宋体" w:hAnsi="宋体" w:cs="宋体"/>
                <w:color w:val="auto"/>
                <w:highlight w:val="none"/>
              </w:rPr>
              <w:t>名</w:t>
            </w:r>
          </w:p>
        </w:tc>
      </w:tr>
      <w:tr w14:paraId="3056DE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left w:val="single" w:color="auto" w:sz="4" w:space="0"/>
              <w:bottom w:val="single" w:color="auto" w:sz="4" w:space="0"/>
              <w:right w:val="single" w:color="auto" w:sz="4" w:space="0"/>
            </w:tcBorders>
            <w:noWrap w:val="0"/>
            <w:vAlign w:val="center"/>
          </w:tcPr>
          <w:p w14:paraId="54186295">
            <w:pPr>
              <w:jc w:val="center"/>
              <w:rPr>
                <w:rFonts w:hint="eastAsia" w:ascii="宋体" w:hAnsi="宋体" w:cs="宋体"/>
                <w:color w:val="auto"/>
                <w:highlight w:val="none"/>
              </w:rPr>
            </w:pPr>
            <w:bookmarkStart w:id="98" w:name="_29.2.2（2）"/>
            <w:bookmarkEnd w:id="98"/>
            <w:r>
              <w:rPr>
                <w:rFonts w:hint="eastAsia" w:ascii="宋体" w:hAnsi="宋体" w:cs="宋体"/>
                <w:color w:val="auto"/>
                <w:highlight w:val="none"/>
              </w:rPr>
              <w:t>30</w:t>
            </w:r>
          </w:p>
        </w:tc>
        <w:tc>
          <w:tcPr>
            <w:tcW w:w="8160" w:type="dxa"/>
            <w:tcBorders>
              <w:top w:val="single" w:color="auto" w:sz="4" w:space="0"/>
              <w:left w:val="single" w:color="auto" w:sz="4" w:space="0"/>
              <w:bottom w:val="single" w:color="auto" w:sz="4" w:space="0"/>
              <w:right w:val="single" w:color="auto" w:sz="4" w:space="0"/>
            </w:tcBorders>
            <w:noWrap w:val="0"/>
            <w:vAlign w:val="center"/>
          </w:tcPr>
          <w:p w14:paraId="0ABF0F95">
            <w:pPr>
              <w:rPr>
                <w:rFonts w:hint="eastAsia" w:ascii="宋体" w:hAnsi="宋体" w:cs="宋体"/>
                <w:color w:val="auto"/>
                <w:highlight w:val="none"/>
              </w:rPr>
            </w:pPr>
            <w:r>
              <w:rPr>
                <w:rFonts w:hint="eastAsia" w:ascii="宋体" w:hAnsi="宋体" w:cs="宋体"/>
                <w:color w:val="auto"/>
                <w:highlight w:val="none"/>
              </w:rPr>
              <w:t>采购人确定中标供应商时，出现中标候选人并列的情形，采购人按以下的方式确定中标供应商：</w:t>
            </w:r>
          </w:p>
          <w:p w14:paraId="0E9630AA">
            <w:pPr>
              <w:rPr>
                <w:rFonts w:hint="eastAsia" w:ascii="宋体" w:hAnsi="宋体" w:cs="宋体"/>
                <w:color w:val="auto"/>
                <w:highlight w:val="none"/>
              </w:rPr>
            </w:pPr>
            <w:r>
              <w:rPr>
                <w:rFonts w:hint="eastAsia" w:ascii="宋体" w:hAnsi="宋体" w:cs="宋体"/>
                <w:color w:val="auto"/>
                <w:highlight w:val="none"/>
              </w:rPr>
              <w:t>√投标报价低优先、</w:t>
            </w:r>
            <w:r>
              <w:rPr>
                <w:rFonts w:hint="eastAsia" w:ascii="宋体" w:hAnsi="宋体" w:cs="宋体"/>
                <w:color w:val="auto"/>
                <w:highlight w:val="none"/>
                <w:lang w:eastAsia="zh-CN"/>
              </w:rPr>
              <w:t>技术方案</w:t>
            </w:r>
            <w:r>
              <w:rPr>
                <w:rFonts w:hint="eastAsia" w:ascii="宋体" w:hAnsi="宋体" w:cs="宋体"/>
                <w:color w:val="auto"/>
                <w:highlight w:val="none"/>
              </w:rPr>
              <w:t xml:space="preserve">评分高的优先的顺序； </w:t>
            </w:r>
          </w:p>
          <w:p w14:paraId="3492DF58">
            <w:pPr>
              <w:rPr>
                <w:rFonts w:hint="eastAsia" w:ascii="宋体" w:hAnsi="宋体" w:cs="宋体"/>
                <w:b/>
                <w:color w:val="auto"/>
                <w:szCs w:val="21"/>
                <w:highlight w:val="none"/>
              </w:rPr>
            </w:pPr>
            <w:r>
              <w:rPr>
                <w:rFonts w:hint="eastAsia" w:ascii="宋体" w:hAnsi="宋体" w:cs="宋体"/>
                <w:color w:val="auto"/>
                <w:highlight w:val="none"/>
              </w:rPr>
              <w:t>□随机抽取</w:t>
            </w:r>
          </w:p>
        </w:tc>
      </w:tr>
      <w:tr w14:paraId="33CD9F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left w:val="single" w:color="auto" w:sz="4" w:space="0"/>
              <w:bottom w:val="single" w:color="auto" w:sz="4" w:space="0"/>
              <w:right w:val="single" w:color="auto" w:sz="4" w:space="0"/>
            </w:tcBorders>
            <w:noWrap w:val="0"/>
            <w:vAlign w:val="center"/>
          </w:tcPr>
          <w:p w14:paraId="69F151A5">
            <w:pPr>
              <w:jc w:val="center"/>
              <w:rPr>
                <w:rFonts w:hint="eastAsia" w:ascii="宋体" w:hAnsi="宋体" w:cs="宋体"/>
                <w:color w:val="auto"/>
                <w:highlight w:val="none"/>
              </w:rPr>
            </w:pPr>
            <w:bookmarkStart w:id="99" w:name="_39.1"/>
            <w:bookmarkEnd w:id="99"/>
            <w:r>
              <w:rPr>
                <w:rFonts w:hint="eastAsia" w:ascii="宋体" w:hAnsi="宋体" w:cs="宋体"/>
                <w:color w:val="auto"/>
                <w:highlight w:val="none"/>
              </w:rPr>
              <w:t>35.1</w:t>
            </w:r>
          </w:p>
        </w:tc>
        <w:tc>
          <w:tcPr>
            <w:tcW w:w="8160" w:type="dxa"/>
            <w:tcBorders>
              <w:top w:val="single" w:color="auto" w:sz="4" w:space="0"/>
              <w:left w:val="single" w:color="auto" w:sz="4" w:space="0"/>
              <w:bottom w:val="single" w:color="auto" w:sz="4" w:space="0"/>
              <w:right w:val="single" w:color="auto" w:sz="4" w:space="0"/>
            </w:tcBorders>
            <w:noWrap w:val="0"/>
            <w:vAlign w:val="center"/>
          </w:tcPr>
          <w:p w14:paraId="69AF9651">
            <w:pPr>
              <w:ind w:firstLine="420"/>
              <w:rPr>
                <w:rFonts w:hint="eastAsia" w:ascii="宋体" w:hAnsi="宋体" w:cs="宋体"/>
                <w:color w:val="auto"/>
                <w:highlight w:val="none"/>
              </w:rPr>
            </w:pPr>
            <w:r>
              <w:rPr>
                <w:rFonts w:hint="eastAsia" w:ascii="宋体" w:hAnsi="宋体" w:cs="宋体"/>
                <w:color w:val="auto"/>
                <w:highlight w:val="none"/>
              </w:rPr>
              <w:t>履约保证金：无</w:t>
            </w:r>
            <w:r>
              <w:rPr>
                <w:rFonts w:hint="eastAsia" w:ascii="宋体" w:hAnsi="宋体"/>
                <w:b/>
                <w:color w:val="auto"/>
                <w:highlight w:val="none"/>
              </w:rPr>
              <w:t>。</w:t>
            </w:r>
          </w:p>
        </w:tc>
      </w:tr>
      <w:tr w14:paraId="24E864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left w:val="single" w:color="auto" w:sz="4" w:space="0"/>
              <w:bottom w:val="single" w:color="auto" w:sz="4" w:space="0"/>
              <w:right w:val="single" w:color="auto" w:sz="4" w:space="0"/>
            </w:tcBorders>
            <w:noWrap w:val="0"/>
            <w:vAlign w:val="center"/>
          </w:tcPr>
          <w:p w14:paraId="17414609">
            <w:pPr>
              <w:jc w:val="center"/>
              <w:rPr>
                <w:rFonts w:hint="eastAsia" w:ascii="宋体" w:hAnsi="宋体" w:cs="宋体"/>
                <w:color w:val="auto"/>
                <w:highlight w:val="none"/>
              </w:rPr>
            </w:pPr>
            <w:bookmarkStart w:id="100" w:name="_40.1"/>
            <w:bookmarkEnd w:id="100"/>
            <w:r>
              <w:rPr>
                <w:rFonts w:hint="eastAsia" w:ascii="宋体" w:hAnsi="宋体" w:cs="宋体"/>
                <w:color w:val="auto"/>
                <w:highlight w:val="none"/>
              </w:rPr>
              <w:t>36.1</w:t>
            </w:r>
          </w:p>
        </w:tc>
        <w:tc>
          <w:tcPr>
            <w:tcW w:w="8160" w:type="dxa"/>
            <w:tcBorders>
              <w:top w:val="single" w:color="auto" w:sz="4" w:space="0"/>
              <w:left w:val="single" w:color="auto" w:sz="4" w:space="0"/>
              <w:bottom w:val="single" w:color="auto" w:sz="4" w:space="0"/>
              <w:right w:val="single" w:color="auto" w:sz="4" w:space="0"/>
            </w:tcBorders>
            <w:noWrap w:val="0"/>
            <w:vAlign w:val="center"/>
          </w:tcPr>
          <w:p w14:paraId="61BD7D98">
            <w:pPr>
              <w:rPr>
                <w:rFonts w:hint="eastAsia" w:ascii="宋体" w:hAnsi="宋体" w:cs="宋体"/>
                <w:color w:val="auto"/>
                <w:szCs w:val="21"/>
                <w:highlight w:val="none"/>
              </w:rPr>
            </w:pPr>
            <w:r>
              <w:rPr>
                <w:rFonts w:hint="eastAsia" w:ascii="宋体" w:hAnsi="宋体" w:cs="宋体"/>
                <w:color w:val="auto"/>
                <w:szCs w:val="21"/>
                <w:highlight w:val="none"/>
              </w:rPr>
              <w:t xml:space="preserve">签订合同携带的资格证件： </w:t>
            </w:r>
          </w:p>
          <w:p w14:paraId="673304B0">
            <w:pPr>
              <w:rPr>
                <w:rFonts w:hint="eastAsia" w:ascii="宋体" w:hAnsi="宋体" w:cs="宋体"/>
                <w:color w:val="auto"/>
                <w:szCs w:val="21"/>
                <w:highlight w:val="none"/>
              </w:rPr>
            </w:pPr>
            <w:r>
              <w:rPr>
                <w:rFonts w:hint="eastAsia" w:ascii="宋体" w:hAnsi="宋体" w:cs="宋体"/>
                <w:color w:val="auto"/>
                <w:szCs w:val="21"/>
                <w:highlight w:val="none"/>
              </w:rPr>
              <w:t>委托代理人负责签订合同的，须携带授权委托书及委托代理人身份证原件等其它资格证件。</w:t>
            </w:r>
          </w:p>
          <w:p w14:paraId="3AE36DF4">
            <w:pPr>
              <w:rPr>
                <w:rFonts w:hint="eastAsia" w:ascii="宋体" w:hAnsi="宋体" w:cs="宋体"/>
                <w:color w:val="auto"/>
                <w:szCs w:val="21"/>
                <w:highlight w:val="none"/>
              </w:rPr>
            </w:pPr>
            <w:r>
              <w:rPr>
                <w:rFonts w:hint="eastAsia" w:ascii="宋体" w:hAnsi="宋体" w:cs="宋体"/>
                <w:color w:val="auto"/>
                <w:szCs w:val="21"/>
                <w:highlight w:val="none"/>
              </w:rPr>
              <w:t>法定代表人（或负责人）负责签订合同的，须携带法定代表人（或负责人）身份证明原件及身份证原件等其它资格证件。</w:t>
            </w:r>
          </w:p>
        </w:tc>
      </w:tr>
      <w:tr w14:paraId="7C12F6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left w:val="single" w:color="auto" w:sz="4" w:space="0"/>
              <w:bottom w:val="single" w:color="auto" w:sz="4" w:space="0"/>
              <w:right w:val="single" w:color="auto" w:sz="4" w:space="0"/>
            </w:tcBorders>
            <w:noWrap w:val="0"/>
            <w:vAlign w:val="center"/>
          </w:tcPr>
          <w:p w14:paraId="26C65379">
            <w:pPr>
              <w:jc w:val="center"/>
              <w:rPr>
                <w:rFonts w:hint="eastAsia" w:ascii="宋体" w:hAnsi="宋体" w:cs="宋体"/>
                <w:color w:val="auto"/>
                <w:highlight w:val="none"/>
              </w:rPr>
            </w:pPr>
            <w:r>
              <w:rPr>
                <w:rFonts w:hint="eastAsia" w:ascii="宋体" w:hAnsi="宋体" w:cs="宋体"/>
                <w:color w:val="auto"/>
                <w:highlight w:val="none"/>
              </w:rPr>
              <w:t>38.2</w:t>
            </w:r>
          </w:p>
        </w:tc>
        <w:tc>
          <w:tcPr>
            <w:tcW w:w="8160" w:type="dxa"/>
            <w:tcBorders>
              <w:top w:val="single" w:color="auto" w:sz="4" w:space="0"/>
              <w:left w:val="single" w:color="auto" w:sz="4" w:space="0"/>
              <w:bottom w:val="single" w:color="auto" w:sz="4" w:space="0"/>
              <w:right w:val="single" w:color="auto" w:sz="4" w:space="0"/>
            </w:tcBorders>
            <w:noWrap w:val="0"/>
            <w:vAlign w:val="center"/>
          </w:tcPr>
          <w:p w14:paraId="19711269">
            <w:pPr>
              <w:rPr>
                <w:rFonts w:hint="eastAsia" w:ascii="宋体" w:hAnsi="宋体" w:cs="宋体"/>
                <w:color w:val="auto"/>
                <w:highlight w:val="none"/>
              </w:rPr>
            </w:pPr>
            <w:r>
              <w:rPr>
                <w:rFonts w:hint="eastAsia" w:ascii="宋体" w:hAnsi="宋体" w:cs="宋体"/>
                <w:color w:val="auto"/>
                <w:highlight w:val="none"/>
              </w:rPr>
              <w:t>接收质疑函方式：以书面形式</w:t>
            </w:r>
          </w:p>
          <w:p w14:paraId="590162C7">
            <w:pPr>
              <w:ind w:firstLine="420"/>
              <w:rPr>
                <w:rFonts w:hint="eastAsia" w:ascii="宋体" w:hAnsi="宋体" w:cs="宋体"/>
                <w:color w:val="auto"/>
                <w:highlight w:val="none"/>
              </w:rPr>
            </w:pPr>
            <w:r>
              <w:rPr>
                <w:rFonts w:hint="eastAsia" w:ascii="宋体" w:hAnsi="宋体" w:cs="宋体"/>
                <w:color w:val="auto"/>
                <w:highlight w:val="none"/>
              </w:rPr>
              <w:t>质疑联系部门及联系方式：云之龙咨询集团有限公司招标部，联系电话：0775-4565100、4569690，通讯地址：广西贵港市港北区荷城路1132号华泰官邸1栋6楼。</w:t>
            </w:r>
          </w:p>
          <w:p w14:paraId="4897CF3B">
            <w:pPr>
              <w:ind w:firstLine="420"/>
              <w:rPr>
                <w:rFonts w:hint="eastAsia" w:ascii="宋体" w:hAnsi="宋体" w:cs="宋体"/>
                <w:color w:val="auto"/>
                <w:szCs w:val="21"/>
                <w:highlight w:val="none"/>
              </w:rPr>
            </w:pPr>
            <w:r>
              <w:rPr>
                <w:rFonts w:hint="eastAsia" w:ascii="宋体" w:hAnsi="宋体" w:cs="宋体"/>
                <w:color w:val="auto"/>
                <w:szCs w:val="21"/>
                <w:highlight w:val="none"/>
              </w:rPr>
              <w:t>业务时间：工作日每天上午8时00分到12时00分，下午3时00分到6时00分。</w:t>
            </w:r>
          </w:p>
        </w:tc>
      </w:tr>
      <w:tr w14:paraId="2D4812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048FE1C0">
            <w:pPr>
              <w:jc w:val="center"/>
              <w:rPr>
                <w:rFonts w:hint="eastAsia" w:ascii="宋体" w:hAnsi="宋体" w:cs="宋体"/>
                <w:color w:val="auto"/>
                <w:highlight w:val="none"/>
              </w:rPr>
            </w:pPr>
            <w:bookmarkStart w:id="101" w:name="_42"/>
            <w:bookmarkEnd w:id="101"/>
            <w:bookmarkStart w:id="102" w:name="_41"/>
            <w:bookmarkEnd w:id="102"/>
            <w:r>
              <w:rPr>
                <w:rFonts w:hint="eastAsia" w:ascii="宋体" w:hAnsi="宋体" w:cs="宋体"/>
                <w:color w:val="auto"/>
                <w:highlight w:val="none"/>
              </w:rPr>
              <w:t>39.1</w:t>
            </w:r>
          </w:p>
        </w:tc>
        <w:tc>
          <w:tcPr>
            <w:tcW w:w="8160" w:type="dxa"/>
            <w:tcBorders>
              <w:top w:val="single" w:color="auto" w:sz="4" w:space="0"/>
              <w:left w:val="single" w:color="auto" w:sz="4" w:space="0"/>
              <w:bottom w:val="single" w:color="auto" w:sz="4" w:space="0"/>
              <w:right w:val="single" w:color="auto" w:sz="4" w:space="0"/>
            </w:tcBorders>
            <w:noWrap w:val="0"/>
            <w:vAlign w:val="center"/>
          </w:tcPr>
          <w:p w14:paraId="1DB36522">
            <w:pPr>
              <w:rPr>
                <w:rFonts w:hint="eastAsia" w:ascii="宋体" w:hAnsi="宋体" w:cs="宋体"/>
                <w:color w:val="auto"/>
                <w:highlight w:val="none"/>
              </w:rPr>
            </w:pPr>
            <w:r>
              <w:rPr>
                <w:rFonts w:hint="eastAsia" w:ascii="宋体" w:hAnsi="宋体" w:cs="宋体"/>
                <w:color w:val="auto"/>
                <w:highlight w:val="none"/>
              </w:rPr>
              <w:t>1.采购代理费支付方式：</w:t>
            </w:r>
          </w:p>
          <w:p w14:paraId="3127D3A3">
            <w:pPr>
              <w:ind w:firstLine="420"/>
              <w:rPr>
                <w:rFonts w:hint="eastAsia" w:ascii="宋体" w:hAnsi="宋体" w:cs="宋体"/>
                <w:color w:val="auto"/>
                <w:highlight w:val="none"/>
              </w:rPr>
            </w:pPr>
            <w:r>
              <w:rPr>
                <w:rFonts w:hint="eastAsia" w:ascii="宋体" w:hAnsi="宋体" w:cs="宋体"/>
                <w:color w:val="auto"/>
                <w:highlight w:val="none"/>
              </w:rPr>
              <w:t>√中标人支付。</w:t>
            </w:r>
          </w:p>
          <w:p w14:paraId="6A401717">
            <w:pPr>
              <w:rPr>
                <w:rFonts w:hint="eastAsia" w:ascii="宋体" w:hAnsi="宋体" w:cs="宋体"/>
                <w:color w:val="auto"/>
                <w:highlight w:val="none"/>
              </w:rPr>
            </w:pPr>
            <w:r>
              <w:rPr>
                <w:rFonts w:hint="eastAsia" w:ascii="宋体" w:hAnsi="宋体" w:cs="宋体"/>
                <w:color w:val="auto"/>
                <w:highlight w:val="none"/>
              </w:rPr>
              <w:t>2.采购代理费收取标准：</w:t>
            </w:r>
          </w:p>
          <w:p w14:paraId="3A2C83AD">
            <w:pPr>
              <w:pStyle w:val="230"/>
              <w:ind w:firstLine="420"/>
              <w:rPr>
                <w:rFonts w:hint="eastAsia" w:hAnsi="宋体" w:cs="宋体"/>
                <w:color w:val="auto"/>
                <w:sz w:val="21"/>
                <w:highlight w:val="none"/>
                <w:lang w:val="en-US" w:eastAsia="zh-CN"/>
              </w:rPr>
            </w:pPr>
            <w:r>
              <w:rPr>
                <w:rFonts w:hint="eastAsia" w:hAnsi="宋体" w:cs="宋体"/>
                <w:color w:val="auto"/>
                <w:sz w:val="21"/>
                <w:highlight w:val="none"/>
                <w:u w:val="single"/>
                <w:lang w:val="en-US" w:eastAsia="zh-CN"/>
              </w:rPr>
              <w:t>按国家发展改革委《关于进一步放开建设项目专业服务价格的通知 》发改价格〔2015〕299号文执行，根据贵港市中介超市中选金额按固定金额收费标准：中标服务费为人民币肆万捌仟肆佰伍拾玖元整（¥48459.00）</w:t>
            </w:r>
            <w:r>
              <w:rPr>
                <w:rFonts w:hint="eastAsia" w:hAnsi="宋体" w:cs="宋体"/>
                <w:color w:val="auto"/>
                <w:sz w:val="21"/>
                <w:highlight w:val="none"/>
                <w:lang w:val="en-US" w:eastAsia="zh-CN"/>
              </w:rPr>
              <w:t>。由中标人向招标代理机构支付。</w:t>
            </w:r>
          </w:p>
          <w:p w14:paraId="08A1E03C">
            <w:pPr>
              <w:pStyle w:val="230"/>
              <w:rPr>
                <w:rFonts w:hint="eastAsia" w:hAnsi="宋体" w:cs="宋体"/>
                <w:color w:val="auto"/>
                <w:sz w:val="21"/>
                <w:highlight w:val="none"/>
                <w:lang w:val="en-US" w:eastAsia="zh-CN"/>
              </w:rPr>
            </w:pPr>
            <w:r>
              <w:rPr>
                <w:rFonts w:hint="eastAsia" w:hAnsi="宋体" w:cs="宋体"/>
                <w:color w:val="auto"/>
                <w:sz w:val="21"/>
                <w:highlight w:val="none"/>
                <w:lang w:val="en-US" w:eastAsia="zh-CN"/>
              </w:rPr>
              <w:t>3.采购代理机构的银行账户：</w:t>
            </w:r>
          </w:p>
          <w:p w14:paraId="6626EF30">
            <w:pPr>
              <w:pStyle w:val="230"/>
              <w:ind w:firstLine="420"/>
              <w:rPr>
                <w:rFonts w:hint="eastAsia" w:hAnsi="宋体" w:cs="宋体"/>
                <w:color w:val="auto"/>
                <w:sz w:val="21"/>
                <w:highlight w:val="none"/>
                <w:lang w:val="en-US" w:eastAsia="zh-CN"/>
              </w:rPr>
            </w:pPr>
            <w:r>
              <w:rPr>
                <w:rFonts w:hint="eastAsia" w:hAnsi="宋体" w:cs="宋体"/>
                <w:color w:val="auto"/>
                <w:sz w:val="21"/>
                <w:highlight w:val="none"/>
                <w:lang w:val="en-US" w:eastAsia="zh-CN"/>
              </w:rPr>
              <w:t xml:space="preserve">账户名称：云之龙咨询集团有限公司贵港分公司  </w:t>
            </w:r>
          </w:p>
          <w:p w14:paraId="23E51E73">
            <w:pPr>
              <w:pStyle w:val="230"/>
              <w:ind w:firstLine="420"/>
              <w:rPr>
                <w:rFonts w:hint="eastAsia" w:hAnsi="宋体" w:cs="宋体"/>
                <w:color w:val="auto"/>
                <w:sz w:val="21"/>
                <w:highlight w:val="none"/>
                <w:lang w:val="en-US" w:eastAsia="zh-CN"/>
              </w:rPr>
            </w:pPr>
            <w:r>
              <w:rPr>
                <w:rFonts w:hint="eastAsia" w:hAnsi="宋体" w:cs="宋体"/>
                <w:color w:val="auto"/>
                <w:sz w:val="21"/>
                <w:highlight w:val="none"/>
                <w:lang w:val="en-US" w:eastAsia="zh-CN"/>
              </w:rPr>
              <w:t>开户银行：中信银行南宁园湖支行</w:t>
            </w:r>
          </w:p>
          <w:p w14:paraId="6A10123B">
            <w:pPr>
              <w:pStyle w:val="230"/>
              <w:ind w:firstLine="420"/>
              <w:rPr>
                <w:rFonts w:hint="eastAsia" w:hAnsi="宋体" w:cs="宋体"/>
                <w:color w:val="auto"/>
                <w:sz w:val="21"/>
                <w:highlight w:val="none"/>
                <w:lang w:val="en-US" w:eastAsia="zh-CN"/>
              </w:rPr>
            </w:pPr>
            <w:r>
              <w:rPr>
                <w:rFonts w:hint="eastAsia" w:hAnsi="宋体" w:cs="宋体"/>
                <w:color w:val="auto"/>
                <w:sz w:val="21"/>
                <w:highlight w:val="none"/>
                <w:lang w:val="en-US" w:eastAsia="zh-CN"/>
              </w:rPr>
              <w:t>开户行行号：302611029137</w:t>
            </w:r>
          </w:p>
          <w:p w14:paraId="10EDEE1E">
            <w:pPr>
              <w:pStyle w:val="230"/>
              <w:ind w:firstLine="420"/>
              <w:rPr>
                <w:rFonts w:hint="eastAsia" w:hAnsi="宋体" w:cs="宋体"/>
                <w:color w:val="auto"/>
                <w:highlight w:val="none"/>
                <w:lang w:val="en-US" w:eastAsia="zh-CN"/>
              </w:rPr>
            </w:pPr>
            <w:r>
              <w:rPr>
                <w:rFonts w:hint="eastAsia" w:hAnsi="宋体" w:cs="宋体"/>
                <w:color w:val="auto"/>
                <w:sz w:val="21"/>
                <w:highlight w:val="none"/>
                <w:lang w:val="en-US" w:eastAsia="zh-CN"/>
              </w:rPr>
              <w:t>银行账号：8113001015100158012</w:t>
            </w:r>
          </w:p>
        </w:tc>
      </w:tr>
      <w:tr w14:paraId="69A659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left w:val="single" w:color="auto" w:sz="4" w:space="0"/>
              <w:bottom w:val="single" w:color="auto" w:sz="4" w:space="0"/>
              <w:right w:val="single" w:color="auto" w:sz="4" w:space="0"/>
            </w:tcBorders>
            <w:noWrap w:val="0"/>
            <w:vAlign w:val="center"/>
          </w:tcPr>
          <w:p w14:paraId="2C4A6255">
            <w:pPr>
              <w:jc w:val="center"/>
              <w:rPr>
                <w:rFonts w:hint="eastAsia" w:ascii="宋体" w:hAnsi="宋体" w:cs="宋体"/>
                <w:color w:val="auto"/>
                <w:szCs w:val="21"/>
                <w:highlight w:val="none"/>
              </w:rPr>
            </w:pPr>
            <w:r>
              <w:rPr>
                <w:rFonts w:hint="eastAsia" w:ascii="宋体" w:hAnsi="宋体" w:cs="宋体"/>
                <w:color w:val="auto"/>
                <w:highlight w:val="none"/>
              </w:rPr>
              <w:t>40.1</w:t>
            </w:r>
          </w:p>
        </w:tc>
        <w:tc>
          <w:tcPr>
            <w:tcW w:w="8160" w:type="dxa"/>
            <w:tcBorders>
              <w:top w:val="single" w:color="auto" w:sz="4" w:space="0"/>
              <w:left w:val="single" w:color="auto" w:sz="4" w:space="0"/>
              <w:bottom w:val="single" w:color="auto" w:sz="4" w:space="0"/>
              <w:right w:val="single" w:color="auto" w:sz="4" w:space="0"/>
            </w:tcBorders>
            <w:noWrap w:val="0"/>
            <w:vAlign w:val="center"/>
          </w:tcPr>
          <w:p w14:paraId="5C7BDD48">
            <w:pPr>
              <w:rPr>
                <w:rFonts w:hint="eastAsia" w:ascii="宋体" w:hAnsi="宋体" w:cs="宋体"/>
                <w:color w:val="auto"/>
                <w:szCs w:val="21"/>
                <w:highlight w:val="none"/>
              </w:rPr>
            </w:pPr>
            <w:r>
              <w:rPr>
                <w:rFonts w:hint="eastAsia" w:ascii="宋体" w:hAnsi="宋体" w:cs="宋体"/>
                <w:bCs/>
                <w:color w:val="auto"/>
                <w:szCs w:val="21"/>
                <w:highlight w:val="none"/>
              </w:rPr>
              <w:t>解释：构成本招标文件的各个组成文件应互为解释，互为说明；除招标文件中有特别规定外，仅适用于招标投标阶段的规定，按更正公告（澄清公告）</w:t>
            </w:r>
            <w:r>
              <w:rPr>
                <w:rFonts w:hint="eastAsia" w:ascii="宋体" w:hAnsi="宋体" w:cs="宋体"/>
                <w:bCs/>
                <w:color w:val="auto"/>
                <w:szCs w:val="21"/>
                <w:highlight w:val="none"/>
                <w:lang w:eastAsia="zh-CN"/>
              </w:rPr>
              <w:t>、</w:t>
            </w:r>
            <w:r>
              <w:rPr>
                <w:rFonts w:hint="eastAsia" w:ascii="宋体" w:hAnsi="宋体" w:cs="宋体"/>
                <w:bCs/>
                <w:color w:val="auto"/>
                <w:szCs w:val="21"/>
                <w:highlight w:val="none"/>
              </w:rPr>
              <w:t>招标公告、采购需求、投标人须知、评标方法及评标标准、拟签订的合同文本、投标文件格式的先后顺序解释；同一组成文件中就同一事项的规定或者约定不一致的，以编排顺序在后者为准；同一组成文件不同版本之间有不一致的，以形成时间在后者为准；更正公告（澄清公告）与同步更新的招标文件不一致时以更正公告（澄清公告）为准。按本款前述规定仍不能形成结论的，由采购人或者采购代理机构负责解释。</w:t>
            </w:r>
          </w:p>
        </w:tc>
      </w:tr>
      <w:tr w14:paraId="00D06A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left w:val="single" w:color="auto" w:sz="4" w:space="0"/>
              <w:bottom w:val="single" w:color="auto" w:sz="4" w:space="0"/>
              <w:right w:val="single" w:color="auto" w:sz="4" w:space="0"/>
            </w:tcBorders>
            <w:noWrap w:val="0"/>
            <w:vAlign w:val="center"/>
          </w:tcPr>
          <w:p w14:paraId="646E74B9">
            <w:pPr>
              <w:jc w:val="center"/>
              <w:rPr>
                <w:rFonts w:hint="eastAsia" w:ascii="宋体" w:hAnsi="宋体" w:cs="宋体"/>
                <w:color w:val="auto"/>
                <w:szCs w:val="21"/>
                <w:highlight w:val="none"/>
              </w:rPr>
            </w:pPr>
            <w:r>
              <w:rPr>
                <w:rFonts w:hint="eastAsia" w:ascii="宋体" w:hAnsi="宋体" w:cs="宋体"/>
                <w:color w:val="auto"/>
                <w:highlight w:val="none"/>
              </w:rPr>
              <w:t>40.2</w:t>
            </w:r>
          </w:p>
        </w:tc>
        <w:tc>
          <w:tcPr>
            <w:tcW w:w="8160" w:type="dxa"/>
            <w:tcBorders>
              <w:top w:val="single" w:color="auto" w:sz="4" w:space="0"/>
              <w:left w:val="single" w:color="auto" w:sz="4" w:space="0"/>
              <w:bottom w:val="single" w:color="auto" w:sz="4" w:space="0"/>
              <w:right w:val="single" w:color="auto" w:sz="4" w:space="0"/>
            </w:tcBorders>
            <w:noWrap w:val="0"/>
            <w:vAlign w:val="center"/>
          </w:tcPr>
          <w:p w14:paraId="38309B50">
            <w:pPr>
              <w:pStyle w:val="230"/>
              <w:spacing w:line="360" w:lineRule="auto"/>
              <w:rPr>
                <w:rFonts w:hint="eastAsia" w:hAnsi="宋体" w:cs="宋体"/>
                <w:bCs/>
                <w:color w:val="auto"/>
                <w:sz w:val="21"/>
                <w:highlight w:val="none"/>
                <w:lang w:val="en-US" w:eastAsia="zh-CN"/>
              </w:rPr>
            </w:pPr>
            <w:r>
              <w:rPr>
                <w:rFonts w:hint="eastAsia" w:hAnsi="宋体" w:cs="宋体"/>
                <w:bCs/>
                <w:color w:val="auto"/>
                <w:sz w:val="21"/>
                <w:highlight w:val="none"/>
                <w:lang w:val="en-US" w:eastAsia="zh-CN"/>
              </w:rPr>
              <w:t>1.本招标文件中描述投标人的“公章”是指根据我国对公章的管理规定，用投标人法定主体行为名称制作的印章，除本招标文件有特殊规定外，投标人的财务章、部门章、分公司章、工会章、合同章、投标专用章、业务专用章及银行的转账章、现金收讫章、现金付讫章等其他形式印章均不能代替公章。</w:t>
            </w:r>
          </w:p>
          <w:p w14:paraId="3A5E4384">
            <w:pPr>
              <w:pStyle w:val="230"/>
              <w:spacing w:line="360" w:lineRule="auto"/>
              <w:rPr>
                <w:rFonts w:hint="eastAsia" w:hAnsi="宋体" w:cs="宋体"/>
                <w:bCs/>
                <w:color w:val="auto"/>
                <w:sz w:val="21"/>
                <w:highlight w:val="none"/>
                <w:lang w:val="en-US" w:eastAsia="zh-CN"/>
              </w:rPr>
            </w:pPr>
            <w:r>
              <w:rPr>
                <w:rFonts w:hint="eastAsia" w:hAnsi="宋体" w:cs="宋体"/>
                <w:bCs/>
                <w:color w:val="auto"/>
                <w:sz w:val="21"/>
                <w:highlight w:val="none"/>
                <w:lang w:val="en-US" w:eastAsia="zh-CN"/>
              </w:rPr>
              <w:t>2.本招标文件所称的“</w:t>
            </w:r>
            <w:r>
              <w:rPr>
                <w:rFonts w:hint="eastAsia" w:hAnsi="宋体" w:cs="宋体"/>
                <w:color w:val="auto"/>
                <w:sz w:val="21"/>
                <w:highlight w:val="none"/>
                <w:lang w:val="en-US" w:eastAsia="zh-CN"/>
              </w:rPr>
              <w:t>电子签章</w:t>
            </w:r>
            <w:r>
              <w:rPr>
                <w:rFonts w:hint="eastAsia" w:hAnsi="宋体" w:cs="宋体"/>
                <w:bCs/>
                <w:color w:val="auto"/>
                <w:sz w:val="21"/>
                <w:highlight w:val="none"/>
                <w:lang w:val="en-US" w:eastAsia="zh-CN"/>
              </w:rPr>
              <w:t>”、“电子签名”</w:t>
            </w:r>
            <w:r>
              <w:rPr>
                <w:rFonts w:hint="eastAsia" w:hAnsi="宋体" w:cs="宋体"/>
                <w:color w:val="auto"/>
                <w:sz w:val="21"/>
                <w:highlight w:val="none"/>
                <w:lang w:val="en-US" w:eastAsia="zh-CN"/>
              </w:rPr>
              <w:t>，是指经广西政府采购云平台认可的CA认证的电子签名数据为表现形式的印章，可用于签署电子投标文件，电子印章与实物印章具有同等法律效力，不因其采用电子化表现形式而否定其法律效力。</w:t>
            </w:r>
          </w:p>
          <w:p w14:paraId="1C468E94">
            <w:pPr>
              <w:pStyle w:val="230"/>
              <w:spacing w:line="360" w:lineRule="auto"/>
              <w:rPr>
                <w:rFonts w:hint="eastAsia" w:hAnsi="宋体" w:cs="宋体"/>
                <w:bCs/>
                <w:color w:val="auto"/>
                <w:sz w:val="21"/>
                <w:highlight w:val="none"/>
                <w:lang w:val="en-US" w:eastAsia="zh-CN"/>
              </w:rPr>
            </w:pPr>
            <w:r>
              <w:rPr>
                <w:rFonts w:hint="eastAsia" w:hAnsi="宋体" w:cs="宋体"/>
                <w:bCs/>
                <w:color w:val="auto"/>
                <w:sz w:val="21"/>
                <w:highlight w:val="none"/>
                <w:lang w:val="en-US" w:eastAsia="zh-CN"/>
              </w:rPr>
              <w:t>3.投标人为其他组织或者自然人时，本招标文件规定的法定代表人指负责人或者自然人。本招标文件所称负责人是指参加投标的其他组织营业执照或者执业许可证等证照上的负责人，本招标文件所称自然人指参与投标的自然人本人，且应具备独立承担民事责任能力，自然人应当为年满18岁以上成年人（十六周岁以上的未成年人，以自己的劳动收入为主要生活来源的，视为完全民事行为能力人）。</w:t>
            </w:r>
          </w:p>
          <w:p w14:paraId="2BC25361">
            <w:pPr>
              <w:pStyle w:val="230"/>
              <w:spacing w:line="360" w:lineRule="auto"/>
              <w:rPr>
                <w:rFonts w:hint="eastAsia" w:hAnsi="宋体" w:cs="宋体"/>
                <w:bCs/>
                <w:color w:val="auto"/>
                <w:sz w:val="21"/>
                <w:highlight w:val="none"/>
                <w:lang w:val="en-US" w:eastAsia="zh-CN"/>
              </w:rPr>
            </w:pPr>
            <w:r>
              <w:rPr>
                <w:rFonts w:hint="eastAsia" w:hAnsi="宋体" w:cs="宋体"/>
                <w:bCs/>
                <w:color w:val="auto"/>
                <w:sz w:val="21"/>
                <w:highlight w:val="none"/>
                <w:lang w:val="en-US" w:eastAsia="zh-CN"/>
              </w:rPr>
              <w:t>4.本招标文件中描述投标人的“签字”是指投标人的法定代表人或者委托代理人亲自在文件规定签字处亲笔写上个人的名字的行为，私章、签字章、印鉴、影印等其他形式均不能代替亲笔签字。</w:t>
            </w:r>
          </w:p>
          <w:p w14:paraId="6D483493">
            <w:pPr>
              <w:ind w:firstLine="420"/>
              <w:rPr>
                <w:rFonts w:hint="eastAsia" w:ascii="宋体" w:hAnsi="宋体" w:cs="宋体"/>
                <w:color w:val="auto"/>
                <w:szCs w:val="21"/>
                <w:highlight w:val="none"/>
              </w:rPr>
            </w:pPr>
            <w:r>
              <w:rPr>
                <w:rFonts w:hint="eastAsia" w:ascii="宋体" w:hAnsi="宋体" w:cs="宋体"/>
                <w:bCs/>
                <w:color w:val="auto"/>
                <w:highlight w:val="none"/>
              </w:rPr>
              <w:t>5.</w:t>
            </w:r>
            <w:r>
              <w:rPr>
                <w:rFonts w:hint="eastAsia" w:ascii="宋体" w:hAnsi="宋体" w:cs="宋体"/>
                <w:bCs/>
                <w:color w:val="auto"/>
                <w:szCs w:val="21"/>
                <w:highlight w:val="none"/>
              </w:rPr>
              <w:t>本招标文件所称的“以上”“以下”“以内”“届满”，包括本数；所称的“不满”“超过”“以外”，不包括本数。</w:t>
            </w:r>
          </w:p>
        </w:tc>
      </w:tr>
    </w:tbl>
    <w:p w14:paraId="6C4D7107">
      <w:pPr>
        <w:rPr>
          <w:rFonts w:hint="eastAsia" w:ascii="宋体" w:hAnsi="宋体" w:cs="宋体"/>
          <w:color w:val="auto"/>
          <w:sz w:val="24"/>
          <w:szCs w:val="20"/>
          <w:highlight w:val="none"/>
        </w:rPr>
      </w:pPr>
    </w:p>
    <w:p w14:paraId="6529E83B">
      <w:pPr>
        <w:rPr>
          <w:rFonts w:hint="eastAsia" w:ascii="宋体" w:hAnsi="宋体" w:cs="宋体"/>
          <w:color w:val="auto"/>
          <w:sz w:val="24"/>
          <w:szCs w:val="20"/>
          <w:highlight w:val="none"/>
        </w:rPr>
      </w:pPr>
      <w:r>
        <w:rPr>
          <w:rFonts w:hint="eastAsia" w:ascii="宋体" w:hAnsi="宋体" w:cs="宋体"/>
          <w:color w:val="auto"/>
          <w:sz w:val="24"/>
          <w:szCs w:val="20"/>
          <w:highlight w:val="none"/>
        </w:rPr>
        <w:br w:type="page" w:clear="all"/>
      </w:r>
    </w:p>
    <w:p w14:paraId="490EC74E">
      <w:pPr>
        <w:pStyle w:val="197"/>
        <w:keepNext w:val="0"/>
        <w:keepLines w:val="0"/>
        <w:jc w:val="center"/>
        <w:rPr>
          <w:rFonts w:hint="eastAsia" w:ascii="宋体" w:hAnsi="宋体" w:cs="宋体"/>
          <w:color w:val="auto"/>
          <w:highlight w:val="none"/>
        </w:rPr>
      </w:pPr>
      <w:r>
        <w:rPr>
          <w:rFonts w:hint="eastAsia" w:ascii="宋体" w:hAnsi="宋体" w:cs="宋体"/>
          <w:color w:val="auto"/>
          <w:highlight w:val="none"/>
        </w:rPr>
        <w:t>投标人须知正文</w:t>
      </w:r>
    </w:p>
    <w:p w14:paraId="17D61F70">
      <w:pPr>
        <w:pStyle w:val="197"/>
        <w:keepNext w:val="0"/>
        <w:keepLines w:val="0"/>
        <w:jc w:val="center"/>
        <w:rPr>
          <w:rFonts w:hint="eastAsia" w:ascii="宋体" w:hAnsi="宋体" w:cs="宋体"/>
          <w:color w:val="auto"/>
          <w:highlight w:val="none"/>
        </w:rPr>
      </w:pPr>
      <w:r>
        <w:rPr>
          <w:rFonts w:hint="eastAsia" w:ascii="宋体" w:hAnsi="宋体" w:cs="宋体"/>
          <w:color w:val="auto"/>
          <w:highlight w:val="none"/>
        </w:rPr>
        <w:t>一、总  则</w:t>
      </w:r>
    </w:p>
    <w:p w14:paraId="069B8F29">
      <w:pPr>
        <w:pStyle w:val="199"/>
        <w:keepNext w:val="0"/>
        <w:keepLines w:val="0"/>
        <w:spacing w:before="0" w:after="0" w:line="360" w:lineRule="auto"/>
        <w:ind w:left="420"/>
        <w:rPr>
          <w:rFonts w:hint="eastAsia" w:ascii="宋体" w:hAnsi="宋体" w:cs="宋体"/>
          <w:color w:val="auto"/>
          <w:sz w:val="24"/>
          <w:highlight w:val="none"/>
        </w:rPr>
      </w:pPr>
      <w:bookmarkStart w:id="103" w:name="_Toc254970668"/>
      <w:bookmarkStart w:id="104" w:name="_Toc254970527"/>
      <w:r>
        <w:rPr>
          <w:rFonts w:hint="eastAsia" w:ascii="宋体" w:hAnsi="宋体" w:cs="宋体"/>
          <w:color w:val="auto"/>
          <w:sz w:val="24"/>
          <w:highlight w:val="none"/>
        </w:rPr>
        <w:t>1.适用范围</w:t>
      </w:r>
      <w:bookmarkEnd w:id="103"/>
      <w:bookmarkEnd w:id="104"/>
    </w:p>
    <w:p w14:paraId="7433D852">
      <w:pPr>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1.1适用法律：本项目采购人、采购代理机构、投标人、评标委员会的相关行为均受《中华人民共和国政府采购法》、《中华人民共和国政府采购法实施条例》、《政府采购货物和服务招标投标管理办法》及本项目本级和上级财政部门政府采购有关规定的约束和保护。</w:t>
      </w:r>
    </w:p>
    <w:p w14:paraId="035DE860">
      <w:pPr>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1.2本招标文件</w:t>
      </w:r>
      <w:r>
        <w:rPr>
          <w:rFonts w:hint="eastAsia" w:ascii="宋体" w:hAnsi="宋体" w:cs="宋体"/>
          <w:color w:val="auto"/>
          <w:spacing w:val="-6"/>
          <w:szCs w:val="21"/>
          <w:highlight w:val="none"/>
        </w:rPr>
        <w:t>适用于本项目的所有采购程序和环节（法律、法规另有规定的，从其规定）。</w:t>
      </w:r>
    </w:p>
    <w:p w14:paraId="150822F4">
      <w:pPr>
        <w:pStyle w:val="199"/>
        <w:keepNext w:val="0"/>
        <w:keepLines w:val="0"/>
        <w:spacing w:before="0" w:after="0" w:line="360" w:lineRule="auto"/>
        <w:ind w:left="420"/>
        <w:rPr>
          <w:rFonts w:hint="eastAsia" w:ascii="宋体" w:hAnsi="宋体" w:cs="宋体"/>
          <w:color w:val="auto"/>
          <w:sz w:val="24"/>
          <w:highlight w:val="none"/>
        </w:rPr>
      </w:pPr>
      <w:bookmarkStart w:id="105" w:name="_Toc254970528"/>
      <w:bookmarkStart w:id="106" w:name="_Toc254970669"/>
      <w:r>
        <w:rPr>
          <w:rFonts w:hint="eastAsia" w:ascii="宋体" w:hAnsi="宋体" w:cs="宋体"/>
          <w:color w:val="auto"/>
          <w:sz w:val="24"/>
          <w:highlight w:val="none"/>
        </w:rPr>
        <w:t>2.定义</w:t>
      </w:r>
      <w:bookmarkEnd w:id="105"/>
      <w:bookmarkEnd w:id="106"/>
    </w:p>
    <w:p w14:paraId="58200C2A">
      <w:pPr>
        <w:pStyle w:val="199"/>
        <w:keepNext w:val="0"/>
        <w:keepLines w:val="0"/>
        <w:spacing w:before="0" w:after="0" w:line="360" w:lineRule="auto"/>
        <w:ind w:left="42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2.1“采购人”是指依法进行政府采购的国家机关、事业单位、团体组织。</w:t>
      </w:r>
    </w:p>
    <w:p w14:paraId="317F1B11">
      <w:pPr>
        <w:pStyle w:val="199"/>
        <w:keepNext w:val="0"/>
        <w:keepLines w:val="0"/>
        <w:spacing w:before="0" w:after="0" w:line="360" w:lineRule="auto"/>
        <w:ind w:left="42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2.2“采购代理机构”是指政府采购集中采购机构和集中采购机构以外的采购代理机构。</w:t>
      </w:r>
    </w:p>
    <w:p w14:paraId="0C529D65">
      <w:pPr>
        <w:pStyle w:val="199"/>
        <w:keepNext w:val="0"/>
        <w:keepLines w:val="0"/>
        <w:spacing w:before="0" w:after="0" w:line="360" w:lineRule="auto"/>
        <w:ind w:left="42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2.3“供应商”是指向采购人提供货物、工程或者服务的法人、其他组织或者自然人。</w:t>
      </w:r>
    </w:p>
    <w:p w14:paraId="01064E9B">
      <w:pPr>
        <w:pStyle w:val="200"/>
        <w:spacing w:line="360" w:lineRule="auto"/>
        <w:rPr>
          <w:rFonts w:hint="eastAsia" w:ascii="宋体" w:hAnsi="宋体" w:cs="宋体"/>
          <w:color w:val="auto"/>
          <w:szCs w:val="21"/>
          <w:highlight w:val="none"/>
        </w:rPr>
      </w:pPr>
      <w:r>
        <w:rPr>
          <w:rFonts w:hint="eastAsia" w:ascii="宋体" w:hAnsi="宋体" w:cs="宋体"/>
          <w:color w:val="auto"/>
          <w:szCs w:val="21"/>
          <w:highlight w:val="none"/>
        </w:rPr>
        <w:t>2.4“投标人”是指响应招标、参加投标竞争的法人、非法人组织或者自然人。</w:t>
      </w:r>
    </w:p>
    <w:p w14:paraId="6970D14B">
      <w:pPr>
        <w:pStyle w:val="199"/>
        <w:keepNext w:val="0"/>
        <w:keepLines w:val="0"/>
        <w:spacing w:before="0" w:after="0" w:line="360" w:lineRule="auto"/>
        <w:ind w:firstLine="42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2.5“服务”是指除货物和工程以外的其他政府采购对象。</w:t>
      </w:r>
    </w:p>
    <w:p w14:paraId="43A7FF95">
      <w:pPr>
        <w:pStyle w:val="199"/>
        <w:keepNext w:val="0"/>
        <w:keepLines w:val="0"/>
        <w:spacing w:before="0" w:after="0" w:line="360" w:lineRule="auto"/>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 xml:space="preserve">    2.6“书面形式”是指合同书、信件和数据电文（包括电报、电传、传真、电子数据交换和电子邮件）等可以有形地表现所载内容的形式。</w:t>
      </w:r>
    </w:p>
    <w:p w14:paraId="4D0FF354">
      <w:pPr>
        <w:pStyle w:val="199"/>
        <w:keepNext w:val="0"/>
        <w:keepLines w:val="0"/>
        <w:spacing w:before="0" w:after="0" w:line="360" w:lineRule="auto"/>
        <w:ind w:firstLine="42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2.7“实质性要求”是指招标文件中已经指明不满足则投标无效的条款，或者不能负偏离的条款，或者采购需求中带“▲”的条款。</w:t>
      </w:r>
    </w:p>
    <w:p w14:paraId="6E66E8AA">
      <w:pPr>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2.8“正偏离”，是指投标文件对招标文件“采购需求”中有关条款作出的响应优于条款要求并有利于采购人的情形。</w:t>
      </w:r>
    </w:p>
    <w:p w14:paraId="5BC65B82">
      <w:pPr>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2.9“负偏离”，是指投标文件对招标文件“采购需求”中有关条款作出的响应不满足条款要求，导致采购人要求不能得到满足的情形。</w:t>
      </w:r>
    </w:p>
    <w:p w14:paraId="3097071A">
      <w:pPr>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2.10“允许负偏离的条款”是指采购需求中的不属于“实质性要求”的条款。</w:t>
      </w:r>
      <w:bookmarkStart w:id="107" w:name="_Toc254970670"/>
      <w:bookmarkStart w:id="108" w:name="_Toc254970529"/>
    </w:p>
    <w:p w14:paraId="5873540F">
      <w:pPr>
        <w:pStyle w:val="199"/>
        <w:keepNext w:val="0"/>
        <w:keepLines w:val="0"/>
        <w:spacing w:before="0" w:after="0" w:line="360" w:lineRule="auto"/>
        <w:ind w:left="420"/>
        <w:rPr>
          <w:rFonts w:hint="eastAsia" w:ascii="宋体" w:hAnsi="宋体" w:cs="宋体"/>
          <w:color w:val="auto"/>
          <w:sz w:val="24"/>
          <w:highlight w:val="none"/>
        </w:rPr>
      </w:pPr>
      <w:r>
        <w:rPr>
          <w:rFonts w:hint="eastAsia" w:ascii="宋体" w:hAnsi="宋体" w:cs="宋体"/>
          <w:color w:val="auto"/>
          <w:sz w:val="24"/>
          <w:highlight w:val="none"/>
        </w:rPr>
        <w:t>3.</w:t>
      </w:r>
      <w:bookmarkEnd w:id="107"/>
      <w:bookmarkEnd w:id="108"/>
      <w:r>
        <w:rPr>
          <w:rFonts w:hint="eastAsia" w:ascii="宋体" w:hAnsi="宋体" w:cs="宋体"/>
          <w:color w:val="auto"/>
          <w:sz w:val="24"/>
          <w:highlight w:val="none"/>
        </w:rPr>
        <w:t>投标人的资格要求</w:t>
      </w:r>
    </w:p>
    <w:p w14:paraId="18A08342">
      <w:pPr>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投标人的资格要求详见“投标人须知前附表”。</w:t>
      </w:r>
    </w:p>
    <w:p w14:paraId="49CAC1AD">
      <w:pPr>
        <w:pStyle w:val="199"/>
        <w:keepNext w:val="0"/>
        <w:keepLines w:val="0"/>
        <w:spacing w:before="0" w:after="0" w:line="360" w:lineRule="auto"/>
        <w:ind w:left="420"/>
        <w:rPr>
          <w:rFonts w:hint="eastAsia" w:ascii="宋体" w:hAnsi="宋体" w:cs="宋体"/>
          <w:color w:val="auto"/>
          <w:sz w:val="24"/>
          <w:highlight w:val="none"/>
        </w:rPr>
      </w:pPr>
      <w:bookmarkStart w:id="109" w:name="_Toc254970671"/>
      <w:bookmarkStart w:id="110" w:name="_Toc254970530"/>
      <w:r>
        <w:rPr>
          <w:rFonts w:hint="eastAsia" w:ascii="宋体" w:hAnsi="宋体" w:cs="宋体"/>
          <w:color w:val="auto"/>
          <w:sz w:val="24"/>
          <w:highlight w:val="none"/>
        </w:rPr>
        <w:t>4.投标委托</w:t>
      </w:r>
      <w:bookmarkEnd w:id="109"/>
      <w:bookmarkEnd w:id="110"/>
    </w:p>
    <w:p w14:paraId="1ED23AF0">
      <w:pPr>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投标人代表参加投标活动过程中必须携带个人有效身份证件。如投标人代表不是法定代表人，须持有法定代表人授权委托书（按第六章要求格式填写）。</w:t>
      </w:r>
    </w:p>
    <w:p w14:paraId="1395B0FB">
      <w:pPr>
        <w:pStyle w:val="199"/>
        <w:keepNext w:val="0"/>
        <w:keepLines w:val="0"/>
        <w:spacing w:before="0" w:after="0" w:line="360" w:lineRule="auto"/>
        <w:ind w:left="420"/>
        <w:rPr>
          <w:rFonts w:hint="eastAsia" w:ascii="宋体" w:hAnsi="宋体" w:cs="宋体"/>
          <w:color w:val="auto"/>
          <w:sz w:val="24"/>
          <w:highlight w:val="none"/>
        </w:rPr>
      </w:pPr>
      <w:bookmarkStart w:id="111" w:name="_5.投标费用"/>
      <w:bookmarkEnd w:id="111"/>
      <w:bookmarkStart w:id="112" w:name="_Toc254970672"/>
      <w:bookmarkStart w:id="113" w:name="_Toc254970531"/>
      <w:r>
        <w:rPr>
          <w:rFonts w:hint="eastAsia" w:ascii="宋体" w:hAnsi="宋体" w:cs="宋体"/>
          <w:color w:val="auto"/>
          <w:sz w:val="24"/>
          <w:highlight w:val="none"/>
        </w:rPr>
        <w:t>5.投标费用</w:t>
      </w:r>
      <w:bookmarkEnd w:id="112"/>
      <w:bookmarkEnd w:id="113"/>
    </w:p>
    <w:p w14:paraId="36516890">
      <w:pPr>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投标费用：投标人应承担参与本次采购活动有关的所有费用，包括但不限于获取招标文件、勘查现场、编制和提交投标文件、参加澄清说明、签订合同等，不论投标结果如何，均应自行承担。</w:t>
      </w:r>
    </w:p>
    <w:p w14:paraId="1553A88E">
      <w:pPr>
        <w:pStyle w:val="199"/>
        <w:keepNext w:val="0"/>
        <w:keepLines w:val="0"/>
        <w:spacing w:before="0" w:after="0" w:line="360" w:lineRule="auto"/>
        <w:ind w:left="420"/>
        <w:rPr>
          <w:rFonts w:hint="eastAsia" w:ascii="宋体" w:hAnsi="宋体" w:cs="宋体"/>
          <w:color w:val="auto"/>
          <w:sz w:val="24"/>
          <w:highlight w:val="none"/>
        </w:rPr>
      </w:pPr>
      <w:r>
        <w:rPr>
          <w:rFonts w:hint="eastAsia" w:ascii="宋体" w:hAnsi="宋体" w:cs="宋体"/>
          <w:color w:val="auto"/>
          <w:sz w:val="24"/>
          <w:highlight w:val="none"/>
        </w:rPr>
        <w:t>6.联合体投标</w:t>
      </w:r>
    </w:p>
    <w:p w14:paraId="0D828C23">
      <w:pPr>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6.1本项目不接受联合体投标，详见“投标人须知前附表”。</w:t>
      </w:r>
    </w:p>
    <w:p w14:paraId="41EE45F9">
      <w:pPr>
        <w:spacing w:line="360" w:lineRule="auto"/>
        <w:ind w:firstLine="420"/>
        <w:jc w:val="left"/>
        <w:rPr>
          <w:rFonts w:hint="eastAsia" w:ascii="宋体" w:hAnsi="宋体" w:cs="宋体"/>
          <w:bCs/>
          <w:color w:val="auto"/>
          <w:szCs w:val="21"/>
          <w:highlight w:val="none"/>
        </w:rPr>
      </w:pPr>
      <w:r>
        <w:rPr>
          <w:rFonts w:hint="eastAsia" w:ascii="宋体" w:hAnsi="宋体" w:cs="宋体"/>
          <w:bCs/>
          <w:color w:val="auto"/>
          <w:szCs w:val="21"/>
          <w:highlight w:val="none"/>
        </w:rPr>
        <w:t>6.2如接受联合体投标，联合体投标要求详见“投标人须知前附表”。</w:t>
      </w:r>
    </w:p>
    <w:p w14:paraId="4F9D7D26">
      <w:pPr>
        <w:spacing w:line="360" w:lineRule="auto"/>
        <w:ind w:firstLine="420"/>
        <w:jc w:val="left"/>
        <w:rPr>
          <w:rFonts w:hint="eastAsia" w:ascii="宋体" w:hAnsi="宋体" w:cs="宋体"/>
          <w:color w:val="auto"/>
          <w:highlight w:val="none"/>
        </w:rPr>
      </w:pPr>
      <w:r>
        <w:rPr>
          <w:rFonts w:hint="eastAsia" w:ascii="宋体" w:hAnsi="宋体" w:cs="宋体"/>
          <w:bCs/>
          <w:color w:val="auto"/>
          <w:szCs w:val="21"/>
          <w:highlight w:val="none"/>
        </w:rPr>
        <w:t>6.3</w:t>
      </w:r>
      <w:r>
        <w:rPr>
          <w:rFonts w:hint="eastAsia" w:ascii="宋体" w:hAnsi="宋体" w:cs="宋体"/>
          <w:color w:val="auto"/>
          <w:szCs w:val="21"/>
          <w:highlight w:val="none"/>
        </w:rPr>
        <w:t>根据《政府采购促进中小企业发展管理办法》（财库〔2020〕46号）第九条第二款及</w:t>
      </w:r>
      <w:r>
        <w:rPr>
          <w:rFonts w:hint="eastAsia" w:ascii="宋体" w:hAnsi="宋体"/>
          <w:b w:val="0"/>
          <w:bCs/>
          <w:color w:val="auto"/>
          <w:sz w:val="21"/>
          <w:szCs w:val="21"/>
          <w:highlight w:val="none"/>
          <w:lang w:val="en-US"/>
        </w:rPr>
        <w:t>《广西壮族自治区财政厅关于持续优化政府采购营商环境推动高质量发展的通知》（桂财采〔2024〕55号）</w:t>
      </w:r>
      <w:r>
        <w:rPr>
          <w:rFonts w:hint="eastAsia" w:ascii="宋体" w:hAnsi="宋体" w:cs="宋体"/>
          <w:color w:val="auto"/>
          <w:szCs w:val="21"/>
          <w:highlight w:val="none"/>
        </w:rPr>
        <w:t>的规定，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的扣除，用扣除后的价格参加评审。</w:t>
      </w:r>
    </w:p>
    <w:p w14:paraId="6F1FBADA">
      <w:pPr>
        <w:pStyle w:val="199"/>
        <w:keepNext w:val="0"/>
        <w:keepLines w:val="0"/>
        <w:spacing w:before="0" w:after="0" w:line="360" w:lineRule="auto"/>
        <w:ind w:left="420"/>
        <w:rPr>
          <w:rFonts w:hint="eastAsia" w:ascii="宋体" w:hAnsi="宋体" w:cs="宋体"/>
          <w:color w:val="auto"/>
          <w:sz w:val="24"/>
          <w:highlight w:val="none"/>
        </w:rPr>
      </w:pPr>
      <w:r>
        <w:rPr>
          <w:rFonts w:hint="eastAsia" w:ascii="宋体" w:hAnsi="宋体" w:cs="宋体"/>
          <w:color w:val="auto"/>
          <w:sz w:val="24"/>
          <w:highlight w:val="none"/>
        </w:rPr>
        <w:t xml:space="preserve">7.转包与分包             </w:t>
      </w:r>
    </w:p>
    <w:p w14:paraId="50538269">
      <w:pPr>
        <w:pStyle w:val="199"/>
        <w:keepNext w:val="0"/>
        <w:keepLines w:val="0"/>
        <w:spacing w:before="0" w:after="0" w:line="360" w:lineRule="auto"/>
        <w:ind w:left="420"/>
        <w:rPr>
          <w:rFonts w:hint="eastAsia" w:ascii="宋体" w:hAnsi="宋体" w:cs="宋体"/>
          <w:b w:val="0"/>
          <w:color w:val="auto"/>
          <w:sz w:val="21"/>
          <w:szCs w:val="21"/>
          <w:highlight w:val="none"/>
        </w:rPr>
      </w:pPr>
      <w:bookmarkStart w:id="114" w:name="_Toc254970673"/>
      <w:bookmarkStart w:id="115" w:name="_Toc254970532"/>
      <w:r>
        <w:rPr>
          <w:rFonts w:hint="eastAsia" w:ascii="宋体" w:hAnsi="宋体" w:cs="宋体"/>
          <w:b w:val="0"/>
          <w:color w:val="auto"/>
          <w:sz w:val="21"/>
          <w:szCs w:val="21"/>
          <w:highlight w:val="none"/>
        </w:rPr>
        <w:t>7.1本项目不允许转包。</w:t>
      </w:r>
    </w:p>
    <w:p w14:paraId="598566D5">
      <w:pPr>
        <w:pStyle w:val="199"/>
        <w:keepNext w:val="0"/>
        <w:keepLines w:val="0"/>
        <w:spacing w:before="0" w:after="0" w:line="360" w:lineRule="auto"/>
        <w:ind w:firstLine="315"/>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 xml:space="preserve"> 7.2本项目是否允许分包详见“投标人须知前附表”，本项目不允许违法分包。允许分包的非主体、非关键性工作，根据法律法规规定承担该工作需要行政许可的，如该工作由投标人自行承担，投标人应具备相应的行政许可，如投标人不具备相应的行政许可必须采用分包的方式，但分包投标人应具备相应行政许可。</w:t>
      </w:r>
    </w:p>
    <w:p w14:paraId="728B38B0">
      <w:pPr>
        <w:pStyle w:val="199"/>
        <w:keepNext w:val="0"/>
        <w:keepLines w:val="0"/>
        <w:spacing w:before="0" w:after="0" w:line="360" w:lineRule="auto"/>
        <w:ind w:left="420"/>
        <w:rPr>
          <w:rFonts w:hint="eastAsia" w:ascii="宋体" w:hAnsi="宋体" w:cs="宋体"/>
          <w:color w:val="auto"/>
          <w:sz w:val="24"/>
          <w:highlight w:val="none"/>
        </w:rPr>
      </w:pPr>
      <w:r>
        <w:rPr>
          <w:rFonts w:hint="eastAsia" w:ascii="宋体" w:hAnsi="宋体" w:cs="宋体"/>
          <w:b w:val="0"/>
          <w:color w:val="auto"/>
          <w:sz w:val="21"/>
          <w:szCs w:val="21"/>
          <w:highlight w:val="none"/>
        </w:rPr>
        <w:t xml:space="preserve"> 7.3投标人根据招标文件的规定和采购项目的实际情况，拟在中标后将中标项目的非主体、非关键性工作分包的，应当在投标文件中载明分包承担主体，分包承担主体应当具备相应资质条件且不得再次分包。</w:t>
      </w:r>
    </w:p>
    <w:p w14:paraId="73AE7836">
      <w:pPr>
        <w:pStyle w:val="199"/>
        <w:keepNext w:val="0"/>
        <w:keepLines w:val="0"/>
        <w:spacing w:before="0" w:after="0" w:line="360" w:lineRule="auto"/>
        <w:ind w:left="420"/>
        <w:rPr>
          <w:rFonts w:hint="eastAsia" w:ascii="宋体" w:hAnsi="宋体" w:cs="宋体"/>
          <w:color w:val="auto"/>
          <w:sz w:val="24"/>
          <w:highlight w:val="none"/>
        </w:rPr>
      </w:pPr>
      <w:r>
        <w:rPr>
          <w:rFonts w:hint="eastAsia" w:ascii="宋体" w:hAnsi="宋体" w:cs="宋体"/>
          <w:color w:val="auto"/>
          <w:sz w:val="24"/>
          <w:highlight w:val="none"/>
        </w:rPr>
        <w:t>8.特别说明</w:t>
      </w:r>
      <w:bookmarkEnd w:id="114"/>
      <w:bookmarkEnd w:id="115"/>
    </w:p>
    <w:p w14:paraId="0D99E9FE">
      <w:pPr>
        <w:numPr>
          <w:ilvl w:val="4"/>
          <w:numId w:val="1"/>
        </w:numPr>
        <w:spacing w:line="360" w:lineRule="auto"/>
        <w:ind w:firstLine="367"/>
        <w:outlineLvl w:val="4"/>
        <w:rPr>
          <w:rFonts w:ascii="宋体" w:hAnsi="宋体" w:cs="宋体"/>
          <w:color w:val="auto"/>
          <w:szCs w:val="21"/>
          <w:highlight w:val="none"/>
        </w:rPr>
      </w:pPr>
      <w:r>
        <w:rPr>
          <w:rFonts w:hint="eastAsia" w:ascii="宋体" w:hAnsi="宋体" w:cs="宋体"/>
          <w:color w:val="auto"/>
          <w:szCs w:val="21"/>
          <w:highlight w:val="none"/>
        </w:rPr>
        <w:t>8.1如果本招标文件要求提供投标人或制造商的资格、信誉、荣誉、业绩与企业认证等材料的，资格、信誉、荣誉、业绩与企业认证等必须为投标人或者制造商所拥有或自身获得 。</w:t>
      </w:r>
    </w:p>
    <w:p w14:paraId="08E2AF5E">
      <w:pPr>
        <w:numPr>
          <w:ilvl w:val="4"/>
          <w:numId w:val="1"/>
        </w:numPr>
        <w:spacing w:line="360" w:lineRule="auto"/>
        <w:ind w:firstLine="367"/>
        <w:outlineLvl w:val="4"/>
        <w:rPr>
          <w:rFonts w:ascii="宋体" w:hAnsi="宋体" w:cs="宋体"/>
          <w:color w:val="auto"/>
          <w:szCs w:val="21"/>
          <w:highlight w:val="none"/>
        </w:rPr>
      </w:pPr>
      <w:r>
        <w:rPr>
          <w:rFonts w:hint="eastAsia" w:ascii="宋体" w:hAnsi="宋体" w:cs="宋体"/>
          <w:color w:val="auto"/>
          <w:szCs w:val="21"/>
          <w:highlight w:val="none"/>
        </w:rPr>
        <w:t>8.2投标人应仔细阅读招标文件的所有内容，按照招标文件的要求提交投标文件，并对所提供的全部资料的真实性承担法律责任。</w:t>
      </w:r>
    </w:p>
    <w:p w14:paraId="1FBD782A">
      <w:pPr>
        <w:numPr>
          <w:ilvl w:val="4"/>
          <w:numId w:val="1"/>
        </w:numPr>
        <w:spacing w:line="360" w:lineRule="auto"/>
        <w:ind w:firstLine="367"/>
        <w:outlineLvl w:val="4"/>
        <w:rPr>
          <w:rFonts w:ascii="宋体" w:hAnsi="宋体" w:cs="宋体"/>
          <w:color w:val="auto"/>
          <w:szCs w:val="21"/>
          <w:highlight w:val="none"/>
        </w:rPr>
      </w:pPr>
      <w:r>
        <w:rPr>
          <w:rFonts w:hint="eastAsia" w:ascii="宋体" w:hAnsi="宋体" w:cs="宋体"/>
          <w:color w:val="auto"/>
          <w:szCs w:val="21"/>
          <w:highlight w:val="none"/>
        </w:rPr>
        <w:t>8.3投标人在投标活动中提供任何虚假材料，将报监管部门查处；中标后发现的，中标人须依照《中华人民共和国消费者权益保护法》规定赔偿采购人，且民事赔偿并不免除违法投标人的行政与刑事责任。</w:t>
      </w:r>
    </w:p>
    <w:p w14:paraId="49B227E0">
      <w:pPr>
        <w:spacing w:line="360" w:lineRule="auto"/>
        <w:ind w:firstLine="420"/>
        <w:rPr>
          <w:rFonts w:ascii="宋体" w:hAnsi="宋体"/>
          <w:color w:val="auto"/>
          <w:szCs w:val="20"/>
          <w:highlight w:val="none"/>
        </w:rPr>
      </w:pPr>
      <w:r>
        <w:rPr>
          <w:rFonts w:ascii="宋体" w:hAnsi="宋体"/>
          <w:color w:val="auto"/>
          <w:szCs w:val="20"/>
          <w:highlight w:val="none"/>
        </w:rPr>
        <w:t>8.4</w:t>
      </w:r>
      <w:r>
        <w:rPr>
          <w:rFonts w:hint="eastAsia" w:ascii="宋体" w:hAnsi="宋体"/>
          <w:color w:val="auto"/>
          <w:szCs w:val="20"/>
          <w:highlight w:val="none"/>
        </w:rPr>
        <w:t>根据《国务院办公厅关于在政府采购中实施本国产品标准及相关政策的通知》（国办发〔2025〕34号）的规定，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0C1B27C8">
      <w:pPr>
        <w:spacing w:line="360" w:lineRule="auto"/>
        <w:ind w:firstLine="420"/>
        <w:rPr>
          <w:rFonts w:ascii="宋体" w:hAnsi="宋体"/>
          <w:color w:val="auto"/>
          <w:szCs w:val="20"/>
          <w:highlight w:val="none"/>
        </w:rPr>
      </w:pPr>
      <w:r>
        <w:rPr>
          <w:rFonts w:hint="eastAsia" w:ascii="宋体" w:hAnsi="宋体"/>
          <w:color w:val="auto"/>
          <w:szCs w:val="20"/>
          <w:highlight w:val="none"/>
        </w:rPr>
        <w:t>产品在中国境内生产的组件成本占比应当达到规定比例，计算公式为：</w:t>
      </w:r>
    </w:p>
    <w:p w14:paraId="3A8AE3BF">
      <w:pPr>
        <w:widowControl/>
        <w:shd w:val="clear" w:color="auto" w:fill="FFFFFF"/>
        <w:spacing w:before="30" w:after="30" w:line="360" w:lineRule="auto"/>
        <w:jc w:val="center"/>
        <w:rPr>
          <w:rFonts w:ascii="宋体" w:hAnsi="宋体" w:eastAsia="宋体" w:cs="宋体"/>
          <w:color w:val="auto"/>
          <w:sz w:val="24"/>
          <w:highlight w:val="none"/>
        </w:rPr>
      </w:pPr>
      <w:r>
        <w:rPr>
          <w:rFonts w:ascii="宋体" w:hAnsi="宋体" w:eastAsia="宋体" w:cs="宋体"/>
          <w:color w:val="auto"/>
          <w:sz w:val="24"/>
          <w:highlight w:val="none"/>
        </w:rPr>
        <w:fldChar w:fldCharType="begin"/>
      </w:r>
      <w:r>
        <w:rPr>
          <w:rFonts w:ascii="宋体" w:hAnsi="宋体" w:eastAsia="宋体" w:cs="宋体"/>
          <w:color w:val="auto"/>
          <w:sz w:val="24"/>
          <w:highlight w:val="none"/>
        </w:rPr>
        <w:instrText xml:space="preserve"> INCLUDEPICTURE "https://www.gov.cn/zhengce/content/202509/W020250930645245947614.png" \* MERGEFORMATINET </w:instrText>
      </w:r>
      <w:r>
        <w:rPr>
          <w:rFonts w:ascii="宋体" w:hAnsi="宋体" w:eastAsia="宋体" w:cs="宋体"/>
          <w:color w:val="auto"/>
          <w:sz w:val="24"/>
          <w:highlight w:val="none"/>
        </w:rPr>
        <w:fldChar w:fldCharType="separate"/>
      </w:r>
      <w:r>
        <w:rPr>
          <w:rFonts w:ascii="宋体" w:hAnsi="宋体" w:eastAsia="宋体" w:cs="宋体"/>
          <w:color w:val="auto"/>
          <w:sz w:val="24"/>
          <w:highlight w:val="none"/>
        </w:rPr>
        <w:drawing>
          <wp:inline distT="0" distB="0" distL="0" distR="0">
            <wp:extent cx="4827905" cy="762635"/>
            <wp:effectExtent l="0" t="0" r="0" b="0"/>
            <wp:docPr id="4" name="_x0000_i3083"/>
            <wp:cNvGraphicFramePr/>
            <a:graphic xmlns:a="http://schemas.openxmlformats.org/drawingml/2006/main">
              <a:graphicData uri="http://schemas.openxmlformats.org/drawingml/2006/picture">
                <pic:pic xmlns:pic="http://schemas.openxmlformats.org/drawingml/2006/picture">
                  <pic:nvPicPr>
                    <pic:cNvPr id="4" name="_x0000_i3083"/>
                    <pic:cNvPicPr/>
                  </pic:nvPicPr>
                  <pic:blipFill>
                    <a:blip r:embed="rId17"/>
                    <a:stretch>
                      <a:fillRect/>
                    </a:stretch>
                  </pic:blipFill>
                  <pic:spPr>
                    <a:xfrm>
                      <a:off x="0" y="0"/>
                      <a:ext cx="4827905" cy="762762"/>
                    </a:xfrm>
                    <a:prstGeom prst="rect">
                      <a:avLst/>
                    </a:prstGeom>
                    <a:noFill/>
                  </pic:spPr>
                </pic:pic>
              </a:graphicData>
            </a:graphic>
          </wp:inline>
        </w:drawing>
      </w:r>
      <w:r>
        <w:rPr>
          <w:rFonts w:ascii="宋体" w:hAnsi="宋体" w:eastAsia="宋体" w:cs="宋体"/>
          <w:color w:val="auto"/>
          <w:sz w:val="24"/>
          <w:highlight w:val="none"/>
        </w:rPr>
        <w:fldChar w:fldCharType="end"/>
      </w:r>
    </w:p>
    <w:p w14:paraId="1AB5707F">
      <w:pPr>
        <w:spacing w:line="360" w:lineRule="auto"/>
        <w:ind w:firstLine="420"/>
        <w:rPr>
          <w:rFonts w:ascii="宋体" w:hAnsi="宋体"/>
          <w:color w:val="auto"/>
          <w:szCs w:val="20"/>
          <w:highlight w:val="none"/>
        </w:rPr>
      </w:pPr>
      <w:r>
        <w:rPr>
          <w:rFonts w:hint="eastAsia" w:ascii="宋体" w:hAnsi="宋体"/>
          <w:color w:val="auto"/>
          <w:szCs w:val="20"/>
          <w:highlight w:val="none"/>
        </w:rPr>
        <w:t>财政部会同有关行业主管部门，分产品确定在中国境内生产的组件成本占比应当达到的规定比例。在分产品的中国境内生产的组件成本占比相关要求实施前，符合《国务院办公厅关于在政府采购中实施本国产品标准及相关政策的通知》第一条第（一）项条件的产品在政府采购活动中视同本国产品。</w:t>
      </w:r>
    </w:p>
    <w:p w14:paraId="2A3F4636">
      <w:pPr>
        <w:spacing w:line="360" w:lineRule="auto"/>
        <w:ind w:firstLine="420"/>
        <w:rPr>
          <w:rFonts w:ascii="宋体" w:hAnsi="宋体"/>
          <w:color w:val="auto"/>
          <w:szCs w:val="20"/>
          <w:highlight w:val="none"/>
        </w:rPr>
      </w:pPr>
      <w:r>
        <w:rPr>
          <w:rFonts w:hint="eastAsia" w:ascii="宋体" w:hAnsi="宋体"/>
          <w:color w:val="auto"/>
          <w:szCs w:val="20"/>
          <w:highlight w:val="none"/>
        </w:rPr>
        <w:t>政府采购活动中既有本国产品又有非本国产品参与竞争的，依法对本国产品给予价格评审优惠，对本国产品的报价给予20%的价格扣除，用扣除后的价格参与评审。</w:t>
      </w:r>
    </w:p>
    <w:p w14:paraId="0B92DB64">
      <w:pPr>
        <w:spacing w:line="360" w:lineRule="auto"/>
        <w:ind w:firstLine="420"/>
        <w:rPr>
          <w:color w:val="auto"/>
          <w:szCs w:val="20"/>
          <w:highlight w:val="none"/>
        </w:rPr>
      </w:pPr>
      <w:r>
        <w:rPr>
          <w:rFonts w:hint="eastAsia" w:ascii="宋体" w:hAnsi="宋体"/>
          <w:color w:val="auto"/>
          <w:szCs w:val="20"/>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1715335">
      <w:pPr>
        <w:pStyle w:val="199"/>
        <w:keepNext w:val="0"/>
        <w:keepLines w:val="0"/>
        <w:spacing w:before="0" w:after="0" w:line="360" w:lineRule="auto"/>
        <w:ind w:left="420"/>
        <w:rPr>
          <w:rFonts w:hint="eastAsia" w:ascii="宋体" w:hAnsi="宋体" w:cs="宋体"/>
          <w:color w:val="auto"/>
          <w:sz w:val="24"/>
          <w:highlight w:val="none"/>
        </w:rPr>
      </w:pPr>
      <w:r>
        <w:rPr>
          <w:rFonts w:hint="eastAsia" w:ascii="宋体" w:hAnsi="宋体" w:cs="宋体"/>
          <w:color w:val="auto"/>
          <w:sz w:val="24"/>
          <w:highlight w:val="none"/>
        </w:rPr>
        <w:t>9.回避与串通投标</w:t>
      </w:r>
    </w:p>
    <w:p w14:paraId="2E3263E3">
      <w:pPr>
        <w:pStyle w:val="199"/>
        <w:keepNext w:val="0"/>
        <w:keepLines w:val="0"/>
        <w:spacing w:before="0" w:after="0" w:line="360" w:lineRule="auto"/>
        <w:ind w:firstLine="367"/>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9.1在政府采购活动中，采购人员及相关人员与供应商有下列利害关系之一的，应当回避：</w:t>
      </w:r>
    </w:p>
    <w:p w14:paraId="4B4D9A36">
      <w:pPr>
        <w:pStyle w:val="230"/>
        <w:spacing w:line="360" w:lineRule="auto"/>
        <w:ind w:left="2" w:firstLine="420"/>
        <w:rPr>
          <w:rFonts w:hint="eastAsia" w:hAnsi="宋体" w:cs="宋体"/>
          <w:color w:val="auto"/>
          <w:sz w:val="21"/>
          <w:highlight w:val="none"/>
        </w:rPr>
      </w:pPr>
      <w:r>
        <w:rPr>
          <w:rFonts w:hint="eastAsia" w:hAnsi="宋体" w:cs="宋体"/>
          <w:color w:val="auto"/>
          <w:sz w:val="21"/>
          <w:highlight w:val="none"/>
        </w:rPr>
        <w:t>（1）参加采购活动前3年内与供应商存在劳动关系；</w:t>
      </w:r>
    </w:p>
    <w:p w14:paraId="3F6F23DA">
      <w:pPr>
        <w:pStyle w:val="230"/>
        <w:spacing w:line="360" w:lineRule="auto"/>
        <w:ind w:left="2" w:firstLine="420"/>
        <w:rPr>
          <w:rFonts w:hint="eastAsia" w:hAnsi="宋体" w:cs="宋体"/>
          <w:color w:val="auto"/>
          <w:sz w:val="21"/>
          <w:highlight w:val="none"/>
        </w:rPr>
      </w:pPr>
      <w:r>
        <w:rPr>
          <w:rFonts w:hint="eastAsia" w:hAnsi="宋体" w:cs="宋体"/>
          <w:color w:val="auto"/>
          <w:sz w:val="21"/>
          <w:highlight w:val="none"/>
        </w:rPr>
        <w:t>（2）参加采购活动前3年内担任供应商的董事、监事；</w:t>
      </w:r>
    </w:p>
    <w:p w14:paraId="13AE5ACB">
      <w:pPr>
        <w:pStyle w:val="230"/>
        <w:spacing w:line="360" w:lineRule="auto"/>
        <w:ind w:left="2" w:firstLine="420"/>
        <w:rPr>
          <w:rFonts w:hint="eastAsia" w:hAnsi="宋体" w:cs="宋体"/>
          <w:color w:val="auto"/>
          <w:sz w:val="21"/>
          <w:highlight w:val="none"/>
        </w:rPr>
      </w:pPr>
      <w:r>
        <w:rPr>
          <w:rFonts w:hint="eastAsia" w:hAnsi="宋体" w:cs="宋体"/>
          <w:color w:val="auto"/>
          <w:sz w:val="21"/>
          <w:highlight w:val="none"/>
        </w:rPr>
        <w:t>（3）参加采购活动前3年内是供应商的控股股东或者实际控制人；</w:t>
      </w:r>
    </w:p>
    <w:p w14:paraId="78E81F69">
      <w:pPr>
        <w:pStyle w:val="230"/>
        <w:spacing w:line="360" w:lineRule="auto"/>
        <w:ind w:left="2" w:firstLine="420"/>
        <w:rPr>
          <w:rFonts w:hint="eastAsia" w:hAnsi="宋体" w:cs="宋体"/>
          <w:color w:val="auto"/>
          <w:sz w:val="21"/>
          <w:highlight w:val="none"/>
        </w:rPr>
      </w:pPr>
      <w:r>
        <w:rPr>
          <w:rFonts w:hint="eastAsia" w:hAnsi="宋体" w:cs="宋体"/>
          <w:color w:val="auto"/>
          <w:sz w:val="21"/>
          <w:highlight w:val="none"/>
        </w:rPr>
        <w:t>（4）与供应商的法定代表人或者负责人有夫妻、直系血亲、三代以内旁系血亲或者近姻亲关系；</w:t>
      </w:r>
    </w:p>
    <w:p w14:paraId="09AC38D6">
      <w:pPr>
        <w:pStyle w:val="230"/>
        <w:spacing w:line="360" w:lineRule="auto"/>
        <w:ind w:left="2" w:firstLine="420"/>
        <w:rPr>
          <w:rFonts w:hint="eastAsia" w:hAnsi="宋体" w:cs="宋体"/>
          <w:color w:val="auto"/>
          <w:sz w:val="21"/>
          <w:highlight w:val="none"/>
        </w:rPr>
      </w:pPr>
      <w:r>
        <w:rPr>
          <w:rFonts w:hint="eastAsia" w:hAnsi="宋体" w:cs="宋体"/>
          <w:color w:val="auto"/>
          <w:sz w:val="21"/>
          <w:highlight w:val="none"/>
        </w:rPr>
        <w:t>（5）与供应商有其他可能影响政府采购活动公平、公正进行的关系。</w:t>
      </w:r>
    </w:p>
    <w:p w14:paraId="2915B80F">
      <w:pPr>
        <w:pStyle w:val="230"/>
        <w:spacing w:line="360" w:lineRule="auto"/>
        <w:ind w:left="2" w:firstLine="420"/>
        <w:rPr>
          <w:rFonts w:hint="eastAsia" w:hAnsi="宋体" w:cs="宋体"/>
          <w:color w:val="auto"/>
          <w:sz w:val="21"/>
          <w:highlight w:val="none"/>
        </w:rPr>
      </w:pPr>
      <w:r>
        <w:rPr>
          <w:rFonts w:hint="eastAsia" w:hAnsi="宋体" w:cs="宋体"/>
          <w:color w:val="auto"/>
          <w:sz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534F2C77">
      <w:pPr>
        <w:pStyle w:val="199"/>
        <w:keepNext w:val="0"/>
        <w:keepLines w:val="0"/>
        <w:spacing w:before="0" w:after="0" w:line="360" w:lineRule="auto"/>
        <w:ind w:left="420"/>
        <w:rPr>
          <w:rFonts w:hint="eastAsia" w:ascii="宋体" w:hAnsi="宋体" w:cs="宋体"/>
          <w:color w:val="auto"/>
          <w:sz w:val="21"/>
          <w:szCs w:val="21"/>
          <w:highlight w:val="none"/>
        </w:rPr>
      </w:pPr>
      <w:r>
        <w:rPr>
          <w:rFonts w:hint="eastAsia" w:ascii="宋体" w:hAnsi="宋体" w:cs="宋体"/>
          <w:color w:val="auto"/>
          <w:sz w:val="21"/>
          <w:szCs w:val="21"/>
          <w:highlight w:val="none"/>
        </w:rPr>
        <w:t>9.2有下列情形之一的视为投标人相互串通投标，投标文件将被视为无效：</w:t>
      </w:r>
    </w:p>
    <w:p w14:paraId="26D84DE6">
      <w:pPr>
        <w:pStyle w:val="230"/>
        <w:spacing w:line="360" w:lineRule="auto"/>
        <w:ind w:left="2" w:firstLine="422"/>
        <w:rPr>
          <w:rFonts w:hint="eastAsia" w:hAnsi="宋体" w:cs="宋体"/>
          <w:b/>
          <w:color w:val="auto"/>
          <w:sz w:val="21"/>
          <w:highlight w:val="none"/>
        </w:rPr>
      </w:pPr>
      <w:r>
        <w:rPr>
          <w:rFonts w:hint="eastAsia" w:hAnsi="宋体" w:cs="宋体"/>
          <w:b/>
          <w:color w:val="auto"/>
          <w:sz w:val="21"/>
          <w:highlight w:val="none"/>
        </w:rPr>
        <w:t xml:space="preserve">（1）不同投标人的投标文件由同一单位或者个人编制； </w:t>
      </w:r>
    </w:p>
    <w:p w14:paraId="147561A5">
      <w:pPr>
        <w:pStyle w:val="230"/>
        <w:spacing w:line="360" w:lineRule="auto"/>
        <w:ind w:left="2" w:firstLine="422"/>
        <w:rPr>
          <w:rFonts w:hint="eastAsia" w:hAnsi="宋体" w:cs="宋体"/>
          <w:b/>
          <w:color w:val="auto"/>
          <w:sz w:val="21"/>
          <w:highlight w:val="none"/>
        </w:rPr>
      </w:pPr>
      <w:r>
        <w:rPr>
          <w:rFonts w:hint="eastAsia" w:hAnsi="宋体" w:cs="宋体"/>
          <w:b/>
          <w:color w:val="auto"/>
          <w:sz w:val="21"/>
          <w:highlight w:val="none"/>
        </w:rPr>
        <w:t>（2）不同投标人委托同一单位或者个人办理投标事宜；</w:t>
      </w:r>
    </w:p>
    <w:p w14:paraId="5145D94B">
      <w:pPr>
        <w:pStyle w:val="230"/>
        <w:spacing w:line="360" w:lineRule="auto"/>
        <w:ind w:left="2" w:firstLine="422"/>
        <w:rPr>
          <w:rFonts w:hint="eastAsia" w:hAnsi="宋体" w:cs="宋体"/>
          <w:b/>
          <w:color w:val="auto"/>
          <w:sz w:val="21"/>
          <w:highlight w:val="none"/>
        </w:rPr>
      </w:pPr>
      <w:r>
        <w:rPr>
          <w:rFonts w:hint="eastAsia" w:hAnsi="宋体" w:cs="宋体"/>
          <w:b/>
          <w:color w:val="auto"/>
          <w:sz w:val="21"/>
          <w:highlight w:val="none"/>
        </w:rPr>
        <w:t>（3）不同的投标人的投标文件载明的项目管理员为同一个人；</w:t>
      </w:r>
    </w:p>
    <w:p w14:paraId="3C2A46AA">
      <w:pPr>
        <w:pStyle w:val="230"/>
        <w:spacing w:line="360" w:lineRule="auto"/>
        <w:ind w:left="2" w:firstLine="422"/>
        <w:rPr>
          <w:rFonts w:hint="eastAsia" w:hAnsi="宋体" w:cs="宋体"/>
          <w:b/>
          <w:color w:val="auto"/>
          <w:sz w:val="21"/>
          <w:highlight w:val="none"/>
        </w:rPr>
      </w:pPr>
      <w:r>
        <w:rPr>
          <w:rFonts w:hint="eastAsia" w:hAnsi="宋体" w:cs="宋体"/>
          <w:b/>
          <w:color w:val="auto"/>
          <w:sz w:val="21"/>
          <w:highlight w:val="none"/>
        </w:rPr>
        <w:t>（4）不同投标人的投标文件异常一致或者投标报价呈规律性差异；</w:t>
      </w:r>
    </w:p>
    <w:p w14:paraId="2D9D7ABA">
      <w:pPr>
        <w:pStyle w:val="230"/>
        <w:spacing w:line="360" w:lineRule="auto"/>
        <w:ind w:left="2" w:firstLine="422"/>
        <w:rPr>
          <w:rFonts w:hint="eastAsia" w:hAnsi="宋体" w:cs="宋体"/>
          <w:b/>
          <w:color w:val="auto"/>
          <w:sz w:val="21"/>
          <w:highlight w:val="none"/>
        </w:rPr>
      </w:pPr>
      <w:r>
        <w:rPr>
          <w:rFonts w:hint="eastAsia" w:hAnsi="宋体" w:cs="宋体"/>
          <w:b/>
          <w:color w:val="auto"/>
          <w:sz w:val="21"/>
          <w:highlight w:val="none"/>
        </w:rPr>
        <w:t>（5）不同投标人的投标文件相互混装；</w:t>
      </w:r>
    </w:p>
    <w:p w14:paraId="3BEDD5B7">
      <w:pPr>
        <w:pStyle w:val="230"/>
        <w:spacing w:line="360" w:lineRule="auto"/>
        <w:ind w:left="2" w:firstLine="422"/>
        <w:rPr>
          <w:rFonts w:hint="eastAsia" w:hAnsi="宋体" w:cs="宋体"/>
          <w:b/>
          <w:color w:val="auto"/>
          <w:sz w:val="21"/>
          <w:highlight w:val="none"/>
        </w:rPr>
      </w:pPr>
      <w:r>
        <w:rPr>
          <w:rFonts w:hint="eastAsia" w:hAnsi="宋体" w:cs="宋体"/>
          <w:b/>
          <w:color w:val="auto"/>
          <w:sz w:val="21"/>
          <w:highlight w:val="none"/>
        </w:rPr>
        <w:t>（6）不同投标人的投标保证金从同一单位或者个人账户转出。</w:t>
      </w:r>
    </w:p>
    <w:p w14:paraId="25A4B0B3">
      <w:pPr>
        <w:pStyle w:val="199"/>
        <w:keepNext w:val="0"/>
        <w:keepLines w:val="0"/>
        <w:spacing w:before="0" w:after="0" w:line="360" w:lineRule="auto"/>
        <w:ind w:left="42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9.3供应商有下列情形之一的，属于恶意串通行为，将报同级监督管理部门：</w:t>
      </w:r>
    </w:p>
    <w:p w14:paraId="1B7EA03C">
      <w:pPr>
        <w:pStyle w:val="230"/>
        <w:spacing w:line="360" w:lineRule="auto"/>
        <w:ind w:left="2" w:firstLine="420"/>
        <w:rPr>
          <w:rFonts w:hint="eastAsia" w:hAnsi="宋体" w:cs="宋体"/>
          <w:color w:val="auto"/>
          <w:sz w:val="21"/>
          <w:highlight w:val="none"/>
        </w:rPr>
      </w:pPr>
      <w:r>
        <w:rPr>
          <w:rFonts w:hint="eastAsia" w:hAnsi="宋体" w:cs="宋体"/>
          <w:color w:val="auto"/>
          <w:sz w:val="21"/>
          <w:highlight w:val="none"/>
        </w:rPr>
        <w:t>（1）供应商直接或者间接从采购人或者采购代理机构处获得其他供应商的相关信息并修改其投标文件或者投标文件；</w:t>
      </w:r>
    </w:p>
    <w:p w14:paraId="6E2E4DED">
      <w:pPr>
        <w:pStyle w:val="230"/>
        <w:spacing w:line="360" w:lineRule="auto"/>
        <w:ind w:left="2" w:firstLine="420"/>
        <w:rPr>
          <w:rFonts w:hint="eastAsia" w:hAnsi="宋体" w:cs="宋体"/>
          <w:color w:val="auto"/>
          <w:sz w:val="21"/>
          <w:highlight w:val="none"/>
        </w:rPr>
      </w:pPr>
      <w:r>
        <w:rPr>
          <w:rFonts w:hint="eastAsia" w:hAnsi="宋体" w:cs="宋体"/>
          <w:color w:val="auto"/>
          <w:sz w:val="21"/>
          <w:highlight w:val="none"/>
        </w:rPr>
        <w:t>（2）供应商按照采购人或者采购代理机构的授意撤换、修改投标文件或者投标文件；</w:t>
      </w:r>
    </w:p>
    <w:p w14:paraId="59E372B6">
      <w:pPr>
        <w:pStyle w:val="230"/>
        <w:spacing w:line="360" w:lineRule="auto"/>
        <w:ind w:left="2" w:firstLine="420"/>
        <w:rPr>
          <w:rFonts w:hint="eastAsia" w:hAnsi="宋体" w:cs="宋体"/>
          <w:color w:val="auto"/>
          <w:sz w:val="21"/>
          <w:highlight w:val="none"/>
        </w:rPr>
      </w:pPr>
      <w:r>
        <w:rPr>
          <w:rFonts w:hint="eastAsia" w:hAnsi="宋体" w:cs="宋体"/>
          <w:color w:val="auto"/>
          <w:sz w:val="21"/>
          <w:highlight w:val="none"/>
        </w:rPr>
        <w:t>（3）供应商之间协商报价、技术方案等投标文件或者投标文件的实质性内容；</w:t>
      </w:r>
    </w:p>
    <w:p w14:paraId="47FB70E0">
      <w:pPr>
        <w:pStyle w:val="230"/>
        <w:spacing w:line="360" w:lineRule="auto"/>
        <w:ind w:left="2" w:firstLine="420"/>
        <w:rPr>
          <w:rFonts w:hint="eastAsia" w:hAnsi="宋体" w:cs="宋体"/>
          <w:color w:val="auto"/>
          <w:sz w:val="21"/>
          <w:highlight w:val="none"/>
        </w:rPr>
      </w:pPr>
      <w:r>
        <w:rPr>
          <w:rFonts w:hint="eastAsia" w:hAnsi="宋体" w:cs="宋体"/>
          <w:color w:val="auto"/>
          <w:sz w:val="21"/>
          <w:highlight w:val="none"/>
        </w:rPr>
        <w:t>（4）属于同一集团、协会、商会等组织成员的供应商按照该组织要求协同参加政府采购活动；</w:t>
      </w:r>
    </w:p>
    <w:p w14:paraId="062B3655">
      <w:pPr>
        <w:pStyle w:val="230"/>
        <w:spacing w:line="360" w:lineRule="auto"/>
        <w:ind w:left="2" w:firstLine="420"/>
        <w:rPr>
          <w:rFonts w:hint="eastAsia" w:hAnsi="宋体" w:cs="宋体"/>
          <w:color w:val="auto"/>
          <w:sz w:val="21"/>
          <w:highlight w:val="none"/>
        </w:rPr>
      </w:pPr>
      <w:r>
        <w:rPr>
          <w:rFonts w:hint="eastAsia" w:hAnsi="宋体" w:cs="宋体"/>
          <w:color w:val="auto"/>
          <w:sz w:val="21"/>
          <w:highlight w:val="none"/>
        </w:rPr>
        <w:t>（5）供应商之间事先约定一致抬高或者压低投标报价，或者在招标项目中事先约定轮流以高价位或者低价位中标，或者事先约定由某一特定供应商中标，然后再参加投标；</w:t>
      </w:r>
    </w:p>
    <w:p w14:paraId="377D2D5F">
      <w:pPr>
        <w:pStyle w:val="230"/>
        <w:spacing w:line="360" w:lineRule="auto"/>
        <w:ind w:left="2" w:firstLine="420"/>
        <w:rPr>
          <w:rFonts w:hint="eastAsia" w:hAnsi="宋体" w:cs="宋体"/>
          <w:color w:val="auto"/>
          <w:sz w:val="21"/>
          <w:highlight w:val="none"/>
        </w:rPr>
      </w:pPr>
      <w:r>
        <w:rPr>
          <w:rFonts w:hint="eastAsia" w:hAnsi="宋体" w:cs="宋体"/>
          <w:color w:val="auto"/>
          <w:sz w:val="21"/>
          <w:highlight w:val="none"/>
        </w:rPr>
        <w:t>（6）供应商之间商定部分供应商放弃参加政府采购活动或者放弃中标；</w:t>
      </w:r>
    </w:p>
    <w:p w14:paraId="0E1886BD">
      <w:pPr>
        <w:pStyle w:val="230"/>
        <w:spacing w:line="360" w:lineRule="auto"/>
        <w:ind w:left="2" w:firstLine="420"/>
        <w:rPr>
          <w:rFonts w:hint="eastAsia" w:hAnsi="宋体" w:cs="宋体"/>
          <w:color w:val="auto"/>
          <w:sz w:val="21"/>
          <w:highlight w:val="none"/>
        </w:rPr>
      </w:pPr>
      <w:r>
        <w:rPr>
          <w:rFonts w:hint="eastAsia" w:hAnsi="宋体" w:cs="宋体"/>
          <w:color w:val="auto"/>
          <w:sz w:val="21"/>
          <w:highlight w:val="none"/>
        </w:rPr>
        <w:t>（7）供应商与采购人或者采购代理机构之间、供应商相互之间，为谋求特定供应商中标或者排斥其他供应商的其他串通行为。</w:t>
      </w:r>
    </w:p>
    <w:p w14:paraId="5465B561">
      <w:pPr>
        <w:pStyle w:val="230"/>
        <w:spacing w:line="360" w:lineRule="auto"/>
        <w:ind w:left="2" w:firstLine="422"/>
        <w:rPr>
          <w:rFonts w:hint="eastAsia" w:hAnsi="宋体" w:cs="宋体"/>
          <w:b/>
          <w:color w:val="auto"/>
          <w:sz w:val="21"/>
          <w:highlight w:val="none"/>
        </w:rPr>
      </w:pPr>
    </w:p>
    <w:p w14:paraId="29F91A3E">
      <w:pPr>
        <w:pStyle w:val="197"/>
        <w:keepNext w:val="0"/>
        <w:keepLines w:val="0"/>
        <w:jc w:val="center"/>
        <w:rPr>
          <w:rFonts w:hint="eastAsia" w:ascii="宋体" w:hAnsi="宋体" w:cs="宋体"/>
          <w:color w:val="auto"/>
          <w:highlight w:val="none"/>
        </w:rPr>
      </w:pPr>
      <w:bookmarkStart w:id="116" w:name="_Toc254970675"/>
      <w:bookmarkStart w:id="117" w:name="_Toc254970534"/>
      <w:r>
        <w:rPr>
          <w:rFonts w:hint="eastAsia" w:ascii="宋体" w:hAnsi="宋体" w:cs="宋体"/>
          <w:color w:val="auto"/>
          <w:highlight w:val="none"/>
        </w:rPr>
        <w:t>二、招标文件</w:t>
      </w:r>
      <w:bookmarkEnd w:id="116"/>
      <w:bookmarkEnd w:id="117"/>
    </w:p>
    <w:p w14:paraId="4146E3A2">
      <w:pPr>
        <w:pStyle w:val="199"/>
        <w:keepNext w:val="0"/>
        <w:keepLines w:val="0"/>
        <w:spacing w:before="0" w:after="0" w:line="360" w:lineRule="auto"/>
        <w:ind w:left="420"/>
        <w:rPr>
          <w:rFonts w:hint="eastAsia" w:ascii="宋体" w:hAnsi="宋体" w:cs="宋体"/>
          <w:color w:val="auto"/>
          <w:sz w:val="24"/>
          <w:highlight w:val="none"/>
        </w:rPr>
      </w:pPr>
      <w:r>
        <w:rPr>
          <w:rFonts w:hint="eastAsia" w:ascii="宋体" w:hAnsi="宋体" w:cs="宋体"/>
          <w:color w:val="auto"/>
          <w:sz w:val="24"/>
          <w:highlight w:val="none"/>
        </w:rPr>
        <w:t>10.招标文件的组成</w:t>
      </w:r>
    </w:p>
    <w:p w14:paraId="74AC2557">
      <w:pPr>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（1）招标公告；</w:t>
      </w:r>
    </w:p>
    <w:p w14:paraId="1C3A59EE">
      <w:pPr>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 xml:space="preserve">（2）采购需求； </w:t>
      </w:r>
    </w:p>
    <w:p w14:paraId="60237D5D">
      <w:pPr>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（3）投标人须知；</w:t>
      </w:r>
    </w:p>
    <w:p w14:paraId="1941FC13">
      <w:pPr>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（4）评标方法及评标标准；</w:t>
      </w:r>
    </w:p>
    <w:p w14:paraId="4C7F05F2">
      <w:pPr>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（5）拟签订的合同文本；</w:t>
      </w:r>
    </w:p>
    <w:p w14:paraId="10B2F991">
      <w:pPr>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（6）投标文件格式。</w:t>
      </w:r>
    </w:p>
    <w:p w14:paraId="082D18CA">
      <w:pPr>
        <w:pStyle w:val="199"/>
        <w:keepNext w:val="0"/>
        <w:keepLines w:val="0"/>
        <w:spacing w:before="0" w:after="0" w:line="360" w:lineRule="auto"/>
        <w:ind w:left="420"/>
        <w:rPr>
          <w:rFonts w:hint="eastAsia" w:ascii="宋体" w:hAnsi="宋体" w:cs="宋体"/>
          <w:color w:val="auto"/>
          <w:sz w:val="24"/>
          <w:highlight w:val="none"/>
        </w:rPr>
      </w:pPr>
      <w:r>
        <w:rPr>
          <w:rFonts w:hint="eastAsia" w:ascii="宋体" w:hAnsi="宋体" w:cs="宋体"/>
          <w:color w:val="auto"/>
          <w:sz w:val="24"/>
          <w:highlight w:val="none"/>
        </w:rPr>
        <w:t>11.招标文件的澄清、修改 、现场考察和答疑会</w:t>
      </w:r>
    </w:p>
    <w:p w14:paraId="6D1B80E3">
      <w:pPr>
        <w:pStyle w:val="199"/>
        <w:keepNext w:val="0"/>
        <w:keepLines w:val="0"/>
        <w:spacing w:before="0" w:after="0" w:line="360" w:lineRule="auto"/>
        <w:ind w:firstLine="315"/>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 xml:space="preserve"> 11.1采购人或者采购代理机构可以对已发出的招标文件进行必要的澄清或者修改，但不得改变采购标的和资格条件。澄清或者修改应当在原公告发布媒体上发布澄清公告。澄清或者修改的内容为招标文件的组成部分。</w:t>
      </w:r>
    </w:p>
    <w:p w14:paraId="4926AAE5">
      <w:pPr>
        <w:pStyle w:val="230"/>
        <w:spacing w:line="360" w:lineRule="auto"/>
        <w:ind w:firstLine="420"/>
        <w:rPr>
          <w:rFonts w:hint="eastAsia" w:hAnsi="宋体" w:cs="宋体"/>
          <w:color w:val="auto"/>
          <w:sz w:val="21"/>
          <w:highlight w:val="none"/>
        </w:rPr>
      </w:pPr>
      <w:r>
        <w:rPr>
          <w:rFonts w:hint="eastAsia" w:hAnsi="宋体" w:cs="宋体"/>
          <w:color w:val="auto"/>
          <w:sz w:val="21"/>
          <w:highlight w:val="none"/>
        </w:rPr>
        <w:t>澄清或者修改的内容可能影响投标文件编制的，采购人或者采购代理机构应当在投标截止时间至少15日前，以书面形式通知所有获取招标文件的潜在投标人；不足15日的，采购人或者采购代理机构应当顺延提交投标文件的截止时间。投标人应当按照桂财采【2007】65号文件第二十九条规定，在澄清或者修改通知发出后24小时内以书面形式进行确认（采用网上下载招标文件形式的除外），否则视为已经收到。</w:t>
      </w:r>
    </w:p>
    <w:p w14:paraId="01A952C8">
      <w:pPr>
        <w:pStyle w:val="230"/>
        <w:spacing w:line="360" w:lineRule="auto"/>
        <w:ind w:firstLine="420"/>
        <w:rPr>
          <w:rFonts w:hint="eastAsia" w:hAnsi="宋体" w:cs="宋体"/>
          <w:color w:val="auto"/>
          <w:sz w:val="21"/>
          <w:highlight w:val="none"/>
        </w:rPr>
      </w:pPr>
      <w:r>
        <w:rPr>
          <w:rFonts w:hint="eastAsia" w:hAnsi="宋体" w:cs="宋体"/>
          <w:color w:val="auto"/>
          <w:sz w:val="21"/>
          <w:highlight w:val="none"/>
        </w:rPr>
        <w:t>11.2</w:t>
      </w:r>
      <w:bookmarkStart w:id="118" w:name="_Hlk53134511"/>
      <w:r>
        <w:rPr>
          <w:rFonts w:hint="eastAsia" w:hAnsi="宋体" w:cs="宋体"/>
          <w:color w:val="auto"/>
          <w:sz w:val="21"/>
          <w:highlight w:val="none"/>
        </w:rPr>
        <w:t>采购人或者采购代理机构可以在招标文件提供期限截止后，组织已获取招标文件的潜在投标人现场考察或者召开开标前答疑会，具体详见“投标人须知前附表”。</w:t>
      </w:r>
    </w:p>
    <w:bookmarkEnd w:id="118"/>
    <w:p w14:paraId="0B783789">
      <w:pPr>
        <w:pStyle w:val="197"/>
        <w:keepNext w:val="0"/>
        <w:keepLines w:val="0"/>
        <w:jc w:val="center"/>
        <w:rPr>
          <w:rFonts w:hint="eastAsia" w:ascii="宋体" w:hAnsi="宋体" w:cs="宋体"/>
          <w:color w:val="auto"/>
          <w:highlight w:val="none"/>
        </w:rPr>
      </w:pPr>
      <w:bookmarkStart w:id="119" w:name="_Toc254970535"/>
      <w:bookmarkStart w:id="120" w:name="_Toc254970676"/>
      <w:r>
        <w:rPr>
          <w:rFonts w:hint="eastAsia" w:ascii="宋体" w:hAnsi="宋体" w:cs="宋体"/>
          <w:color w:val="auto"/>
          <w:highlight w:val="none"/>
        </w:rPr>
        <w:t>三、投标文件的编制</w:t>
      </w:r>
      <w:bookmarkEnd w:id="119"/>
      <w:bookmarkEnd w:id="120"/>
    </w:p>
    <w:p w14:paraId="7F656235">
      <w:pPr>
        <w:pStyle w:val="199"/>
        <w:keepNext w:val="0"/>
        <w:keepLines w:val="0"/>
        <w:spacing w:before="0" w:after="0" w:line="360" w:lineRule="auto"/>
        <w:ind w:left="420"/>
        <w:rPr>
          <w:rFonts w:hint="eastAsia" w:ascii="宋体" w:hAnsi="宋体" w:cs="宋体"/>
          <w:color w:val="auto"/>
          <w:sz w:val="24"/>
          <w:highlight w:val="none"/>
        </w:rPr>
      </w:pPr>
      <w:bookmarkStart w:id="121" w:name="_Toc254970536"/>
      <w:bookmarkStart w:id="122" w:name="_Toc254970677"/>
      <w:r>
        <w:rPr>
          <w:rFonts w:hint="eastAsia" w:ascii="宋体" w:hAnsi="宋体" w:cs="宋体"/>
          <w:color w:val="auto"/>
          <w:sz w:val="24"/>
          <w:highlight w:val="none"/>
        </w:rPr>
        <w:t>12.投标文件的编制原则</w:t>
      </w:r>
    </w:p>
    <w:p w14:paraId="1D9BBBB2">
      <w:pPr>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投标人必须按照招标文件的要求编制投标文件。投标文件必须对招标文件提出的要求和条件作出明确响应。</w:t>
      </w:r>
    </w:p>
    <w:p w14:paraId="207FE674">
      <w:pPr>
        <w:pStyle w:val="199"/>
        <w:keepNext w:val="0"/>
        <w:keepLines w:val="0"/>
        <w:spacing w:before="0" w:after="0" w:line="360" w:lineRule="auto"/>
        <w:ind w:left="420"/>
        <w:rPr>
          <w:rFonts w:hint="eastAsia" w:ascii="宋体" w:hAnsi="宋体" w:cs="宋体"/>
          <w:color w:val="auto"/>
          <w:sz w:val="24"/>
          <w:highlight w:val="none"/>
        </w:rPr>
      </w:pPr>
      <w:r>
        <w:rPr>
          <w:rFonts w:hint="eastAsia" w:ascii="宋体" w:hAnsi="宋体" w:cs="宋体"/>
          <w:color w:val="auto"/>
          <w:sz w:val="24"/>
          <w:highlight w:val="none"/>
        </w:rPr>
        <w:t>13.投标文件的组成</w:t>
      </w:r>
      <w:bookmarkEnd w:id="121"/>
      <w:bookmarkEnd w:id="122"/>
    </w:p>
    <w:p w14:paraId="04FBA5BD">
      <w:pPr>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13.1投标文件由报价文件、资格证明文件、商务文件、技术文件四部分组成。</w:t>
      </w:r>
    </w:p>
    <w:p w14:paraId="4F59E418">
      <w:pPr>
        <w:pStyle w:val="199"/>
        <w:keepNext w:val="0"/>
        <w:keepLines w:val="0"/>
        <w:spacing w:before="0" w:after="0" w:line="360" w:lineRule="auto"/>
        <w:ind w:left="420"/>
        <w:rPr>
          <w:rFonts w:hint="eastAsia" w:ascii="宋体" w:hAnsi="宋体" w:cs="宋体"/>
          <w:b w:val="0"/>
          <w:color w:val="auto"/>
          <w:sz w:val="21"/>
          <w:szCs w:val="21"/>
          <w:highlight w:val="none"/>
        </w:rPr>
      </w:pPr>
      <w:bookmarkStart w:id="123" w:name="_13.1报价文件:_具体材料见“投标人须知前附表”。"/>
      <w:bookmarkEnd w:id="123"/>
      <w:r>
        <w:rPr>
          <w:rFonts w:hint="eastAsia" w:ascii="宋体" w:hAnsi="宋体" w:cs="宋体"/>
          <w:b w:val="0"/>
          <w:color w:val="auto"/>
          <w:sz w:val="21"/>
          <w:szCs w:val="21"/>
          <w:highlight w:val="none"/>
        </w:rPr>
        <w:t>（1）报价文件： 具体材料见“投标人须知前附表”。</w:t>
      </w:r>
    </w:p>
    <w:p w14:paraId="68EAF075">
      <w:pPr>
        <w:pStyle w:val="199"/>
        <w:keepNext w:val="0"/>
        <w:keepLines w:val="0"/>
        <w:spacing w:before="0" w:after="0" w:line="360" w:lineRule="auto"/>
        <w:ind w:left="420"/>
        <w:rPr>
          <w:rFonts w:hint="eastAsia" w:ascii="宋体" w:hAnsi="宋体" w:cs="宋体"/>
          <w:b w:val="0"/>
          <w:color w:val="auto"/>
          <w:sz w:val="21"/>
          <w:szCs w:val="21"/>
          <w:highlight w:val="none"/>
        </w:rPr>
      </w:pPr>
      <w:bookmarkStart w:id="124" w:name="_13.2资格证明文件：具体材料见“投标人须知前附表”。"/>
      <w:bookmarkEnd w:id="124"/>
      <w:r>
        <w:rPr>
          <w:rFonts w:hint="eastAsia" w:ascii="宋体" w:hAnsi="宋体" w:cs="宋体"/>
          <w:b w:val="0"/>
          <w:color w:val="auto"/>
          <w:sz w:val="21"/>
          <w:szCs w:val="21"/>
          <w:highlight w:val="none"/>
        </w:rPr>
        <w:t>（2）资格证明文件：具体材料见“投标人须知前附表”。</w:t>
      </w:r>
    </w:p>
    <w:p w14:paraId="5097756F">
      <w:pPr>
        <w:pStyle w:val="199"/>
        <w:keepNext w:val="0"/>
        <w:keepLines w:val="0"/>
        <w:spacing w:before="0" w:after="0" w:line="360" w:lineRule="auto"/>
        <w:ind w:left="420"/>
        <w:rPr>
          <w:rFonts w:hint="eastAsia" w:ascii="宋体" w:hAnsi="宋体" w:cs="宋体"/>
          <w:b w:val="0"/>
          <w:color w:val="auto"/>
          <w:sz w:val="21"/>
          <w:szCs w:val="21"/>
          <w:highlight w:val="none"/>
        </w:rPr>
      </w:pPr>
      <w:bookmarkStart w:id="125" w:name="_13.3商务文件:_具体材料见“投标人须知前附表”。"/>
      <w:bookmarkEnd w:id="125"/>
      <w:r>
        <w:rPr>
          <w:rFonts w:hint="eastAsia" w:ascii="宋体" w:hAnsi="宋体" w:cs="宋体"/>
          <w:b w:val="0"/>
          <w:color w:val="auto"/>
          <w:sz w:val="21"/>
          <w:szCs w:val="21"/>
          <w:highlight w:val="none"/>
        </w:rPr>
        <w:t>（3）商务文件：具体材料见“投标人须知前附表”。</w:t>
      </w:r>
    </w:p>
    <w:p w14:paraId="04D969CA">
      <w:pPr>
        <w:pStyle w:val="199"/>
        <w:keepNext w:val="0"/>
        <w:keepLines w:val="0"/>
        <w:spacing w:before="0" w:after="0" w:line="360" w:lineRule="auto"/>
        <w:ind w:left="420"/>
        <w:rPr>
          <w:rFonts w:hint="eastAsia" w:ascii="宋体" w:hAnsi="宋体" w:cs="宋体"/>
          <w:b w:val="0"/>
          <w:color w:val="auto"/>
          <w:sz w:val="21"/>
          <w:szCs w:val="21"/>
          <w:highlight w:val="none"/>
        </w:rPr>
      </w:pPr>
      <w:bookmarkStart w:id="126" w:name="_13.4技术文件：具体材料见“投标人须知前附表”。"/>
      <w:bookmarkEnd w:id="126"/>
      <w:r>
        <w:rPr>
          <w:rFonts w:hint="eastAsia" w:ascii="宋体" w:hAnsi="宋体" w:cs="宋体"/>
          <w:b w:val="0"/>
          <w:color w:val="auto"/>
          <w:sz w:val="21"/>
          <w:szCs w:val="21"/>
          <w:highlight w:val="none"/>
        </w:rPr>
        <w:t>（4）技术文件：具体材料见“投标人须知前附表”。</w:t>
      </w:r>
    </w:p>
    <w:p w14:paraId="35857E13">
      <w:pPr>
        <w:pStyle w:val="199"/>
        <w:keepNext w:val="0"/>
        <w:keepLines w:val="0"/>
        <w:spacing w:before="0" w:after="0" w:line="360" w:lineRule="auto"/>
        <w:ind w:left="420"/>
        <w:rPr>
          <w:rFonts w:hint="eastAsia" w:ascii="宋体" w:hAnsi="宋体" w:cs="宋体"/>
          <w:b w:val="0"/>
          <w:color w:val="auto"/>
          <w:sz w:val="21"/>
          <w:szCs w:val="21"/>
          <w:highlight w:val="none"/>
        </w:rPr>
      </w:pPr>
      <w:bookmarkStart w:id="127" w:name="_13.5投标文件电子版：具体材料见“投标人须知前附表”。"/>
      <w:bookmarkEnd w:id="127"/>
      <w:r>
        <w:rPr>
          <w:rFonts w:hint="eastAsia" w:ascii="宋体" w:hAnsi="宋体" w:cs="宋体"/>
          <w:b w:val="0"/>
          <w:color w:val="auto"/>
          <w:sz w:val="21"/>
          <w:szCs w:val="21"/>
          <w:highlight w:val="none"/>
        </w:rPr>
        <w:t>13.2投标文件电子版：具体要求见“投标人须知前附表”。</w:t>
      </w:r>
    </w:p>
    <w:p w14:paraId="5CCD3D79">
      <w:pPr>
        <w:pStyle w:val="199"/>
        <w:keepNext w:val="0"/>
        <w:keepLines w:val="0"/>
        <w:spacing w:before="0" w:after="0" w:line="360" w:lineRule="auto"/>
        <w:ind w:left="420"/>
        <w:rPr>
          <w:rFonts w:hint="eastAsia" w:ascii="宋体" w:hAnsi="宋体" w:cs="宋体"/>
          <w:color w:val="auto"/>
          <w:sz w:val="24"/>
          <w:highlight w:val="none"/>
        </w:rPr>
      </w:pPr>
      <w:bookmarkStart w:id="128" w:name="_Toc254970678"/>
      <w:bookmarkStart w:id="129" w:name="_Toc254970537"/>
      <w:r>
        <w:rPr>
          <w:rFonts w:hint="eastAsia" w:ascii="宋体" w:hAnsi="宋体" w:cs="宋体"/>
          <w:color w:val="auto"/>
          <w:sz w:val="24"/>
          <w:highlight w:val="none"/>
        </w:rPr>
        <w:t>14.投标文件的语言及计量</w:t>
      </w:r>
      <w:bookmarkEnd w:id="128"/>
      <w:bookmarkEnd w:id="129"/>
    </w:p>
    <w:p w14:paraId="70FC163E">
      <w:pPr>
        <w:pStyle w:val="199"/>
        <w:keepNext w:val="0"/>
        <w:keepLines w:val="0"/>
        <w:spacing w:before="0" w:after="0" w:line="360" w:lineRule="auto"/>
        <w:ind w:left="42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14.1语言文字</w:t>
      </w:r>
    </w:p>
    <w:p w14:paraId="599B1633">
      <w:pPr>
        <w:pStyle w:val="199"/>
        <w:keepNext w:val="0"/>
        <w:keepLines w:val="0"/>
        <w:spacing w:before="0" w:after="0" w:line="360" w:lineRule="auto"/>
        <w:ind w:firstLine="42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投标文件以及投标人与采购人就有关投标事宜的所有来往函电，均应以中文书写（除专用术语外，与招标投标有关的语言均使用中文。必要时专用术语应附有中文注释）。投标人提交的支持文件和印刷的文献可以使用别的语言，但其相应内容应同时附中文翻译文本，在解释投标文件时以中文翻译文本为主。对不同文字文本投标文件的解释发生异议的，以中文文本为准。</w:t>
      </w:r>
    </w:p>
    <w:p w14:paraId="1300CA34">
      <w:pPr>
        <w:pStyle w:val="199"/>
        <w:keepNext w:val="0"/>
        <w:keepLines w:val="0"/>
        <w:spacing w:before="0" w:after="0" w:line="360" w:lineRule="auto"/>
        <w:ind w:firstLine="42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14.2投标计量单位</w:t>
      </w:r>
    </w:p>
    <w:p w14:paraId="54AE5E48">
      <w:pPr>
        <w:pStyle w:val="199"/>
        <w:keepNext w:val="0"/>
        <w:keepLines w:val="0"/>
        <w:spacing w:before="0" w:after="0" w:line="360" w:lineRule="auto"/>
        <w:ind w:firstLine="42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招标文件已有明确规定的，使用招标文件规定的计量单位；招标文件没有规定的，应采用中华人民共和国法定计量单位，货币种类为人民币，否则视同未响应。</w:t>
      </w:r>
    </w:p>
    <w:p w14:paraId="72CF7572">
      <w:pPr>
        <w:pStyle w:val="199"/>
        <w:keepNext w:val="0"/>
        <w:keepLines w:val="0"/>
        <w:spacing w:before="0" w:after="0" w:line="360" w:lineRule="auto"/>
        <w:ind w:left="420"/>
        <w:rPr>
          <w:rFonts w:hint="eastAsia" w:ascii="宋体" w:hAnsi="宋体" w:cs="宋体"/>
          <w:color w:val="auto"/>
          <w:sz w:val="24"/>
          <w:highlight w:val="none"/>
        </w:rPr>
      </w:pPr>
      <w:r>
        <w:rPr>
          <w:rFonts w:hint="eastAsia" w:ascii="宋体" w:hAnsi="宋体" w:cs="宋体"/>
          <w:color w:val="auto"/>
          <w:sz w:val="24"/>
          <w:highlight w:val="none"/>
        </w:rPr>
        <w:t>15.投标的风险</w:t>
      </w:r>
    </w:p>
    <w:p w14:paraId="5303037B">
      <w:pPr>
        <w:pStyle w:val="230"/>
        <w:spacing w:line="360" w:lineRule="auto"/>
        <w:ind w:firstLine="420"/>
        <w:jc w:val="left"/>
        <w:rPr>
          <w:rFonts w:hint="eastAsia" w:hAnsi="宋体" w:cs="宋体"/>
          <w:color w:val="auto"/>
          <w:sz w:val="21"/>
          <w:highlight w:val="none"/>
        </w:rPr>
      </w:pPr>
      <w:r>
        <w:rPr>
          <w:rFonts w:hint="eastAsia" w:hAnsi="宋体" w:cs="宋体"/>
          <w:color w:val="auto"/>
          <w:sz w:val="21"/>
          <w:highlight w:val="none"/>
        </w:rPr>
        <w:t>投标人没有按照招标文件要求提供全部资料，或者投标人没有对招标文件作出实质性响应是投标人的风险，并可能导致其投标被拒绝。</w:t>
      </w:r>
    </w:p>
    <w:p w14:paraId="5DBD838F">
      <w:pPr>
        <w:pStyle w:val="199"/>
        <w:keepNext w:val="0"/>
        <w:keepLines w:val="0"/>
        <w:spacing w:before="0" w:after="0" w:line="360" w:lineRule="auto"/>
        <w:ind w:left="420"/>
        <w:rPr>
          <w:rFonts w:hint="eastAsia" w:ascii="宋体" w:hAnsi="宋体" w:cs="宋体"/>
          <w:color w:val="auto"/>
          <w:sz w:val="24"/>
          <w:highlight w:val="none"/>
        </w:rPr>
      </w:pPr>
      <w:bookmarkStart w:id="130" w:name="_Toc254970679"/>
      <w:bookmarkStart w:id="131" w:name="_Toc254970538"/>
      <w:r>
        <w:rPr>
          <w:rFonts w:hint="eastAsia" w:ascii="宋体" w:hAnsi="宋体" w:cs="宋体"/>
          <w:color w:val="auto"/>
          <w:sz w:val="24"/>
          <w:highlight w:val="none"/>
        </w:rPr>
        <w:t>16.投标报价</w:t>
      </w:r>
      <w:bookmarkEnd w:id="130"/>
      <w:bookmarkEnd w:id="131"/>
    </w:p>
    <w:p w14:paraId="39934CCD">
      <w:pPr>
        <w:pStyle w:val="199"/>
        <w:keepNext w:val="0"/>
        <w:keepLines w:val="0"/>
        <w:spacing w:before="0" w:after="0" w:line="360" w:lineRule="auto"/>
        <w:ind w:left="42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16.1投标报价应按“第六章　投标文件格式”中“开标一览表”和广西政府采购云平台系统中“开标一览表”格式填写。</w:t>
      </w:r>
    </w:p>
    <w:p w14:paraId="0DE8929F">
      <w:pPr>
        <w:pStyle w:val="199"/>
        <w:keepNext w:val="0"/>
        <w:keepLines w:val="0"/>
        <w:spacing w:before="0" w:after="0" w:line="360" w:lineRule="auto"/>
        <w:ind w:left="420"/>
        <w:rPr>
          <w:rFonts w:hint="eastAsia" w:ascii="宋体" w:hAnsi="宋体" w:cs="宋体"/>
          <w:b w:val="0"/>
          <w:color w:val="auto"/>
          <w:sz w:val="21"/>
          <w:szCs w:val="21"/>
          <w:highlight w:val="none"/>
        </w:rPr>
      </w:pPr>
      <w:bookmarkStart w:id="132" w:name="_16.2投标报价具体定义见投标人须知前附表。"/>
      <w:bookmarkEnd w:id="132"/>
      <w:r>
        <w:rPr>
          <w:rFonts w:hint="eastAsia" w:ascii="宋体" w:hAnsi="宋体" w:cs="宋体"/>
          <w:b w:val="0"/>
          <w:color w:val="auto"/>
          <w:sz w:val="21"/>
          <w:szCs w:val="21"/>
          <w:highlight w:val="none"/>
        </w:rPr>
        <w:t>16.2投标报价具体包括内容详见“投标人须知前附表”。</w:t>
      </w:r>
    </w:p>
    <w:p w14:paraId="2596E713">
      <w:pPr>
        <w:pStyle w:val="199"/>
        <w:keepNext w:val="0"/>
        <w:keepLines w:val="0"/>
        <w:spacing w:before="0" w:after="0" w:line="360" w:lineRule="auto"/>
        <w:ind w:firstLine="42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16.3投标人必须就所投全部内容分别作完整唯一总价报价，不得存在漏项报价；投标人必须就所投单项内容作唯一报价。</w:t>
      </w:r>
    </w:p>
    <w:p w14:paraId="50658312">
      <w:pPr>
        <w:pStyle w:val="199"/>
        <w:keepNext w:val="0"/>
        <w:keepLines w:val="0"/>
        <w:spacing w:before="0" w:after="0" w:line="360" w:lineRule="auto"/>
        <w:ind w:left="420"/>
        <w:rPr>
          <w:rFonts w:hint="eastAsia" w:ascii="宋体" w:hAnsi="宋体" w:cs="宋体"/>
          <w:color w:val="auto"/>
          <w:sz w:val="24"/>
          <w:highlight w:val="none"/>
        </w:rPr>
      </w:pPr>
      <w:r>
        <w:rPr>
          <w:rFonts w:hint="eastAsia" w:ascii="宋体" w:hAnsi="宋体" w:cs="宋体"/>
          <w:color w:val="auto"/>
          <w:sz w:val="24"/>
          <w:highlight w:val="none"/>
        </w:rPr>
        <w:t>17.投标有效期</w:t>
      </w:r>
    </w:p>
    <w:p w14:paraId="3B82D566">
      <w:pPr>
        <w:pStyle w:val="199"/>
        <w:keepNext w:val="0"/>
        <w:keepLines w:val="0"/>
        <w:spacing w:before="0" w:after="0" w:line="360" w:lineRule="auto"/>
        <w:ind w:firstLine="420"/>
        <w:rPr>
          <w:rFonts w:hint="eastAsia" w:ascii="宋体" w:hAnsi="宋体" w:cs="宋体"/>
          <w:b w:val="0"/>
          <w:color w:val="auto"/>
          <w:sz w:val="21"/>
          <w:szCs w:val="21"/>
          <w:highlight w:val="none"/>
        </w:rPr>
      </w:pPr>
      <w:bookmarkStart w:id="133" w:name="_17.1投标有效期应按“投标人须知中的前附表”规定的期限。"/>
      <w:bookmarkEnd w:id="133"/>
      <w:r>
        <w:rPr>
          <w:rFonts w:hint="eastAsia" w:ascii="宋体" w:hAnsi="宋体" w:cs="宋体"/>
          <w:b w:val="0"/>
          <w:color w:val="auto"/>
          <w:sz w:val="21"/>
          <w:szCs w:val="21"/>
          <w:highlight w:val="none"/>
        </w:rPr>
        <w:t>17.1投标有效期是指为保证采购人有足够的时间在开标后完成评标、定标、合同签订等工作而要求投标人提交的投标文件在一定时间内保持有效的期限。</w:t>
      </w:r>
    </w:p>
    <w:p w14:paraId="35F4CCA0">
      <w:pPr>
        <w:pStyle w:val="199"/>
        <w:keepNext w:val="0"/>
        <w:keepLines w:val="0"/>
        <w:spacing w:before="0" w:after="0" w:line="360" w:lineRule="auto"/>
        <w:ind w:left="42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17.2</w:t>
      </w:r>
      <w:bookmarkStart w:id="134" w:name="_Toc254970681"/>
      <w:bookmarkStart w:id="135" w:name="_Toc254970540"/>
      <w:r>
        <w:rPr>
          <w:rFonts w:hint="eastAsia" w:ascii="宋体" w:hAnsi="宋体" w:cs="宋体"/>
          <w:b w:val="0"/>
          <w:color w:val="auto"/>
          <w:sz w:val="21"/>
          <w:szCs w:val="21"/>
          <w:highlight w:val="none"/>
        </w:rPr>
        <w:t xml:space="preserve"> 投标有效期应按规定的期限作出承诺，具体详见“投标人须知前附表”。</w:t>
      </w:r>
    </w:p>
    <w:p w14:paraId="4718CF6F">
      <w:pPr>
        <w:pStyle w:val="199"/>
        <w:keepNext w:val="0"/>
        <w:keepLines w:val="0"/>
        <w:spacing w:before="0" w:after="0" w:line="360" w:lineRule="auto"/>
        <w:ind w:left="42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17.3投标人的投标文件在投标有效期内均保持有效。</w:t>
      </w:r>
      <w:bookmarkEnd w:id="134"/>
      <w:bookmarkEnd w:id="135"/>
    </w:p>
    <w:p w14:paraId="32F34BAB">
      <w:pPr>
        <w:pStyle w:val="199"/>
        <w:keepNext w:val="0"/>
        <w:keepLines w:val="0"/>
        <w:spacing w:before="0" w:after="0" w:line="360" w:lineRule="auto"/>
        <w:ind w:left="420"/>
        <w:rPr>
          <w:rFonts w:hint="eastAsia" w:ascii="宋体" w:hAnsi="宋体" w:cs="宋体"/>
          <w:color w:val="auto"/>
          <w:sz w:val="24"/>
          <w:highlight w:val="none"/>
        </w:rPr>
      </w:pPr>
      <w:bookmarkStart w:id="136" w:name="_18.投标保证金"/>
      <w:bookmarkEnd w:id="136"/>
      <w:bookmarkStart w:id="137" w:name="_Toc254970682"/>
      <w:bookmarkStart w:id="138" w:name="_Toc254970541"/>
      <w:r>
        <w:rPr>
          <w:rFonts w:hint="eastAsia" w:ascii="宋体" w:hAnsi="宋体" w:cs="宋体"/>
          <w:color w:val="auto"/>
          <w:sz w:val="24"/>
          <w:highlight w:val="none"/>
        </w:rPr>
        <w:t>18.投标保证金</w:t>
      </w:r>
      <w:bookmarkEnd w:id="137"/>
      <w:bookmarkEnd w:id="138"/>
    </w:p>
    <w:p w14:paraId="326A48A8">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投标保证金</w:t>
      </w:r>
      <w:bookmarkStart w:id="139" w:name="_Toc254970683"/>
      <w:bookmarkStart w:id="140" w:name="_Toc254970542"/>
      <w:r>
        <w:rPr>
          <w:rFonts w:hint="eastAsia" w:ascii="宋体" w:hAnsi="宋体" w:cs="宋体"/>
          <w:color w:val="auto"/>
          <w:szCs w:val="21"/>
          <w:highlight w:val="none"/>
        </w:rPr>
        <w:t>：无。</w:t>
      </w:r>
    </w:p>
    <w:p w14:paraId="16563194">
      <w:pPr>
        <w:pStyle w:val="199"/>
        <w:keepNext w:val="0"/>
        <w:keepLines w:val="0"/>
        <w:spacing w:before="0" w:after="0" w:line="360" w:lineRule="auto"/>
        <w:ind w:left="420"/>
        <w:rPr>
          <w:rFonts w:hint="eastAsia" w:ascii="宋体" w:hAnsi="宋体" w:cs="宋体"/>
          <w:color w:val="auto"/>
          <w:sz w:val="24"/>
          <w:highlight w:val="none"/>
        </w:rPr>
      </w:pPr>
      <w:r>
        <w:rPr>
          <w:rFonts w:hint="eastAsia" w:ascii="宋体" w:hAnsi="宋体" w:cs="宋体"/>
          <w:color w:val="auto"/>
          <w:sz w:val="24"/>
          <w:highlight w:val="none"/>
        </w:rPr>
        <w:t>19.投标文件的</w:t>
      </w:r>
      <w:bookmarkEnd w:id="139"/>
      <w:bookmarkEnd w:id="140"/>
      <w:r>
        <w:rPr>
          <w:rFonts w:hint="eastAsia" w:ascii="宋体" w:hAnsi="宋体" w:cs="宋体"/>
          <w:color w:val="auto"/>
          <w:sz w:val="24"/>
          <w:highlight w:val="none"/>
        </w:rPr>
        <w:t>编制</w:t>
      </w:r>
    </w:p>
    <w:p w14:paraId="7EC65428">
      <w:pPr>
        <w:pStyle w:val="199"/>
        <w:keepNext w:val="0"/>
        <w:keepLines w:val="0"/>
        <w:spacing w:before="0" w:after="0" w:line="360" w:lineRule="auto"/>
        <w:ind w:firstLine="315"/>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 xml:space="preserve"> 19.1投标人应按照本项目招标文件规定的格式和顺序和广西政府采购云平台的要求编制并加密。投标文件内容不完整、编排混乱导致投标文件被误读、漏读或者查找不到相关内容的，由此引发的后果由投标人承担。</w:t>
      </w:r>
    </w:p>
    <w:p w14:paraId="654848D7">
      <w:pPr>
        <w:pStyle w:val="199"/>
        <w:keepNext w:val="0"/>
        <w:keepLines w:val="0"/>
        <w:spacing w:before="0" w:after="0" w:line="360" w:lineRule="auto"/>
        <w:ind w:firstLine="315"/>
        <w:rPr>
          <w:rFonts w:hint="eastAsia" w:ascii="宋体" w:hAnsi="宋体" w:cs="宋体"/>
          <w:b w:val="0"/>
          <w:color w:val="auto"/>
          <w:sz w:val="21"/>
          <w:szCs w:val="21"/>
          <w:highlight w:val="none"/>
        </w:rPr>
      </w:pPr>
      <w:bookmarkStart w:id="141" w:name="_19.2投标文件应按报价文件、资格证明文件、商务文件、技术文件分别编制"/>
      <w:bookmarkEnd w:id="141"/>
      <w:r>
        <w:rPr>
          <w:rFonts w:hint="eastAsia" w:ascii="宋体" w:hAnsi="宋体" w:cs="宋体"/>
          <w:b w:val="0"/>
          <w:color w:val="auto"/>
          <w:sz w:val="21"/>
          <w:szCs w:val="21"/>
          <w:highlight w:val="none"/>
        </w:rPr>
        <w:t>19.2为确保网上操作合法、有效和安全，投标人应当在投标截止时间前完成在广西政府采购云平台的身份认证，确保在电子投标过程中能够对相关数据电文进行加密和使用电子签章。</w:t>
      </w:r>
    </w:p>
    <w:p w14:paraId="39064C3A">
      <w:pPr>
        <w:pStyle w:val="199"/>
        <w:keepNext w:val="0"/>
        <w:keepLines w:val="0"/>
        <w:spacing w:before="0" w:after="0" w:line="360" w:lineRule="auto"/>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 xml:space="preserve">  19.3投标文件须由投标人在规定位置签字（或者电子签名）、盖章（具体以投标人须知前附表或投标文件格式规定为准），</w:t>
      </w:r>
      <w:r>
        <w:rPr>
          <w:rFonts w:hint="eastAsia" w:ascii="宋体" w:hAnsi="宋体" w:cs="宋体"/>
          <w:bCs/>
          <w:color w:val="auto"/>
          <w:sz w:val="21"/>
          <w:szCs w:val="21"/>
          <w:highlight w:val="none"/>
        </w:rPr>
        <w:t>否则按无效投标处理</w:t>
      </w:r>
      <w:r>
        <w:rPr>
          <w:rFonts w:hint="eastAsia" w:ascii="宋体" w:hAnsi="宋体" w:cs="宋体"/>
          <w:b w:val="0"/>
          <w:color w:val="auto"/>
          <w:sz w:val="21"/>
          <w:szCs w:val="21"/>
          <w:highlight w:val="none"/>
        </w:rPr>
        <w:t>。</w:t>
      </w:r>
    </w:p>
    <w:p w14:paraId="62C20794">
      <w:pPr>
        <w:pStyle w:val="199"/>
        <w:keepNext w:val="0"/>
        <w:keepLines w:val="0"/>
        <w:spacing w:before="0" w:after="0" w:line="360" w:lineRule="auto"/>
        <w:ind w:firstLine="315"/>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19.4投标文件中标注的投标人名称应与主体资格证明（如营业执照或者事业单位法人证书或者执业许可证或者登记证书等）及公章一致，并与广西政府采购云平台中获取招标文件的投标人名称一致，投标人为自然人的，标注的投标人名称应与身份证姓名及签名一致，</w:t>
      </w:r>
      <w:r>
        <w:rPr>
          <w:rFonts w:hint="eastAsia" w:ascii="宋体" w:hAnsi="宋体" w:cs="宋体"/>
          <w:color w:val="auto"/>
          <w:sz w:val="21"/>
          <w:szCs w:val="21"/>
          <w:highlight w:val="none"/>
        </w:rPr>
        <w:t>否则按无效投标处理</w:t>
      </w:r>
      <w:r>
        <w:rPr>
          <w:rFonts w:hint="eastAsia" w:ascii="宋体" w:hAnsi="宋体" w:cs="宋体"/>
          <w:b w:val="0"/>
          <w:color w:val="auto"/>
          <w:sz w:val="21"/>
          <w:szCs w:val="21"/>
          <w:highlight w:val="none"/>
        </w:rPr>
        <w:t>。</w:t>
      </w:r>
    </w:p>
    <w:p w14:paraId="4C1432FB">
      <w:pPr>
        <w:pStyle w:val="199"/>
        <w:keepNext w:val="0"/>
        <w:keepLines w:val="0"/>
        <w:spacing w:before="0" w:after="0" w:line="360" w:lineRule="auto"/>
        <w:ind w:firstLine="315"/>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 xml:space="preserve"> 19.5投标文件应尽量避免涂改、行间插字或者删除。如果出现上述情况，改动之处应由投标人的法定代表人或者其委托代理人签字（或者电子签名）或者加盖公章或者加盖电子签章。投标文件因字迹潦草或者表达不清所引起的后果由投标人承担。</w:t>
      </w:r>
    </w:p>
    <w:p w14:paraId="6BEAC1E3">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20.电子备份投标文件</w:t>
      </w:r>
    </w:p>
    <w:p w14:paraId="138E47E0">
      <w:pPr>
        <w:spacing w:line="360" w:lineRule="auto"/>
        <w:ind w:firstLine="420"/>
        <w:rPr>
          <w:rFonts w:hint="eastAsia" w:ascii="宋体" w:hAnsi="宋体" w:cs="宋体"/>
          <w:color w:val="auto"/>
          <w:sz w:val="24"/>
          <w:highlight w:val="none"/>
        </w:rPr>
      </w:pPr>
      <w:r>
        <w:rPr>
          <w:rFonts w:hint="eastAsia" w:ascii="宋体" w:hAnsi="宋体" w:cs="宋体"/>
          <w:bCs/>
          <w:color w:val="auto"/>
          <w:szCs w:val="21"/>
          <w:highlight w:val="none"/>
        </w:rPr>
        <w:t>电子备份投标文件是指通过在线编制生成且后缀名为“bfbs”的文件，是否接受电子备份投标文件详见“投标人须知前附表”。</w:t>
      </w:r>
    </w:p>
    <w:p w14:paraId="33AD03FD">
      <w:pPr>
        <w:pStyle w:val="199"/>
        <w:keepNext w:val="0"/>
        <w:keepLines w:val="0"/>
        <w:spacing w:before="0" w:after="0" w:line="360" w:lineRule="auto"/>
        <w:ind w:left="420"/>
        <w:rPr>
          <w:rFonts w:hint="eastAsia" w:ascii="宋体" w:hAnsi="宋体" w:cs="宋体"/>
          <w:color w:val="auto"/>
          <w:sz w:val="24"/>
          <w:highlight w:val="none"/>
        </w:rPr>
      </w:pPr>
      <w:r>
        <w:rPr>
          <w:rFonts w:hint="eastAsia" w:ascii="宋体" w:hAnsi="宋体" w:cs="宋体"/>
          <w:color w:val="auto"/>
          <w:sz w:val="24"/>
          <w:highlight w:val="none"/>
        </w:rPr>
        <w:t>21.投标文件的提交</w:t>
      </w:r>
    </w:p>
    <w:p w14:paraId="183591EB">
      <w:pPr>
        <w:spacing w:line="360" w:lineRule="auto"/>
        <w:ind w:firstLine="420"/>
        <w:rPr>
          <w:rFonts w:hint="eastAsia" w:ascii="宋体" w:hAnsi="宋体" w:cs="宋体"/>
          <w:b/>
          <w:color w:val="auto"/>
          <w:highlight w:val="none"/>
        </w:rPr>
      </w:pPr>
      <w:bookmarkStart w:id="142" w:name="_21.1投标人必须在“投标人须知中的前附表”规定的投标文件接收时间和投"/>
      <w:bookmarkEnd w:id="142"/>
      <w:r>
        <w:rPr>
          <w:rFonts w:hint="eastAsia" w:ascii="宋体" w:hAnsi="宋体" w:cs="宋体"/>
          <w:bCs/>
          <w:color w:val="auto"/>
          <w:szCs w:val="21"/>
          <w:highlight w:val="none"/>
        </w:rPr>
        <w:t>21.1投标人必须在“投标人须知前附表”规定的</w:t>
      </w:r>
      <w:r>
        <w:rPr>
          <w:rFonts w:hint="eastAsia" w:ascii="宋体" w:hAnsi="宋体" w:cs="宋体"/>
          <w:color w:val="auto"/>
          <w:szCs w:val="21"/>
          <w:highlight w:val="none"/>
        </w:rPr>
        <w:t>投标文件提交截止时间前将</w:t>
      </w:r>
      <w:r>
        <w:rPr>
          <w:rFonts w:hint="eastAsia" w:ascii="宋体" w:hAnsi="宋体" w:cs="宋体"/>
          <w:bCs/>
          <w:color w:val="auto"/>
          <w:szCs w:val="21"/>
          <w:highlight w:val="none"/>
        </w:rPr>
        <w:t>电子投标文件提交至投标地点。电子投标文件应在制作完成后，在投标截止时间前通过有效数字证书（CA认证锁）进行电子签章、加密，然后通过网络将加密的电子投标文件递交至</w:t>
      </w:r>
      <w:r>
        <w:rPr>
          <w:rFonts w:hint="eastAsia" w:ascii="宋体" w:hAnsi="宋体" w:cs="宋体"/>
          <w:b/>
          <w:color w:val="auto"/>
          <w:szCs w:val="21"/>
          <w:highlight w:val="none"/>
        </w:rPr>
        <w:t>广西政府采购云平台</w:t>
      </w:r>
      <w:r>
        <w:rPr>
          <w:rFonts w:hint="eastAsia" w:ascii="宋体" w:hAnsi="宋体" w:cs="宋体"/>
          <w:bCs/>
          <w:color w:val="auto"/>
          <w:szCs w:val="21"/>
          <w:highlight w:val="none"/>
        </w:rPr>
        <w:t xml:space="preserve">。 </w:t>
      </w:r>
      <w:r>
        <w:rPr>
          <w:rFonts w:hint="eastAsia" w:ascii="宋体" w:hAnsi="宋体" w:cs="宋体"/>
          <w:b/>
          <w:color w:val="auto"/>
          <w:highlight w:val="none"/>
        </w:rPr>
        <w:t xml:space="preserve"> </w:t>
      </w:r>
    </w:p>
    <w:p w14:paraId="1ED1FA98">
      <w:pPr>
        <w:spacing w:line="360" w:lineRule="auto"/>
        <w:ind w:firstLine="422"/>
        <w:rPr>
          <w:rFonts w:hint="eastAsia" w:ascii="宋体" w:hAnsi="宋体" w:cs="宋体"/>
          <w:b/>
          <w:color w:val="auto"/>
          <w:szCs w:val="20"/>
          <w:highlight w:val="none"/>
        </w:rPr>
      </w:pPr>
      <w:r>
        <w:rPr>
          <w:rFonts w:hint="eastAsia" w:ascii="宋体" w:hAnsi="宋体" w:cs="宋体"/>
          <w:b/>
          <w:color w:val="auto"/>
          <w:szCs w:val="21"/>
          <w:highlight w:val="none"/>
        </w:rPr>
        <w:t>21.2未在规定时间内提交或者未按照招标文件要求加密的电子投标文件，广西政府采购云平台将拒收。</w:t>
      </w:r>
    </w:p>
    <w:p w14:paraId="0751E014">
      <w:pPr>
        <w:pStyle w:val="199"/>
        <w:keepNext w:val="0"/>
        <w:keepLines w:val="0"/>
        <w:spacing w:before="0" w:after="0" w:line="360" w:lineRule="auto"/>
        <w:ind w:left="420"/>
        <w:rPr>
          <w:rFonts w:hint="eastAsia" w:ascii="宋体" w:hAnsi="宋体" w:cs="宋体"/>
          <w:color w:val="auto"/>
          <w:sz w:val="24"/>
          <w:highlight w:val="none"/>
        </w:rPr>
      </w:pPr>
      <w:r>
        <w:rPr>
          <w:rFonts w:hint="eastAsia" w:ascii="宋体" w:hAnsi="宋体" w:cs="宋体"/>
          <w:color w:val="auto"/>
          <w:sz w:val="24"/>
          <w:highlight w:val="none"/>
        </w:rPr>
        <w:t>22. 投标文件的补充、修改、撤回与退回</w:t>
      </w:r>
    </w:p>
    <w:p w14:paraId="6954767F">
      <w:pPr>
        <w:spacing w:line="360" w:lineRule="auto"/>
        <w:ind w:firstLine="420"/>
        <w:jc w:val="left"/>
        <w:rPr>
          <w:rFonts w:hint="eastAsia" w:ascii="宋体" w:hAnsi="宋体" w:cs="宋体"/>
          <w:color w:val="auto"/>
          <w:szCs w:val="21"/>
          <w:highlight w:val="none"/>
        </w:rPr>
      </w:pPr>
      <w:bookmarkStart w:id="143" w:name="_Toc254970543"/>
      <w:r>
        <w:rPr>
          <w:rFonts w:hint="eastAsia" w:ascii="宋体" w:hAnsi="宋体" w:cs="宋体"/>
          <w:color w:val="auto"/>
          <w:szCs w:val="21"/>
          <w:highlight w:val="none"/>
        </w:rPr>
        <w:t>22.1</w:t>
      </w:r>
      <w:r>
        <w:rPr>
          <w:rFonts w:hint="eastAsia" w:ascii="宋体" w:hAnsi="宋体" w:cs="宋体"/>
          <w:bCs/>
          <w:color w:val="auto"/>
          <w:szCs w:val="21"/>
          <w:highlight w:val="none"/>
        </w:rPr>
        <w:t>投标人应当在投标截止时间前完成电子投标文件的上传、提交，投标截止时间前可以补充、修改或者撤回投标文件。补充或者修改投标文件的，应当先行撤回原投标文件，补充、修改后重新上传、提交，投标截止时间前未完成上传、提交的，视为撤回投标文件。投标截止时间以后上传递交的投标文件，广西政府采购云平台将予以拒收。</w:t>
      </w:r>
      <w:r>
        <w:rPr>
          <w:rFonts w:hint="eastAsia" w:ascii="宋体" w:hAnsi="宋体" w:cs="宋体"/>
          <w:color w:val="auto"/>
          <w:szCs w:val="21"/>
          <w:highlight w:val="none"/>
        </w:rPr>
        <w:t>（补充、修改或者撤回方式可登录广西政府采购云平台，依次进入“服务中心”中查看 “电子投标文件制作与投送教程”）</w:t>
      </w:r>
    </w:p>
    <w:bookmarkEnd w:id="143"/>
    <w:p w14:paraId="163072EE">
      <w:pPr>
        <w:pStyle w:val="306"/>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22.2广西政府采购云平台收到投标文件后向供应商发出确认回执通知。在投标截止时间前，除供应商补充、修改或者撤回投标文件外，任何单位和个人不得解密或提取投标文件。</w:t>
      </w:r>
    </w:p>
    <w:p w14:paraId="6B34E94E">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22.3在投标截止时间后，采购人和采购代理机构对已提交的投标文件概不退回。</w:t>
      </w:r>
    </w:p>
    <w:p w14:paraId="5A13F694">
      <w:pPr>
        <w:pStyle w:val="224"/>
        <w:spacing w:line="360" w:lineRule="auto"/>
        <w:ind w:firstLine="739"/>
        <w:rPr>
          <w:rFonts w:hint="eastAsia" w:ascii="宋体" w:hAnsi="宋体" w:eastAsia="宋体" w:cs="宋体"/>
          <w:color w:val="auto"/>
          <w:sz w:val="21"/>
          <w:szCs w:val="21"/>
          <w:highlight w:val="none"/>
        </w:rPr>
      </w:pPr>
    </w:p>
    <w:p w14:paraId="6F6691C3">
      <w:pPr>
        <w:pStyle w:val="197"/>
        <w:keepNext w:val="0"/>
        <w:keepLines w:val="0"/>
        <w:jc w:val="center"/>
        <w:rPr>
          <w:rFonts w:hint="eastAsia" w:ascii="宋体" w:hAnsi="宋体" w:cs="宋体"/>
          <w:color w:val="auto"/>
          <w:highlight w:val="none"/>
        </w:rPr>
      </w:pPr>
      <w:r>
        <w:rPr>
          <w:rFonts w:hint="eastAsia" w:ascii="宋体" w:hAnsi="宋体" w:cs="宋体"/>
          <w:color w:val="auto"/>
          <w:highlight w:val="none"/>
        </w:rPr>
        <w:t>四、开    标</w:t>
      </w:r>
    </w:p>
    <w:p w14:paraId="0CFCBE68">
      <w:pPr>
        <w:pStyle w:val="199"/>
        <w:keepNext w:val="0"/>
        <w:keepLines w:val="0"/>
        <w:spacing w:before="0" w:after="0" w:line="360" w:lineRule="auto"/>
        <w:ind w:left="420"/>
        <w:rPr>
          <w:rFonts w:hint="eastAsia" w:ascii="宋体" w:hAnsi="宋体" w:cs="宋体"/>
          <w:color w:val="auto"/>
          <w:sz w:val="24"/>
          <w:highlight w:val="none"/>
        </w:rPr>
      </w:pPr>
      <w:r>
        <w:rPr>
          <w:rFonts w:hint="eastAsia" w:ascii="宋体" w:hAnsi="宋体" w:cs="宋体"/>
          <w:color w:val="auto"/>
          <w:sz w:val="24"/>
          <w:highlight w:val="none"/>
        </w:rPr>
        <w:t>23.开标时间和地点</w:t>
      </w:r>
    </w:p>
    <w:p w14:paraId="7559829F">
      <w:pPr>
        <w:spacing w:line="360" w:lineRule="auto"/>
        <w:ind w:firstLine="420"/>
        <w:rPr>
          <w:rFonts w:hint="eastAsia" w:ascii="宋体" w:hAnsi="宋体" w:cs="宋体"/>
          <w:bCs/>
          <w:color w:val="auto"/>
          <w:highlight w:val="none"/>
        </w:rPr>
      </w:pPr>
      <w:r>
        <w:rPr>
          <w:rFonts w:hint="eastAsia" w:ascii="宋体" w:hAnsi="宋体" w:cs="宋体"/>
          <w:bCs/>
          <w:color w:val="auto"/>
          <w:highlight w:val="none"/>
        </w:rPr>
        <w:t>开标时间及地点详见“投标人须知前附表”</w:t>
      </w:r>
    </w:p>
    <w:p w14:paraId="517E4703">
      <w:pPr>
        <w:pStyle w:val="199"/>
        <w:keepNext w:val="0"/>
        <w:keepLines w:val="0"/>
        <w:spacing w:before="0" w:after="0" w:line="360" w:lineRule="auto"/>
        <w:ind w:left="420"/>
        <w:rPr>
          <w:rFonts w:hint="eastAsia" w:ascii="宋体" w:hAnsi="宋体" w:cs="宋体"/>
          <w:color w:val="auto"/>
          <w:sz w:val="24"/>
          <w:highlight w:val="none"/>
        </w:rPr>
      </w:pPr>
      <w:r>
        <w:rPr>
          <w:rFonts w:hint="eastAsia" w:ascii="宋体" w:hAnsi="宋体" w:cs="宋体"/>
          <w:color w:val="auto"/>
          <w:sz w:val="24"/>
          <w:highlight w:val="none"/>
        </w:rPr>
        <w:t>24.开标程序</w:t>
      </w:r>
    </w:p>
    <w:p w14:paraId="3B50F409">
      <w:pPr>
        <w:pStyle w:val="200"/>
        <w:spacing w:line="360" w:lineRule="auto"/>
        <w:rPr>
          <w:rFonts w:hint="eastAsia" w:ascii="宋体" w:hAnsi="宋体" w:cs="宋体"/>
          <w:color w:val="auto"/>
          <w:highlight w:val="none"/>
        </w:rPr>
      </w:pPr>
      <w:r>
        <w:rPr>
          <w:rFonts w:hint="eastAsia" w:ascii="宋体" w:hAnsi="宋体" w:cs="宋体"/>
          <w:color w:val="auto"/>
          <w:highlight w:val="none"/>
        </w:rPr>
        <w:t>24.1提交投标文件截止时间止，投标人不足3家的，不得开标。</w:t>
      </w:r>
    </w:p>
    <w:p w14:paraId="5C15D12C">
      <w:pPr>
        <w:pStyle w:val="200"/>
        <w:spacing w:line="360" w:lineRule="auto"/>
        <w:rPr>
          <w:rFonts w:hint="eastAsia" w:ascii="宋体" w:hAnsi="宋体" w:cs="宋体"/>
          <w:color w:val="auto"/>
          <w:highlight w:val="none"/>
        </w:rPr>
      </w:pPr>
      <w:r>
        <w:rPr>
          <w:rFonts w:hint="eastAsia" w:ascii="宋体" w:hAnsi="宋体" w:cs="宋体"/>
          <w:color w:val="auto"/>
          <w:highlight w:val="none"/>
        </w:rPr>
        <w:t>24.2采购代理机构将按照招标文件规定的时间通过广西政府采购云平台组织线上开标活动，所有供应商均应当准时在线参加，投标人因未在线参加开标而导致投标文件无法按时解密等一切后果由投标人自己承担。</w:t>
      </w:r>
    </w:p>
    <w:p w14:paraId="0240429F">
      <w:pPr>
        <w:pStyle w:val="200"/>
        <w:spacing w:line="360" w:lineRule="auto"/>
        <w:rPr>
          <w:rFonts w:hint="eastAsia" w:ascii="宋体" w:hAnsi="宋体" w:cs="宋体"/>
          <w:color w:val="auto"/>
          <w:highlight w:val="none"/>
        </w:rPr>
      </w:pPr>
      <w:r>
        <w:rPr>
          <w:rFonts w:hint="eastAsia" w:ascii="宋体" w:hAnsi="宋体" w:cs="宋体"/>
          <w:color w:val="auto"/>
          <w:highlight w:val="none"/>
        </w:rPr>
        <w:t>24.3开标程序</w:t>
      </w:r>
    </w:p>
    <w:p w14:paraId="660457B9">
      <w:pPr>
        <w:pStyle w:val="200"/>
        <w:spacing w:line="360" w:lineRule="auto"/>
        <w:rPr>
          <w:rFonts w:hint="eastAsia" w:ascii="宋体" w:hAnsi="宋体" w:cs="宋体"/>
          <w:color w:val="auto"/>
          <w:highlight w:val="none"/>
        </w:rPr>
      </w:pPr>
      <w:r>
        <w:rPr>
          <w:rFonts w:hint="eastAsia" w:ascii="宋体" w:hAnsi="宋体" w:cs="宋体"/>
          <w:color w:val="auto"/>
          <w:highlight w:val="none"/>
        </w:rPr>
        <w:t>（1）解密电子投标文件。广西政府采购云平台按开标时间自动提取所有投标文件。采购代理机构依托广西政府采购云平台向各投标人发出电子加密投标文件【开始解密】通知，由投标人按</w:t>
      </w:r>
      <w:r>
        <w:rPr>
          <w:rFonts w:hint="eastAsia" w:ascii="宋体" w:hAnsi="宋体" w:cs="宋体"/>
          <w:bCs/>
          <w:color w:val="auto"/>
          <w:szCs w:val="21"/>
          <w:highlight w:val="none"/>
        </w:rPr>
        <w:t>“投标人须知前附表”</w:t>
      </w:r>
      <w:r>
        <w:rPr>
          <w:rFonts w:hint="eastAsia" w:ascii="宋体" w:hAnsi="宋体" w:cs="宋体"/>
          <w:color w:val="auto"/>
          <w:highlight w:val="none"/>
        </w:rPr>
        <w:t>规定的时间内自行进行投标文件解密。投标人的法定代表人或其委托代理人须凭加密时所用的CA锁准时登录到广西政府采购云平台电子开标大厅签到并对电子投标文件解密。</w:t>
      </w:r>
      <w:r>
        <w:rPr>
          <w:rFonts w:hint="eastAsia" w:ascii="宋体" w:hAnsi="宋体" w:cs="宋体"/>
          <w:b/>
          <w:color w:val="auto"/>
          <w:highlight w:val="none"/>
        </w:rPr>
        <w:t>投标人未在规定的时间内解密投标文件或者解密失败的，</w:t>
      </w:r>
      <w:r>
        <w:rPr>
          <w:rFonts w:hint="eastAsia" w:ascii="宋体" w:hAnsi="宋体" w:cs="宋体"/>
          <w:b/>
          <w:color w:val="auto"/>
          <w:szCs w:val="21"/>
          <w:highlight w:val="none"/>
        </w:rPr>
        <w:t>投标人的投标文件作无效处理</w:t>
      </w:r>
      <w:r>
        <w:rPr>
          <w:rFonts w:hint="eastAsia" w:ascii="宋体" w:hAnsi="宋体" w:cs="宋体"/>
          <w:b/>
          <w:color w:val="auto"/>
          <w:highlight w:val="none"/>
        </w:rPr>
        <w:t>。</w:t>
      </w:r>
    </w:p>
    <w:p w14:paraId="68DF5D0B">
      <w:pPr>
        <w:pStyle w:val="200"/>
        <w:spacing w:line="360" w:lineRule="auto"/>
        <w:rPr>
          <w:rFonts w:hint="eastAsia" w:ascii="宋体" w:hAnsi="宋体" w:cs="宋体"/>
          <w:color w:val="auto"/>
          <w:highlight w:val="none"/>
        </w:rPr>
      </w:pPr>
      <w:r>
        <w:rPr>
          <w:rFonts w:hint="eastAsia" w:ascii="宋体" w:hAnsi="宋体" w:cs="宋体"/>
          <w:color w:val="auto"/>
          <w:highlight w:val="none"/>
        </w:rPr>
        <w:t>（2）电子唱标。投标文件解密结束，宣布的内容均在广西政府采购云平台远程开标大厅展示，具体详见</w:t>
      </w:r>
      <w:r>
        <w:rPr>
          <w:rFonts w:hint="eastAsia" w:ascii="宋体" w:hAnsi="宋体" w:cs="宋体"/>
          <w:bCs/>
          <w:color w:val="auto"/>
          <w:highlight w:val="none"/>
        </w:rPr>
        <w:t>“投标人须知前附表”</w:t>
      </w:r>
      <w:r>
        <w:rPr>
          <w:rFonts w:hint="eastAsia" w:ascii="宋体" w:hAnsi="宋体" w:cs="宋体"/>
          <w:color w:val="auto"/>
          <w:highlight w:val="none"/>
        </w:rPr>
        <w:t>；</w:t>
      </w:r>
    </w:p>
    <w:p w14:paraId="77AFD09A">
      <w:pPr>
        <w:pStyle w:val="200"/>
        <w:spacing w:line="360" w:lineRule="auto"/>
        <w:rPr>
          <w:rFonts w:hint="eastAsia" w:ascii="宋体" w:hAnsi="宋体" w:cs="宋体"/>
          <w:color w:val="auto"/>
          <w:highlight w:val="none"/>
        </w:rPr>
      </w:pPr>
      <w:r>
        <w:rPr>
          <w:rFonts w:hint="eastAsia" w:ascii="宋体" w:hAnsi="宋体" w:cs="宋体"/>
          <w:color w:val="auto"/>
          <w:highlight w:val="none"/>
        </w:rPr>
        <w:t>（3）开标过程由采购代理机构如实记录，并电子留痕，由参加电子开标的各投标人代表对电子开标记录在开标记录公布后15分钟内进行当场校核及勘误，并线上确认是否有异议，未确认的视同认可开标结果。</w:t>
      </w:r>
    </w:p>
    <w:p w14:paraId="0C419048">
      <w:pPr>
        <w:pStyle w:val="200"/>
        <w:spacing w:line="360" w:lineRule="auto"/>
        <w:rPr>
          <w:rFonts w:hint="eastAsia" w:ascii="宋体" w:hAnsi="宋体" w:cs="宋体"/>
          <w:color w:val="auto"/>
          <w:highlight w:val="none"/>
        </w:rPr>
      </w:pPr>
      <w:r>
        <w:rPr>
          <w:rFonts w:hint="eastAsia" w:ascii="宋体" w:hAnsi="宋体" w:cs="宋体"/>
          <w:color w:val="auto"/>
          <w:highlight w:val="none"/>
        </w:rPr>
        <w:t>（4）投标人代表对开标过程和开标记录有疑义，以及认为采购人、采购代理机构相关工作人员有需要回避的情形的，应当场提出询问或者回避申请。采购人、采购代理机构对投标人代表提出的询问或者回避申请应当及时处理。</w:t>
      </w:r>
    </w:p>
    <w:p w14:paraId="068BDD79">
      <w:pPr>
        <w:pStyle w:val="200"/>
        <w:spacing w:line="360" w:lineRule="auto"/>
        <w:rPr>
          <w:rFonts w:hint="eastAsia" w:ascii="宋体" w:hAnsi="宋体" w:cs="宋体"/>
          <w:color w:val="auto"/>
          <w:szCs w:val="21"/>
          <w:highlight w:val="none"/>
        </w:rPr>
      </w:pPr>
      <w:r>
        <w:rPr>
          <w:rFonts w:hint="eastAsia" w:ascii="宋体" w:hAnsi="宋体" w:cs="宋体"/>
          <w:color w:val="auto"/>
          <w:szCs w:val="21"/>
          <w:highlight w:val="none"/>
        </w:rPr>
        <w:t>（5）开标结束。</w:t>
      </w:r>
    </w:p>
    <w:p w14:paraId="5C394AA8">
      <w:pPr>
        <w:pStyle w:val="230"/>
        <w:spacing w:line="360" w:lineRule="auto"/>
        <w:ind w:firstLine="420"/>
        <w:rPr>
          <w:rFonts w:hint="eastAsia" w:hAnsi="宋体" w:cs="宋体"/>
          <w:color w:val="auto"/>
          <w:sz w:val="21"/>
          <w:highlight w:val="none"/>
        </w:rPr>
      </w:pPr>
      <w:r>
        <w:rPr>
          <w:rFonts w:hint="eastAsia" w:hAnsi="宋体" w:cs="宋体"/>
          <w:color w:val="auto"/>
          <w:sz w:val="21"/>
          <w:highlight w:val="none"/>
        </w:rPr>
        <w:t>特别说明：如遇广西政府采购云平台电子化开标或评审程序调整的，按调整后执行。</w:t>
      </w:r>
    </w:p>
    <w:p w14:paraId="44BBEA41">
      <w:pPr>
        <w:pStyle w:val="230"/>
        <w:spacing w:line="360" w:lineRule="auto"/>
        <w:ind w:left="689" w:hanging="210"/>
        <w:rPr>
          <w:rFonts w:hint="eastAsia" w:hAnsi="宋体" w:cs="宋体"/>
          <w:color w:val="auto"/>
          <w:sz w:val="21"/>
          <w:highlight w:val="none"/>
        </w:rPr>
      </w:pPr>
    </w:p>
    <w:p w14:paraId="2A8273F2">
      <w:pPr>
        <w:pStyle w:val="197"/>
        <w:keepNext w:val="0"/>
        <w:keepLines w:val="0"/>
        <w:jc w:val="center"/>
        <w:rPr>
          <w:rFonts w:hint="eastAsia" w:ascii="宋体" w:hAnsi="宋体" w:cs="宋体"/>
          <w:color w:val="auto"/>
          <w:highlight w:val="none"/>
        </w:rPr>
      </w:pPr>
      <w:r>
        <w:rPr>
          <w:rFonts w:hint="eastAsia" w:ascii="宋体" w:hAnsi="宋体" w:cs="宋体"/>
          <w:color w:val="auto"/>
          <w:highlight w:val="none"/>
        </w:rPr>
        <w:t>五、资格审查</w:t>
      </w:r>
    </w:p>
    <w:p w14:paraId="4BC1524E">
      <w:pPr>
        <w:pStyle w:val="199"/>
        <w:keepNext w:val="0"/>
        <w:keepLines w:val="0"/>
        <w:spacing w:before="0" w:after="0" w:line="360" w:lineRule="auto"/>
        <w:ind w:left="420"/>
        <w:rPr>
          <w:rFonts w:hint="eastAsia" w:ascii="宋体" w:hAnsi="宋体" w:cs="宋体"/>
          <w:color w:val="auto"/>
          <w:sz w:val="24"/>
          <w:highlight w:val="none"/>
        </w:rPr>
      </w:pPr>
      <w:r>
        <w:rPr>
          <w:rFonts w:hint="eastAsia" w:ascii="宋体" w:hAnsi="宋体" w:cs="宋体"/>
          <w:color w:val="auto"/>
          <w:sz w:val="24"/>
          <w:highlight w:val="none"/>
        </w:rPr>
        <w:t>25.资格审查</w:t>
      </w:r>
    </w:p>
    <w:p w14:paraId="068AB1B6">
      <w:pPr>
        <w:pStyle w:val="199"/>
        <w:keepNext w:val="0"/>
        <w:keepLines w:val="0"/>
        <w:spacing w:before="0" w:after="0" w:line="360" w:lineRule="auto"/>
        <w:ind w:firstLine="315"/>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 xml:space="preserve"> 25.1开标结束后，采购人或者采购代理机构通过电子开评标系统依据招标文件对电子投标文件进行线上资格审查。</w:t>
      </w:r>
    </w:p>
    <w:p w14:paraId="54D2AD39">
      <w:pPr>
        <w:pStyle w:val="199"/>
        <w:keepNext w:val="0"/>
        <w:keepLines w:val="0"/>
        <w:spacing w:before="0" w:after="0" w:line="360" w:lineRule="auto"/>
        <w:ind w:firstLine="315"/>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 xml:space="preserve"> 25.2资格审查标准为本招标文件中载明对投标人资格要求的条件。本项目资格审查采用合格制，凡符合招标文件规定的投标人资格要求的投标人均通过资格审查。</w:t>
      </w:r>
    </w:p>
    <w:p w14:paraId="2FE34533">
      <w:pPr>
        <w:pStyle w:val="199"/>
        <w:keepNext w:val="0"/>
        <w:keepLines w:val="0"/>
        <w:numPr>
          <w:ilvl w:val="0"/>
          <w:numId w:val="0"/>
        </w:numPr>
        <w:spacing w:before="0" w:after="0" w:line="360" w:lineRule="auto"/>
        <w:ind w:firstLine="422"/>
        <w:rPr>
          <w:rFonts w:hint="eastAsia" w:ascii="宋体" w:hAnsi="宋体" w:cs="宋体"/>
          <w:color w:val="auto"/>
          <w:sz w:val="21"/>
          <w:szCs w:val="21"/>
          <w:highlight w:val="none"/>
        </w:rPr>
      </w:pPr>
      <w:r>
        <w:rPr>
          <w:rFonts w:hint="eastAsia" w:ascii="宋体" w:hAnsi="宋体" w:cs="宋体"/>
          <w:color w:val="auto"/>
          <w:sz w:val="21"/>
          <w:szCs w:val="21"/>
          <w:highlight w:val="none"/>
        </w:rPr>
        <w:t>25.3 投标人有下列情形之一的，资格审查不通过，作无效投标处理：</w:t>
      </w:r>
    </w:p>
    <w:p w14:paraId="53772D77">
      <w:pPr>
        <w:pStyle w:val="230"/>
        <w:spacing w:line="360" w:lineRule="auto"/>
        <w:ind w:firstLine="422"/>
        <w:rPr>
          <w:rFonts w:hint="eastAsia" w:hAnsi="宋体" w:cs="宋体"/>
          <w:b/>
          <w:color w:val="auto"/>
          <w:sz w:val="21"/>
          <w:highlight w:val="none"/>
        </w:rPr>
      </w:pPr>
      <w:r>
        <w:rPr>
          <w:rFonts w:hint="eastAsia" w:hAnsi="宋体" w:cs="宋体"/>
          <w:b/>
          <w:color w:val="auto"/>
          <w:sz w:val="21"/>
          <w:highlight w:val="none"/>
        </w:rPr>
        <w:t>（1）不具备招标文件中规定的资格要求的；</w:t>
      </w:r>
    </w:p>
    <w:p w14:paraId="71FC6F23">
      <w:pPr>
        <w:pStyle w:val="230"/>
        <w:spacing w:line="360" w:lineRule="auto"/>
        <w:ind w:firstLine="422"/>
        <w:rPr>
          <w:rFonts w:hint="eastAsia" w:hAnsi="宋体" w:cs="宋体"/>
          <w:b/>
          <w:color w:val="auto"/>
          <w:sz w:val="21"/>
          <w:highlight w:val="none"/>
        </w:rPr>
      </w:pPr>
      <w:r>
        <w:rPr>
          <w:rFonts w:hint="eastAsia" w:hAnsi="宋体" w:cs="宋体"/>
          <w:b/>
          <w:color w:val="auto"/>
          <w:sz w:val="21"/>
          <w:highlight w:val="none"/>
        </w:rPr>
        <w:t>（2）在“信用中国”网站（www.creditchina.gov.cn）、中国政府采购网（www.ccgp.gov.cn）被列入失信被执行人、重大税收违法失信主体、政府采购严重违法失信行为记录名单及其他不符合《中华人民共和国政府采购法》第二十二条规定条件的；（注：其中信用查询规则见“投标人须知前附表”，广西政府采购云平台已与“信用中国”网站、中国政府采购网实现数据对接，可直接在线查询）</w:t>
      </w:r>
    </w:p>
    <w:p w14:paraId="4A6FB86F">
      <w:pPr>
        <w:pStyle w:val="230"/>
        <w:spacing w:line="360" w:lineRule="auto"/>
        <w:ind w:firstLine="422"/>
        <w:rPr>
          <w:rFonts w:hint="eastAsia" w:hAnsi="宋体" w:cs="宋体"/>
          <w:b/>
          <w:color w:val="auto"/>
          <w:sz w:val="21"/>
          <w:highlight w:val="none"/>
        </w:rPr>
      </w:pPr>
      <w:r>
        <w:rPr>
          <w:rFonts w:hint="eastAsia" w:hAnsi="宋体" w:cs="宋体"/>
          <w:b/>
          <w:color w:val="auto"/>
          <w:sz w:val="21"/>
          <w:highlight w:val="none"/>
        </w:rPr>
        <w:t>（3）同一合同项下的不同投标人，单位负责人为同一人或者存在直接控股、管理关系的；为本项目提供过整体设计、规范编制或者项目管理、监理、检测等服务的供应商，再参加该采购项目的其他采购活动的；</w:t>
      </w:r>
    </w:p>
    <w:p w14:paraId="2331EA2B">
      <w:pPr>
        <w:pStyle w:val="230"/>
        <w:spacing w:line="360" w:lineRule="auto"/>
        <w:ind w:firstLine="422"/>
        <w:rPr>
          <w:rFonts w:hint="eastAsia" w:hAnsi="宋体" w:cs="宋体"/>
          <w:b/>
          <w:color w:val="auto"/>
          <w:sz w:val="21"/>
          <w:highlight w:val="none"/>
        </w:rPr>
      </w:pPr>
      <w:r>
        <w:rPr>
          <w:rFonts w:hint="eastAsia" w:hAnsi="宋体" w:cs="宋体"/>
          <w:b/>
          <w:color w:val="auto"/>
          <w:sz w:val="21"/>
          <w:highlight w:val="none"/>
        </w:rPr>
        <w:t>（4）投标文件中的资格证明文件缺少任一项“投标人须知前附表”资格证明文件规定“必须提供”的文件资料的；</w:t>
      </w:r>
    </w:p>
    <w:p w14:paraId="25F18AAF">
      <w:pPr>
        <w:pStyle w:val="230"/>
        <w:spacing w:line="360" w:lineRule="auto"/>
        <w:ind w:firstLine="422"/>
        <w:rPr>
          <w:rFonts w:hint="eastAsia" w:hAnsi="宋体" w:cs="宋体"/>
          <w:b/>
          <w:color w:val="auto"/>
          <w:sz w:val="21"/>
          <w:highlight w:val="none"/>
        </w:rPr>
      </w:pPr>
      <w:r>
        <w:rPr>
          <w:rFonts w:hint="eastAsia" w:hAnsi="宋体" w:cs="宋体"/>
          <w:b/>
          <w:color w:val="auto"/>
          <w:sz w:val="21"/>
          <w:highlight w:val="none"/>
        </w:rPr>
        <w:t>（5）投标文件中的资格证明文件出现任一项不符合“投标人须知前附表”资格证明文件规定“必须提供”的文件资料要求或者无效的。</w:t>
      </w:r>
    </w:p>
    <w:p w14:paraId="44C58A47">
      <w:pPr>
        <w:pStyle w:val="199"/>
        <w:keepNext w:val="0"/>
        <w:keepLines w:val="0"/>
        <w:spacing w:before="0" w:after="0" w:line="360" w:lineRule="auto"/>
        <w:ind w:left="420"/>
        <w:rPr>
          <w:rFonts w:hint="eastAsia" w:ascii="宋体" w:hAnsi="宋体" w:cs="宋体"/>
          <w:b w:val="0"/>
          <w:color w:val="auto"/>
          <w:sz w:val="21"/>
          <w:szCs w:val="21"/>
          <w:highlight w:val="none"/>
        </w:rPr>
      </w:pPr>
      <w:r>
        <w:rPr>
          <w:rFonts w:hint="eastAsia" w:ascii="宋体" w:hAnsi="宋体" w:cs="宋体"/>
          <w:color w:val="auto"/>
          <w:sz w:val="21"/>
          <w:szCs w:val="21"/>
          <w:highlight w:val="none"/>
        </w:rPr>
        <w:t>25.4合格投标人不足3家的，不得评标。</w:t>
      </w:r>
    </w:p>
    <w:p w14:paraId="56DA2569">
      <w:pPr>
        <w:pStyle w:val="230"/>
        <w:spacing w:line="360" w:lineRule="auto"/>
        <w:ind w:left="689" w:hanging="210"/>
        <w:rPr>
          <w:rFonts w:hint="eastAsia" w:hAnsi="宋体" w:cs="宋体"/>
          <w:color w:val="auto"/>
          <w:sz w:val="21"/>
          <w:highlight w:val="none"/>
        </w:rPr>
      </w:pPr>
    </w:p>
    <w:p w14:paraId="5B2B46A8">
      <w:pPr>
        <w:pStyle w:val="197"/>
        <w:keepNext w:val="0"/>
        <w:keepLines w:val="0"/>
        <w:jc w:val="center"/>
        <w:rPr>
          <w:rFonts w:hint="eastAsia" w:ascii="宋体" w:hAnsi="宋体" w:cs="宋体"/>
          <w:color w:val="auto"/>
          <w:highlight w:val="none"/>
        </w:rPr>
      </w:pPr>
      <w:r>
        <w:rPr>
          <w:rFonts w:hint="eastAsia" w:ascii="宋体" w:hAnsi="宋体" w:cs="宋体"/>
          <w:color w:val="auto"/>
          <w:highlight w:val="none"/>
        </w:rPr>
        <w:t>六、评   标</w:t>
      </w:r>
    </w:p>
    <w:p w14:paraId="1CA6E815">
      <w:pPr>
        <w:pStyle w:val="199"/>
        <w:keepNext w:val="0"/>
        <w:keepLines w:val="0"/>
        <w:spacing w:before="0" w:after="0" w:line="360" w:lineRule="auto"/>
        <w:ind w:left="420"/>
        <w:rPr>
          <w:rFonts w:hint="eastAsia" w:ascii="宋体" w:hAnsi="宋体" w:cs="宋体"/>
          <w:color w:val="auto"/>
          <w:sz w:val="24"/>
          <w:highlight w:val="none"/>
        </w:rPr>
      </w:pPr>
      <w:r>
        <w:rPr>
          <w:rFonts w:hint="eastAsia" w:ascii="宋体" w:hAnsi="宋体" w:cs="宋体"/>
          <w:color w:val="auto"/>
          <w:sz w:val="24"/>
          <w:highlight w:val="none"/>
        </w:rPr>
        <w:t>26.组建评标委员会</w:t>
      </w:r>
    </w:p>
    <w:p w14:paraId="5A774304">
      <w:pPr>
        <w:pStyle w:val="230"/>
        <w:spacing w:line="360" w:lineRule="auto"/>
        <w:ind w:firstLine="420"/>
        <w:rPr>
          <w:rFonts w:hint="eastAsia" w:hAnsi="宋体" w:cs="宋体"/>
          <w:color w:val="auto"/>
          <w:sz w:val="21"/>
          <w:highlight w:val="none"/>
        </w:rPr>
      </w:pPr>
      <w:r>
        <w:rPr>
          <w:rFonts w:hint="eastAsia" w:hAnsi="宋体" w:cs="宋体"/>
          <w:color w:val="auto"/>
          <w:sz w:val="21"/>
          <w:highlight w:val="none"/>
        </w:rPr>
        <w:t>26.1评标委员会由采购人代表和评审专家组成，具体人数详见“投标人须知前附表”，其中评审专家不得少于成员总数的三分之二。</w:t>
      </w:r>
    </w:p>
    <w:p w14:paraId="5B7A055B">
      <w:pPr>
        <w:pStyle w:val="230"/>
        <w:spacing w:line="360" w:lineRule="auto"/>
        <w:ind w:left="2" w:firstLine="420"/>
        <w:rPr>
          <w:rFonts w:hint="eastAsia" w:hAnsi="宋体" w:cs="宋体"/>
          <w:color w:val="auto"/>
          <w:sz w:val="21"/>
          <w:highlight w:val="none"/>
        </w:rPr>
      </w:pPr>
      <w:r>
        <w:rPr>
          <w:rFonts w:hint="eastAsia" w:hAnsi="宋体" w:cs="宋体"/>
          <w:color w:val="auto"/>
          <w:sz w:val="21"/>
          <w:highlight w:val="none"/>
        </w:rPr>
        <w:t>26.2参加过采购项目前期咨询论证的专家，不得参加该采购项目的评审活动。</w:t>
      </w:r>
    </w:p>
    <w:p w14:paraId="7E07D5E8">
      <w:pPr>
        <w:pStyle w:val="230"/>
        <w:spacing w:line="360" w:lineRule="auto"/>
        <w:ind w:left="2" w:firstLine="420"/>
        <w:rPr>
          <w:rFonts w:hint="eastAsia" w:hAnsi="宋体" w:cs="宋体"/>
          <w:color w:val="auto"/>
          <w:sz w:val="21"/>
          <w:highlight w:val="none"/>
        </w:rPr>
      </w:pPr>
      <w:r>
        <w:rPr>
          <w:rFonts w:hint="eastAsia" w:hAnsi="宋体" w:cs="宋体"/>
          <w:color w:val="auto"/>
          <w:sz w:val="21"/>
          <w:highlight w:val="none"/>
        </w:rPr>
        <w:t>26.3</w:t>
      </w:r>
      <w:r>
        <w:rPr>
          <w:rFonts w:hint="eastAsia" w:hAnsi="宋体" w:cs="宋体"/>
          <w:bCs/>
          <w:color w:val="auto"/>
          <w:sz w:val="21"/>
          <w:highlight w:val="none"/>
        </w:rPr>
        <w:t>采购代理机构应当基于广西政府采购云平台抽（选）取评审专家。</w:t>
      </w:r>
    </w:p>
    <w:p w14:paraId="315B2C71">
      <w:pPr>
        <w:pStyle w:val="199"/>
        <w:keepNext w:val="0"/>
        <w:keepLines w:val="0"/>
        <w:spacing w:before="0" w:after="0" w:line="360" w:lineRule="auto"/>
        <w:ind w:left="420"/>
        <w:rPr>
          <w:rFonts w:hint="eastAsia" w:ascii="宋体" w:hAnsi="宋体" w:cs="宋体"/>
          <w:color w:val="auto"/>
          <w:sz w:val="24"/>
          <w:highlight w:val="none"/>
        </w:rPr>
      </w:pPr>
      <w:r>
        <w:rPr>
          <w:rFonts w:hint="eastAsia" w:ascii="宋体" w:hAnsi="宋体" w:cs="宋体"/>
          <w:color w:val="auto"/>
          <w:sz w:val="24"/>
          <w:highlight w:val="none"/>
        </w:rPr>
        <w:t>27.评标的依据</w:t>
      </w:r>
    </w:p>
    <w:p w14:paraId="1E624AFC">
      <w:pPr>
        <w:pStyle w:val="230"/>
        <w:spacing w:line="360" w:lineRule="auto"/>
        <w:ind w:firstLine="420"/>
        <w:rPr>
          <w:rFonts w:hint="eastAsia" w:hAnsi="宋体" w:cs="宋体"/>
          <w:color w:val="auto"/>
          <w:sz w:val="21"/>
          <w:highlight w:val="none"/>
        </w:rPr>
      </w:pPr>
      <w:r>
        <w:rPr>
          <w:rFonts w:hint="eastAsia" w:hAnsi="宋体" w:cs="宋体"/>
          <w:color w:val="auto"/>
          <w:sz w:val="21"/>
          <w:highlight w:val="none"/>
        </w:rPr>
        <w:t>评标委员会以“第四章 评标方法和评标标准”为依据对投标文件进行评审，没有规定的方法、评审因素和标准，不作为评标依据。</w:t>
      </w:r>
    </w:p>
    <w:p w14:paraId="1801C23D">
      <w:pPr>
        <w:pStyle w:val="199"/>
        <w:keepNext w:val="0"/>
        <w:keepLines w:val="0"/>
        <w:spacing w:before="0" w:after="0" w:line="360" w:lineRule="auto"/>
        <w:ind w:left="420"/>
        <w:rPr>
          <w:rFonts w:hint="eastAsia" w:ascii="宋体" w:hAnsi="宋体" w:cs="宋体"/>
          <w:color w:val="auto"/>
          <w:sz w:val="24"/>
          <w:highlight w:val="none"/>
        </w:rPr>
      </w:pPr>
      <w:r>
        <w:rPr>
          <w:rFonts w:hint="eastAsia" w:ascii="宋体" w:hAnsi="宋体" w:cs="宋体"/>
          <w:color w:val="auto"/>
          <w:sz w:val="24"/>
          <w:highlight w:val="none"/>
        </w:rPr>
        <w:t>28.评标原则</w:t>
      </w:r>
    </w:p>
    <w:p w14:paraId="1EDE93D2">
      <w:pPr>
        <w:pStyle w:val="230"/>
        <w:spacing w:line="360" w:lineRule="auto"/>
        <w:ind w:firstLine="420"/>
        <w:rPr>
          <w:rFonts w:hint="eastAsia" w:hAnsi="宋体" w:cs="宋体"/>
          <w:color w:val="auto"/>
          <w:sz w:val="21"/>
          <w:highlight w:val="none"/>
        </w:rPr>
      </w:pPr>
      <w:r>
        <w:rPr>
          <w:rFonts w:hint="eastAsia" w:hAnsi="宋体" w:cs="宋体"/>
          <w:color w:val="auto"/>
          <w:sz w:val="21"/>
          <w:highlight w:val="none"/>
        </w:rPr>
        <w:t>28.1评标原则。评标委员会评标时必须公平、公正、客观，不带任何倾向性和启发性；不得向外界透露任何与评标有关的内容；任何单位和个人不得干扰、影响评标的正常进行；评标委员会及有关工作人员不得私下与投标人接触，不得收受利害关系人的财物或者其他好处。</w:t>
      </w:r>
    </w:p>
    <w:p w14:paraId="1939A67E">
      <w:pPr>
        <w:pStyle w:val="230"/>
        <w:spacing w:line="360" w:lineRule="auto"/>
        <w:ind w:firstLine="420"/>
        <w:rPr>
          <w:rFonts w:hint="eastAsia" w:hAnsi="宋体" w:cs="宋体"/>
          <w:color w:val="auto"/>
          <w:sz w:val="21"/>
          <w:highlight w:val="none"/>
        </w:rPr>
      </w:pPr>
      <w:r>
        <w:rPr>
          <w:rFonts w:hint="eastAsia" w:hAnsi="宋体" w:cs="宋体"/>
          <w:color w:val="auto"/>
          <w:sz w:val="21"/>
          <w:highlight w:val="none"/>
        </w:rPr>
        <w:t>28.2评委表决。评标委员会成员对需要共同认定的事项存在争议的，应当按照少数服从多数的原则作出结论。</w:t>
      </w:r>
    </w:p>
    <w:p w14:paraId="40D74468">
      <w:pPr>
        <w:pStyle w:val="230"/>
        <w:spacing w:line="360" w:lineRule="auto"/>
        <w:ind w:firstLine="420"/>
        <w:rPr>
          <w:rFonts w:hint="eastAsia" w:hAnsi="宋体" w:cs="宋体"/>
          <w:color w:val="auto"/>
          <w:sz w:val="21"/>
          <w:highlight w:val="none"/>
        </w:rPr>
      </w:pPr>
      <w:r>
        <w:rPr>
          <w:rFonts w:hint="eastAsia" w:hAnsi="宋体" w:cs="宋体"/>
          <w:color w:val="auto"/>
          <w:sz w:val="21"/>
          <w:highlight w:val="none"/>
        </w:rPr>
        <w:t>28.3评标的保密。采购人、采购代理机构应当采取必要措施，保证评标在严格保密（封闭式评标）的情况下进行。除采购人代表、评标现场组织人员外，采购人的其他工作人员以及与评标工作无关的人员不得进入评标现场。有关人员对评标情况以及在评标过程中获悉的国家秘密、商业秘密负有保密责任。</w:t>
      </w:r>
    </w:p>
    <w:p w14:paraId="1E44056A">
      <w:pPr>
        <w:pStyle w:val="230"/>
        <w:spacing w:line="360" w:lineRule="auto"/>
        <w:ind w:firstLine="420"/>
        <w:rPr>
          <w:rFonts w:hint="eastAsia" w:hAnsi="宋体" w:cs="宋体"/>
          <w:color w:val="auto"/>
          <w:sz w:val="21"/>
          <w:highlight w:val="none"/>
        </w:rPr>
      </w:pPr>
      <w:r>
        <w:rPr>
          <w:rFonts w:hint="eastAsia" w:hAnsi="宋体" w:cs="宋体"/>
          <w:color w:val="auto"/>
          <w:sz w:val="21"/>
          <w:highlight w:val="none"/>
        </w:rPr>
        <w:t>28.4评标过程的监控。本项目电子评标过程实行网上留痕、全程录音、录像监控，</w:t>
      </w:r>
      <w:r>
        <w:rPr>
          <w:rFonts w:hint="eastAsia" w:hAnsi="宋体" w:cs="宋体"/>
          <w:b/>
          <w:color w:val="auto"/>
          <w:sz w:val="21"/>
          <w:highlight w:val="none"/>
        </w:rPr>
        <w:t>投标人在评标过程中所进行的试图影响评标结果的不公正活动，可能导致其投标按无效处理。</w:t>
      </w:r>
    </w:p>
    <w:p w14:paraId="3619F0B2">
      <w:pPr>
        <w:pStyle w:val="199"/>
        <w:keepNext w:val="0"/>
        <w:keepLines w:val="0"/>
        <w:spacing w:before="0" w:after="0" w:line="360" w:lineRule="auto"/>
        <w:ind w:left="420"/>
        <w:rPr>
          <w:rFonts w:hint="eastAsia" w:ascii="宋体" w:hAnsi="宋体" w:cs="宋体"/>
          <w:color w:val="auto"/>
          <w:sz w:val="21"/>
          <w:szCs w:val="21"/>
          <w:highlight w:val="none"/>
        </w:rPr>
      </w:pPr>
      <w:r>
        <w:rPr>
          <w:rFonts w:hint="eastAsia" w:ascii="宋体" w:hAnsi="宋体" w:cs="宋体"/>
          <w:color w:val="auto"/>
          <w:sz w:val="21"/>
          <w:szCs w:val="21"/>
          <w:highlight w:val="none"/>
        </w:rPr>
        <w:t>29.评标方法及中标候选人推荐</w:t>
      </w:r>
    </w:p>
    <w:p w14:paraId="45BC2468">
      <w:pPr>
        <w:pStyle w:val="230"/>
        <w:spacing w:line="360" w:lineRule="auto"/>
        <w:ind w:firstLine="420"/>
        <w:rPr>
          <w:rFonts w:hint="eastAsia" w:hAnsi="宋体" w:cs="宋体"/>
          <w:color w:val="auto"/>
          <w:sz w:val="21"/>
          <w:highlight w:val="none"/>
        </w:rPr>
      </w:pPr>
      <w:r>
        <w:rPr>
          <w:rFonts w:hint="eastAsia" w:hAnsi="宋体" w:cs="宋体"/>
          <w:color w:val="auto"/>
          <w:sz w:val="21"/>
          <w:highlight w:val="none"/>
        </w:rPr>
        <w:t>29.1本项目的评标方法详见“投标人须知前附表”。</w:t>
      </w:r>
    </w:p>
    <w:p w14:paraId="14A96D1D">
      <w:pPr>
        <w:pStyle w:val="230"/>
        <w:spacing w:line="360" w:lineRule="auto"/>
        <w:ind w:firstLine="420"/>
        <w:rPr>
          <w:rFonts w:hint="eastAsia" w:hAnsi="宋体" w:cs="宋体"/>
          <w:color w:val="auto"/>
          <w:sz w:val="21"/>
          <w:highlight w:val="none"/>
        </w:rPr>
      </w:pPr>
      <w:r>
        <w:rPr>
          <w:rFonts w:hint="eastAsia" w:hAnsi="宋体" w:cs="宋体"/>
          <w:color w:val="auto"/>
          <w:sz w:val="21"/>
          <w:highlight w:val="none"/>
        </w:rPr>
        <w:t>29.2 商务/技术要求允许负偏离的条款数详见“投标人须知前附表”。</w:t>
      </w:r>
    </w:p>
    <w:p w14:paraId="051DCB13">
      <w:pPr>
        <w:pStyle w:val="230"/>
        <w:spacing w:line="360" w:lineRule="auto"/>
        <w:ind w:firstLine="420"/>
        <w:rPr>
          <w:rFonts w:hint="eastAsia" w:hAnsi="宋体" w:cs="宋体"/>
          <w:color w:val="auto"/>
          <w:sz w:val="21"/>
          <w:highlight w:val="none"/>
        </w:rPr>
      </w:pPr>
      <w:r>
        <w:rPr>
          <w:rFonts w:hint="eastAsia" w:hAnsi="宋体" w:cs="宋体"/>
          <w:color w:val="auto"/>
          <w:sz w:val="21"/>
          <w:highlight w:val="none"/>
        </w:rPr>
        <w:t>29.3 中标候选人推荐数量详见“投标人须知前附表”。</w:t>
      </w:r>
    </w:p>
    <w:p w14:paraId="78F9920C">
      <w:pPr>
        <w:spacing w:line="360" w:lineRule="auto"/>
        <w:ind w:firstLine="420"/>
        <w:rPr>
          <w:rFonts w:hint="eastAsia" w:ascii="宋体" w:hAnsi="宋体" w:cs="宋体"/>
          <w:color w:val="auto"/>
          <w:highlight w:val="none"/>
        </w:rPr>
      </w:pPr>
      <w:r>
        <w:rPr>
          <w:rFonts w:hint="eastAsia" w:ascii="宋体" w:hAnsi="宋体" w:cs="宋体"/>
          <w:color w:val="auto"/>
          <w:szCs w:val="21"/>
          <w:highlight w:val="none"/>
        </w:rPr>
        <w:t>29.4 电子交易活动的中止。采购过程中出现以下情形，导致</w:t>
      </w:r>
      <w:r>
        <w:rPr>
          <w:rFonts w:hint="eastAsia" w:ascii="宋体" w:hAnsi="宋体" w:cs="宋体"/>
          <w:color w:val="auto"/>
          <w:highlight w:val="none"/>
        </w:rPr>
        <w:t>电子交易平台无法正常运行，或者无法保证电子交易的公平、公正和安全时，采购代理机构可以中止电子交易活动：</w:t>
      </w:r>
    </w:p>
    <w:p w14:paraId="155EC499">
      <w:pPr>
        <w:spacing w:line="360" w:lineRule="auto"/>
        <w:ind w:firstLine="420"/>
        <w:rPr>
          <w:rFonts w:hint="eastAsia" w:ascii="宋体" w:hAnsi="宋体" w:cs="宋体"/>
          <w:color w:val="auto"/>
          <w:highlight w:val="none"/>
        </w:rPr>
      </w:pPr>
      <w:r>
        <w:rPr>
          <w:rFonts w:hint="eastAsia" w:ascii="宋体" w:hAnsi="宋体" w:cs="宋体"/>
          <w:color w:val="auto"/>
          <w:highlight w:val="none"/>
        </w:rPr>
        <w:t xml:space="preserve">（1）电子交易平台发生故障而无法登录访问的； </w:t>
      </w:r>
    </w:p>
    <w:p w14:paraId="73A8341A">
      <w:pPr>
        <w:spacing w:line="360" w:lineRule="auto"/>
        <w:ind w:firstLine="420"/>
        <w:rPr>
          <w:rFonts w:hint="eastAsia" w:ascii="宋体" w:hAnsi="宋体" w:cs="宋体"/>
          <w:color w:val="auto"/>
          <w:highlight w:val="none"/>
        </w:rPr>
      </w:pPr>
      <w:r>
        <w:rPr>
          <w:rFonts w:hint="eastAsia" w:ascii="宋体" w:hAnsi="宋体" w:cs="宋体"/>
          <w:color w:val="auto"/>
          <w:highlight w:val="none"/>
        </w:rPr>
        <w:t>（2）电子交易平台应用或数据库出现错误，不能进行正常操作的；</w:t>
      </w:r>
    </w:p>
    <w:p w14:paraId="6869E4BC">
      <w:pPr>
        <w:spacing w:line="360" w:lineRule="auto"/>
        <w:ind w:firstLine="420"/>
        <w:rPr>
          <w:rFonts w:hint="eastAsia" w:ascii="宋体" w:hAnsi="宋体" w:cs="宋体"/>
          <w:color w:val="auto"/>
          <w:highlight w:val="none"/>
        </w:rPr>
      </w:pPr>
      <w:r>
        <w:rPr>
          <w:rFonts w:hint="eastAsia" w:ascii="宋体" w:hAnsi="宋体" w:cs="宋体"/>
          <w:color w:val="auto"/>
          <w:highlight w:val="none"/>
        </w:rPr>
        <w:t>（3）电子交易平台发现严重安全漏洞，有潜在泄密危险的；</w:t>
      </w:r>
    </w:p>
    <w:p w14:paraId="32DE9E3A">
      <w:pPr>
        <w:spacing w:line="360" w:lineRule="auto"/>
        <w:ind w:firstLine="420"/>
        <w:rPr>
          <w:rFonts w:hint="eastAsia" w:ascii="宋体" w:hAnsi="宋体" w:cs="宋体"/>
          <w:color w:val="auto"/>
          <w:highlight w:val="none"/>
        </w:rPr>
      </w:pPr>
      <w:r>
        <w:rPr>
          <w:rFonts w:hint="eastAsia" w:ascii="宋体" w:hAnsi="宋体" w:cs="宋体"/>
          <w:color w:val="auto"/>
          <w:highlight w:val="none"/>
        </w:rPr>
        <w:t xml:space="preserve">（4）病毒发作导致不能进行正常操作的； </w:t>
      </w:r>
    </w:p>
    <w:p w14:paraId="65FA75DD">
      <w:pPr>
        <w:spacing w:line="360" w:lineRule="auto"/>
        <w:ind w:firstLine="420"/>
        <w:rPr>
          <w:rFonts w:hint="eastAsia" w:ascii="宋体" w:hAnsi="宋体" w:cs="宋体"/>
          <w:color w:val="auto"/>
          <w:highlight w:val="none"/>
        </w:rPr>
      </w:pPr>
      <w:r>
        <w:rPr>
          <w:rFonts w:hint="eastAsia" w:ascii="宋体" w:hAnsi="宋体" w:cs="宋体"/>
          <w:color w:val="auto"/>
          <w:highlight w:val="none"/>
        </w:rPr>
        <w:t>（5）其他无法保证电子交易的公平、公正和安全的情况。</w:t>
      </w:r>
    </w:p>
    <w:p w14:paraId="2887F79D">
      <w:pPr>
        <w:spacing w:line="360" w:lineRule="auto"/>
        <w:ind w:firstLine="420"/>
        <w:rPr>
          <w:rFonts w:hint="eastAsia" w:ascii="宋体" w:hAnsi="宋体" w:cs="宋体"/>
          <w:color w:val="auto"/>
          <w:highlight w:val="none"/>
        </w:rPr>
      </w:pPr>
      <w:r>
        <w:rPr>
          <w:rFonts w:hint="eastAsia" w:ascii="宋体" w:hAnsi="宋体" w:cs="宋体"/>
          <w:color w:val="auto"/>
          <w:highlight w:val="none"/>
        </w:rPr>
        <w:t>出现以上情形，不影响采购公平、公正性的，采购代理机构可以待上述情形消除后继续组织电子交易活动；影响或可能影响采购公平、公正性的，经采购代理机构确认、报采购人同意后，终止电子采购活动，应当重新采购。采购代理机构必须对原有的资料及信息作出妥善保密处理，并报财政部门备案。</w:t>
      </w:r>
    </w:p>
    <w:p w14:paraId="1B898617">
      <w:pPr>
        <w:pStyle w:val="230"/>
        <w:spacing w:line="360" w:lineRule="auto"/>
        <w:rPr>
          <w:rFonts w:hint="eastAsia" w:hAnsi="宋体" w:cs="宋体"/>
          <w:color w:val="auto"/>
          <w:sz w:val="21"/>
          <w:highlight w:val="none"/>
        </w:rPr>
      </w:pPr>
    </w:p>
    <w:p w14:paraId="123002AB">
      <w:pPr>
        <w:pStyle w:val="197"/>
        <w:keepNext w:val="0"/>
        <w:keepLines w:val="0"/>
        <w:jc w:val="center"/>
        <w:rPr>
          <w:rFonts w:hint="eastAsia" w:ascii="宋体" w:hAnsi="宋体" w:cs="宋体"/>
          <w:color w:val="auto"/>
          <w:highlight w:val="none"/>
        </w:rPr>
      </w:pPr>
      <w:r>
        <w:rPr>
          <w:rFonts w:hint="eastAsia" w:ascii="宋体" w:hAnsi="宋体" w:cs="宋体"/>
          <w:color w:val="auto"/>
          <w:highlight w:val="none"/>
        </w:rPr>
        <w:t>七、中标和合同</w:t>
      </w:r>
    </w:p>
    <w:p w14:paraId="54CDC423">
      <w:pPr>
        <w:pStyle w:val="199"/>
        <w:keepNext w:val="0"/>
        <w:keepLines w:val="0"/>
        <w:spacing w:before="0" w:after="0" w:line="360" w:lineRule="auto"/>
        <w:ind w:left="420"/>
        <w:rPr>
          <w:rFonts w:hint="eastAsia" w:ascii="宋体" w:hAnsi="宋体" w:cs="宋体"/>
          <w:color w:val="auto"/>
          <w:sz w:val="24"/>
          <w:highlight w:val="none"/>
        </w:rPr>
      </w:pPr>
      <w:r>
        <w:rPr>
          <w:rFonts w:hint="eastAsia" w:ascii="宋体" w:hAnsi="宋体" w:cs="宋体"/>
          <w:color w:val="auto"/>
          <w:sz w:val="24"/>
          <w:highlight w:val="none"/>
        </w:rPr>
        <w:t>30 确定中标人</w:t>
      </w:r>
    </w:p>
    <w:p w14:paraId="096666CF">
      <w:pPr>
        <w:pStyle w:val="199"/>
        <w:keepNext w:val="0"/>
        <w:keepLines w:val="0"/>
        <w:spacing w:before="0" w:after="0" w:line="360" w:lineRule="auto"/>
        <w:ind w:firstLine="42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30.1采购代理机构在评标结束之日起2个工作日内将评标报告送采购人，采购人在收到评标报告之日起2个工作日内，在评标报告确定的中标候选人名单中按顺序确定中标人。中标候选人并列的，按照“投标人须知前附表”规定的方式确定中标人。采购人也可以事先授权评标委员会直接确定中标人。</w:t>
      </w:r>
    </w:p>
    <w:p w14:paraId="6B3B7046">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30.2采购人在收到评标报告2个工作日内未按评标报告推荐的中标候选人顺序确定中标人，又不能说明合法理由的，视同按评标报告推荐的顺序确定排名第一的中标候选人为中标人。</w:t>
      </w:r>
    </w:p>
    <w:p w14:paraId="0920BF35">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30.3出现下列情形之一的，应予废标：</w:t>
      </w:r>
    </w:p>
    <w:p w14:paraId="0B394491">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（1）符合专业条件的供应商或者对招标文件作实质响应的供应商不足三家的；</w:t>
      </w:r>
    </w:p>
    <w:p w14:paraId="4DD4FB23">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（2）出现影响采购公正的违法、违规行为的；</w:t>
      </w:r>
    </w:p>
    <w:p w14:paraId="16F86919">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（3）投标人的报价均超过了采购预算，采购人不能支付的；</w:t>
      </w:r>
    </w:p>
    <w:p w14:paraId="0C69F2EF">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（4）因重大变故，采购任务取消的。</w:t>
      </w:r>
    </w:p>
    <w:p w14:paraId="4A855EC7">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废标后，采购人应当将废标理由通知所有投标人。</w:t>
      </w:r>
    </w:p>
    <w:p w14:paraId="3DA7F89F">
      <w:pPr>
        <w:pStyle w:val="199"/>
        <w:keepNext w:val="0"/>
        <w:keepLines w:val="0"/>
        <w:spacing w:before="0" w:after="0" w:line="360" w:lineRule="auto"/>
        <w:ind w:left="420"/>
        <w:rPr>
          <w:rFonts w:hint="eastAsia" w:ascii="宋体" w:hAnsi="宋体" w:cs="宋体"/>
          <w:color w:val="auto"/>
          <w:sz w:val="24"/>
          <w:highlight w:val="none"/>
        </w:rPr>
      </w:pPr>
      <w:r>
        <w:rPr>
          <w:rFonts w:hint="eastAsia" w:ascii="宋体" w:hAnsi="宋体" w:cs="宋体"/>
          <w:color w:val="auto"/>
          <w:sz w:val="24"/>
          <w:highlight w:val="none"/>
        </w:rPr>
        <w:t>31. 结果公告</w:t>
      </w:r>
    </w:p>
    <w:p w14:paraId="2AE44B1C">
      <w:pPr>
        <w:pStyle w:val="199"/>
        <w:keepNext w:val="0"/>
        <w:keepLines w:val="0"/>
        <w:spacing w:before="0" w:after="0" w:line="360" w:lineRule="auto"/>
        <w:ind w:firstLine="42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31.1采购人或者采购代理机构应当自中标人确定之日起2个工作日内，在省级以上财政部门指定的媒体上公告中标结果，招标文件应当随中标结果同时公告。采购人或者采购代理发出中标通知书前，应当对中标人信用进行查询，对列入失信被执行人、重大税收违法失信主体、政府采购严重违法失信行为记录名单及其他不符合《中华人民共和国政府采购法》第二十二条规定条件的投标人，取消其中标资格，并确定排名第二的中标候选人为中标人。排名第二的中标候选人因前款规定的同样原因被取消中标资格的，采购人可以确定排名第三的中标候选人为中标人，以此类推。</w:t>
      </w:r>
    </w:p>
    <w:p w14:paraId="59CB7AF1">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以上信息查询记录及相关证据与采购文件一并保存。</w:t>
      </w:r>
    </w:p>
    <w:p w14:paraId="75828CA0">
      <w:pPr>
        <w:pStyle w:val="199"/>
        <w:keepNext w:val="0"/>
        <w:keepLines w:val="0"/>
        <w:spacing w:before="0" w:after="0" w:line="360" w:lineRule="auto"/>
        <w:ind w:firstLine="42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31.2中标供应商享受《政府采购促进中小企业发展管理办法》（财库〔2020〕46号）规定的中小企业扶持政策的，采购人、采购代理机构应当随中标结果公开中标供应商的《中小企业声明函》。</w:t>
      </w:r>
    </w:p>
    <w:p w14:paraId="2F1C9242">
      <w:pPr>
        <w:pStyle w:val="199"/>
        <w:keepNext w:val="0"/>
        <w:keepLines w:val="0"/>
        <w:spacing w:before="0" w:after="0" w:line="360" w:lineRule="auto"/>
        <w:ind w:left="420"/>
        <w:rPr>
          <w:rFonts w:hint="eastAsia" w:ascii="宋体" w:hAnsi="宋体" w:cs="宋体"/>
          <w:color w:val="auto"/>
          <w:sz w:val="24"/>
          <w:highlight w:val="none"/>
        </w:rPr>
      </w:pPr>
      <w:r>
        <w:rPr>
          <w:rFonts w:hint="eastAsia" w:ascii="宋体" w:hAnsi="宋体" w:cs="宋体"/>
          <w:color w:val="auto"/>
          <w:sz w:val="24"/>
          <w:highlight w:val="none"/>
        </w:rPr>
        <w:t>32.发出中标通知书</w:t>
      </w:r>
    </w:p>
    <w:p w14:paraId="4ADC8008">
      <w:pPr>
        <w:pStyle w:val="199"/>
        <w:keepNext w:val="0"/>
        <w:keepLines w:val="0"/>
        <w:spacing w:before="0" w:after="0" w:line="360" w:lineRule="auto"/>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 xml:space="preserve">    在发布中标公告的同时，采购代理机构向中标人通过广西政府采购云平台发出电子中标通知书。对未通过资格审查的投标人，应当告知其未通过的原因；采用综合评分办法评审的，还应当告知未中标人本人的评审得分与排序。</w:t>
      </w:r>
    </w:p>
    <w:p w14:paraId="1149E873">
      <w:pPr>
        <w:pStyle w:val="199"/>
        <w:keepNext w:val="0"/>
        <w:keepLines w:val="0"/>
        <w:spacing w:before="0" w:after="0" w:line="360" w:lineRule="auto"/>
        <w:ind w:left="420"/>
        <w:rPr>
          <w:rFonts w:hint="eastAsia" w:ascii="宋体" w:hAnsi="宋体" w:cs="宋体"/>
          <w:color w:val="auto"/>
          <w:sz w:val="24"/>
          <w:highlight w:val="none"/>
        </w:rPr>
      </w:pPr>
      <w:r>
        <w:rPr>
          <w:rFonts w:hint="eastAsia" w:ascii="宋体" w:hAnsi="宋体" w:cs="宋体"/>
          <w:color w:val="auto"/>
          <w:sz w:val="24"/>
          <w:highlight w:val="none"/>
        </w:rPr>
        <w:t>33. 无义务解释未中标原因</w:t>
      </w:r>
    </w:p>
    <w:p w14:paraId="2478588A">
      <w:pPr>
        <w:pStyle w:val="199"/>
        <w:keepNext w:val="0"/>
        <w:keepLines w:val="0"/>
        <w:spacing w:before="0" w:after="0" w:line="360" w:lineRule="auto"/>
        <w:ind w:left="42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采购代理机构无义务向未中标的投标人解释未中标原因。</w:t>
      </w:r>
    </w:p>
    <w:p w14:paraId="241D661D">
      <w:pPr>
        <w:pStyle w:val="199"/>
        <w:keepNext w:val="0"/>
        <w:keepLines w:val="0"/>
        <w:spacing w:before="0" w:after="0" w:line="360" w:lineRule="auto"/>
        <w:ind w:left="420"/>
        <w:rPr>
          <w:rFonts w:hint="eastAsia" w:ascii="宋体" w:hAnsi="宋体" w:cs="宋体"/>
          <w:color w:val="auto"/>
          <w:sz w:val="24"/>
          <w:highlight w:val="none"/>
        </w:rPr>
      </w:pPr>
      <w:r>
        <w:rPr>
          <w:rFonts w:hint="eastAsia" w:ascii="宋体" w:hAnsi="宋体" w:cs="宋体"/>
          <w:color w:val="auto"/>
          <w:sz w:val="24"/>
          <w:highlight w:val="none"/>
        </w:rPr>
        <w:t>34.合同授予标准</w:t>
      </w:r>
    </w:p>
    <w:p w14:paraId="0F998958">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合同将授予被确定实质上响应招标文件要求，具备履行合同能力的中标人。</w:t>
      </w:r>
    </w:p>
    <w:p w14:paraId="1F691CDA">
      <w:pPr>
        <w:pStyle w:val="199"/>
        <w:keepNext w:val="0"/>
        <w:keepLines w:val="0"/>
        <w:spacing w:before="0" w:after="0" w:line="360" w:lineRule="auto"/>
        <w:ind w:left="420"/>
        <w:rPr>
          <w:rFonts w:hint="eastAsia" w:ascii="宋体" w:hAnsi="宋体" w:cs="宋体"/>
          <w:color w:val="auto"/>
          <w:sz w:val="24"/>
          <w:highlight w:val="none"/>
        </w:rPr>
      </w:pPr>
      <w:r>
        <w:rPr>
          <w:rFonts w:hint="eastAsia" w:ascii="宋体" w:hAnsi="宋体" w:cs="宋体"/>
          <w:color w:val="auto"/>
          <w:sz w:val="24"/>
          <w:highlight w:val="none"/>
        </w:rPr>
        <w:t>35.履约保证金</w:t>
      </w:r>
    </w:p>
    <w:p w14:paraId="11E4D482">
      <w:pPr>
        <w:pStyle w:val="199"/>
        <w:keepNext w:val="0"/>
        <w:keepLines w:val="0"/>
        <w:spacing w:before="0" w:after="0" w:line="360" w:lineRule="auto"/>
        <w:ind w:firstLine="315"/>
        <w:rPr>
          <w:rFonts w:hint="eastAsia" w:ascii="宋体" w:hAnsi="宋体" w:cs="宋体"/>
          <w:color w:val="auto"/>
          <w:sz w:val="21"/>
          <w:szCs w:val="21"/>
          <w:highlight w:val="none"/>
        </w:rPr>
      </w:pPr>
      <w:r>
        <w:rPr>
          <w:rFonts w:hint="eastAsia" w:ascii="宋体" w:hAnsi="宋体" w:cs="宋体"/>
          <w:b w:val="0"/>
          <w:color w:val="auto"/>
          <w:sz w:val="21"/>
          <w:szCs w:val="21"/>
          <w:highlight w:val="none"/>
        </w:rPr>
        <w:t xml:space="preserve"> </w:t>
      </w:r>
      <w:r>
        <w:rPr>
          <w:rFonts w:hint="eastAsia" w:ascii="宋体" w:hAnsi="宋体" w:cs="宋体"/>
          <w:b w:val="0"/>
          <w:bCs/>
          <w:color w:val="auto"/>
          <w:sz w:val="21"/>
          <w:szCs w:val="21"/>
          <w:highlight w:val="none"/>
        </w:rPr>
        <w:t>履约保证金：</w:t>
      </w:r>
      <w:r>
        <w:rPr>
          <w:rFonts w:hint="eastAsia" w:ascii="宋体" w:hAnsi="宋体" w:cs="宋体"/>
          <w:b w:val="0"/>
          <w:bCs/>
          <w:color w:val="auto"/>
          <w:sz w:val="21"/>
          <w:szCs w:val="21"/>
          <w:highlight w:val="none"/>
          <w:lang w:eastAsia="zh-CN"/>
        </w:rPr>
        <w:t>按投标人须知前附表中执行</w:t>
      </w:r>
      <w:r>
        <w:rPr>
          <w:rFonts w:hint="eastAsia" w:ascii="宋体" w:hAnsi="宋体" w:cs="宋体"/>
          <w:b w:val="0"/>
          <w:bCs/>
          <w:color w:val="auto"/>
          <w:sz w:val="21"/>
          <w:szCs w:val="21"/>
          <w:highlight w:val="none"/>
        </w:rPr>
        <w:t>。</w:t>
      </w:r>
    </w:p>
    <w:p w14:paraId="59F1FF8D">
      <w:pPr>
        <w:pStyle w:val="199"/>
        <w:keepNext w:val="0"/>
        <w:keepLines w:val="0"/>
        <w:spacing w:before="0" w:after="0" w:line="360" w:lineRule="auto"/>
        <w:ind w:left="420"/>
        <w:rPr>
          <w:rFonts w:hint="eastAsia" w:ascii="宋体" w:hAnsi="宋体" w:cs="宋体"/>
          <w:color w:val="auto"/>
          <w:sz w:val="24"/>
          <w:highlight w:val="none"/>
        </w:rPr>
      </w:pPr>
      <w:r>
        <w:rPr>
          <w:rFonts w:hint="eastAsia" w:ascii="宋体" w:hAnsi="宋体" w:cs="宋体"/>
          <w:color w:val="auto"/>
          <w:sz w:val="24"/>
          <w:highlight w:val="none"/>
        </w:rPr>
        <w:t>36.签订合同</w:t>
      </w:r>
    </w:p>
    <w:p w14:paraId="1DA727F9">
      <w:pPr>
        <w:pStyle w:val="199"/>
        <w:keepNext w:val="0"/>
        <w:keepLines w:val="0"/>
        <w:spacing w:before="0" w:after="0" w:line="360" w:lineRule="auto"/>
        <w:ind w:firstLine="315"/>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 xml:space="preserve"> </w:t>
      </w:r>
      <w:r>
        <w:rPr>
          <w:rFonts w:hint="eastAsia" w:ascii="宋体" w:hAnsi="宋体" w:cs="宋体"/>
          <w:color w:val="auto"/>
          <w:sz w:val="21"/>
          <w:szCs w:val="21"/>
          <w:highlight w:val="none"/>
        </w:rPr>
        <w:t>36.1签订电子采购合同：中标人领取电子中标通知书后，在</w:t>
      </w:r>
      <w:r>
        <w:rPr>
          <w:rFonts w:hint="eastAsia" w:ascii="宋体" w:hAnsi="宋体" w:cs="宋体"/>
          <w:color w:val="auto"/>
          <w:sz w:val="21"/>
          <w:szCs w:val="21"/>
          <w:highlight w:val="none"/>
          <w:lang w:val="zh-CN"/>
        </w:rPr>
        <w:t>规定的日期、时间、地点，由法定代表人或其授权代表与采购人代表签订电子采购合同。如中标人为联合体的，由联合体成员各方法定代表人或其授权代表与采购人代表签订合同。</w:t>
      </w:r>
    </w:p>
    <w:p w14:paraId="66CDD2D5">
      <w:pPr>
        <w:pStyle w:val="199"/>
        <w:keepNext w:val="0"/>
        <w:keepLines w:val="0"/>
        <w:spacing w:before="0" w:after="0" w:line="360" w:lineRule="auto"/>
        <w:ind w:firstLine="315"/>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 xml:space="preserve"> 线下签订纸质合同：投标人领取中标通知书后，按“投标人须知前附表”规定向采购人出示相关证明材料，经采购人核验合格后方可签订合同。</w:t>
      </w:r>
    </w:p>
    <w:p w14:paraId="29836155">
      <w:pPr>
        <w:pStyle w:val="199"/>
        <w:keepNext w:val="0"/>
        <w:keepLines w:val="0"/>
        <w:numPr>
          <w:ilvl w:val="0"/>
          <w:numId w:val="0"/>
        </w:numPr>
        <w:spacing w:before="0" w:after="0" w:line="360" w:lineRule="auto"/>
        <w:ind w:firstLine="42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36.2签订合同时间：中标通知书发出后</w:t>
      </w:r>
      <w:r>
        <w:rPr>
          <w:rFonts w:hint="eastAsia" w:ascii="宋体" w:hAnsi="宋体" w:cs="宋体"/>
          <w:b w:val="0"/>
          <w:color w:val="auto"/>
          <w:sz w:val="21"/>
          <w:szCs w:val="21"/>
          <w:highlight w:val="none"/>
          <w:lang w:val="en-US" w:eastAsia="zh-CN"/>
        </w:rPr>
        <w:t>25</w:t>
      </w:r>
      <w:r>
        <w:rPr>
          <w:rFonts w:hint="eastAsia" w:ascii="宋体" w:hAnsi="宋体" w:cs="宋体"/>
          <w:b w:val="0"/>
          <w:color w:val="auto"/>
          <w:sz w:val="21"/>
          <w:szCs w:val="21"/>
          <w:highlight w:val="none"/>
        </w:rPr>
        <w:t>个日历日内与采购人签订合同。</w:t>
      </w:r>
    </w:p>
    <w:p w14:paraId="1F828A3F">
      <w:pPr>
        <w:pStyle w:val="199"/>
        <w:keepNext w:val="0"/>
        <w:keepLines w:val="0"/>
        <w:spacing w:before="0" w:after="0" w:line="360" w:lineRule="auto"/>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 xml:space="preserve">    36.3中标人拒绝签订政府采购合同（包括但不限于放弃中标、因不可抗力不能履行合同而放弃签订合同），采购人可以按照评审报告推荐的中标候选人名单排序，确定下一候选人为中标供应商，也可以重新开展政府采购活动。如采购人无正当理由拒签合同的，给中标供应商造成损失的，中标供应商可追究采购人承担相应的法律责任。</w:t>
      </w:r>
    </w:p>
    <w:p w14:paraId="2DAC3AFB">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36.4政府采购合同是政府采购项目验收的依据，中标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05685AD1">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36.5采购人或中标供应商不得单方面向合同另一方提出任何招标文件没有约定的条件或不合理的要求，作为签订合同的条件；也不得协商另行订立背离招标文件和合同实质性内容的协议。</w:t>
      </w:r>
    </w:p>
    <w:p w14:paraId="678275F9">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36.6如签订合同并生效后，供应商无故拒绝或延期，除按照合同条款处理外，将承担相应的法律责任。</w:t>
      </w:r>
    </w:p>
    <w:p w14:paraId="6090A96D">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36.7政府采购合同履行中，采购人需追加与合同标的相同的货物、工程或者服务的，在不改变合同其他条款的前提下，可以与供应商协商签订补充合同，但所有补充合同的采购金额不得超过原合同采购金额的10%。</w:t>
      </w:r>
    </w:p>
    <w:p w14:paraId="4445FB64">
      <w:pPr>
        <w:pStyle w:val="199"/>
        <w:keepNext w:val="0"/>
        <w:keepLines w:val="0"/>
        <w:spacing w:before="0" w:after="0" w:line="360" w:lineRule="auto"/>
        <w:ind w:left="420"/>
        <w:rPr>
          <w:rFonts w:hint="eastAsia" w:ascii="宋体" w:hAnsi="宋体" w:cs="宋体"/>
          <w:color w:val="auto"/>
          <w:sz w:val="24"/>
          <w:highlight w:val="none"/>
        </w:rPr>
      </w:pPr>
      <w:r>
        <w:rPr>
          <w:rFonts w:hint="eastAsia" w:ascii="宋体" w:hAnsi="宋体" w:cs="宋体"/>
          <w:color w:val="auto"/>
          <w:sz w:val="24"/>
          <w:highlight w:val="none"/>
        </w:rPr>
        <w:t>37.政府采购合同公告</w:t>
      </w:r>
    </w:p>
    <w:p w14:paraId="129D17C2">
      <w:pPr>
        <w:pStyle w:val="230"/>
        <w:spacing w:line="360" w:lineRule="auto"/>
        <w:ind w:firstLine="420"/>
        <w:rPr>
          <w:rFonts w:hint="eastAsia" w:hAnsi="宋体" w:cs="宋体"/>
          <w:color w:val="auto"/>
          <w:sz w:val="21"/>
          <w:highlight w:val="none"/>
        </w:rPr>
      </w:pPr>
      <w:r>
        <w:rPr>
          <w:rFonts w:hint="eastAsia" w:hAnsi="宋体" w:cs="宋体"/>
          <w:color w:val="auto"/>
          <w:sz w:val="21"/>
          <w:highlight w:val="none"/>
        </w:rPr>
        <w:t>采购人或者受托采购代理机构应当自政府采购合同签订之日起2个工作日内，将政府采购合同在省级以上人民政府财政部门指定的媒体上公告，但政府采购合同中涉及国家秘密、商业秘密的内容除外。</w:t>
      </w:r>
    </w:p>
    <w:p w14:paraId="3EABBED2">
      <w:pPr>
        <w:pStyle w:val="199"/>
        <w:keepNext w:val="0"/>
        <w:keepLines w:val="0"/>
        <w:spacing w:before="0" w:after="0" w:line="360" w:lineRule="auto"/>
        <w:ind w:left="420"/>
        <w:rPr>
          <w:rFonts w:hint="eastAsia" w:ascii="宋体" w:hAnsi="宋体" w:cs="宋体"/>
          <w:color w:val="auto"/>
          <w:sz w:val="24"/>
          <w:highlight w:val="none"/>
        </w:rPr>
      </w:pPr>
      <w:r>
        <w:rPr>
          <w:rFonts w:hint="eastAsia" w:ascii="宋体" w:hAnsi="宋体" w:cs="宋体"/>
          <w:color w:val="auto"/>
          <w:sz w:val="24"/>
          <w:highlight w:val="none"/>
        </w:rPr>
        <w:t>38. 询问、质疑和投诉</w:t>
      </w:r>
    </w:p>
    <w:p w14:paraId="3927BD44">
      <w:pPr>
        <w:pStyle w:val="200"/>
        <w:spacing w:line="360" w:lineRule="auto"/>
        <w:rPr>
          <w:rFonts w:hint="eastAsia" w:ascii="宋体" w:hAnsi="宋体" w:cs="宋体"/>
          <w:color w:val="auto"/>
          <w:szCs w:val="21"/>
          <w:highlight w:val="none"/>
        </w:rPr>
      </w:pPr>
      <w:r>
        <w:rPr>
          <w:rFonts w:hint="eastAsia" w:ascii="宋体" w:hAnsi="宋体" w:cs="宋体"/>
          <w:color w:val="auto"/>
          <w:szCs w:val="21"/>
          <w:highlight w:val="none"/>
        </w:rPr>
        <w:t>38.1供应商对政府采购活动事项有疑问的，可以向采购人提出询问，采购人或者采购代理机构应当在3个工作日内对供应商依法提出的询问作出答复，但答复的内容不得涉及商业秘密。</w:t>
      </w:r>
    </w:p>
    <w:p w14:paraId="2ED2A212">
      <w:pPr>
        <w:pStyle w:val="199"/>
        <w:keepNext w:val="0"/>
        <w:keepLines w:val="0"/>
        <w:spacing w:before="0" w:after="0" w:line="360" w:lineRule="auto"/>
        <w:ind w:firstLine="315"/>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 xml:space="preserve"> 38.2供应商认为招标文件、采购过程或者中标结果使自己的合法权益受到损害的，必须在知道或者应知其权益受到损害之日起7个工作日内，以书面形式向采购人、采购代理机构提出质疑。采购人、采购代理机构接收质疑函的方式、联系部门、联系电话和通讯地址等信息详见“投标人须知前附表”。具体质疑起算时间如下： </w:t>
      </w:r>
    </w:p>
    <w:p w14:paraId="5C44A670">
      <w:pPr>
        <w:pStyle w:val="230"/>
        <w:spacing w:line="360" w:lineRule="auto"/>
        <w:ind w:firstLine="420"/>
        <w:rPr>
          <w:rFonts w:hint="eastAsia" w:hAnsi="宋体" w:cs="宋体"/>
          <w:color w:val="auto"/>
          <w:sz w:val="21"/>
          <w:highlight w:val="none"/>
        </w:rPr>
      </w:pPr>
      <w:r>
        <w:rPr>
          <w:rFonts w:hint="eastAsia" w:hAnsi="宋体" w:cs="宋体"/>
          <w:color w:val="auto"/>
          <w:sz w:val="21"/>
          <w:highlight w:val="none"/>
        </w:rPr>
        <w:t>（1）对可以质疑的招标文件提出质疑的，为收到招标文件之日或者招标文件公告期限届满之日；</w:t>
      </w:r>
    </w:p>
    <w:p w14:paraId="31AA0249">
      <w:pPr>
        <w:pStyle w:val="230"/>
        <w:spacing w:line="360" w:lineRule="auto"/>
        <w:ind w:firstLine="420"/>
        <w:rPr>
          <w:rFonts w:hint="eastAsia" w:hAnsi="宋体" w:cs="宋体"/>
          <w:color w:val="auto"/>
          <w:sz w:val="21"/>
          <w:highlight w:val="none"/>
        </w:rPr>
      </w:pPr>
      <w:r>
        <w:rPr>
          <w:rFonts w:hint="eastAsia" w:hAnsi="宋体" w:cs="宋体"/>
          <w:color w:val="auto"/>
          <w:sz w:val="21"/>
          <w:highlight w:val="none"/>
        </w:rPr>
        <w:t>（2）对采购过程提出质疑的，为各采购程序环节结束之日；</w:t>
      </w:r>
    </w:p>
    <w:p w14:paraId="42242ACE">
      <w:pPr>
        <w:pStyle w:val="230"/>
        <w:spacing w:line="360" w:lineRule="auto"/>
        <w:ind w:firstLine="420"/>
        <w:rPr>
          <w:rFonts w:hint="eastAsia" w:hAnsi="宋体" w:cs="宋体"/>
          <w:bCs/>
          <w:color w:val="auto"/>
          <w:sz w:val="21"/>
          <w:highlight w:val="none"/>
        </w:rPr>
      </w:pPr>
      <w:r>
        <w:rPr>
          <w:rFonts w:hint="eastAsia" w:hAnsi="宋体" w:cs="宋体"/>
          <w:color w:val="auto"/>
          <w:sz w:val="21"/>
          <w:highlight w:val="none"/>
        </w:rPr>
        <w:t>（3）对中标结果提出质疑的，为中标结果公告期限届满之日。</w:t>
      </w:r>
    </w:p>
    <w:p w14:paraId="16D47FFC">
      <w:pPr>
        <w:pStyle w:val="199"/>
        <w:keepNext w:val="0"/>
        <w:keepLines w:val="0"/>
        <w:spacing w:before="0" w:after="0" w:line="360" w:lineRule="auto"/>
        <w:ind w:firstLine="315"/>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 xml:space="preserve"> 38.3 </w:t>
      </w:r>
      <w:r>
        <w:rPr>
          <w:rFonts w:hint="eastAsia" w:ascii="宋体" w:hAnsi="宋体" w:cs="宋体"/>
          <w:b w:val="0"/>
          <w:bCs/>
          <w:color w:val="auto"/>
          <w:sz w:val="21"/>
          <w:highlight w:val="none"/>
        </w:rPr>
        <w:t>供应商提出质疑应当提交质疑函和必要的证明材料，针对同一采购程序环节的质疑必须在法定质疑期内一次性提出。质疑函应当包括下列内容（质疑函格式后附）：</w:t>
      </w:r>
    </w:p>
    <w:p w14:paraId="62535D70">
      <w:pPr>
        <w:pStyle w:val="230"/>
        <w:spacing w:line="360" w:lineRule="auto"/>
        <w:ind w:firstLine="420"/>
        <w:rPr>
          <w:rFonts w:hint="eastAsia" w:hAnsi="宋体" w:cs="宋体"/>
          <w:bCs/>
          <w:color w:val="auto"/>
          <w:sz w:val="21"/>
          <w:highlight w:val="none"/>
        </w:rPr>
      </w:pPr>
      <w:r>
        <w:rPr>
          <w:rFonts w:hint="eastAsia" w:hAnsi="宋体" w:cs="宋体"/>
          <w:bCs/>
          <w:color w:val="auto"/>
          <w:sz w:val="21"/>
          <w:highlight w:val="none"/>
        </w:rPr>
        <w:t>（1）供应商的姓名或者名称、地址、邮编、联系人及联系电话；</w:t>
      </w:r>
    </w:p>
    <w:p w14:paraId="4835D3FB">
      <w:pPr>
        <w:pStyle w:val="230"/>
        <w:spacing w:line="360" w:lineRule="auto"/>
        <w:ind w:firstLine="420"/>
        <w:rPr>
          <w:rFonts w:hint="eastAsia" w:hAnsi="宋体" w:cs="宋体"/>
          <w:bCs/>
          <w:color w:val="auto"/>
          <w:sz w:val="21"/>
          <w:highlight w:val="none"/>
        </w:rPr>
      </w:pPr>
      <w:r>
        <w:rPr>
          <w:rFonts w:hint="eastAsia" w:hAnsi="宋体" w:cs="宋体"/>
          <w:bCs/>
          <w:color w:val="auto"/>
          <w:sz w:val="21"/>
          <w:highlight w:val="none"/>
        </w:rPr>
        <w:t>（2）质疑项目的名称、编号；</w:t>
      </w:r>
    </w:p>
    <w:p w14:paraId="370F9D7B">
      <w:pPr>
        <w:pStyle w:val="230"/>
        <w:spacing w:line="360" w:lineRule="auto"/>
        <w:ind w:firstLine="420"/>
        <w:rPr>
          <w:rFonts w:hint="eastAsia" w:hAnsi="宋体" w:cs="宋体"/>
          <w:bCs/>
          <w:color w:val="auto"/>
          <w:sz w:val="21"/>
          <w:highlight w:val="none"/>
        </w:rPr>
      </w:pPr>
      <w:r>
        <w:rPr>
          <w:rFonts w:hint="eastAsia" w:hAnsi="宋体" w:cs="宋体"/>
          <w:bCs/>
          <w:color w:val="auto"/>
          <w:sz w:val="21"/>
          <w:highlight w:val="none"/>
        </w:rPr>
        <w:t>（3）具体、明确的质疑事项和与质疑事项相关的请求；</w:t>
      </w:r>
    </w:p>
    <w:p w14:paraId="4E251895">
      <w:pPr>
        <w:pStyle w:val="230"/>
        <w:spacing w:line="360" w:lineRule="auto"/>
        <w:ind w:firstLine="420"/>
        <w:rPr>
          <w:rFonts w:hint="eastAsia" w:hAnsi="宋体" w:cs="宋体"/>
          <w:bCs/>
          <w:color w:val="auto"/>
          <w:sz w:val="21"/>
          <w:highlight w:val="none"/>
        </w:rPr>
      </w:pPr>
      <w:r>
        <w:rPr>
          <w:rFonts w:hint="eastAsia" w:hAnsi="宋体" w:cs="宋体"/>
          <w:bCs/>
          <w:color w:val="auto"/>
          <w:sz w:val="21"/>
          <w:highlight w:val="none"/>
        </w:rPr>
        <w:t>（4）事实依据；</w:t>
      </w:r>
    </w:p>
    <w:p w14:paraId="1E20C1ED">
      <w:pPr>
        <w:pStyle w:val="230"/>
        <w:spacing w:line="360" w:lineRule="auto"/>
        <w:ind w:firstLine="420"/>
        <w:rPr>
          <w:rFonts w:hint="eastAsia" w:hAnsi="宋体" w:cs="宋体"/>
          <w:bCs/>
          <w:color w:val="auto"/>
          <w:sz w:val="21"/>
          <w:highlight w:val="none"/>
        </w:rPr>
      </w:pPr>
      <w:r>
        <w:rPr>
          <w:rFonts w:hint="eastAsia" w:hAnsi="宋体" w:cs="宋体"/>
          <w:bCs/>
          <w:color w:val="auto"/>
          <w:sz w:val="21"/>
          <w:highlight w:val="none"/>
        </w:rPr>
        <w:t>（5）必要的法律依据；</w:t>
      </w:r>
    </w:p>
    <w:p w14:paraId="1EC1DE93">
      <w:pPr>
        <w:pStyle w:val="230"/>
        <w:spacing w:line="360" w:lineRule="auto"/>
        <w:ind w:firstLine="420"/>
        <w:rPr>
          <w:rFonts w:hint="eastAsia" w:hAnsi="宋体" w:cs="宋体"/>
          <w:bCs/>
          <w:color w:val="auto"/>
          <w:sz w:val="21"/>
          <w:highlight w:val="none"/>
        </w:rPr>
      </w:pPr>
      <w:r>
        <w:rPr>
          <w:rFonts w:hint="eastAsia" w:hAnsi="宋体" w:cs="宋体"/>
          <w:bCs/>
          <w:color w:val="auto"/>
          <w:sz w:val="21"/>
          <w:highlight w:val="none"/>
        </w:rPr>
        <w:t>（6）提出质疑的日期。</w:t>
      </w:r>
    </w:p>
    <w:p w14:paraId="5C657EEE">
      <w:pPr>
        <w:pStyle w:val="230"/>
        <w:spacing w:line="360" w:lineRule="auto"/>
        <w:ind w:firstLine="420"/>
        <w:rPr>
          <w:rFonts w:hint="eastAsia" w:hAnsi="宋体" w:cs="宋体"/>
          <w:bCs/>
          <w:color w:val="auto"/>
          <w:sz w:val="21"/>
          <w:highlight w:val="none"/>
        </w:rPr>
      </w:pPr>
      <w:r>
        <w:rPr>
          <w:rFonts w:hint="eastAsia" w:hAnsi="宋体" w:cs="宋体"/>
          <w:bCs/>
          <w:color w:val="auto"/>
          <w:sz w:val="21"/>
          <w:highlight w:val="none"/>
        </w:rPr>
        <w:t>供应商为自然人的，应当由本人签字；供应商为法人或者其他组织的，应当由法定代表人、主要负责人，或者其委托代理人签字或者盖章，并加盖公章。</w:t>
      </w:r>
    </w:p>
    <w:p w14:paraId="4BA392BF">
      <w:pPr>
        <w:pStyle w:val="199"/>
        <w:keepNext w:val="0"/>
        <w:keepLines w:val="0"/>
        <w:spacing w:before="0" w:after="0" w:line="360" w:lineRule="auto"/>
        <w:ind w:firstLine="420"/>
        <w:rPr>
          <w:rFonts w:hint="eastAsia" w:ascii="宋体" w:hAnsi="宋体" w:cs="宋体"/>
          <w:b w:val="0"/>
          <w:bCs/>
          <w:color w:val="auto"/>
          <w:sz w:val="21"/>
          <w:szCs w:val="21"/>
          <w:highlight w:val="none"/>
        </w:rPr>
      </w:pPr>
      <w:r>
        <w:rPr>
          <w:rFonts w:hint="eastAsia" w:ascii="宋体" w:hAnsi="宋体" w:cs="宋体"/>
          <w:b w:val="0"/>
          <w:color w:val="auto"/>
          <w:sz w:val="21"/>
          <w:szCs w:val="21"/>
          <w:highlight w:val="none"/>
        </w:rPr>
        <w:t>3</w:t>
      </w:r>
      <w:r>
        <w:rPr>
          <w:rFonts w:hint="eastAsia" w:ascii="宋体" w:hAnsi="宋体" w:cs="宋体"/>
          <w:b w:val="0"/>
          <w:bCs/>
          <w:color w:val="auto"/>
          <w:sz w:val="21"/>
          <w:szCs w:val="21"/>
          <w:highlight w:val="none"/>
        </w:rPr>
        <w:t>8.4采购人、采购代理机构认为供应商质疑不成立，或者成立但未对中标结果构成影响的，继续开展采购活动；认为供应商质疑成立且影响或者可能影响中标结果的，按照下列情况处理：</w:t>
      </w:r>
    </w:p>
    <w:p w14:paraId="6AF00936">
      <w:pPr>
        <w:pStyle w:val="230"/>
        <w:spacing w:line="360" w:lineRule="auto"/>
        <w:rPr>
          <w:rFonts w:hint="eastAsia" w:hAnsi="宋体" w:cs="宋体"/>
          <w:bCs/>
          <w:color w:val="auto"/>
          <w:sz w:val="21"/>
          <w:highlight w:val="none"/>
        </w:rPr>
      </w:pPr>
      <w:r>
        <w:rPr>
          <w:rFonts w:hint="eastAsia" w:hAnsi="宋体" w:cs="宋体"/>
          <w:bCs/>
          <w:color w:val="auto"/>
          <w:sz w:val="21"/>
          <w:highlight w:val="none"/>
        </w:rPr>
        <w:t>　　（一）对招标文件提出的质疑，依法通过澄清或者修改可以继续开展采购活动的，澄清或者修改招标文件后继续开展采购活动；否则应当修改招标文件后重新开展采购活动。</w:t>
      </w:r>
    </w:p>
    <w:p w14:paraId="15D6EB20">
      <w:pPr>
        <w:pStyle w:val="230"/>
        <w:spacing w:line="360" w:lineRule="auto"/>
        <w:rPr>
          <w:rFonts w:hint="eastAsia" w:hAnsi="宋体" w:cs="宋体"/>
          <w:bCs/>
          <w:color w:val="auto"/>
          <w:sz w:val="21"/>
          <w:highlight w:val="none"/>
        </w:rPr>
      </w:pPr>
      <w:r>
        <w:rPr>
          <w:rFonts w:hint="eastAsia" w:hAnsi="宋体" w:cs="宋体"/>
          <w:bCs/>
          <w:color w:val="auto"/>
          <w:sz w:val="21"/>
          <w:highlight w:val="none"/>
        </w:rPr>
        <w:t>　　（二）对采购过程、中标结果提出的质疑，合格供应商符合法定数量时，可以从合格的中标候选人中另行确定中标供应商的，应当依法另行确定中标供应商；否则应当重新开展采购活动。</w:t>
      </w:r>
    </w:p>
    <w:p w14:paraId="25620E7D">
      <w:pPr>
        <w:pStyle w:val="230"/>
        <w:spacing w:line="360" w:lineRule="auto"/>
        <w:ind w:firstLine="420"/>
        <w:rPr>
          <w:rFonts w:hint="eastAsia" w:hAnsi="宋体" w:cs="宋体"/>
          <w:bCs/>
          <w:color w:val="auto"/>
          <w:sz w:val="21"/>
          <w:highlight w:val="none"/>
        </w:rPr>
      </w:pPr>
      <w:r>
        <w:rPr>
          <w:rFonts w:hint="eastAsia" w:hAnsi="宋体" w:cs="宋体"/>
          <w:bCs/>
          <w:color w:val="auto"/>
          <w:sz w:val="21"/>
          <w:highlight w:val="none"/>
        </w:rPr>
        <w:t>质疑答复导致中标结果改变的，采购人或者采购代理机构应当将有关情况书面报告本级财政部门。</w:t>
      </w:r>
    </w:p>
    <w:p w14:paraId="136F66D0">
      <w:pPr>
        <w:pStyle w:val="230"/>
        <w:spacing w:line="360" w:lineRule="auto"/>
        <w:ind w:firstLine="420"/>
        <w:rPr>
          <w:rFonts w:hint="eastAsia" w:hAnsi="宋体" w:cs="宋体"/>
          <w:color w:val="auto"/>
          <w:sz w:val="21"/>
          <w:highlight w:val="none"/>
        </w:rPr>
      </w:pPr>
      <w:r>
        <w:rPr>
          <w:rFonts w:hint="eastAsia" w:hAnsi="宋体" w:cs="宋体"/>
          <w:color w:val="auto"/>
          <w:sz w:val="21"/>
          <w:highlight w:val="none"/>
        </w:rPr>
        <w:t>38.5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692A23A6">
      <w:pPr>
        <w:pStyle w:val="197"/>
        <w:keepNext w:val="0"/>
        <w:keepLines w:val="0"/>
        <w:spacing w:before="240" w:after="240" w:line="415" w:lineRule="auto"/>
        <w:jc w:val="center"/>
        <w:rPr>
          <w:rFonts w:hint="eastAsia" w:ascii="宋体" w:hAnsi="宋体" w:cs="宋体"/>
          <w:color w:val="auto"/>
          <w:highlight w:val="none"/>
        </w:rPr>
      </w:pPr>
      <w:r>
        <w:rPr>
          <w:rFonts w:hint="eastAsia" w:ascii="宋体" w:hAnsi="宋体" w:cs="宋体"/>
          <w:color w:val="auto"/>
          <w:highlight w:val="none"/>
        </w:rPr>
        <w:t>八、其他事项</w:t>
      </w:r>
    </w:p>
    <w:p w14:paraId="248C7E3A">
      <w:pPr>
        <w:pStyle w:val="199"/>
        <w:keepNext w:val="0"/>
        <w:keepLines w:val="0"/>
        <w:spacing w:before="0" w:after="0" w:line="360" w:lineRule="auto"/>
        <w:ind w:left="420"/>
        <w:rPr>
          <w:rFonts w:hint="eastAsia" w:ascii="宋体" w:hAnsi="宋体" w:cs="宋体"/>
          <w:color w:val="auto"/>
          <w:sz w:val="24"/>
          <w:highlight w:val="none"/>
        </w:rPr>
      </w:pPr>
      <w:r>
        <w:rPr>
          <w:rFonts w:hint="eastAsia" w:ascii="宋体" w:hAnsi="宋体" w:cs="宋体"/>
          <w:color w:val="auto"/>
          <w:sz w:val="24"/>
          <w:highlight w:val="none"/>
        </w:rPr>
        <w:t>39.代理服务费</w:t>
      </w:r>
    </w:p>
    <w:p w14:paraId="5015B82D">
      <w:pPr>
        <w:pStyle w:val="199"/>
        <w:keepNext w:val="0"/>
        <w:keepLines w:val="0"/>
        <w:spacing w:before="0" w:after="0" w:line="360" w:lineRule="auto"/>
        <w:ind w:left="42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39.1代理服务收费标准及缴费账户详见“投标人须知前附表”，投标人为联合体的，可以由联合体中的一方或者多方共同交纳代理服务费。</w:t>
      </w:r>
    </w:p>
    <w:p w14:paraId="1AF40660">
      <w:pPr>
        <w:pStyle w:val="199"/>
        <w:keepNext w:val="0"/>
        <w:keepLines w:val="0"/>
        <w:spacing w:before="0" w:after="0" w:line="360" w:lineRule="auto"/>
        <w:ind w:left="420"/>
        <w:rPr>
          <w:rFonts w:hint="eastAsia" w:ascii="宋体" w:hAnsi="宋体" w:cs="宋体"/>
          <w:color w:val="auto"/>
          <w:sz w:val="24"/>
          <w:highlight w:val="none"/>
        </w:rPr>
      </w:pPr>
      <w:r>
        <w:rPr>
          <w:rFonts w:hint="eastAsia" w:ascii="宋体" w:hAnsi="宋体" w:cs="宋体"/>
          <w:color w:val="auto"/>
          <w:sz w:val="24"/>
          <w:highlight w:val="none"/>
        </w:rPr>
        <w:t>40. 需要补充的其他内容</w:t>
      </w:r>
    </w:p>
    <w:p w14:paraId="3CF88B94">
      <w:pPr>
        <w:pStyle w:val="230"/>
        <w:spacing w:line="360" w:lineRule="auto"/>
        <w:ind w:firstLine="420"/>
        <w:rPr>
          <w:rFonts w:hint="eastAsia" w:hAnsi="宋体" w:cs="宋体"/>
          <w:color w:val="auto"/>
          <w:sz w:val="21"/>
          <w:highlight w:val="none"/>
        </w:rPr>
      </w:pPr>
      <w:r>
        <w:rPr>
          <w:rFonts w:hint="eastAsia" w:hAnsi="宋体" w:cs="宋体"/>
          <w:color w:val="auto"/>
          <w:sz w:val="21"/>
          <w:highlight w:val="none"/>
        </w:rPr>
        <w:t>40.1本招标文件解释规则详见“投标人须知前附表”。</w:t>
      </w:r>
    </w:p>
    <w:p w14:paraId="5BDB9B6E">
      <w:pPr>
        <w:pStyle w:val="230"/>
        <w:spacing w:line="360" w:lineRule="auto"/>
        <w:ind w:firstLine="420"/>
        <w:rPr>
          <w:rFonts w:hint="eastAsia" w:hAnsi="宋体" w:cs="宋体"/>
          <w:color w:val="auto"/>
          <w:sz w:val="21"/>
          <w:highlight w:val="none"/>
        </w:rPr>
      </w:pPr>
      <w:r>
        <w:rPr>
          <w:rFonts w:hint="eastAsia" w:hAnsi="宋体" w:cs="宋体"/>
          <w:color w:val="auto"/>
          <w:sz w:val="21"/>
          <w:highlight w:val="none"/>
        </w:rPr>
        <w:t>40.2 其他事项详见“投标人须知前附表”。</w:t>
      </w:r>
    </w:p>
    <w:p w14:paraId="6C63FA70">
      <w:pPr>
        <w:pStyle w:val="230"/>
        <w:spacing w:line="360" w:lineRule="auto"/>
        <w:ind w:firstLine="420"/>
        <w:rPr>
          <w:rFonts w:hint="eastAsia" w:hAnsi="宋体" w:cs="宋体"/>
          <w:color w:val="auto"/>
          <w:sz w:val="21"/>
          <w:highlight w:val="none"/>
        </w:rPr>
      </w:pPr>
      <w:r>
        <w:rPr>
          <w:rFonts w:hint="eastAsia" w:hAnsi="宋体" w:cs="宋体"/>
          <w:color w:val="auto"/>
          <w:sz w:val="21"/>
          <w:highlight w:val="none"/>
        </w:rPr>
        <w:t>40.3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文件规定的中小企业扶持政策：</w:t>
      </w:r>
    </w:p>
    <w:p w14:paraId="29FD1E5A">
      <w:pPr>
        <w:pStyle w:val="230"/>
        <w:spacing w:line="360" w:lineRule="auto"/>
        <w:ind w:firstLine="420"/>
        <w:rPr>
          <w:rFonts w:hint="eastAsia" w:hAnsi="宋体" w:cs="宋体"/>
          <w:color w:val="auto"/>
          <w:sz w:val="21"/>
          <w:highlight w:val="none"/>
        </w:rPr>
      </w:pPr>
      <w:r>
        <w:rPr>
          <w:rFonts w:hint="eastAsia" w:hAnsi="宋体" w:cs="宋体"/>
          <w:color w:val="auto"/>
          <w:sz w:val="21"/>
          <w:highlight w:val="none"/>
        </w:rPr>
        <w:t>（1）在货物采购项目中，货物由中小企业制造，即货物由中小企业生产且使用该中小企业商号或者注册商标，不对其中涉及的工程承建商和服务的承接商作出要求；</w:t>
      </w:r>
    </w:p>
    <w:p w14:paraId="510EC83D">
      <w:pPr>
        <w:pStyle w:val="230"/>
        <w:spacing w:line="360" w:lineRule="auto"/>
        <w:ind w:firstLine="420"/>
        <w:rPr>
          <w:rFonts w:hint="eastAsia" w:hAnsi="宋体" w:cs="宋体"/>
          <w:color w:val="auto"/>
          <w:sz w:val="21"/>
          <w:highlight w:val="none"/>
        </w:rPr>
      </w:pPr>
      <w:r>
        <w:rPr>
          <w:rFonts w:hint="eastAsia" w:hAnsi="宋体" w:cs="宋体"/>
          <w:color w:val="auto"/>
          <w:sz w:val="21"/>
          <w:highlight w:val="none"/>
        </w:rPr>
        <w:t>（2）在工程采购项目中，工程由中小企业承建，即工程施工单位为中小企业，不对其中涉及的货物的制造商和服务的承接商作出要求；</w:t>
      </w:r>
    </w:p>
    <w:p w14:paraId="0921E0F1">
      <w:pPr>
        <w:pStyle w:val="230"/>
        <w:spacing w:line="360" w:lineRule="auto"/>
        <w:ind w:firstLine="420"/>
        <w:rPr>
          <w:rFonts w:hint="eastAsia" w:hAnsi="宋体" w:cs="宋体"/>
          <w:color w:val="auto"/>
          <w:sz w:val="21"/>
          <w:highlight w:val="none"/>
        </w:rPr>
      </w:pPr>
      <w:r>
        <w:rPr>
          <w:rFonts w:hint="eastAsia" w:hAnsi="宋体" w:cs="宋体"/>
          <w:color w:val="auto"/>
          <w:sz w:val="21"/>
          <w:highlight w:val="none"/>
        </w:rPr>
        <w:t>（3）在服务采购项目中，服务由中小企业承接，即提供服务的人员为中小企业依照《中华人民共和国</w:t>
      </w:r>
      <w:r>
        <w:rPr>
          <w:rFonts w:hint="eastAsia" w:hAnsi="宋体" w:cs="宋体"/>
          <w:color w:val="auto"/>
          <w:sz w:val="21"/>
          <w:highlight w:val="none"/>
          <w:lang w:eastAsia="zh-CN"/>
        </w:rPr>
        <w:t>劳动合同法</w:t>
      </w:r>
      <w:r>
        <w:rPr>
          <w:rFonts w:hint="eastAsia" w:hAnsi="宋体" w:cs="宋体"/>
          <w:color w:val="auto"/>
          <w:sz w:val="21"/>
          <w:highlight w:val="none"/>
        </w:rPr>
        <w:t>》订立劳动合同的从业人员，不对其中涉及的货物的制造商和工程承建商作出要求。</w:t>
      </w:r>
    </w:p>
    <w:p w14:paraId="6E82298F">
      <w:pPr>
        <w:pStyle w:val="230"/>
        <w:spacing w:line="360" w:lineRule="auto"/>
        <w:ind w:firstLine="420"/>
        <w:rPr>
          <w:rFonts w:hint="eastAsia" w:hAnsi="宋体" w:cs="宋体"/>
          <w:color w:val="auto"/>
          <w:sz w:val="21"/>
          <w:highlight w:val="none"/>
        </w:rPr>
      </w:pPr>
      <w:r>
        <w:rPr>
          <w:rFonts w:hint="eastAsia" w:hAnsi="宋体" w:cs="宋体"/>
          <w:color w:val="auto"/>
          <w:sz w:val="21"/>
          <w:highlight w:val="none"/>
        </w:rPr>
        <w:t>在货物采购项目中，供应商提供的货物既有中小企业制造货物，也有大型企业制造货物的，不享受本文件规定的中小企业扶持政策。以联合体形式参加政府采购活动，联合体各方均为中小企业的，联合体视同中小企业。其中，联合体各方均为小微企业的，联合体视同小微企业。</w:t>
      </w:r>
    </w:p>
    <w:p w14:paraId="66613536">
      <w:pPr>
        <w:pStyle w:val="230"/>
        <w:ind w:firstLine="420"/>
        <w:rPr>
          <w:rFonts w:hint="eastAsia" w:hAnsi="宋体" w:cs="宋体"/>
          <w:color w:val="auto"/>
          <w:highlight w:val="none"/>
        </w:rPr>
      </w:pPr>
      <w:r>
        <w:rPr>
          <w:rFonts w:hint="eastAsia" w:hAnsi="宋体" w:cs="宋体"/>
          <w:color w:val="auto"/>
          <w:sz w:val="21"/>
          <w:highlight w:val="none"/>
        </w:rPr>
        <w:t>依据本文件规定享受扶持政策获得政府采购合同的，小微企业不得将合同分包给大中型企业，中型企业不得将合同分包给大型企业。</w:t>
      </w:r>
      <w:r>
        <w:rPr>
          <w:rFonts w:hint="eastAsia" w:hAnsi="宋体" w:cs="宋体"/>
          <w:color w:val="auto"/>
          <w:highlight w:val="none"/>
        </w:rPr>
        <w:br w:type="page" w:clear="all"/>
      </w:r>
      <w:r>
        <w:rPr>
          <w:rFonts w:hint="eastAsia" w:hAnsi="宋体" w:cs="宋体"/>
          <w:color w:val="auto"/>
          <w:highlight w:val="none"/>
        </w:rPr>
        <w:t>附件1：</w:t>
      </w:r>
    </w:p>
    <w:p w14:paraId="3DAE5B8C">
      <w:pPr>
        <w:widowControl/>
        <w:shd w:val="clear" w:color="auto" w:fill="FFFFFF"/>
        <w:spacing w:line="480" w:lineRule="atLeast"/>
        <w:jc w:val="center"/>
        <w:rPr>
          <w:rFonts w:hint="eastAsia" w:ascii="宋体" w:hAnsi="宋体" w:cs="宋体"/>
          <w:color w:val="auto"/>
          <w:sz w:val="32"/>
          <w:szCs w:val="32"/>
          <w:highlight w:val="none"/>
        </w:rPr>
      </w:pPr>
      <w:r>
        <w:rPr>
          <w:rFonts w:hint="eastAsia" w:ascii="宋体" w:hAnsi="宋体" w:cs="宋体"/>
          <w:color w:val="auto"/>
          <w:sz w:val="32"/>
          <w:szCs w:val="32"/>
          <w:highlight w:val="none"/>
        </w:rPr>
        <w:t>广西壮族自治区政府采购项目合同验收书（格式）</w:t>
      </w:r>
    </w:p>
    <w:p w14:paraId="71CD523E">
      <w:pPr>
        <w:widowControl/>
        <w:shd w:val="clear" w:color="auto" w:fill="FFFFFF"/>
        <w:spacing w:line="480" w:lineRule="atLeast"/>
        <w:jc w:val="center"/>
        <w:rPr>
          <w:rFonts w:hint="eastAsia" w:ascii="宋体" w:hAnsi="宋体" w:cs="宋体"/>
          <w:color w:val="auto"/>
          <w:sz w:val="32"/>
          <w:szCs w:val="32"/>
          <w:highlight w:val="none"/>
        </w:rPr>
      </w:pPr>
    </w:p>
    <w:p w14:paraId="42B7F7F8">
      <w:pPr>
        <w:widowControl/>
        <w:shd w:val="clear" w:color="auto" w:fill="FFFFFF"/>
        <w:spacing w:line="320" w:lineRule="atLeast"/>
        <w:ind w:firstLine="480"/>
        <w:jc w:val="left"/>
        <w:rPr>
          <w:rFonts w:hint="eastAsia" w:ascii="宋体" w:hAnsi="宋体" w:cs="宋体"/>
          <w:color w:val="auto"/>
          <w:szCs w:val="21"/>
          <w:highlight w:val="none"/>
        </w:rPr>
      </w:pPr>
      <w:r>
        <w:rPr>
          <w:rFonts w:hint="eastAsia" w:ascii="宋体" w:hAnsi="宋体" w:cs="宋体"/>
          <w:color w:val="auto"/>
          <w:szCs w:val="21"/>
          <w:highlight w:val="none"/>
        </w:rPr>
        <w:t>根据政府采购项目（</w:t>
      </w:r>
      <w:r>
        <w:rPr>
          <w:rFonts w:hint="eastAsia" w:ascii="宋体" w:hAnsi="宋体" w:cs="宋体"/>
          <w:color w:val="auto"/>
          <w:szCs w:val="21"/>
          <w:highlight w:val="none"/>
          <w:u w:val="single"/>
        </w:rPr>
        <w:t xml:space="preserve">采购合同编号： </w:t>
      </w:r>
      <w:r>
        <w:rPr>
          <w:rFonts w:hint="eastAsia" w:ascii="宋体" w:hAnsi="宋体" w:cs="宋体"/>
          <w:color w:val="auto"/>
          <w:szCs w:val="21"/>
          <w:highlight w:val="none"/>
        </w:rPr>
        <w:t>）的约定，我单位对（</w:t>
      </w:r>
      <w:r>
        <w:rPr>
          <w:rFonts w:hint="eastAsia" w:ascii="宋体" w:hAnsi="宋体" w:cs="宋体"/>
          <w:color w:val="auto"/>
          <w:szCs w:val="21"/>
          <w:highlight w:val="none"/>
          <w:u w:val="single"/>
        </w:rPr>
        <w:t xml:space="preserve"> 项目名称 </w:t>
      </w:r>
      <w:r>
        <w:rPr>
          <w:rFonts w:hint="eastAsia" w:ascii="宋体" w:hAnsi="宋体" w:cs="宋体"/>
          <w:color w:val="auto"/>
          <w:szCs w:val="21"/>
          <w:highlight w:val="none"/>
        </w:rPr>
        <w:t>） 政府采购项目中标供应商（</w:t>
      </w:r>
      <w:r>
        <w:rPr>
          <w:rFonts w:hint="eastAsia" w:ascii="宋体" w:hAnsi="宋体" w:cs="宋体"/>
          <w:color w:val="auto"/>
          <w:szCs w:val="21"/>
          <w:highlight w:val="none"/>
          <w:u w:val="single"/>
        </w:rPr>
        <w:t xml:space="preserve"> 公司名称 </w:t>
      </w:r>
      <w:r>
        <w:rPr>
          <w:rFonts w:hint="eastAsia" w:ascii="宋体" w:hAnsi="宋体" w:cs="宋体"/>
          <w:color w:val="auto"/>
          <w:szCs w:val="21"/>
          <w:highlight w:val="none"/>
        </w:rPr>
        <w:t>） 提供的服务进行了验收，验收情况如下：</w:t>
      </w:r>
    </w:p>
    <w:tbl>
      <w:tblPr>
        <w:tblStyle w:val="33"/>
        <w:tblW w:w="0" w:type="auto"/>
        <w:jc w:val="center"/>
        <w:tblLayout w:type="fixed"/>
        <w:tblCellMar>
          <w:top w:w="0" w:type="dxa"/>
          <w:left w:w="0" w:type="dxa"/>
          <w:bottom w:w="0" w:type="dxa"/>
          <w:right w:w="0" w:type="dxa"/>
        </w:tblCellMar>
      </w:tblPr>
      <w:tblGrid>
        <w:gridCol w:w="1331"/>
        <w:gridCol w:w="1921"/>
        <w:gridCol w:w="798"/>
        <w:gridCol w:w="102"/>
        <w:gridCol w:w="2002"/>
        <w:gridCol w:w="178"/>
        <w:gridCol w:w="685"/>
        <w:gridCol w:w="2354"/>
      </w:tblGrid>
      <w:tr w14:paraId="25EED195">
        <w:tblPrEx>
          <w:tblCellMar>
            <w:top w:w="0" w:type="dxa"/>
            <w:left w:w="0" w:type="dxa"/>
            <w:bottom w:w="0" w:type="dxa"/>
            <w:right w:w="0" w:type="dxa"/>
          </w:tblCellMar>
        </w:tblPrEx>
        <w:trPr>
          <w:trHeight w:val="497" w:hRule="atLeast"/>
          <w:jc w:val="center"/>
        </w:trPr>
        <w:tc>
          <w:tcPr>
            <w:tcW w:w="3252" w:type="dxa"/>
            <w:gridSpan w:val="2"/>
            <w:tcBorders>
              <w:top w:val="single" w:color="auto" w:sz="8" w:space="0"/>
              <w:left w:val="single" w:color="auto" w:sz="8" w:space="0"/>
              <w:bottom w:val="single" w:color="auto" w:sz="8" w:space="0"/>
              <w:right w:val="single" w:color="auto" w:sz="8" w:space="0"/>
            </w:tcBorders>
            <w:noWrap w:val="0"/>
            <w:vAlign w:val="center"/>
          </w:tcPr>
          <w:p w14:paraId="68760DAB">
            <w:pPr>
              <w:widowControl/>
              <w:spacing w:before="100" w:beforeAutospacing="1" w:after="100" w:afterAutospacing="1" w:line="320" w:lineRule="atLeast"/>
              <w:ind w:firstLine="5"/>
              <w:jc w:val="center"/>
              <w:rPr>
                <w:rFonts w:hint="eastAsia" w:ascii="宋体" w:hAnsi="宋体" w:cs="宋体"/>
                <w:color w:val="auto"/>
                <w:szCs w:val="21"/>
                <w:highlight w:val="none"/>
              </w:rPr>
            </w:pPr>
            <w:r>
              <w:rPr>
                <w:rFonts w:hint="eastAsia" w:ascii="宋体" w:hAnsi="宋体" w:cs="宋体"/>
                <w:color w:val="auto"/>
                <w:szCs w:val="21"/>
                <w:highlight w:val="none"/>
              </w:rPr>
              <w:t>验收方式：</w:t>
            </w:r>
          </w:p>
        </w:tc>
        <w:tc>
          <w:tcPr>
            <w:tcW w:w="6119" w:type="dxa"/>
            <w:gridSpan w:val="6"/>
            <w:tcBorders>
              <w:top w:val="single" w:color="auto" w:sz="8" w:space="0"/>
              <w:left w:val="nil"/>
              <w:bottom w:val="single" w:color="auto" w:sz="8" w:space="0"/>
              <w:right w:val="single" w:color="auto" w:sz="8" w:space="0"/>
            </w:tcBorders>
            <w:noWrap w:val="0"/>
            <w:vAlign w:val="center"/>
          </w:tcPr>
          <w:p w14:paraId="029BB012">
            <w:pPr>
              <w:widowControl/>
              <w:spacing w:before="100" w:beforeAutospacing="1" w:after="100" w:afterAutospacing="1" w:line="320" w:lineRule="atLeast"/>
              <w:ind w:firstLine="480"/>
              <w:jc w:val="center"/>
              <w:rPr>
                <w:rFonts w:hint="eastAsia" w:ascii="宋体" w:hAnsi="宋体" w:cs="宋体"/>
                <w:color w:val="auto"/>
                <w:szCs w:val="21"/>
                <w:highlight w:val="none"/>
              </w:rPr>
            </w:pPr>
            <w:r>
              <w:rPr>
                <w:rFonts w:hint="eastAsia" w:ascii="宋体" w:hAnsi="宋体" w:cs="宋体"/>
                <w:color w:val="auto"/>
                <w:szCs w:val="21"/>
                <w:highlight w:val="none"/>
              </w:rPr>
              <w:t>□自行验收 □委托验收</w:t>
            </w:r>
          </w:p>
        </w:tc>
      </w:tr>
      <w:tr w14:paraId="4D2DD708">
        <w:tblPrEx>
          <w:tblCellMar>
            <w:top w:w="0" w:type="dxa"/>
            <w:left w:w="0" w:type="dxa"/>
            <w:bottom w:w="0" w:type="dxa"/>
            <w:right w:w="0" w:type="dxa"/>
          </w:tblCellMar>
        </w:tblPrEx>
        <w:trPr>
          <w:trHeight w:val="622" w:hRule="atLeast"/>
          <w:jc w:val="center"/>
        </w:trPr>
        <w:tc>
          <w:tcPr>
            <w:tcW w:w="1331" w:type="dxa"/>
            <w:tcBorders>
              <w:top w:val="nil"/>
              <w:left w:val="single" w:color="auto" w:sz="8" w:space="0"/>
              <w:bottom w:val="single" w:color="auto" w:sz="8" w:space="0"/>
              <w:right w:val="single" w:color="auto" w:sz="8" w:space="0"/>
            </w:tcBorders>
            <w:noWrap w:val="0"/>
            <w:vAlign w:val="center"/>
          </w:tcPr>
          <w:p w14:paraId="26A0537D">
            <w:pPr>
              <w:widowControl/>
              <w:spacing w:before="100" w:beforeAutospacing="1" w:after="100" w:afterAutospacing="1" w:line="320" w:lineRule="atLeast"/>
              <w:ind w:firstLine="2"/>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921" w:type="dxa"/>
            <w:tcBorders>
              <w:top w:val="nil"/>
              <w:left w:val="nil"/>
              <w:bottom w:val="single" w:color="auto" w:sz="8" w:space="0"/>
              <w:right w:val="single" w:color="auto" w:sz="8" w:space="0"/>
            </w:tcBorders>
            <w:noWrap w:val="0"/>
            <w:vAlign w:val="center"/>
          </w:tcPr>
          <w:p w14:paraId="549EC1F3">
            <w:pPr>
              <w:widowControl/>
              <w:spacing w:before="100" w:beforeAutospacing="1" w:after="100" w:afterAutospacing="1" w:line="320" w:lineRule="atLeast"/>
              <w:ind w:firstLine="2"/>
              <w:jc w:val="center"/>
              <w:rPr>
                <w:rFonts w:hint="eastAsia" w:ascii="宋体" w:hAnsi="宋体" w:cs="宋体"/>
                <w:color w:val="auto"/>
                <w:szCs w:val="21"/>
                <w:highlight w:val="none"/>
              </w:rPr>
            </w:pPr>
            <w:r>
              <w:rPr>
                <w:rFonts w:hint="eastAsia" w:ascii="宋体" w:hAnsi="宋体" w:cs="宋体"/>
                <w:color w:val="auto"/>
                <w:szCs w:val="21"/>
                <w:highlight w:val="none"/>
              </w:rPr>
              <w:t>名 称</w:t>
            </w:r>
          </w:p>
        </w:tc>
        <w:tc>
          <w:tcPr>
            <w:tcW w:w="2902" w:type="dxa"/>
            <w:gridSpan w:val="3"/>
            <w:tcBorders>
              <w:top w:val="nil"/>
              <w:left w:val="nil"/>
              <w:bottom w:val="single" w:color="auto" w:sz="8" w:space="0"/>
              <w:right w:val="single" w:color="auto" w:sz="8" w:space="0"/>
            </w:tcBorders>
            <w:noWrap w:val="0"/>
            <w:vAlign w:val="center"/>
          </w:tcPr>
          <w:p w14:paraId="583B0AC4">
            <w:pPr>
              <w:widowControl/>
              <w:spacing w:before="100" w:beforeAutospacing="1" w:after="100" w:afterAutospacing="1" w:line="320" w:lineRule="atLeast"/>
              <w:ind w:firstLine="2"/>
              <w:jc w:val="center"/>
              <w:rPr>
                <w:rFonts w:hint="eastAsia" w:ascii="宋体" w:hAnsi="宋体" w:cs="宋体"/>
                <w:color w:val="auto"/>
                <w:szCs w:val="21"/>
                <w:highlight w:val="none"/>
              </w:rPr>
            </w:pPr>
            <w:r>
              <w:rPr>
                <w:rFonts w:hint="eastAsia" w:ascii="宋体" w:hAnsi="宋体" w:cs="宋体"/>
                <w:color w:val="auto"/>
                <w:szCs w:val="21"/>
                <w:highlight w:val="none"/>
              </w:rPr>
              <w:t>服务内容、行业标准</w:t>
            </w:r>
          </w:p>
        </w:tc>
        <w:tc>
          <w:tcPr>
            <w:tcW w:w="863" w:type="dxa"/>
            <w:gridSpan w:val="2"/>
            <w:tcBorders>
              <w:top w:val="nil"/>
              <w:left w:val="nil"/>
              <w:bottom w:val="single" w:color="auto" w:sz="8" w:space="0"/>
              <w:right w:val="single" w:color="auto" w:sz="8" w:space="0"/>
            </w:tcBorders>
            <w:noWrap w:val="0"/>
            <w:vAlign w:val="center"/>
          </w:tcPr>
          <w:p w14:paraId="07D56AA9">
            <w:pPr>
              <w:widowControl/>
              <w:spacing w:before="100" w:beforeAutospacing="1" w:after="100" w:afterAutospacing="1" w:line="320" w:lineRule="atLeast"/>
              <w:jc w:val="center"/>
              <w:rPr>
                <w:rFonts w:hint="eastAsia" w:ascii="宋体" w:hAnsi="宋体" w:cs="宋体"/>
                <w:color w:val="auto"/>
                <w:szCs w:val="21"/>
                <w:highlight w:val="none"/>
              </w:rPr>
            </w:pPr>
            <w:r>
              <w:rPr>
                <w:rFonts w:hint="eastAsia" w:ascii="宋体" w:hAnsi="宋体" w:cs="宋体"/>
                <w:color w:val="auto"/>
                <w:szCs w:val="21"/>
                <w:highlight w:val="none"/>
              </w:rPr>
              <w:t>数量</w:t>
            </w:r>
          </w:p>
        </w:tc>
        <w:tc>
          <w:tcPr>
            <w:tcW w:w="2354" w:type="dxa"/>
            <w:tcBorders>
              <w:top w:val="nil"/>
              <w:left w:val="nil"/>
              <w:bottom w:val="single" w:color="auto" w:sz="8" w:space="0"/>
              <w:right w:val="single" w:color="auto" w:sz="8" w:space="0"/>
            </w:tcBorders>
            <w:noWrap w:val="0"/>
            <w:vAlign w:val="center"/>
          </w:tcPr>
          <w:p w14:paraId="30DBFEBD">
            <w:pPr>
              <w:widowControl/>
              <w:spacing w:before="100" w:beforeAutospacing="1" w:after="100" w:afterAutospacing="1" w:line="320" w:lineRule="atLeast"/>
              <w:ind w:firstLine="2"/>
              <w:jc w:val="center"/>
              <w:rPr>
                <w:rFonts w:hint="eastAsia" w:ascii="宋体" w:hAnsi="宋体" w:cs="宋体"/>
                <w:color w:val="auto"/>
                <w:szCs w:val="21"/>
                <w:highlight w:val="none"/>
              </w:rPr>
            </w:pPr>
            <w:r>
              <w:rPr>
                <w:rFonts w:hint="eastAsia" w:ascii="宋体" w:hAnsi="宋体" w:cs="宋体"/>
                <w:color w:val="auto"/>
                <w:szCs w:val="21"/>
                <w:highlight w:val="none"/>
              </w:rPr>
              <w:t>金 额</w:t>
            </w:r>
          </w:p>
        </w:tc>
      </w:tr>
      <w:tr w14:paraId="254226E8">
        <w:tblPrEx>
          <w:tblCellMar>
            <w:top w:w="0" w:type="dxa"/>
            <w:left w:w="0" w:type="dxa"/>
            <w:bottom w:w="0" w:type="dxa"/>
            <w:right w:w="0" w:type="dxa"/>
          </w:tblCellMar>
        </w:tblPrEx>
        <w:trPr>
          <w:trHeight w:val="487" w:hRule="atLeast"/>
          <w:jc w:val="center"/>
        </w:trPr>
        <w:tc>
          <w:tcPr>
            <w:tcW w:w="1331" w:type="dxa"/>
            <w:tcBorders>
              <w:top w:val="nil"/>
              <w:left w:val="single" w:color="auto" w:sz="8" w:space="0"/>
              <w:bottom w:val="single" w:color="auto" w:sz="8" w:space="0"/>
              <w:right w:val="single" w:color="auto" w:sz="8" w:space="0"/>
            </w:tcBorders>
            <w:noWrap w:val="0"/>
            <w:vAlign w:val="center"/>
          </w:tcPr>
          <w:p w14:paraId="55D64BB6">
            <w:pPr>
              <w:widowControl/>
              <w:spacing w:before="100" w:beforeAutospacing="1" w:after="100" w:afterAutospacing="1" w:line="240" w:lineRule="atLeast"/>
              <w:jc w:val="center"/>
              <w:rPr>
                <w:rFonts w:hint="eastAsia" w:ascii="宋体" w:hAnsi="宋体" w:cs="宋体"/>
                <w:color w:val="auto"/>
                <w:szCs w:val="21"/>
                <w:highlight w:val="none"/>
              </w:rPr>
            </w:pPr>
          </w:p>
        </w:tc>
        <w:tc>
          <w:tcPr>
            <w:tcW w:w="1921" w:type="dxa"/>
            <w:tcBorders>
              <w:top w:val="nil"/>
              <w:left w:val="nil"/>
              <w:bottom w:val="single" w:color="auto" w:sz="8" w:space="0"/>
              <w:right w:val="single" w:color="auto" w:sz="8" w:space="0"/>
            </w:tcBorders>
            <w:noWrap w:val="0"/>
            <w:vAlign w:val="center"/>
          </w:tcPr>
          <w:p w14:paraId="0DCFECC6">
            <w:pPr>
              <w:widowControl/>
              <w:spacing w:before="100" w:beforeAutospacing="1" w:after="100" w:afterAutospacing="1" w:line="240" w:lineRule="atLeast"/>
              <w:jc w:val="center"/>
              <w:rPr>
                <w:rFonts w:hint="eastAsia" w:ascii="宋体" w:hAnsi="宋体" w:cs="宋体"/>
                <w:color w:val="auto"/>
                <w:szCs w:val="21"/>
                <w:highlight w:val="none"/>
              </w:rPr>
            </w:pPr>
          </w:p>
        </w:tc>
        <w:tc>
          <w:tcPr>
            <w:tcW w:w="2902" w:type="dxa"/>
            <w:gridSpan w:val="3"/>
            <w:tcBorders>
              <w:top w:val="nil"/>
              <w:left w:val="nil"/>
              <w:bottom w:val="single" w:color="auto" w:sz="8" w:space="0"/>
              <w:right w:val="single" w:color="auto" w:sz="8" w:space="0"/>
            </w:tcBorders>
            <w:noWrap w:val="0"/>
            <w:vAlign w:val="center"/>
          </w:tcPr>
          <w:p w14:paraId="45FA68A2">
            <w:pPr>
              <w:widowControl/>
              <w:spacing w:before="100" w:beforeAutospacing="1" w:after="100" w:afterAutospacing="1" w:line="240" w:lineRule="atLeast"/>
              <w:jc w:val="center"/>
              <w:rPr>
                <w:rFonts w:hint="eastAsia" w:ascii="宋体" w:hAnsi="宋体" w:cs="宋体"/>
                <w:color w:val="auto"/>
                <w:szCs w:val="21"/>
                <w:highlight w:val="none"/>
              </w:rPr>
            </w:pPr>
          </w:p>
        </w:tc>
        <w:tc>
          <w:tcPr>
            <w:tcW w:w="863" w:type="dxa"/>
            <w:gridSpan w:val="2"/>
            <w:tcBorders>
              <w:top w:val="nil"/>
              <w:left w:val="nil"/>
              <w:bottom w:val="single" w:color="auto" w:sz="8" w:space="0"/>
              <w:right w:val="single" w:color="auto" w:sz="8" w:space="0"/>
            </w:tcBorders>
            <w:noWrap w:val="0"/>
            <w:vAlign w:val="center"/>
          </w:tcPr>
          <w:p w14:paraId="1D68EEDF">
            <w:pPr>
              <w:widowControl/>
              <w:spacing w:before="100" w:beforeAutospacing="1" w:after="100" w:afterAutospacing="1" w:line="240" w:lineRule="atLeast"/>
              <w:jc w:val="center"/>
              <w:rPr>
                <w:rFonts w:hint="eastAsia" w:ascii="宋体" w:hAnsi="宋体" w:cs="宋体"/>
                <w:color w:val="auto"/>
                <w:szCs w:val="21"/>
                <w:highlight w:val="none"/>
              </w:rPr>
            </w:pPr>
          </w:p>
        </w:tc>
        <w:tc>
          <w:tcPr>
            <w:tcW w:w="2354" w:type="dxa"/>
            <w:tcBorders>
              <w:top w:val="nil"/>
              <w:left w:val="nil"/>
              <w:bottom w:val="single" w:color="auto" w:sz="8" w:space="0"/>
              <w:right w:val="single" w:color="auto" w:sz="8" w:space="0"/>
            </w:tcBorders>
            <w:noWrap w:val="0"/>
            <w:vAlign w:val="center"/>
          </w:tcPr>
          <w:p w14:paraId="2ABD7303">
            <w:pPr>
              <w:widowControl/>
              <w:spacing w:before="100" w:beforeAutospacing="1" w:after="100" w:afterAutospacing="1" w:line="240" w:lineRule="atLeast"/>
              <w:jc w:val="center"/>
              <w:rPr>
                <w:rFonts w:hint="eastAsia" w:ascii="宋体" w:hAnsi="宋体" w:cs="宋体"/>
                <w:color w:val="auto"/>
                <w:szCs w:val="21"/>
                <w:highlight w:val="none"/>
              </w:rPr>
            </w:pPr>
          </w:p>
        </w:tc>
      </w:tr>
      <w:tr w14:paraId="3922AE41">
        <w:tblPrEx>
          <w:tblCellMar>
            <w:top w:w="0" w:type="dxa"/>
            <w:left w:w="0" w:type="dxa"/>
            <w:bottom w:w="0" w:type="dxa"/>
            <w:right w:w="0" w:type="dxa"/>
          </w:tblCellMar>
        </w:tblPrEx>
        <w:trPr>
          <w:trHeight w:val="487" w:hRule="atLeast"/>
          <w:jc w:val="center"/>
        </w:trPr>
        <w:tc>
          <w:tcPr>
            <w:tcW w:w="1331" w:type="dxa"/>
            <w:tcBorders>
              <w:top w:val="nil"/>
              <w:left w:val="single" w:color="auto" w:sz="8" w:space="0"/>
              <w:bottom w:val="single" w:color="auto" w:sz="8" w:space="0"/>
              <w:right w:val="single" w:color="auto" w:sz="8" w:space="0"/>
            </w:tcBorders>
            <w:noWrap w:val="0"/>
            <w:vAlign w:val="center"/>
          </w:tcPr>
          <w:p w14:paraId="3D6DAEB2">
            <w:pPr>
              <w:widowControl/>
              <w:spacing w:before="100" w:beforeAutospacing="1" w:after="100" w:afterAutospacing="1" w:line="240" w:lineRule="atLeast"/>
              <w:jc w:val="center"/>
              <w:rPr>
                <w:rFonts w:hint="eastAsia" w:ascii="宋体" w:hAnsi="宋体" w:cs="宋体"/>
                <w:color w:val="auto"/>
                <w:szCs w:val="21"/>
                <w:highlight w:val="none"/>
              </w:rPr>
            </w:pPr>
          </w:p>
        </w:tc>
        <w:tc>
          <w:tcPr>
            <w:tcW w:w="1921" w:type="dxa"/>
            <w:tcBorders>
              <w:top w:val="nil"/>
              <w:left w:val="nil"/>
              <w:bottom w:val="single" w:color="auto" w:sz="8" w:space="0"/>
              <w:right w:val="single" w:color="auto" w:sz="8" w:space="0"/>
            </w:tcBorders>
            <w:noWrap w:val="0"/>
            <w:vAlign w:val="center"/>
          </w:tcPr>
          <w:p w14:paraId="6047B032">
            <w:pPr>
              <w:widowControl/>
              <w:spacing w:before="100" w:beforeAutospacing="1" w:after="100" w:afterAutospacing="1" w:line="240" w:lineRule="atLeast"/>
              <w:jc w:val="center"/>
              <w:rPr>
                <w:rFonts w:hint="eastAsia" w:ascii="宋体" w:hAnsi="宋体" w:cs="宋体"/>
                <w:color w:val="auto"/>
                <w:szCs w:val="21"/>
                <w:highlight w:val="none"/>
              </w:rPr>
            </w:pPr>
          </w:p>
        </w:tc>
        <w:tc>
          <w:tcPr>
            <w:tcW w:w="2902" w:type="dxa"/>
            <w:gridSpan w:val="3"/>
            <w:tcBorders>
              <w:top w:val="nil"/>
              <w:left w:val="nil"/>
              <w:bottom w:val="single" w:color="auto" w:sz="8" w:space="0"/>
              <w:right w:val="single" w:color="auto" w:sz="8" w:space="0"/>
            </w:tcBorders>
            <w:noWrap w:val="0"/>
            <w:vAlign w:val="center"/>
          </w:tcPr>
          <w:p w14:paraId="5D06AD57">
            <w:pPr>
              <w:widowControl/>
              <w:spacing w:before="100" w:beforeAutospacing="1" w:after="100" w:afterAutospacing="1" w:line="240" w:lineRule="atLeast"/>
              <w:jc w:val="center"/>
              <w:rPr>
                <w:rFonts w:hint="eastAsia" w:ascii="宋体" w:hAnsi="宋体" w:cs="宋体"/>
                <w:color w:val="auto"/>
                <w:szCs w:val="21"/>
                <w:highlight w:val="none"/>
              </w:rPr>
            </w:pPr>
          </w:p>
        </w:tc>
        <w:tc>
          <w:tcPr>
            <w:tcW w:w="863" w:type="dxa"/>
            <w:gridSpan w:val="2"/>
            <w:tcBorders>
              <w:top w:val="nil"/>
              <w:left w:val="nil"/>
              <w:bottom w:val="single" w:color="auto" w:sz="8" w:space="0"/>
              <w:right w:val="single" w:color="auto" w:sz="8" w:space="0"/>
            </w:tcBorders>
            <w:noWrap w:val="0"/>
            <w:vAlign w:val="center"/>
          </w:tcPr>
          <w:p w14:paraId="1449F74E">
            <w:pPr>
              <w:widowControl/>
              <w:spacing w:before="100" w:beforeAutospacing="1" w:after="100" w:afterAutospacing="1" w:line="240" w:lineRule="atLeast"/>
              <w:jc w:val="center"/>
              <w:rPr>
                <w:rFonts w:hint="eastAsia" w:ascii="宋体" w:hAnsi="宋体" w:cs="宋体"/>
                <w:color w:val="auto"/>
                <w:szCs w:val="21"/>
                <w:highlight w:val="none"/>
              </w:rPr>
            </w:pPr>
          </w:p>
        </w:tc>
        <w:tc>
          <w:tcPr>
            <w:tcW w:w="2354" w:type="dxa"/>
            <w:tcBorders>
              <w:top w:val="nil"/>
              <w:left w:val="nil"/>
              <w:bottom w:val="single" w:color="auto" w:sz="8" w:space="0"/>
              <w:right w:val="single" w:color="auto" w:sz="8" w:space="0"/>
            </w:tcBorders>
            <w:noWrap w:val="0"/>
            <w:vAlign w:val="center"/>
          </w:tcPr>
          <w:p w14:paraId="26F1BED4">
            <w:pPr>
              <w:widowControl/>
              <w:spacing w:before="100" w:beforeAutospacing="1" w:after="100" w:afterAutospacing="1" w:line="240" w:lineRule="atLeast"/>
              <w:jc w:val="center"/>
              <w:rPr>
                <w:rFonts w:hint="eastAsia" w:ascii="宋体" w:hAnsi="宋体" w:cs="宋体"/>
                <w:color w:val="auto"/>
                <w:szCs w:val="21"/>
                <w:highlight w:val="none"/>
              </w:rPr>
            </w:pPr>
          </w:p>
        </w:tc>
      </w:tr>
      <w:tr w14:paraId="7C793E29">
        <w:tblPrEx>
          <w:tblCellMar>
            <w:top w:w="0" w:type="dxa"/>
            <w:left w:w="0" w:type="dxa"/>
            <w:bottom w:w="0" w:type="dxa"/>
            <w:right w:w="0" w:type="dxa"/>
          </w:tblCellMar>
        </w:tblPrEx>
        <w:trPr>
          <w:trHeight w:val="487" w:hRule="atLeast"/>
          <w:jc w:val="center"/>
        </w:trPr>
        <w:tc>
          <w:tcPr>
            <w:tcW w:w="1331" w:type="dxa"/>
            <w:tcBorders>
              <w:top w:val="nil"/>
              <w:left w:val="single" w:color="auto" w:sz="8" w:space="0"/>
              <w:bottom w:val="single" w:color="auto" w:sz="8" w:space="0"/>
              <w:right w:val="single" w:color="auto" w:sz="8" w:space="0"/>
            </w:tcBorders>
            <w:noWrap w:val="0"/>
            <w:vAlign w:val="center"/>
          </w:tcPr>
          <w:p w14:paraId="7FDA2C8C">
            <w:pPr>
              <w:widowControl/>
              <w:spacing w:before="100" w:beforeAutospacing="1" w:after="100" w:afterAutospacing="1" w:line="240" w:lineRule="atLeast"/>
              <w:jc w:val="center"/>
              <w:rPr>
                <w:rFonts w:hint="eastAsia" w:ascii="宋体" w:hAnsi="宋体" w:cs="宋体"/>
                <w:color w:val="auto"/>
                <w:szCs w:val="21"/>
                <w:highlight w:val="none"/>
              </w:rPr>
            </w:pPr>
          </w:p>
        </w:tc>
        <w:tc>
          <w:tcPr>
            <w:tcW w:w="1921" w:type="dxa"/>
            <w:tcBorders>
              <w:top w:val="nil"/>
              <w:left w:val="nil"/>
              <w:bottom w:val="single" w:color="auto" w:sz="8" w:space="0"/>
              <w:right w:val="single" w:color="auto" w:sz="8" w:space="0"/>
            </w:tcBorders>
            <w:noWrap w:val="0"/>
            <w:vAlign w:val="center"/>
          </w:tcPr>
          <w:p w14:paraId="62ABA6F0">
            <w:pPr>
              <w:widowControl/>
              <w:spacing w:before="100" w:beforeAutospacing="1" w:after="100" w:afterAutospacing="1" w:line="240" w:lineRule="atLeast"/>
              <w:jc w:val="center"/>
              <w:rPr>
                <w:rFonts w:hint="eastAsia" w:ascii="宋体" w:hAnsi="宋体" w:cs="宋体"/>
                <w:color w:val="auto"/>
                <w:szCs w:val="21"/>
                <w:highlight w:val="none"/>
              </w:rPr>
            </w:pPr>
          </w:p>
        </w:tc>
        <w:tc>
          <w:tcPr>
            <w:tcW w:w="2902" w:type="dxa"/>
            <w:gridSpan w:val="3"/>
            <w:tcBorders>
              <w:top w:val="nil"/>
              <w:left w:val="nil"/>
              <w:bottom w:val="single" w:color="auto" w:sz="8" w:space="0"/>
              <w:right w:val="single" w:color="auto" w:sz="8" w:space="0"/>
            </w:tcBorders>
            <w:noWrap w:val="0"/>
            <w:vAlign w:val="center"/>
          </w:tcPr>
          <w:p w14:paraId="77A9EBF0">
            <w:pPr>
              <w:widowControl/>
              <w:spacing w:before="100" w:beforeAutospacing="1" w:after="100" w:afterAutospacing="1" w:line="240" w:lineRule="atLeast"/>
              <w:jc w:val="center"/>
              <w:rPr>
                <w:rFonts w:hint="eastAsia" w:ascii="宋体" w:hAnsi="宋体" w:cs="宋体"/>
                <w:color w:val="auto"/>
                <w:szCs w:val="21"/>
                <w:highlight w:val="none"/>
              </w:rPr>
            </w:pPr>
          </w:p>
        </w:tc>
        <w:tc>
          <w:tcPr>
            <w:tcW w:w="863" w:type="dxa"/>
            <w:gridSpan w:val="2"/>
            <w:tcBorders>
              <w:top w:val="nil"/>
              <w:left w:val="nil"/>
              <w:bottom w:val="single" w:color="auto" w:sz="8" w:space="0"/>
              <w:right w:val="single" w:color="auto" w:sz="8" w:space="0"/>
            </w:tcBorders>
            <w:noWrap w:val="0"/>
            <w:vAlign w:val="center"/>
          </w:tcPr>
          <w:p w14:paraId="18F28128">
            <w:pPr>
              <w:widowControl/>
              <w:spacing w:before="100" w:beforeAutospacing="1" w:after="100" w:afterAutospacing="1" w:line="240" w:lineRule="atLeast"/>
              <w:jc w:val="center"/>
              <w:rPr>
                <w:rFonts w:hint="eastAsia" w:ascii="宋体" w:hAnsi="宋体" w:cs="宋体"/>
                <w:color w:val="auto"/>
                <w:szCs w:val="21"/>
                <w:highlight w:val="none"/>
              </w:rPr>
            </w:pPr>
          </w:p>
        </w:tc>
        <w:tc>
          <w:tcPr>
            <w:tcW w:w="2354" w:type="dxa"/>
            <w:tcBorders>
              <w:top w:val="nil"/>
              <w:left w:val="nil"/>
              <w:bottom w:val="single" w:color="auto" w:sz="8" w:space="0"/>
              <w:right w:val="single" w:color="auto" w:sz="8" w:space="0"/>
            </w:tcBorders>
            <w:noWrap w:val="0"/>
            <w:vAlign w:val="center"/>
          </w:tcPr>
          <w:p w14:paraId="3443AEA2">
            <w:pPr>
              <w:widowControl/>
              <w:spacing w:before="100" w:beforeAutospacing="1" w:after="100" w:afterAutospacing="1" w:line="240" w:lineRule="atLeast"/>
              <w:jc w:val="center"/>
              <w:rPr>
                <w:rFonts w:hint="eastAsia" w:ascii="宋体" w:hAnsi="宋体" w:cs="宋体"/>
                <w:color w:val="auto"/>
                <w:szCs w:val="21"/>
                <w:highlight w:val="none"/>
              </w:rPr>
            </w:pPr>
          </w:p>
        </w:tc>
      </w:tr>
      <w:tr w14:paraId="02228B0E">
        <w:tblPrEx>
          <w:tblCellMar>
            <w:top w:w="0" w:type="dxa"/>
            <w:left w:w="0" w:type="dxa"/>
            <w:bottom w:w="0" w:type="dxa"/>
            <w:right w:w="0" w:type="dxa"/>
          </w:tblCellMar>
        </w:tblPrEx>
        <w:trPr>
          <w:trHeight w:val="487" w:hRule="atLeast"/>
          <w:jc w:val="center"/>
        </w:trPr>
        <w:tc>
          <w:tcPr>
            <w:tcW w:w="6154" w:type="dxa"/>
            <w:gridSpan w:val="5"/>
            <w:tcBorders>
              <w:top w:val="nil"/>
              <w:left w:val="single" w:color="auto" w:sz="8" w:space="0"/>
              <w:bottom w:val="single" w:color="auto" w:sz="8" w:space="0"/>
              <w:right w:val="single" w:color="auto" w:sz="8" w:space="0"/>
            </w:tcBorders>
            <w:noWrap w:val="0"/>
            <w:vAlign w:val="center"/>
          </w:tcPr>
          <w:p w14:paraId="350049A0">
            <w:pPr>
              <w:widowControl/>
              <w:spacing w:before="100" w:beforeAutospacing="1" w:after="100" w:afterAutospacing="1" w:line="320" w:lineRule="atLeast"/>
              <w:ind w:firstLine="5"/>
              <w:jc w:val="center"/>
              <w:rPr>
                <w:rFonts w:hint="eastAsia" w:ascii="宋体" w:hAnsi="宋体" w:cs="宋体"/>
                <w:color w:val="auto"/>
                <w:szCs w:val="21"/>
                <w:highlight w:val="none"/>
              </w:rPr>
            </w:pPr>
            <w:r>
              <w:rPr>
                <w:rFonts w:hint="eastAsia" w:ascii="宋体" w:hAnsi="宋体" w:cs="宋体"/>
                <w:color w:val="auto"/>
                <w:szCs w:val="21"/>
                <w:highlight w:val="none"/>
              </w:rPr>
              <w:t>合 计</w:t>
            </w:r>
          </w:p>
        </w:tc>
        <w:tc>
          <w:tcPr>
            <w:tcW w:w="863" w:type="dxa"/>
            <w:gridSpan w:val="2"/>
            <w:tcBorders>
              <w:top w:val="nil"/>
              <w:left w:val="nil"/>
              <w:bottom w:val="single" w:color="auto" w:sz="8" w:space="0"/>
              <w:right w:val="single" w:color="auto" w:sz="8" w:space="0"/>
            </w:tcBorders>
            <w:noWrap w:val="0"/>
            <w:vAlign w:val="center"/>
          </w:tcPr>
          <w:p w14:paraId="63E5F319">
            <w:pPr>
              <w:widowControl/>
              <w:spacing w:before="100" w:beforeAutospacing="1" w:after="100" w:afterAutospacing="1" w:line="240" w:lineRule="atLeast"/>
              <w:jc w:val="center"/>
              <w:rPr>
                <w:rFonts w:hint="eastAsia" w:ascii="宋体" w:hAnsi="宋体" w:cs="宋体"/>
                <w:color w:val="auto"/>
                <w:szCs w:val="21"/>
                <w:highlight w:val="none"/>
              </w:rPr>
            </w:pPr>
          </w:p>
        </w:tc>
        <w:tc>
          <w:tcPr>
            <w:tcW w:w="2354" w:type="dxa"/>
            <w:tcBorders>
              <w:top w:val="nil"/>
              <w:left w:val="nil"/>
              <w:bottom w:val="single" w:color="auto" w:sz="8" w:space="0"/>
              <w:right w:val="single" w:color="auto" w:sz="8" w:space="0"/>
            </w:tcBorders>
            <w:noWrap w:val="0"/>
            <w:vAlign w:val="center"/>
          </w:tcPr>
          <w:p w14:paraId="0EB8AEFE">
            <w:pPr>
              <w:widowControl/>
              <w:spacing w:before="100" w:beforeAutospacing="1" w:after="100" w:afterAutospacing="1" w:line="240" w:lineRule="atLeast"/>
              <w:jc w:val="center"/>
              <w:rPr>
                <w:rFonts w:hint="eastAsia" w:ascii="宋体" w:hAnsi="宋体" w:cs="宋体"/>
                <w:color w:val="auto"/>
                <w:szCs w:val="21"/>
                <w:highlight w:val="none"/>
              </w:rPr>
            </w:pPr>
          </w:p>
        </w:tc>
      </w:tr>
      <w:tr w14:paraId="75B33297">
        <w:tblPrEx>
          <w:tblCellMar>
            <w:top w:w="0" w:type="dxa"/>
            <w:left w:w="0" w:type="dxa"/>
            <w:bottom w:w="0" w:type="dxa"/>
            <w:right w:w="0" w:type="dxa"/>
          </w:tblCellMar>
        </w:tblPrEx>
        <w:trPr>
          <w:trHeight w:val="641" w:hRule="atLeast"/>
          <w:jc w:val="center"/>
        </w:trPr>
        <w:tc>
          <w:tcPr>
            <w:tcW w:w="9371" w:type="dxa"/>
            <w:gridSpan w:val="8"/>
            <w:tcBorders>
              <w:top w:val="nil"/>
              <w:left w:val="single" w:color="auto" w:sz="8" w:space="0"/>
              <w:bottom w:val="single" w:color="auto" w:sz="8" w:space="0"/>
              <w:right w:val="single" w:color="auto" w:sz="8" w:space="0"/>
            </w:tcBorders>
            <w:noWrap w:val="0"/>
            <w:vAlign w:val="center"/>
          </w:tcPr>
          <w:p w14:paraId="18D17FC1">
            <w:pPr>
              <w:widowControl/>
              <w:spacing w:before="100" w:beforeAutospacing="1" w:after="100" w:afterAutospacing="1" w:line="320" w:lineRule="atLeast"/>
              <w:ind w:firstLine="2"/>
              <w:jc w:val="left"/>
              <w:rPr>
                <w:rFonts w:hint="eastAsia" w:ascii="宋体" w:hAnsi="宋体" w:cs="宋体"/>
                <w:color w:val="auto"/>
                <w:szCs w:val="21"/>
                <w:highlight w:val="none"/>
              </w:rPr>
            </w:pPr>
            <w:r>
              <w:rPr>
                <w:rFonts w:hint="eastAsia" w:ascii="宋体" w:hAnsi="宋体" w:cs="宋体"/>
                <w:color w:val="auto"/>
                <w:szCs w:val="21"/>
                <w:highlight w:val="none"/>
              </w:rPr>
              <w:t>合计大写金额：  仟 佰 拾 万 仟 佰 拾 元</w:t>
            </w:r>
          </w:p>
        </w:tc>
      </w:tr>
      <w:tr w14:paraId="023033C7">
        <w:tblPrEx>
          <w:tblCellMar>
            <w:top w:w="0" w:type="dxa"/>
            <w:left w:w="0" w:type="dxa"/>
            <w:bottom w:w="0" w:type="dxa"/>
            <w:right w:w="0" w:type="dxa"/>
          </w:tblCellMar>
        </w:tblPrEx>
        <w:trPr>
          <w:trHeight w:val="641" w:hRule="atLeast"/>
          <w:jc w:val="center"/>
        </w:trPr>
        <w:tc>
          <w:tcPr>
            <w:tcW w:w="1331" w:type="dxa"/>
            <w:tcBorders>
              <w:top w:val="nil"/>
              <w:left w:val="single" w:color="auto" w:sz="8" w:space="0"/>
              <w:bottom w:val="single" w:color="auto" w:sz="8" w:space="0"/>
              <w:right w:val="single" w:color="auto" w:sz="8" w:space="0"/>
            </w:tcBorders>
            <w:noWrap w:val="0"/>
            <w:vAlign w:val="center"/>
          </w:tcPr>
          <w:p w14:paraId="68C295CD">
            <w:pPr>
              <w:widowControl/>
              <w:spacing w:before="100" w:beforeAutospacing="1" w:after="100" w:afterAutospacing="1" w:line="320" w:lineRule="atLeast"/>
              <w:ind w:firstLine="2"/>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实际</w:t>
            </w:r>
            <w:r>
              <w:rPr>
                <w:rFonts w:hint="eastAsia" w:ascii="宋体" w:hAnsi="宋体" w:cs="宋体"/>
                <w:color w:val="auto"/>
                <w:szCs w:val="21"/>
                <w:highlight w:val="none"/>
                <w:lang w:eastAsia="zh-CN"/>
              </w:rPr>
              <w:t>实施的期限</w:t>
            </w:r>
          </w:p>
        </w:tc>
        <w:tc>
          <w:tcPr>
            <w:tcW w:w="2719" w:type="dxa"/>
            <w:gridSpan w:val="2"/>
            <w:tcBorders>
              <w:top w:val="nil"/>
              <w:left w:val="nil"/>
              <w:bottom w:val="single" w:color="auto" w:sz="8" w:space="0"/>
              <w:right w:val="single" w:color="auto" w:sz="8" w:space="0"/>
            </w:tcBorders>
            <w:noWrap w:val="0"/>
            <w:vAlign w:val="center"/>
          </w:tcPr>
          <w:p w14:paraId="51205D8D">
            <w:pPr>
              <w:widowControl/>
              <w:spacing w:before="100" w:beforeAutospacing="1" w:after="100" w:afterAutospacing="1" w:line="240" w:lineRule="atLeast"/>
              <w:jc w:val="center"/>
              <w:rPr>
                <w:rFonts w:hint="eastAsia" w:ascii="宋体" w:hAnsi="宋体" w:cs="宋体"/>
                <w:color w:val="auto"/>
                <w:szCs w:val="21"/>
                <w:highlight w:val="none"/>
              </w:rPr>
            </w:pPr>
          </w:p>
        </w:tc>
        <w:tc>
          <w:tcPr>
            <w:tcW w:w="2282" w:type="dxa"/>
            <w:gridSpan w:val="3"/>
            <w:tcBorders>
              <w:top w:val="nil"/>
              <w:left w:val="nil"/>
              <w:bottom w:val="single" w:color="auto" w:sz="8" w:space="0"/>
              <w:right w:val="single" w:color="auto" w:sz="8" w:space="0"/>
            </w:tcBorders>
            <w:noWrap w:val="0"/>
            <w:vAlign w:val="center"/>
          </w:tcPr>
          <w:p w14:paraId="3A1B236C">
            <w:pPr>
              <w:widowControl/>
              <w:spacing w:before="100" w:beforeAutospacing="1" w:after="100" w:afterAutospacing="1" w:line="320" w:lineRule="atLeast"/>
              <w:ind w:firstLine="46"/>
              <w:jc w:val="center"/>
              <w:rPr>
                <w:rFonts w:hint="eastAsia" w:ascii="宋体" w:hAnsi="宋体" w:cs="宋体"/>
                <w:color w:val="auto"/>
                <w:szCs w:val="21"/>
                <w:highlight w:val="none"/>
              </w:rPr>
            </w:pPr>
            <w:r>
              <w:rPr>
                <w:rFonts w:hint="eastAsia" w:ascii="宋体" w:hAnsi="宋体" w:cs="宋体"/>
                <w:color w:val="auto"/>
                <w:szCs w:val="21"/>
                <w:highlight w:val="none"/>
              </w:rPr>
              <w:t>合同服务验收日期</w:t>
            </w:r>
          </w:p>
        </w:tc>
        <w:tc>
          <w:tcPr>
            <w:tcW w:w="3039" w:type="dxa"/>
            <w:gridSpan w:val="2"/>
            <w:tcBorders>
              <w:top w:val="nil"/>
              <w:left w:val="nil"/>
              <w:bottom w:val="single" w:color="auto" w:sz="8" w:space="0"/>
              <w:right w:val="single" w:color="auto" w:sz="8" w:space="0"/>
            </w:tcBorders>
            <w:noWrap w:val="0"/>
            <w:vAlign w:val="center"/>
          </w:tcPr>
          <w:p w14:paraId="4CE30FB5">
            <w:pPr>
              <w:widowControl/>
              <w:spacing w:before="100" w:beforeAutospacing="1" w:after="100" w:afterAutospacing="1" w:line="240" w:lineRule="atLeast"/>
              <w:jc w:val="center"/>
              <w:rPr>
                <w:rFonts w:hint="eastAsia" w:ascii="宋体" w:hAnsi="宋体" w:cs="宋体"/>
                <w:color w:val="auto"/>
                <w:szCs w:val="21"/>
                <w:highlight w:val="none"/>
              </w:rPr>
            </w:pPr>
          </w:p>
        </w:tc>
      </w:tr>
      <w:tr w14:paraId="72BE6AA8">
        <w:tblPrEx>
          <w:tblCellMar>
            <w:top w:w="0" w:type="dxa"/>
            <w:left w:w="0" w:type="dxa"/>
            <w:bottom w:w="0" w:type="dxa"/>
            <w:right w:w="0" w:type="dxa"/>
          </w:tblCellMar>
        </w:tblPrEx>
        <w:trPr>
          <w:trHeight w:val="394" w:hRule="atLeast"/>
          <w:jc w:val="center"/>
        </w:trPr>
        <w:tc>
          <w:tcPr>
            <w:tcW w:w="1331" w:type="dxa"/>
            <w:tcBorders>
              <w:top w:val="nil"/>
              <w:left w:val="single" w:color="auto" w:sz="8" w:space="0"/>
              <w:bottom w:val="single" w:color="auto" w:sz="8" w:space="0"/>
              <w:right w:val="single" w:color="auto" w:sz="8" w:space="0"/>
            </w:tcBorders>
            <w:noWrap w:val="0"/>
            <w:vAlign w:val="center"/>
          </w:tcPr>
          <w:p w14:paraId="4FF39DD2">
            <w:pPr>
              <w:widowControl/>
              <w:spacing w:before="100" w:beforeAutospacing="1" w:after="100" w:afterAutospacing="1" w:line="240" w:lineRule="atLeast"/>
              <w:jc w:val="center"/>
              <w:rPr>
                <w:rFonts w:hint="eastAsia" w:ascii="宋体" w:hAnsi="宋体" w:cs="宋体"/>
                <w:color w:val="auto"/>
                <w:szCs w:val="21"/>
                <w:highlight w:val="none"/>
              </w:rPr>
            </w:pPr>
          </w:p>
        </w:tc>
        <w:tc>
          <w:tcPr>
            <w:tcW w:w="2719" w:type="dxa"/>
            <w:gridSpan w:val="2"/>
            <w:tcBorders>
              <w:top w:val="nil"/>
              <w:left w:val="nil"/>
              <w:bottom w:val="single" w:color="auto" w:sz="8" w:space="0"/>
              <w:right w:val="single" w:color="auto" w:sz="8" w:space="0"/>
            </w:tcBorders>
            <w:noWrap w:val="0"/>
            <w:vAlign w:val="center"/>
          </w:tcPr>
          <w:p w14:paraId="384E39D5">
            <w:pPr>
              <w:widowControl/>
              <w:spacing w:before="100" w:beforeAutospacing="1" w:after="100" w:afterAutospacing="1" w:line="240" w:lineRule="atLeast"/>
              <w:jc w:val="center"/>
              <w:rPr>
                <w:rFonts w:hint="eastAsia" w:ascii="宋体" w:hAnsi="宋体" w:cs="宋体"/>
                <w:color w:val="auto"/>
                <w:szCs w:val="21"/>
                <w:highlight w:val="none"/>
              </w:rPr>
            </w:pPr>
          </w:p>
        </w:tc>
        <w:tc>
          <w:tcPr>
            <w:tcW w:w="2282" w:type="dxa"/>
            <w:gridSpan w:val="3"/>
            <w:tcBorders>
              <w:top w:val="nil"/>
              <w:left w:val="nil"/>
              <w:bottom w:val="single" w:color="auto" w:sz="8" w:space="0"/>
              <w:right w:val="single" w:color="auto" w:sz="8" w:space="0"/>
            </w:tcBorders>
            <w:noWrap w:val="0"/>
            <w:vAlign w:val="center"/>
          </w:tcPr>
          <w:p w14:paraId="390CB850">
            <w:pPr>
              <w:widowControl/>
              <w:spacing w:before="100" w:beforeAutospacing="1" w:after="100" w:afterAutospacing="1" w:line="240" w:lineRule="atLeast"/>
              <w:jc w:val="center"/>
              <w:rPr>
                <w:rFonts w:hint="eastAsia" w:ascii="宋体" w:hAnsi="宋体" w:cs="宋体"/>
                <w:color w:val="auto"/>
                <w:szCs w:val="21"/>
                <w:highlight w:val="none"/>
              </w:rPr>
            </w:pPr>
          </w:p>
        </w:tc>
        <w:tc>
          <w:tcPr>
            <w:tcW w:w="3039" w:type="dxa"/>
            <w:gridSpan w:val="2"/>
            <w:tcBorders>
              <w:top w:val="nil"/>
              <w:left w:val="nil"/>
              <w:bottom w:val="single" w:color="auto" w:sz="8" w:space="0"/>
              <w:right w:val="single" w:color="auto" w:sz="8" w:space="0"/>
            </w:tcBorders>
            <w:noWrap w:val="0"/>
            <w:vAlign w:val="center"/>
          </w:tcPr>
          <w:p w14:paraId="0E4FBC24">
            <w:pPr>
              <w:widowControl/>
              <w:spacing w:before="100" w:beforeAutospacing="1" w:after="100" w:afterAutospacing="1" w:line="240" w:lineRule="atLeast"/>
              <w:jc w:val="center"/>
              <w:rPr>
                <w:rFonts w:hint="eastAsia" w:ascii="宋体" w:hAnsi="宋体" w:cs="宋体"/>
                <w:color w:val="auto"/>
                <w:szCs w:val="21"/>
                <w:highlight w:val="none"/>
              </w:rPr>
            </w:pPr>
          </w:p>
        </w:tc>
      </w:tr>
      <w:tr w14:paraId="40887BF0">
        <w:tblPrEx>
          <w:tblCellMar>
            <w:top w:w="0" w:type="dxa"/>
            <w:left w:w="0" w:type="dxa"/>
            <w:bottom w:w="0" w:type="dxa"/>
            <w:right w:w="0" w:type="dxa"/>
          </w:tblCellMar>
        </w:tblPrEx>
        <w:trPr>
          <w:trHeight w:val="693" w:hRule="atLeast"/>
          <w:jc w:val="center"/>
        </w:trPr>
        <w:tc>
          <w:tcPr>
            <w:tcW w:w="1331"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0DFB4E01">
            <w:pPr>
              <w:widowControl/>
              <w:spacing w:before="100" w:beforeAutospacing="1" w:after="100" w:afterAutospacing="1" w:line="320" w:lineRule="atLeast"/>
              <w:jc w:val="left"/>
              <w:rPr>
                <w:rFonts w:hint="eastAsia" w:ascii="宋体" w:hAnsi="宋体" w:cs="宋体"/>
                <w:color w:val="auto"/>
                <w:szCs w:val="21"/>
                <w:highlight w:val="none"/>
              </w:rPr>
            </w:pPr>
            <w:r>
              <w:rPr>
                <w:rFonts w:hint="eastAsia" w:ascii="宋体" w:hAnsi="宋体" w:cs="宋体"/>
                <w:color w:val="auto"/>
                <w:szCs w:val="21"/>
                <w:highlight w:val="none"/>
              </w:rPr>
              <w:t>验收具体内容</w:t>
            </w:r>
          </w:p>
        </w:tc>
        <w:tc>
          <w:tcPr>
            <w:tcW w:w="8040" w:type="dxa"/>
            <w:gridSpan w:val="7"/>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84DA9B2">
            <w:pPr>
              <w:widowControl/>
              <w:spacing w:before="100" w:beforeAutospacing="1" w:after="100" w:afterAutospacing="1" w:line="320" w:lineRule="atLeast"/>
              <w:jc w:val="left"/>
              <w:rPr>
                <w:rFonts w:hint="eastAsia" w:ascii="宋体" w:hAnsi="宋体" w:cs="宋体"/>
                <w:color w:val="auto"/>
                <w:szCs w:val="21"/>
                <w:highlight w:val="none"/>
              </w:rPr>
            </w:pPr>
            <w:r>
              <w:rPr>
                <w:rFonts w:hint="eastAsia" w:ascii="宋体" w:hAnsi="宋体" w:cs="宋体"/>
                <w:color w:val="auto"/>
                <w:szCs w:val="21"/>
                <w:highlight w:val="none"/>
              </w:rPr>
              <w:t>（应按采购合同、采购文件、投标文件及验收方案等进行验收；并核对中标供应商是否违反合同约定或服务规范要求）</w:t>
            </w:r>
          </w:p>
        </w:tc>
      </w:tr>
      <w:tr w14:paraId="3A8FCC21">
        <w:tblPrEx>
          <w:tblCellMar>
            <w:top w:w="0" w:type="dxa"/>
            <w:left w:w="0" w:type="dxa"/>
            <w:bottom w:w="0" w:type="dxa"/>
            <w:right w:w="0" w:type="dxa"/>
          </w:tblCellMar>
        </w:tblPrEx>
        <w:trPr>
          <w:trHeight w:val="1281" w:hRule="atLeast"/>
          <w:jc w:val="center"/>
        </w:trPr>
        <w:tc>
          <w:tcPr>
            <w:tcW w:w="1331" w:type="dxa"/>
            <w:vMerge w:val="restart"/>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30CA68D3">
            <w:pPr>
              <w:widowControl/>
              <w:spacing w:before="100" w:beforeAutospacing="1" w:after="100" w:afterAutospacing="1" w:line="320" w:lineRule="atLeast"/>
              <w:jc w:val="left"/>
              <w:rPr>
                <w:rFonts w:hint="eastAsia" w:ascii="宋体" w:hAnsi="宋体" w:cs="宋体"/>
                <w:color w:val="auto"/>
                <w:szCs w:val="21"/>
                <w:highlight w:val="none"/>
              </w:rPr>
            </w:pPr>
            <w:r>
              <w:rPr>
                <w:rFonts w:hint="eastAsia" w:ascii="宋体" w:hAnsi="宋体" w:cs="宋体"/>
                <w:color w:val="auto"/>
                <w:szCs w:val="21"/>
                <w:highlight w:val="none"/>
              </w:rPr>
              <w:t>验收小组意见</w:t>
            </w:r>
          </w:p>
        </w:tc>
        <w:tc>
          <w:tcPr>
            <w:tcW w:w="8040" w:type="dxa"/>
            <w:gridSpan w:val="7"/>
            <w:tcBorders>
              <w:top w:val="nil"/>
              <w:left w:val="nil"/>
              <w:bottom w:val="single" w:color="auto" w:sz="8" w:space="0"/>
              <w:right w:val="single" w:color="auto" w:sz="8" w:space="0"/>
            </w:tcBorders>
            <w:noWrap w:val="0"/>
            <w:vAlign w:val="center"/>
          </w:tcPr>
          <w:p w14:paraId="2879B565">
            <w:pPr>
              <w:widowControl/>
              <w:spacing w:before="100" w:beforeAutospacing="1" w:after="100" w:afterAutospacing="1" w:line="320" w:lineRule="atLeast"/>
              <w:jc w:val="left"/>
              <w:rPr>
                <w:rFonts w:hint="eastAsia" w:ascii="宋体" w:hAnsi="宋体" w:cs="宋体"/>
                <w:color w:val="auto"/>
                <w:szCs w:val="21"/>
                <w:highlight w:val="none"/>
              </w:rPr>
            </w:pPr>
            <w:r>
              <w:rPr>
                <w:rFonts w:hint="eastAsia" w:ascii="宋体" w:hAnsi="宋体" w:cs="宋体"/>
                <w:color w:val="auto"/>
                <w:szCs w:val="21"/>
                <w:highlight w:val="none"/>
              </w:rPr>
              <w:t>验收结论性意见：</w:t>
            </w:r>
          </w:p>
        </w:tc>
      </w:tr>
      <w:tr w14:paraId="5CA39709">
        <w:tblPrEx>
          <w:tblCellMar>
            <w:top w:w="0" w:type="dxa"/>
            <w:left w:w="0" w:type="dxa"/>
            <w:bottom w:w="0" w:type="dxa"/>
            <w:right w:w="0" w:type="dxa"/>
          </w:tblCellMar>
        </w:tblPrEx>
        <w:trPr>
          <w:trHeight w:val="607" w:hRule="atLeast"/>
          <w:jc w:val="center"/>
        </w:trPr>
        <w:tc>
          <w:tcPr>
            <w:tcW w:w="1331" w:type="dxa"/>
            <w:vMerge w:val="continue"/>
            <w:tcBorders>
              <w:top w:val="nil"/>
              <w:left w:val="single" w:color="auto" w:sz="8" w:space="0"/>
              <w:bottom w:val="single" w:color="auto" w:sz="8" w:space="0"/>
              <w:right w:val="single" w:color="auto" w:sz="8" w:space="0"/>
            </w:tcBorders>
            <w:noWrap w:val="0"/>
            <w:vAlign w:val="center"/>
          </w:tcPr>
          <w:p w14:paraId="606D8F70">
            <w:pPr>
              <w:widowControl/>
              <w:jc w:val="left"/>
              <w:rPr>
                <w:rFonts w:hint="eastAsia" w:ascii="宋体" w:hAnsi="宋体" w:cs="宋体"/>
                <w:color w:val="auto"/>
                <w:szCs w:val="21"/>
                <w:highlight w:val="none"/>
              </w:rPr>
            </w:pPr>
          </w:p>
        </w:tc>
        <w:tc>
          <w:tcPr>
            <w:tcW w:w="8040" w:type="dxa"/>
            <w:gridSpan w:val="7"/>
            <w:tcBorders>
              <w:top w:val="nil"/>
              <w:left w:val="nil"/>
              <w:bottom w:val="single" w:color="auto" w:sz="8" w:space="0"/>
              <w:right w:val="single" w:color="auto" w:sz="8" w:space="0"/>
            </w:tcBorders>
            <w:noWrap w:val="0"/>
            <w:vAlign w:val="center"/>
          </w:tcPr>
          <w:p w14:paraId="380A2273">
            <w:pPr>
              <w:widowControl/>
              <w:spacing w:before="100" w:beforeAutospacing="1" w:after="100" w:afterAutospacing="1" w:line="320" w:lineRule="atLeast"/>
              <w:ind w:firstLine="96"/>
              <w:jc w:val="left"/>
              <w:rPr>
                <w:rFonts w:hint="eastAsia" w:ascii="宋体" w:hAnsi="宋体" w:cs="宋体"/>
                <w:color w:val="auto"/>
                <w:szCs w:val="21"/>
                <w:highlight w:val="none"/>
              </w:rPr>
            </w:pPr>
            <w:r>
              <w:rPr>
                <w:rFonts w:hint="eastAsia" w:ascii="宋体" w:hAnsi="宋体" w:cs="宋体"/>
                <w:color w:val="auto"/>
                <w:szCs w:val="21"/>
                <w:highlight w:val="none"/>
              </w:rPr>
              <w:t>有异议的意见和说明理由：</w:t>
            </w:r>
          </w:p>
          <w:p w14:paraId="1F463CA7">
            <w:pPr>
              <w:widowControl/>
              <w:spacing w:before="100" w:beforeAutospacing="1" w:after="100" w:afterAutospacing="1" w:line="320" w:lineRule="atLeast"/>
              <w:jc w:val="left"/>
              <w:rPr>
                <w:rFonts w:hint="eastAsia" w:ascii="宋体" w:hAnsi="宋体" w:cs="宋体"/>
                <w:color w:val="auto"/>
                <w:szCs w:val="21"/>
                <w:highlight w:val="none"/>
              </w:rPr>
            </w:pPr>
            <w:r>
              <w:rPr>
                <w:rFonts w:hint="eastAsia" w:ascii="宋体" w:hAnsi="宋体" w:cs="宋体"/>
                <w:color w:val="auto"/>
                <w:szCs w:val="21"/>
                <w:highlight w:val="none"/>
              </w:rPr>
              <w:t>签字：</w:t>
            </w:r>
          </w:p>
        </w:tc>
      </w:tr>
      <w:tr w14:paraId="28B9BC7F">
        <w:tblPrEx>
          <w:tblCellMar>
            <w:top w:w="0" w:type="dxa"/>
            <w:left w:w="0" w:type="dxa"/>
            <w:bottom w:w="0" w:type="dxa"/>
            <w:right w:w="0" w:type="dxa"/>
          </w:tblCellMar>
        </w:tblPrEx>
        <w:trPr>
          <w:trHeight w:val="507" w:hRule="atLeast"/>
          <w:jc w:val="center"/>
        </w:trPr>
        <w:tc>
          <w:tcPr>
            <w:tcW w:w="9371" w:type="dxa"/>
            <w:gridSpan w:val="8"/>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0292981">
            <w:pPr>
              <w:widowControl/>
              <w:spacing w:before="100" w:beforeAutospacing="1" w:after="100" w:afterAutospacing="1" w:line="320" w:lineRule="atLeast"/>
              <w:jc w:val="left"/>
              <w:rPr>
                <w:rFonts w:hint="eastAsia" w:ascii="宋体" w:hAnsi="宋体" w:cs="宋体"/>
                <w:color w:val="auto"/>
                <w:szCs w:val="21"/>
                <w:highlight w:val="none"/>
              </w:rPr>
            </w:pPr>
            <w:r>
              <w:rPr>
                <w:rFonts w:hint="eastAsia" w:ascii="宋体" w:hAnsi="宋体" w:cs="宋体"/>
                <w:color w:val="auto"/>
                <w:szCs w:val="21"/>
                <w:highlight w:val="none"/>
              </w:rPr>
              <w:t>验收小组成员签字：</w:t>
            </w:r>
          </w:p>
        </w:tc>
      </w:tr>
      <w:tr w14:paraId="58075579">
        <w:tblPrEx>
          <w:tblCellMar>
            <w:top w:w="0" w:type="dxa"/>
            <w:left w:w="0" w:type="dxa"/>
            <w:bottom w:w="0" w:type="dxa"/>
            <w:right w:w="0" w:type="dxa"/>
          </w:tblCellMar>
        </w:tblPrEx>
        <w:trPr>
          <w:trHeight w:val="736" w:hRule="atLeast"/>
          <w:jc w:val="center"/>
        </w:trPr>
        <w:tc>
          <w:tcPr>
            <w:tcW w:w="9371" w:type="dxa"/>
            <w:gridSpan w:val="8"/>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33DD306B">
            <w:pPr>
              <w:widowControl/>
              <w:spacing w:before="100" w:beforeAutospacing="1" w:after="100" w:afterAutospacing="1" w:line="320" w:lineRule="atLeast"/>
              <w:jc w:val="left"/>
              <w:rPr>
                <w:rFonts w:hint="eastAsia" w:ascii="宋体" w:hAnsi="宋体" w:cs="宋体"/>
                <w:color w:val="auto"/>
                <w:szCs w:val="21"/>
                <w:highlight w:val="none"/>
              </w:rPr>
            </w:pPr>
            <w:r>
              <w:rPr>
                <w:rFonts w:hint="eastAsia" w:ascii="宋体" w:hAnsi="宋体" w:cs="宋体"/>
                <w:color w:val="auto"/>
                <w:szCs w:val="21"/>
                <w:highlight w:val="none"/>
              </w:rPr>
              <w:t>监督人员或其他相关人员签字：</w:t>
            </w:r>
          </w:p>
          <w:p w14:paraId="3FFA1485">
            <w:pPr>
              <w:widowControl/>
              <w:spacing w:before="100" w:beforeAutospacing="1" w:after="100" w:afterAutospacing="1" w:line="320" w:lineRule="atLeast"/>
              <w:ind w:firstLine="74"/>
              <w:jc w:val="left"/>
              <w:rPr>
                <w:rFonts w:hint="eastAsia" w:ascii="宋体" w:hAnsi="宋体" w:cs="宋体"/>
                <w:color w:val="auto"/>
                <w:szCs w:val="21"/>
                <w:highlight w:val="none"/>
              </w:rPr>
            </w:pPr>
            <w:r>
              <w:rPr>
                <w:rFonts w:hint="eastAsia" w:ascii="宋体" w:hAnsi="宋体" w:cs="宋体"/>
                <w:color w:val="auto"/>
                <w:szCs w:val="21"/>
                <w:highlight w:val="none"/>
              </w:rPr>
              <w:t>或受邀机构的意见（盖章）：</w:t>
            </w:r>
          </w:p>
        </w:tc>
      </w:tr>
      <w:tr w14:paraId="649FB169">
        <w:tblPrEx>
          <w:tblCellMar>
            <w:top w:w="0" w:type="dxa"/>
            <w:left w:w="0" w:type="dxa"/>
            <w:bottom w:w="0" w:type="dxa"/>
            <w:right w:w="0" w:type="dxa"/>
          </w:tblCellMar>
        </w:tblPrEx>
        <w:trPr>
          <w:trHeight w:val="758" w:hRule="atLeast"/>
          <w:jc w:val="center"/>
        </w:trPr>
        <w:tc>
          <w:tcPr>
            <w:tcW w:w="4152" w:type="dxa"/>
            <w:gridSpan w:val="4"/>
            <w:tcBorders>
              <w:top w:val="nil"/>
              <w:left w:val="single" w:color="auto" w:sz="8" w:space="0"/>
              <w:bottom w:val="single" w:color="auto" w:sz="8" w:space="0"/>
              <w:right w:val="nil"/>
            </w:tcBorders>
            <w:noWrap w:val="0"/>
            <w:tcMar>
              <w:top w:w="0" w:type="dxa"/>
              <w:left w:w="108" w:type="dxa"/>
              <w:bottom w:w="0" w:type="dxa"/>
              <w:right w:w="108" w:type="dxa"/>
            </w:tcMar>
            <w:vAlign w:val="center"/>
          </w:tcPr>
          <w:p w14:paraId="5FF2DC4A">
            <w:pPr>
              <w:widowControl/>
              <w:spacing w:before="100" w:beforeAutospacing="1" w:after="100" w:afterAutospacing="1" w:line="320" w:lineRule="atLeast"/>
              <w:ind w:firstLine="74"/>
              <w:jc w:val="left"/>
              <w:rPr>
                <w:rFonts w:hint="eastAsia" w:ascii="宋体" w:hAnsi="宋体" w:cs="宋体"/>
                <w:color w:val="auto"/>
                <w:szCs w:val="21"/>
                <w:highlight w:val="none"/>
              </w:rPr>
            </w:pPr>
            <w:r>
              <w:rPr>
                <w:rFonts w:hint="eastAsia" w:ascii="宋体" w:hAnsi="宋体" w:cs="宋体"/>
                <w:color w:val="auto"/>
                <w:szCs w:val="21"/>
                <w:highlight w:val="none"/>
              </w:rPr>
              <w:t>中标供应商负责人签字或盖章：</w:t>
            </w:r>
          </w:p>
          <w:p w14:paraId="5427D7FA">
            <w:pPr>
              <w:widowControl/>
              <w:spacing w:before="100" w:beforeAutospacing="1" w:after="100" w:afterAutospacing="1" w:line="320" w:lineRule="atLeast"/>
              <w:jc w:val="left"/>
              <w:rPr>
                <w:rFonts w:hint="eastAsia" w:ascii="宋体" w:hAnsi="宋体" w:cs="宋体"/>
                <w:color w:val="auto"/>
                <w:szCs w:val="21"/>
                <w:highlight w:val="none"/>
              </w:rPr>
            </w:pPr>
            <w:r>
              <w:rPr>
                <w:rFonts w:hint="eastAsia" w:ascii="宋体" w:hAnsi="宋体" w:cs="宋体"/>
                <w:color w:val="auto"/>
                <w:szCs w:val="21"/>
                <w:highlight w:val="none"/>
              </w:rPr>
              <w:t>联系电话： 年 月 日</w:t>
            </w:r>
          </w:p>
        </w:tc>
        <w:tc>
          <w:tcPr>
            <w:tcW w:w="5219" w:type="dxa"/>
            <w:gridSpan w:val="4"/>
            <w:tcBorders>
              <w:top w:val="nil"/>
              <w:left w:val="nil"/>
              <w:bottom w:val="single" w:color="auto" w:sz="8" w:space="0"/>
              <w:right w:val="single" w:color="auto" w:sz="8" w:space="0"/>
            </w:tcBorders>
            <w:noWrap w:val="0"/>
            <w:vAlign w:val="center"/>
          </w:tcPr>
          <w:p w14:paraId="4AB41F26">
            <w:pPr>
              <w:widowControl/>
              <w:spacing w:before="100" w:beforeAutospacing="1" w:after="100" w:afterAutospacing="1" w:line="320" w:lineRule="atLeast"/>
              <w:jc w:val="left"/>
              <w:rPr>
                <w:rFonts w:hint="eastAsia" w:ascii="宋体" w:hAnsi="宋体" w:cs="宋体"/>
                <w:color w:val="auto"/>
                <w:szCs w:val="21"/>
                <w:highlight w:val="none"/>
              </w:rPr>
            </w:pPr>
            <w:r>
              <w:rPr>
                <w:rFonts w:hint="eastAsia"/>
                <w:color w:val="auto"/>
                <w:highlight w:val="none"/>
              </w:rPr>
              <w:t>采购人或委托单位</w:t>
            </w:r>
            <w:r>
              <w:rPr>
                <w:rFonts w:hint="eastAsia" w:ascii="宋体" w:hAnsi="宋体" w:cs="宋体"/>
                <w:color w:val="auto"/>
                <w:szCs w:val="21"/>
                <w:highlight w:val="none"/>
              </w:rPr>
              <w:t>的意见（盖章）：</w:t>
            </w:r>
          </w:p>
          <w:p w14:paraId="7F327AD3">
            <w:pPr>
              <w:widowControl/>
              <w:spacing w:before="100" w:beforeAutospacing="1" w:after="100" w:afterAutospacing="1" w:line="320" w:lineRule="atLeast"/>
              <w:jc w:val="left"/>
              <w:rPr>
                <w:rFonts w:hint="eastAsia" w:ascii="宋体" w:hAnsi="宋体" w:cs="宋体"/>
                <w:color w:val="auto"/>
                <w:szCs w:val="21"/>
                <w:highlight w:val="none"/>
              </w:rPr>
            </w:pPr>
            <w:r>
              <w:rPr>
                <w:rFonts w:hint="eastAsia" w:ascii="宋体" w:hAnsi="宋体" w:cs="宋体"/>
                <w:color w:val="auto"/>
                <w:szCs w:val="21"/>
                <w:highlight w:val="none"/>
              </w:rPr>
              <w:t>联系电话： 年 月 日</w:t>
            </w:r>
          </w:p>
        </w:tc>
      </w:tr>
    </w:tbl>
    <w:p w14:paraId="2E28A7CA">
      <w:pPr>
        <w:pStyle w:val="230"/>
        <w:spacing w:before="120" w:after="120"/>
        <w:rPr>
          <w:rFonts w:hint="eastAsia" w:hAnsi="宋体" w:cs="宋体"/>
          <w:b/>
          <w:bCs/>
          <w:color w:val="auto"/>
          <w:sz w:val="21"/>
          <w:highlight w:val="none"/>
        </w:rPr>
        <w:sectPr>
          <w:footerReference r:id="rId10" w:type="first"/>
          <w:headerReference r:id="rId7" w:type="default"/>
          <w:footerReference r:id="rId8" w:type="default"/>
          <w:footerReference r:id="rId9" w:type="even"/>
          <w:pgSz w:w="11906" w:h="16838"/>
          <w:pgMar w:top="1440" w:right="1797" w:bottom="1440" w:left="1797" w:header="851" w:footer="992" w:gutter="0"/>
          <w:cols w:space="1701" w:num="1"/>
        </w:sectPr>
      </w:pPr>
      <w:r>
        <w:rPr>
          <w:rFonts w:hint="eastAsia" w:hAnsi="宋体" w:cs="宋体"/>
          <w:b/>
          <w:bCs/>
          <w:color w:val="auto"/>
          <w:sz w:val="21"/>
          <w:highlight w:val="none"/>
        </w:rPr>
        <w:t>备注：本表为参考格式及内容，验收时经双方协商，按照实际服务内容及验收标准进行填写。</w:t>
      </w:r>
    </w:p>
    <w:p w14:paraId="2E7D126B">
      <w:pPr>
        <w:pStyle w:val="230"/>
        <w:spacing w:before="120" w:after="120"/>
        <w:rPr>
          <w:rFonts w:hint="eastAsia" w:hAnsi="宋体" w:cs="宋体"/>
          <w:color w:val="auto"/>
          <w:highlight w:val="none"/>
        </w:rPr>
      </w:pPr>
    </w:p>
    <w:p w14:paraId="08A91D65">
      <w:pPr>
        <w:pStyle w:val="18"/>
        <w:snapToGrid w:val="0"/>
        <w:jc w:val="center"/>
        <w:rPr>
          <w:rFonts w:hint="eastAsia" w:hAnsi="宋体" w:cs="宋体"/>
          <w:color w:val="auto"/>
          <w:highlight w:val="none"/>
        </w:rPr>
      </w:pPr>
      <w:r>
        <w:rPr>
          <w:rFonts w:hint="eastAsia" w:hAnsi="宋体" w:cs="宋体"/>
          <w:b/>
          <w:bCs/>
          <w:color w:val="auto"/>
          <w:sz w:val="32"/>
          <w:szCs w:val="32"/>
          <w:highlight w:val="none"/>
        </w:rPr>
        <w:t>第四章  评标</w:t>
      </w:r>
      <w:r>
        <w:rPr>
          <w:rFonts w:hint="eastAsia" w:hAnsi="宋体" w:cs="宋体"/>
          <w:b/>
          <w:bCs/>
          <w:color w:val="auto"/>
          <w:sz w:val="32"/>
          <w:szCs w:val="32"/>
          <w:highlight w:val="none"/>
          <w:lang w:eastAsia="zh-CN"/>
        </w:rPr>
        <w:t>方</w:t>
      </w:r>
      <w:r>
        <w:rPr>
          <w:rFonts w:hint="eastAsia" w:hAnsi="宋体" w:cs="宋体"/>
          <w:b/>
          <w:bCs/>
          <w:color w:val="auto"/>
          <w:sz w:val="32"/>
          <w:szCs w:val="32"/>
          <w:highlight w:val="none"/>
        </w:rPr>
        <w:t>法及评分标准</w:t>
      </w:r>
    </w:p>
    <w:p w14:paraId="48FABD41">
      <w:pPr>
        <w:jc w:val="center"/>
        <w:rPr>
          <w:b/>
          <w:bCs/>
          <w:color w:val="auto"/>
          <w:sz w:val="24"/>
          <w:szCs w:val="32"/>
          <w:highlight w:val="none"/>
        </w:rPr>
      </w:pPr>
    </w:p>
    <w:p w14:paraId="42F20954">
      <w:pPr>
        <w:pStyle w:val="197"/>
        <w:keepNext w:val="0"/>
        <w:keepLines w:val="0"/>
        <w:jc w:val="center"/>
        <w:rPr>
          <w:rFonts w:hint="eastAsia" w:ascii="宋体" w:hAnsi="宋体" w:cs="宋体"/>
          <w:color w:val="auto"/>
          <w:highlight w:val="none"/>
        </w:rPr>
      </w:pPr>
      <w:r>
        <w:rPr>
          <w:rFonts w:hint="eastAsia" w:ascii="宋体" w:hAnsi="宋体" w:cs="宋体"/>
          <w:color w:val="auto"/>
          <w:highlight w:val="none"/>
        </w:rPr>
        <w:t>一、评标方法</w:t>
      </w:r>
    </w:p>
    <w:p w14:paraId="116AC30E">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（一）综合评分法，是指投标文件满足招标文件全部实质性要求，且按照评审因素的量化指标评审得分最高的投标人为中标候选人的评标方法。</w:t>
      </w:r>
    </w:p>
    <w:p w14:paraId="728E3FDA">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（二）组建评标委员会</w:t>
      </w:r>
    </w:p>
    <w:p w14:paraId="00B7C225">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评标委员会由采购人代表和评审专家组成，成员人数见“投标人须知前附表”，其中评审专家不得少于成员总数的三分之二。</w:t>
      </w:r>
    </w:p>
    <w:p w14:paraId="39C7A6E4">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参加过采购项目前期咨询论证的专家，不得参加该采购项目的评审活动。</w:t>
      </w:r>
    </w:p>
    <w:p w14:paraId="5D5B90B2">
      <w:pPr>
        <w:pStyle w:val="197"/>
        <w:keepNext w:val="0"/>
        <w:keepLines w:val="0"/>
        <w:jc w:val="center"/>
        <w:rPr>
          <w:rFonts w:hint="eastAsia" w:ascii="宋体" w:hAnsi="宋体" w:cs="宋体"/>
          <w:color w:val="auto"/>
          <w:highlight w:val="none"/>
        </w:rPr>
      </w:pPr>
      <w:r>
        <w:rPr>
          <w:rFonts w:hint="eastAsia" w:ascii="宋体" w:hAnsi="宋体" w:cs="宋体"/>
          <w:color w:val="auto"/>
          <w:highlight w:val="none"/>
        </w:rPr>
        <w:t>二、评标程序</w:t>
      </w:r>
    </w:p>
    <w:p w14:paraId="035D8244">
      <w:pPr>
        <w:pStyle w:val="199"/>
        <w:keepNext w:val="0"/>
        <w:keepLines w:val="0"/>
        <w:spacing w:before="0" w:after="0" w:line="360" w:lineRule="auto"/>
        <w:ind w:left="420"/>
        <w:rPr>
          <w:rFonts w:hint="eastAsia" w:ascii="宋体" w:hAnsi="宋体" w:cs="宋体"/>
          <w:color w:val="auto"/>
          <w:sz w:val="21"/>
          <w:szCs w:val="21"/>
          <w:highlight w:val="none"/>
        </w:rPr>
      </w:pPr>
      <w:r>
        <w:rPr>
          <w:rFonts w:hint="eastAsia" w:ascii="宋体" w:hAnsi="宋体" w:cs="宋体"/>
          <w:color w:val="auto"/>
          <w:sz w:val="21"/>
          <w:szCs w:val="21"/>
          <w:highlight w:val="none"/>
        </w:rPr>
        <w:t>1.符合性审查</w:t>
      </w:r>
    </w:p>
    <w:p w14:paraId="6414E821">
      <w:pPr>
        <w:pStyle w:val="230"/>
        <w:spacing w:line="360" w:lineRule="auto"/>
        <w:ind w:left="1" w:firstLine="420"/>
        <w:rPr>
          <w:rFonts w:hint="eastAsia" w:hAnsi="宋体" w:cs="宋体"/>
          <w:b/>
          <w:color w:val="auto"/>
          <w:sz w:val="21"/>
          <w:highlight w:val="none"/>
        </w:rPr>
      </w:pPr>
      <w:r>
        <w:rPr>
          <w:rFonts w:hint="eastAsia" w:hAnsi="宋体" w:cs="宋体"/>
          <w:b/>
          <w:color w:val="auto"/>
          <w:sz w:val="21"/>
          <w:highlight w:val="none"/>
        </w:rPr>
        <w:t>评标委员会应当对符合资格的投标人的投标文件进行投标报价、商务、技术等实质性内容符合性审查，以确定其是否满足招标文件的实质性要求。</w:t>
      </w:r>
    </w:p>
    <w:p w14:paraId="51F3840D">
      <w:pPr>
        <w:pStyle w:val="199"/>
        <w:keepNext w:val="0"/>
        <w:keepLines w:val="0"/>
        <w:spacing w:before="0" w:after="0" w:line="360" w:lineRule="auto"/>
        <w:ind w:left="420"/>
        <w:rPr>
          <w:rFonts w:hint="eastAsia" w:ascii="宋体" w:hAnsi="宋体" w:cs="宋体"/>
          <w:color w:val="auto"/>
          <w:sz w:val="21"/>
          <w:szCs w:val="21"/>
          <w:highlight w:val="none"/>
        </w:rPr>
      </w:pPr>
      <w:r>
        <w:rPr>
          <w:rFonts w:hint="eastAsia" w:ascii="宋体" w:hAnsi="宋体" w:cs="宋体"/>
          <w:color w:val="auto"/>
          <w:sz w:val="21"/>
          <w:szCs w:val="21"/>
          <w:highlight w:val="none"/>
        </w:rPr>
        <w:t>2.符合性审查不通过而导致投标无效的情形</w:t>
      </w:r>
    </w:p>
    <w:p w14:paraId="3E2D29B6">
      <w:p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投标人的投标文件中存在对招标文件的任何实质性要求和条件的负偏离，将被视为投标无效。</w:t>
      </w:r>
    </w:p>
    <w:p w14:paraId="310EA885">
      <w:pPr>
        <w:pStyle w:val="199"/>
        <w:keepNext w:val="0"/>
        <w:keepLines w:val="0"/>
        <w:spacing w:before="0" w:after="0" w:line="360" w:lineRule="auto"/>
        <w:ind w:left="420"/>
        <w:rPr>
          <w:rFonts w:hint="eastAsia" w:ascii="宋体" w:hAnsi="宋体" w:cs="宋体"/>
          <w:color w:val="auto"/>
          <w:sz w:val="21"/>
          <w:szCs w:val="21"/>
          <w:highlight w:val="none"/>
        </w:rPr>
      </w:pPr>
      <w:r>
        <w:rPr>
          <w:rFonts w:hint="eastAsia" w:ascii="宋体" w:hAnsi="宋体" w:cs="宋体"/>
          <w:color w:val="auto"/>
          <w:sz w:val="21"/>
          <w:szCs w:val="21"/>
          <w:highlight w:val="none"/>
        </w:rPr>
        <w:t>2.1在报价评审时，如发现下列情形之一的，将被视为投标无效：</w:t>
      </w:r>
    </w:p>
    <w:p w14:paraId="3B9CBDD6">
      <w:pPr>
        <w:pStyle w:val="200"/>
        <w:numPr>
          <w:ilvl w:val="0"/>
          <w:numId w:val="6"/>
        </w:numPr>
        <w:spacing w:line="360" w:lineRule="auto"/>
        <w:ind w:firstLine="398"/>
        <w:rPr>
          <w:rFonts w:hint="eastAsia" w:ascii="宋体" w:hAnsi="宋体" w:cs="宋体"/>
          <w:b/>
          <w:color w:val="auto"/>
          <w:spacing w:val="-6"/>
          <w:szCs w:val="21"/>
          <w:highlight w:val="none"/>
        </w:rPr>
      </w:pPr>
      <w:r>
        <w:rPr>
          <w:rFonts w:hint="eastAsia" w:ascii="宋体" w:hAnsi="宋体" w:cs="宋体"/>
          <w:b/>
          <w:color w:val="auto"/>
          <w:spacing w:val="-6"/>
          <w:szCs w:val="21"/>
          <w:highlight w:val="none"/>
        </w:rPr>
        <w:t>报价文件未提供“投标人须知前附表”第13.1条规定中“必须提供”的文件资料的；</w:t>
      </w:r>
    </w:p>
    <w:p w14:paraId="50857D9E">
      <w:pPr>
        <w:pStyle w:val="200"/>
        <w:numPr>
          <w:ilvl w:val="0"/>
          <w:numId w:val="6"/>
        </w:num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未采用人民币报价或者未按照招标文件标明的币种报价的；</w:t>
      </w:r>
    </w:p>
    <w:p w14:paraId="34AAF00E">
      <w:pPr>
        <w:pStyle w:val="200"/>
        <w:numPr>
          <w:ilvl w:val="0"/>
          <w:numId w:val="6"/>
        </w:numPr>
        <w:spacing w:line="360" w:lineRule="auto"/>
        <w:ind w:left="-2" w:firstLine="422"/>
        <w:rPr>
          <w:rFonts w:hint="eastAsia" w:ascii="宋体" w:hAnsi="宋体" w:cs="宋体"/>
          <w:b/>
          <w:color w:val="auto"/>
          <w:spacing w:val="-6"/>
          <w:szCs w:val="21"/>
          <w:highlight w:val="none"/>
        </w:rPr>
      </w:pPr>
      <w:r>
        <w:rPr>
          <w:rFonts w:hint="eastAsia" w:ascii="宋体" w:hAnsi="宋体" w:cs="宋体"/>
          <w:b/>
          <w:color w:val="auto"/>
          <w:spacing w:val="-6"/>
          <w:szCs w:val="21"/>
          <w:highlight w:val="none"/>
        </w:rPr>
        <w:t>报价超出招标文件规定最高限价，或者超出采购预算金额的；</w:t>
      </w:r>
    </w:p>
    <w:p w14:paraId="6BACF708">
      <w:pPr>
        <w:pStyle w:val="200"/>
        <w:numPr>
          <w:ilvl w:val="0"/>
          <w:numId w:val="6"/>
        </w:num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投标人未就所投项目进行报价或者存在漏项报价；投标人未就所投项目的单项内容作唯一报价；投标人未就所投项目的全部内容作完整唯一总价报价；存在有选择、有条件报价的（招标文件允许有备选方案或者其他约定的除外）；</w:t>
      </w:r>
    </w:p>
    <w:p w14:paraId="121BF71F">
      <w:pPr>
        <w:pStyle w:val="200"/>
        <w:numPr>
          <w:ilvl w:val="0"/>
          <w:numId w:val="6"/>
        </w:num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修正后的报价，投标人不确认的；</w:t>
      </w:r>
    </w:p>
    <w:p w14:paraId="6D161BF5">
      <w:pPr>
        <w:pStyle w:val="200"/>
        <w:numPr>
          <w:ilvl w:val="0"/>
          <w:numId w:val="6"/>
        </w:num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投标人属于本章第5.1条（2）或者第5.2条（2）项情形的。</w:t>
      </w:r>
    </w:p>
    <w:p w14:paraId="6E78C2C4">
      <w:pPr>
        <w:pStyle w:val="200"/>
        <w:numPr>
          <w:ilvl w:val="0"/>
          <w:numId w:val="6"/>
        </w:numPr>
        <w:spacing w:line="360" w:lineRule="auto"/>
        <w:ind w:firstLine="398"/>
        <w:rPr>
          <w:rFonts w:hint="eastAsia" w:ascii="宋体" w:hAnsi="宋体" w:cs="宋体"/>
          <w:b/>
          <w:color w:val="auto"/>
          <w:szCs w:val="21"/>
          <w:highlight w:val="none"/>
        </w:rPr>
      </w:pPr>
      <w:r>
        <w:rPr>
          <w:rFonts w:hint="eastAsia" w:ascii="宋体" w:hAnsi="宋体" w:cs="宋体"/>
          <w:b/>
          <w:color w:val="auto"/>
          <w:spacing w:val="-6"/>
          <w:szCs w:val="21"/>
          <w:highlight w:val="none"/>
        </w:rPr>
        <w:t>报价文件</w:t>
      </w:r>
      <w:r>
        <w:rPr>
          <w:rFonts w:hint="eastAsia" w:ascii="宋体" w:hAnsi="宋体" w:cs="宋体"/>
          <w:b/>
          <w:color w:val="auto"/>
          <w:szCs w:val="21"/>
          <w:highlight w:val="none"/>
        </w:rPr>
        <w:t>响应的标的数量及单位与招标文件要求实质性不一致的。</w:t>
      </w:r>
    </w:p>
    <w:p w14:paraId="3A3D5549">
      <w:pPr>
        <w:pStyle w:val="199"/>
        <w:keepNext w:val="0"/>
        <w:keepLines w:val="0"/>
        <w:spacing w:before="0" w:after="0" w:line="360" w:lineRule="auto"/>
        <w:ind w:left="420"/>
        <w:rPr>
          <w:rFonts w:hint="eastAsia" w:ascii="宋体" w:hAnsi="宋体" w:cs="宋体"/>
          <w:color w:val="auto"/>
          <w:sz w:val="21"/>
          <w:szCs w:val="21"/>
          <w:highlight w:val="none"/>
        </w:rPr>
      </w:pPr>
      <w:r>
        <w:rPr>
          <w:rFonts w:hint="eastAsia" w:ascii="宋体" w:hAnsi="宋体" w:cs="宋体"/>
          <w:color w:val="auto"/>
          <w:sz w:val="21"/>
          <w:szCs w:val="21"/>
          <w:highlight w:val="none"/>
        </w:rPr>
        <w:t>2.2在商务评审时，如发现下列情形之一的，将被视为投标无效：</w:t>
      </w:r>
    </w:p>
    <w:p w14:paraId="5600F747">
      <w:pPr>
        <w:numPr>
          <w:ilvl w:val="0"/>
          <w:numId w:val="7"/>
        </w:num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投标文件未按招标文件要求签署、盖章的；</w:t>
      </w:r>
    </w:p>
    <w:p w14:paraId="3EC17F6A">
      <w:pPr>
        <w:numPr>
          <w:ilvl w:val="0"/>
          <w:numId w:val="7"/>
        </w:num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 xml:space="preserve">委托代理人未能出具有效身份证或者出具的身份证与授权委托书中的信息不符的； </w:t>
      </w:r>
    </w:p>
    <w:p w14:paraId="7116F203">
      <w:pPr>
        <w:numPr>
          <w:ilvl w:val="0"/>
          <w:numId w:val="7"/>
        </w:num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为无效投标保证金的或者未按照招标文件的规定提交投标保证金的；</w:t>
      </w:r>
    </w:p>
    <w:p w14:paraId="60F5809D">
      <w:pPr>
        <w:numPr>
          <w:ilvl w:val="0"/>
          <w:numId w:val="7"/>
        </w:num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投标文件未提供“投标人须知前附表”第13.1条规定中“必须提供”或者“委托时必须提供”的文件资料的；</w:t>
      </w:r>
    </w:p>
    <w:p w14:paraId="0152747D">
      <w:pPr>
        <w:numPr>
          <w:ilvl w:val="0"/>
          <w:numId w:val="7"/>
        </w:num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商务要求评审允许负偏离的条款数超过“投标人须知前附表”规定项数的；</w:t>
      </w:r>
    </w:p>
    <w:p w14:paraId="03E3E716">
      <w:pPr>
        <w:numPr>
          <w:ilvl w:val="0"/>
          <w:numId w:val="7"/>
        </w:num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投标文件的实质性内容未使用中文表述、使用计量单位不符合招标文件要求的；</w:t>
      </w:r>
    </w:p>
    <w:p w14:paraId="0137179F">
      <w:pPr>
        <w:numPr>
          <w:ilvl w:val="0"/>
          <w:numId w:val="7"/>
        </w:num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投标文件中的文件资料因填写不齐全或者内容虚假或者出现其他情形而导致被评标委员会认定无效的；</w:t>
      </w:r>
    </w:p>
    <w:p w14:paraId="28AB1C90">
      <w:pPr>
        <w:numPr>
          <w:ilvl w:val="0"/>
          <w:numId w:val="7"/>
        </w:num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投标文件含有采购人不能接受的附加条件的；</w:t>
      </w:r>
    </w:p>
    <w:p w14:paraId="01F82B76">
      <w:pPr>
        <w:numPr>
          <w:ilvl w:val="0"/>
          <w:numId w:val="7"/>
        </w:num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属于投标人须知正文第9.2条情形的；</w:t>
      </w:r>
    </w:p>
    <w:p w14:paraId="1BF2759B">
      <w:pPr>
        <w:numPr>
          <w:ilvl w:val="0"/>
          <w:numId w:val="7"/>
        </w:num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投标文件标注的项目名称或者项目编号与招标文件标注的项目名称或者项目编号不一致的；</w:t>
      </w:r>
    </w:p>
    <w:p w14:paraId="1CCAF3E3">
      <w:pPr>
        <w:numPr>
          <w:ilvl w:val="0"/>
          <w:numId w:val="7"/>
        </w:num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招标文件明确不允许分包，投标文件拟分包的；</w:t>
      </w:r>
    </w:p>
    <w:p w14:paraId="125B4935">
      <w:pPr>
        <w:numPr>
          <w:ilvl w:val="0"/>
          <w:numId w:val="7"/>
        </w:num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未响应招标文件实质性要求的；</w:t>
      </w:r>
    </w:p>
    <w:p w14:paraId="5DDA5F4E">
      <w:pPr>
        <w:numPr>
          <w:ilvl w:val="0"/>
          <w:numId w:val="7"/>
        </w:num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法律、法规和招标文件规定的其他无效情形。</w:t>
      </w:r>
    </w:p>
    <w:p w14:paraId="5A93FC8E">
      <w:pPr>
        <w:pStyle w:val="199"/>
        <w:keepNext w:val="0"/>
        <w:keepLines w:val="0"/>
        <w:spacing w:before="0" w:after="0" w:line="360" w:lineRule="auto"/>
        <w:ind w:left="420"/>
        <w:rPr>
          <w:rFonts w:hint="eastAsia" w:ascii="宋体" w:hAnsi="宋体" w:cs="宋体"/>
          <w:color w:val="auto"/>
          <w:sz w:val="21"/>
          <w:szCs w:val="21"/>
          <w:highlight w:val="none"/>
        </w:rPr>
      </w:pPr>
      <w:r>
        <w:rPr>
          <w:rFonts w:hint="eastAsia" w:ascii="宋体" w:hAnsi="宋体" w:cs="宋体"/>
          <w:color w:val="auto"/>
          <w:sz w:val="21"/>
          <w:szCs w:val="21"/>
          <w:highlight w:val="none"/>
        </w:rPr>
        <w:t>2.3在技术评审时，如发现下列情形之一的，将被视为投标无效：</w:t>
      </w:r>
    </w:p>
    <w:p w14:paraId="20BA46D2">
      <w:pPr>
        <w:pStyle w:val="224"/>
        <w:spacing w:line="360" w:lineRule="auto"/>
        <w:ind w:firstLine="413"/>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（1）技术要求评审允许负偏离的条款数超过“投标人须知前附表”规定项数的；</w:t>
      </w:r>
    </w:p>
    <w:p w14:paraId="2B078590">
      <w:pPr>
        <w:pStyle w:val="224"/>
        <w:spacing w:line="360" w:lineRule="auto"/>
        <w:ind w:firstLine="413"/>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（2）投标文件未提供“投标人须知前附表”第13.1条规定中“必须提供”的文件资料的；</w:t>
      </w:r>
    </w:p>
    <w:p w14:paraId="6308CD1C">
      <w:pPr>
        <w:pStyle w:val="224"/>
        <w:spacing w:line="360" w:lineRule="auto"/>
        <w:ind w:firstLine="413"/>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（3）虚假投标，或者出现其他情形而导致被评标委员会认定无效的；</w:t>
      </w:r>
    </w:p>
    <w:p w14:paraId="6CCE605D">
      <w:pPr>
        <w:pStyle w:val="224"/>
        <w:spacing w:line="360" w:lineRule="auto"/>
        <w:ind w:firstLine="413"/>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（4）招标文件未载明允许提供备选（替代）投标方案或明确不允许提供备选（替代）投标方案时，投标人提供了备选（替代）投标方案的；</w:t>
      </w:r>
    </w:p>
    <w:p w14:paraId="667A4C8B">
      <w:pPr>
        <w:pStyle w:val="224"/>
        <w:spacing w:line="360" w:lineRule="auto"/>
        <w:ind w:firstLine="413"/>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（5）未响应招标文件实质性要求的。</w:t>
      </w:r>
    </w:p>
    <w:p w14:paraId="19DE5E0B">
      <w:pPr>
        <w:pStyle w:val="199"/>
        <w:keepNext w:val="0"/>
        <w:keepLines w:val="0"/>
        <w:spacing w:before="0" w:after="0" w:line="360" w:lineRule="auto"/>
        <w:ind w:left="420"/>
        <w:rPr>
          <w:rFonts w:hint="eastAsia" w:ascii="宋体" w:hAnsi="宋体" w:cs="宋体"/>
          <w:color w:val="auto"/>
          <w:sz w:val="21"/>
          <w:szCs w:val="21"/>
          <w:highlight w:val="none"/>
        </w:rPr>
      </w:pPr>
      <w:r>
        <w:rPr>
          <w:rFonts w:hint="eastAsia" w:ascii="宋体" w:hAnsi="宋体" w:cs="宋体"/>
          <w:color w:val="auto"/>
          <w:sz w:val="21"/>
          <w:szCs w:val="21"/>
          <w:highlight w:val="none"/>
        </w:rPr>
        <w:t>3.澄清补正</w:t>
      </w:r>
    </w:p>
    <w:p w14:paraId="268AAA0D">
      <w:pPr>
        <w:spacing w:line="360" w:lineRule="auto"/>
        <w:ind w:firstLine="420"/>
        <w:rPr>
          <w:rFonts w:hint="eastAsia" w:ascii="宋体" w:hAnsi="宋体" w:cs="宋体"/>
          <w:b/>
          <w:color w:val="auto"/>
          <w:szCs w:val="21"/>
          <w:highlight w:val="none"/>
        </w:rPr>
      </w:pPr>
      <w:r>
        <w:rPr>
          <w:rFonts w:hint="eastAsia" w:ascii="宋体" w:hAnsi="宋体" w:cs="宋体"/>
          <w:color w:val="auto"/>
          <w:szCs w:val="21"/>
          <w:highlight w:val="none"/>
        </w:rPr>
        <w:t>对投标文件中含义不明确、同类问题表述不一致或者有明显文字和计算错误的内容，评标委员会应在广西政府采购云平台发布电子澄清函，要求投标人在规定时间内作出必要的澄清、说明或者补正。投标人在广西政府采购云平台接收到电子澄清函后根据澄清函内容上传PDF格式回函，电子澄清答复函使用CA证书加盖投标人电子签章后在线上传至评标委员会。投标人的澄清、说明或者补正不得超出投标文件的范围或者改变投标文件的实质性内容。</w:t>
      </w:r>
    </w:p>
    <w:p w14:paraId="29DF50D0">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异常情况处理：如遇无法正常使用线上发送澄清函的情况，将启动书面形式办理。启动书面形式办理的情况下，评标委员会以书面形式要求投标人在规定时间内作出必要的澄清、说明或者补正。投标人的澄清、说明或者补正必须采用书面形式，并加盖公章，或者由法定代表人或者其授权的代表签字。</w:t>
      </w:r>
    </w:p>
    <w:p w14:paraId="422527BC">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未按评标委员会的要求作出明确澄清、说明或者更正的投标人的投标文件将按照有利于采购人的原则由评标委员会进行判定。</w:t>
      </w:r>
    </w:p>
    <w:p w14:paraId="05E37186">
      <w:pPr>
        <w:pStyle w:val="199"/>
        <w:keepNext w:val="0"/>
        <w:keepLines w:val="0"/>
        <w:spacing w:before="0" w:after="0" w:line="360" w:lineRule="auto"/>
        <w:ind w:left="420"/>
        <w:rPr>
          <w:rFonts w:hint="eastAsia" w:ascii="宋体" w:hAnsi="宋体" w:cs="宋体"/>
          <w:color w:val="auto"/>
          <w:sz w:val="21"/>
          <w:szCs w:val="21"/>
          <w:highlight w:val="none"/>
        </w:rPr>
      </w:pPr>
      <w:r>
        <w:rPr>
          <w:rFonts w:hint="eastAsia" w:ascii="宋体" w:hAnsi="宋体" w:cs="宋体"/>
          <w:color w:val="auto"/>
          <w:sz w:val="21"/>
          <w:szCs w:val="21"/>
          <w:highlight w:val="none"/>
        </w:rPr>
        <w:t>4.投标文件修正</w:t>
      </w:r>
    </w:p>
    <w:p w14:paraId="3286E453">
      <w:pPr>
        <w:pStyle w:val="199"/>
        <w:keepNext w:val="0"/>
        <w:keepLines w:val="0"/>
        <w:spacing w:before="0" w:after="0" w:line="360" w:lineRule="auto"/>
        <w:ind w:left="42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 xml:space="preserve">4.1投标文件报价出现前后不一致的，按照下列规定修正： </w:t>
      </w:r>
    </w:p>
    <w:p w14:paraId="49C5CCE9">
      <w:pPr>
        <w:pStyle w:val="230"/>
        <w:spacing w:line="360" w:lineRule="auto"/>
        <w:ind w:firstLine="420"/>
        <w:rPr>
          <w:rFonts w:hint="eastAsia" w:hAnsi="宋体" w:cs="宋体"/>
          <w:color w:val="auto"/>
          <w:sz w:val="21"/>
          <w:highlight w:val="none"/>
        </w:rPr>
      </w:pPr>
      <w:r>
        <w:rPr>
          <w:rFonts w:hint="eastAsia" w:hAnsi="宋体" w:cs="宋体"/>
          <w:color w:val="auto"/>
          <w:sz w:val="21"/>
          <w:highlight w:val="none"/>
        </w:rPr>
        <w:t>（1）投标文件中开标一览表（报价表）内容与投标文件中相应内容不一致的，以开标一览表（报价表）为准；</w:t>
      </w:r>
    </w:p>
    <w:p w14:paraId="478EC34A">
      <w:pPr>
        <w:pStyle w:val="230"/>
        <w:spacing w:line="360" w:lineRule="auto"/>
        <w:ind w:firstLine="420"/>
        <w:rPr>
          <w:rFonts w:hint="eastAsia" w:hAnsi="宋体" w:cs="宋体"/>
          <w:color w:val="auto"/>
          <w:sz w:val="21"/>
          <w:highlight w:val="none"/>
        </w:rPr>
      </w:pPr>
      <w:r>
        <w:rPr>
          <w:rFonts w:hint="eastAsia" w:hAnsi="宋体" w:cs="宋体"/>
          <w:color w:val="auto"/>
          <w:sz w:val="21"/>
          <w:highlight w:val="none"/>
        </w:rPr>
        <w:t>（2）大写金额和小写金额不一致的，以大写金额为准；</w:t>
      </w:r>
    </w:p>
    <w:p w14:paraId="6C0B3610">
      <w:pPr>
        <w:pStyle w:val="230"/>
        <w:spacing w:line="360" w:lineRule="auto"/>
        <w:ind w:firstLine="420"/>
        <w:rPr>
          <w:rFonts w:hint="eastAsia" w:hAnsi="宋体" w:cs="宋体"/>
          <w:color w:val="auto"/>
          <w:sz w:val="21"/>
          <w:highlight w:val="none"/>
        </w:rPr>
      </w:pPr>
      <w:r>
        <w:rPr>
          <w:rFonts w:hint="eastAsia" w:hAnsi="宋体" w:cs="宋体"/>
          <w:color w:val="auto"/>
          <w:sz w:val="21"/>
          <w:highlight w:val="none"/>
        </w:rPr>
        <w:t>（3）单价金额小数点或者百分比有明显错位的，以开标一览表的总价为准，并修改单价；</w:t>
      </w:r>
    </w:p>
    <w:p w14:paraId="00153F01">
      <w:pPr>
        <w:pStyle w:val="230"/>
        <w:spacing w:line="360" w:lineRule="auto"/>
        <w:ind w:firstLine="420"/>
        <w:rPr>
          <w:rFonts w:hint="eastAsia" w:hAnsi="宋体" w:cs="宋体"/>
          <w:color w:val="auto"/>
          <w:sz w:val="21"/>
          <w:highlight w:val="none"/>
        </w:rPr>
      </w:pPr>
      <w:r>
        <w:rPr>
          <w:rFonts w:hint="eastAsia" w:hAnsi="宋体" w:cs="宋体"/>
          <w:color w:val="auto"/>
          <w:sz w:val="21"/>
          <w:highlight w:val="none"/>
        </w:rPr>
        <w:t>（4）总价金额与按单价汇总金额不一致的，以单价金额计算结果为准。</w:t>
      </w:r>
    </w:p>
    <w:p w14:paraId="406AA4B9">
      <w:pPr>
        <w:pStyle w:val="230"/>
        <w:spacing w:line="360" w:lineRule="auto"/>
        <w:ind w:firstLine="420"/>
        <w:rPr>
          <w:rFonts w:hint="eastAsia" w:hAnsi="宋体" w:cs="宋体"/>
          <w:color w:val="auto"/>
          <w:sz w:val="21"/>
          <w:highlight w:val="none"/>
        </w:rPr>
      </w:pPr>
      <w:r>
        <w:rPr>
          <w:rFonts w:hint="eastAsia" w:hAnsi="宋体" w:cs="宋体"/>
          <w:color w:val="auto"/>
          <w:sz w:val="21"/>
          <w:highlight w:val="none"/>
        </w:rPr>
        <w:t>同时出现两种以上不一致的，按照以上（1）-（4）规定的顺序修正。修正后的报价经投标人确认后产生约束力，投标人不确认的，</w:t>
      </w:r>
      <w:r>
        <w:rPr>
          <w:rFonts w:hint="eastAsia" w:hAnsi="宋体" w:cs="宋体"/>
          <w:b/>
          <w:color w:val="auto"/>
          <w:sz w:val="21"/>
          <w:highlight w:val="none"/>
        </w:rPr>
        <w:t>其投标无效</w:t>
      </w:r>
      <w:r>
        <w:rPr>
          <w:rFonts w:hint="eastAsia" w:hAnsi="宋体" w:cs="宋体"/>
          <w:color w:val="auto"/>
          <w:sz w:val="21"/>
          <w:highlight w:val="none"/>
        </w:rPr>
        <w:t>。</w:t>
      </w:r>
    </w:p>
    <w:p w14:paraId="1F952A73">
      <w:pPr>
        <w:pStyle w:val="199"/>
        <w:keepNext w:val="0"/>
        <w:keepLines w:val="0"/>
        <w:spacing w:before="0" w:after="0" w:line="360" w:lineRule="auto"/>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 xml:space="preserve">    4.2经投标人确认修正后的报价若超过采购预算金额或者最高限价，</w:t>
      </w:r>
      <w:r>
        <w:rPr>
          <w:rFonts w:hint="eastAsia" w:ascii="宋体" w:hAnsi="宋体" w:cs="宋体"/>
          <w:color w:val="auto"/>
          <w:sz w:val="21"/>
          <w:szCs w:val="21"/>
          <w:highlight w:val="none"/>
        </w:rPr>
        <w:t>投标人的投标文件作无效投标处理</w:t>
      </w:r>
      <w:r>
        <w:rPr>
          <w:rFonts w:hint="eastAsia" w:ascii="宋体" w:hAnsi="宋体" w:cs="宋体"/>
          <w:b w:val="0"/>
          <w:color w:val="auto"/>
          <w:sz w:val="21"/>
          <w:szCs w:val="21"/>
          <w:highlight w:val="none"/>
        </w:rPr>
        <w:t>。</w:t>
      </w:r>
    </w:p>
    <w:p w14:paraId="6D80EC4A">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4.3经投标人确认修正后的报价作为签订合同的依据，并以此报价计算价格分。</w:t>
      </w:r>
    </w:p>
    <w:p w14:paraId="3D0EFB40">
      <w:pPr>
        <w:pStyle w:val="199"/>
        <w:keepNext w:val="0"/>
        <w:keepLines w:val="0"/>
        <w:spacing w:before="0" w:after="0" w:line="360" w:lineRule="auto"/>
        <w:ind w:left="420"/>
        <w:rPr>
          <w:rFonts w:hint="eastAsia" w:ascii="宋体" w:hAnsi="宋体" w:cs="宋体"/>
          <w:color w:val="auto"/>
          <w:sz w:val="21"/>
          <w:szCs w:val="21"/>
          <w:highlight w:val="none"/>
        </w:rPr>
      </w:pPr>
      <w:r>
        <w:rPr>
          <w:rFonts w:hint="eastAsia" w:ascii="宋体" w:hAnsi="宋体" w:cs="宋体"/>
          <w:color w:val="auto"/>
          <w:sz w:val="21"/>
          <w:szCs w:val="21"/>
          <w:highlight w:val="none"/>
        </w:rPr>
        <w:t>5.比较与评价</w:t>
      </w:r>
    </w:p>
    <w:p w14:paraId="39DAA03E">
      <w:pPr>
        <w:spacing w:line="360" w:lineRule="auto"/>
        <w:ind w:firstLine="420"/>
        <w:rPr>
          <w:rFonts w:ascii="宋体" w:hAnsi="宋体" w:eastAsia="宋体" w:cs="宋体"/>
          <w:color w:val="auto"/>
          <w:szCs w:val="21"/>
          <w:highlight w:val="none"/>
        </w:rPr>
      </w:pPr>
      <w:r>
        <w:rPr>
          <w:rFonts w:hint="eastAsia" w:ascii="宋体" w:hAnsi="宋体" w:eastAsia="宋体" w:cs="宋体"/>
          <w:color w:val="auto"/>
          <w:szCs w:val="21"/>
          <w:highlight w:val="none"/>
        </w:rPr>
        <w:t>5.1采用综合评分法的</w:t>
      </w:r>
    </w:p>
    <w:p w14:paraId="06832484">
      <w:pPr>
        <w:spacing w:line="360" w:lineRule="auto"/>
        <w:ind w:firstLine="420"/>
        <w:rPr>
          <w:rFonts w:ascii="宋体" w:hAnsi="宋体" w:eastAsia="宋体" w:cs="宋体"/>
          <w:color w:val="auto"/>
          <w:szCs w:val="21"/>
          <w:highlight w:val="none"/>
        </w:rPr>
      </w:pPr>
      <w:r>
        <w:rPr>
          <w:rFonts w:hint="eastAsia" w:ascii="宋体" w:hAnsi="宋体" w:eastAsia="宋体" w:cs="宋体"/>
          <w:color w:val="auto"/>
          <w:szCs w:val="21"/>
          <w:highlight w:val="none"/>
        </w:rPr>
        <w:t>（1）评标委员会按照招标文件中规定的评标方法及评标标准，对符合性审查合格的投标文件进行商务和技术评估，综合比较与评价。</w:t>
      </w:r>
    </w:p>
    <w:p w14:paraId="6C05FE53">
      <w:pPr>
        <w:spacing w:line="360" w:lineRule="auto"/>
        <w:ind w:firstLine="420"/>
        <w:rPr>
          <w:rFonts w:ascii="宋体" w:hAnsi="宋体" w:eastAsia="宋体" w:cs="宋体"/>
          <w:color w:val="auto"/>
          <w:szCs w:val="21"/>
          <w:highlight w:val="none"/>
        </w:rPr>
      </w:pPr>
      <w:r>
        <w:rPr>
          <w:rFonts w:hint="eastAsia" w:ascii="宋体" w:hAnsi="宋体" w:eastAsia="宋体" w:cs="宋体"/>
          <w:color w:val="auto"/>
          <w:szCs w:val="21"/>
          <w:highlight w:val="none"/>
        </w:rPr>
        <w:t>（2）评标委员会独立对每个投标人的投标文件进行评价，并汇总每个投标人的得分。</w:t>
      </w:r>
    </w:p>
    <w:p w14:paraId="6183F042">
      <w:pPr>
        <w:spacing w:line="360" w:lineRule="auto"/>
        <w:ind w:firstLine="420"/>
        <w:rPr>
          <w:rFonts w:ascii="宋体" w:hAnsi="宋体" w:eastAsia="宋体" w:cs="宋体"/>
          <w:color w:val="auto"/>
          <w:szCs w:val="21"/>
          <w:highlight w:val="none"/>
        </w:rPr>
      </w:pPr>
      <w:r>
        <w:rPr>
          <w:rFonts w:hint="eastAsia" w:ascii="宋体" w:hAnsi="宋体" w:eastAsia="宋体" w:cs="宋体"/>
          <w:color w:val="auto"/>
          <w:szCs w:val="21"/>
          <w:highlight w:val="none"/>
        </w:rPr>
        <w:t>1）评标委员会在评审中发现下列情形之一的，应当启动异常低价投标审查程序：</w:t>
      </w:r>
    </w:p>
    <w:p w14:paraId="26932A87">
      <w:pPr>
        <w:spacing w:line="360" w:lineRule="auto"/>
        <w:ind w:firstLine="420"/>
        <w:rPr>
          <w:rFonts w:ascii="宋体" w:hAnsi="宋体" w:eastAsia="宋体" w:cs="宋体"/>
          <w:color w:val="auto"/>
          <w:szCs w:val="21"/>
          <w:highlight w:val="none"/>
        </w:rPr>
      </w:pPr>
      <w:r>
        <w:rPr>
          <w:rFonts w:hint="eastAsia" w:ascii="宋体" w:hAnsi="宋体" w:eastAsia="宋体" w:cs="宋体"/>
          <w:color w:val="auto"/>
          <w:szCs w:val="21"/>
          <w:highlight w:val="none"/>
        </w:rPr>
        <w:t>①投标报价低于全部通过符合性审查供应商投标报价平均值65%的，即投标报价＜全部通过符合性审查供应商投标报价平均值×65%；（范围为50%-65%）</w:t>
      </w:r>
    </w:p>
    <w:p w14:paraId="38B0859B">
      <w:pPr>
        <w:spacing w:line="360" w:lineRule="auto"/>
        <w:ind w:firstLine="420"/>
        <w:rPr>
          <w:rFonts w:ascii="宋体" w:hAnsi="宋体" w:eastAsia="宋体" w:cs="宋体"/>
          <w:color w:val="auto"/>
          <w:szCs w:val="21"/>
          <w:highlight w:val="none"/>
        </w:rPr>
      </w:pPr>
      <w:r>
        <w:rPr>
          <w:rFonts w:hint="eastAsia" w:ascii="宋体" w:hAnsi="宋体" w:eastAsia="宋体" w:cs="宋体"/>
          <w:color w:val="auto"/>
          <w:szCs w:val="21"/>
          <w:highlight w:val="none"/>
        </w:rPr>
        <w:t>②投标报价低于通过符合性审查的次低报价供应商投标报价65%的，即投标报价＜通过符合性审查的次低报价供应商投标报价×65%；（范围为50%-65%）</w:t>
      </w:r>
    </w:p>
    <w:p w14:paraId="573C706D">
      <w:pPr>
        <w:spacing w:line="360" w:lineRule="auto"/>
        <w:ind w:firstLine="420"/>
        <w:rPr>
          <w:rFonts w:ascii="宋体" w:hAnsi="宋体" w:eastAsia="宋体" w:cs="宋体"/>
          <w:color w:val="auto"/>
          <w:szCs w:val="21"/>
          <w:highlight w:val="none"/>
        </w:rPr>
      </w:pPr>
      <w:r>
        <w:rPr>
          <w:rFonts w:hint="eastAsia" w:ascii="宋体" w:hAnsi="宋体" w:eastAsia="宋体" w:cs="宋体"/>
          <w:color w:val="auto"/>
          <w:szCs w:val="21"/>
          <w:highlight w:val="none"/>
        </w:rPr>
        <w:t>③投标报价低于采购项目最高限价65%的，即投标报价＜采购项目最高限价×65%；（范围为45%-65%）</w:t>
      </w:r>
    </w:p>
    <w:p w14:paraId="1061266F">
      <w:pPr>
        <w:spacing w:line="360" w:lineRule="auto"/>
        <w:ind w:firstLine="420"/>
        <w:rPr>
          <w:rFonts w:ascii="宋体" w:hAnsi="宋体" w:eastAsia="宋体" w:cs="宋体"/>
          <w:color w:val="auto"/>
          <w:szCs w:val="21"/>
          <w:highlight w:val="none"/>
        </w:rPr>
      </w:pPr>
      <w:r>
        <w:rPr>
          <w:rFonts w:hint="eastAsia" w:ascii="宋体" w:hAnsi="宋体" w:eastAsia="宋体" w:cs="宋体"/>
          <w:color w:val="auto"/>
          <w:szCs w:val="21"/>
          <w:highlight w:val="none"/>
        </w:rPr>
        <w:t>④评标委员会基于专业判断，认为供应商报价过低，有可能影响产品质量或者不能诚信履约的其他情形。</w:t>
      </w:r>
    </w:p>
    <w:p w14:paraId="2CC3455B">
      <w:pPr>
        <w:spacing w:line="360" w:lineRule="auto"/>
        <w:ind w:firstLine="420"/>
        <w:rPr>
          <w:rFonts w:ascii="宋体" w:hAnsi="宋体" w:eastAsia="宋体" w:cs="宋体"/>
          <w:color w:val="auto"/>
          <w:szCs w:val="21"/>
          <w:highlight w:val="none"/>
        </w:rPr>
      </w:pPr>
      <w:r>
        <w:rPr>
          <w:rFonts w:hint="eastAsia" w:ascii="宋体" w:hAnsi="宋体" w:eastAsia="宋体" w:cs="宋体"/>
          <w:color w:val="auto"/>
          <w:szCs w:val="21"/>
          <w:highlight w:val="none"/>
        </w:rPr>
        <w:t>2）评标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③项情形，供应商已随投标文件一并提交相关书面说明及必要的证明材料的，可不再重复提交。</w:t>
      </w:r>
    </w:p>
    <w:p w14:paraId="21684F26">
      <w:pPr>
        <w:spacing w:line="360" w:lineRule="auto"/>
        <w:ind w:firstLine="420"/>
        <w:rPr>
          <w:rFonts w:ascii="宋体" w:hAnsi="宋体" w:eastAsia="宋体" w:cs="宋体"/>
          <w:color w:val="auto"/>
          <w:szCs w:val="21"/>
          <w:highlight w:val="none"/>
        </w:rPr>
      </w:pPr>
      <w:r>
        <w:rPr>
          <w:rFonts w:hint="eastAsia" w:ascii="宋体" w:hAnsi="宋体" w:eastAsia="宋体" w:cs="宋体"/>
          <w:color w:val="auto"/>
          <w:szCs w:val="21"/>
          <w:highlight w:val="none"/>
        </w:rPr>
        <w:t>评标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标委员会应当将其作为无效投标处理。</w:t>
      </w:r>
    </w:p>
    <w:p w14:paraId="3ECEC14E">
      <w:pPr>
        <w:spacing w:line="360" w:lineRule="auto"/>
        <w:ind w:firstLine="420"/>
        <w:rPr>
          <w:rFonts w:ascii="宋体" w:hAnsi="宋体" w:eastAsia="宋体" w:cs="宋体"/>
          <w:color w:val="auto"/>
          <w:szCs w:val="21"/>
          <w:highlight w:val="none"/>
        </w:rPr>
      </w:pPr>
      <w:r>
        <w:rPr>
          <w:rFonts w:hint="eastAsia" w:ascii="宋体" w:hAnsi="宋体" w:eastAsia="宋体" w:cs="宋体"/>
          <w:color w:val="auto"/>
          <w:szCs w:val="21"/>
          <w:highlight w:val="none"/>
        </w:rPr>
        <w:t>采购人、采购代理机构应当为评标委员会在评审现场及时获取同类项目中标（成交）价格、类似产品市场价格水平、行业人工费用标准、国家有关部门指导行业协会发布的行业平均成本等相关信息资料提供便利。评标委员会借助互联网等渠道查询相关信息的，应当严格遵守评审工作纪律，不得实施影响评审公正的行为。</w:t>
      </w:r>
    </w:p>
    <w:p w14:paraId="74866797">
      <w:pPr>
        <w:spacing w:line="360" w:lineRule="auto"/>
        <w:ind w:firstLine="420"/>
        <w:rPr>
          <w:rFonts w:ascii="宋体" w:hAnsi="宋体" w:eastAsia="宋体" w:cs="宋体"/>
          <w:color w:val="auto"/>
          <w:szCs w:val="21"/>
          <w:highlight w:val="none"/>
        </w:rPr>
      </w:pPr>
      <w:r>
        <w:rPr>
          <w:rFonts w:hint="eastAsia" w:ascii="宋体" w:hAnsi="宋体" w:eastAsia="宋体" w:cs="宋体"/>
          <w:color w:val="auto"/>
          <w:szCs w:val="21"/>
          <w:highlight w:val="none"/>
        </w:rPr>
        <w:t>异常低价投标审查的启动原因、审查意见和审查结果应当在评审报告中记录，并随供应商提供的相关书面说明及证明材料，以及评标委员会有关互联网浏览、查询历史一并归档。（3）评标委员会按照招标文件中规定的评标方法和标准计算各投标人的报价得分。在计算过程中，不得去掉最高报价或者最低报价。</w:t>
      </w:r>
    </w:p>
    <w:p w14:paraId="00FAE48D">
      <w:pPr>
        <w:spacing w:line="360" w:lineRule="auto"/>
        <w:ind w:firstLine="420"/>
        <w:rPr>
          <w:rFonts w:ascii="宋体" w:hAnsi="宋体" w:eastAsia="宋体" w:cs="宋体"/>
          <w:color w:val="auto"/>
          <w:szCs w:val="21"/>
          <w:highlight w:val="none"/>
        </w:rPr>
      </w:pPr>
      <w:r>
        <w:rPr>
          <w:rFonts w:hint="eastAsia" w:ascii="宋体" w:hAnsi="宋体" w:eastAsia="宋体" w:cs="宋体"/>
          <w:color w:val="auto"/>
          <w:szCs w:val="21"/>
          <w:highlight w:val="none"/>
        </w:rPr>
        <w:t>（4）各投标人的得分为所有评委的有效评分的算术平均数。</w:t>
      </w:r>
    </w:p>
    <w:p w14:paraId="4DAC902C">
      <w:pPr>
        <w:spacing w:line="360" w:lineRule="auto"/>
        <w:ind w:firstLine="420"/>
        <w:rPr>
          <w:rFonts w:ascii="宋体" w:hAnsi="宋体" w:eastAsia="宋体" w:cs="宋体"/>
          <w:color w:val="auto"/>
          <w:szCs w:val="21"/>
          <w:highlight w:val="none"/>
        </w:rPr>
      </w:pPr>
      <w:r>
        <w:rPr>
          <w:rFonts w:hint="eastAsia" w:ascii="宋体" w:hAnsi="宋体" w:eastAsia="宋体" w:cs="宋体"/>
          <w:color w:val="auto"/>
          <w:szCs w:val="21"/>
          <w:highlight w:val="none"/>
        </w:rPr>
        <w:t>（5）评标委员会按照招标文件中的规定推荐中标候选人。</w:t>
      </w:r>
    </w:p>
    <w:p w14:paraId="6F9C4A81">
      <w:pPr>
        <w:spacing w:line="360" w:lineRule="auto"/>
        <w:ind w:firstLine="420"/>
        <w:rPr>
          <w:rFonts w:ascii="宋体" w:hAnsi="宋体" w:eastAsia="宋体" w:cs="宋体"/>
          <w:color w:val="auto"/>
          <w:szCs w:val="21"/>
          <w:highlight w:val="none"/>
        </w:rPr>
      </w:pPr>
      <w:r>
        <w:rPr>
          <w:rFonts w:hint="eastAsia" w:ascii="宋体" w:hAnsi="宋体" w:eastAsia="宋体" w:cs="宋体"/>
          <w:color w:val="auto"/>
          <w:szCs w:val="21"/>
          <w:highlight w:val="none"/>
        </w:rPr>
        <w:t>（6）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做出结论。持不同意见的评标委员会成员应当在评标报告上签署不同意见及理由，否则视为同意评标报告。</w:t>
      </w:r>
    </w:p>
    <w:p w14:paraId="1203F9AD">
      <w:pPr>
        <w:spacing w:line="360" w:lineRule="auto"/>
        <w:ind w:firstLine="420"/>
        <w:rPr>
          <w:rFonts w:ascii="宋体" w:hAnsi="宋体" w:eastAsia="宋体" w:cs="宋体"/>
          <w:color w:val="auto"/>
          <w:szCs w:val="21"/>
          <w:highlight w:val="none"/>
        </w:rPr>
      </w:pPr>
      <w:r>
        <w:rPr>
          <w:rFonts w:hint="eastAsia" w:ascii="宋体" w:hAnsi="宋体" w:eastAsia="宋体" w:cs="宋体"/>
          <w:color w:val="auto"/>
          <w:szCs w:val="21"/>
          <w:highlight w:val="none"/>
        </w:rPr>
        <w:t>5.2采用</w:t>
      </w:r>
      <w:r>
        <w:rPr>
          <w:rFonts w:hint="eastAsia" w:ascii="宋体" w:hAnsi="宋体" w:eastAsia="宋体" w:cs="宋体"/>
          <w:color w:val="auto"/>
          <w:highlight w:val="none"/>
        </w:rPr>
        <w:t>最低评标价法</w:t>
      </w:r>
      <w:r>
        <w:rPr>
          <w:rFonts w:hint="eastAsia" w:ascii="宋体" w:hAnsi="宋体" w:eastAsia="宋体" w:cs="宋体"/>
          <w:color w:val="auto"/>
          <w:szCs w:val="21"/>
          <w:highlight w:val="none"/>
        </w:rPr>
        <w:t>的</w:t>
      </w:r>
    </w:p>
    <w:p w14:paraId="7E0BF84A">
      <w:pPr>
        <w:spacing w:line="360" w:lineRule="auto"/>
        <w:ind w:firstLine="424"/>
        <w:jc w:val="left"/>
        <w:rPr>
          <w:rFonts w:ascii="宋体" w:hAnsi="宋体" w:eastAsia="宋体" w:cs="宋体"/>
          <w:color w:val="auto"/>
          <w:szCs w:val="21"/>
          <w:highlight w:val="none"/>
        </w:rPr>
      </w:pPr>
      <w:r>
        <w:rPr>
          <w:rFonts w:hint="eastAsia" w:ascii="宋体" w:hAnsi="宋体" w:eastAsia="宋体" w:cs="宋体"/>
          <w:color w:val="auto"/>
          <w:szCs w:val="21"/>
          <w:highlight w:val="none"/>
        </w:rPr>
        <w:t>（1）评标委员会按照招标文件中规定的评标方法及评标标准，对符合性审查合格的投标文件报价进行比较。</w:t>
      </w:r>
    </w:p>
    <w:p w14:paraId="766D2EBB">
      <w:pPr>
        <w:spacing w:line="360" w:lineRule="auto"/>
        <w:ind w:firstLine="424"/>
        <w:jc w:val="left"/>
        <w:rPr>
          <w:rFonts w:ascii="宋体" w:hAnsi="宋体" w:eastAsia="宋体" w:cs="宋体"/>
          <w:b/>
          <w:color w:val="auto"/>
          <w:szCs w:val="21"/>
          <w:highlight w:val="none"/>
        </w:rPr>
      </w:pPr>
      <w:r>
        <w:rPr>
          <w:rFonts w:hint="eastAsia" w:ascii="宋体" w:hAnsi="宋体" w:eastAsia="宋体" w:cs="宋体"/>
          <w:color w:val="auto"/>
          <w:szCs w:val="21"/>
          <w:highlight w:val="none"/>
        </w:rPr>
        <w:t>（2）评标委员会认为投标人的报价明显低于其他通过符合性审查投标人的报价，有可能影响产品质量或者不能诚信履约的，应当要求其在评标现场合理的时间内提供书面说明，必要时提交相关证明材料；</w:t>
      </w:r>
      <w:r>
        <w:rPr>
          <w:rFonts w:hint="eastAsia" w:ascii="宋体" w:hAnsi="宋体" w:eastAsia="宋体" w:cs="宋体"/>
          <w:b/>
          <w:color w:val="auto"/>
          <w:szCs w:val="21"/>
          <w:highlight w:val="none"/>
        </w:rPr>
        <w:t>投标人不能证明其报价合理性的，评标委员会将其作为无效投标处理。</w:t>
      </w:r>
    </w:p>
    <w:p w14:paraId="5C641B6A">
      <w:pPr>
        <w:spacing w:line="360" w:lineRule="auto"/>
        <w:ind w:firstLine="424"/>
        <w:jc w:val="left"/>
        <w:rPr>
          <w:rFonts w:ascii="宋体" w:hAnsi="宋体" w:eastAsia="宋体" w:cs="宋体"/>
          <w:color w:val="auto"/>
          <w:szCs w:val="21"/>
          <w:highlight w:val="none"/>
        </w:rPr>
      </w:pPr>
      <w:r>
        <w:rPr>
          <w:rFonts w:hint="eastAsia" w:ascii="宋体" w:hAnsi="宋体" w:eastAsia="宋体" w:cs="宋体"/>
          <w:color w:val="auto"/>
          <w:szCs w:val="21"/>
          <w:highlight w:val="none"/>
        </w:rPr>
        <w:t>（3）评标委员会按照招标文件中的规定推荐中标候选人。</w:t>
      </w:r>
    </w:p>
    <w:p w14:paraId="6FE43D95">
      <w:pPr>
        <w:spacing w:line="360" w:lineRule="auto"/>
        <w:ind w:firstLine="424"/>
        <w:jc w:val="left"/>
        <w:rPr>
          <w:rFonts w:hint="eastAsia" w:hAnsi="宋体" w:cs="宋体"/>
          <w:color w:val="auto"/>
          <w:highlight w:val="none"/>
        </w:rPr>
      </w:pPr>
      <w:r>
        <w:rPr>
          <w:rFonts w:hint="eastAsia" w:ascii="宋体" w:hAnsi="宋体" w:eastAsia="宋体" w:cs="宋体"/>
          <w:color w:val="auto"/>
          <w:szCs w:val="21"/>
          <w:highlight w:val="none"/>
        </w:rPr>
        <w:t>（4）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做出结论。持不同意见的评标委员会成员应当在评标报告上签署不同意见及理由，否则视为同意评标报告。</w:t>
      </w:r>
    </w:p>
    <w:p w14:paraId="72F487DC">
      <w:pPr>
        <w:pStyle w:val="230"/>
        <w:numPr>
          <w:ilvl w:val="0"/>
          <w:numId w:val="8"/>
        </w:numPr>
        <w:spacing w:line="420" w:lineRule="exact"/>
        <w:ind w:firstLine="420"/>
        <w:jc w:val="left"/>
        <w:rPr>
          <w:rFonts w:hint="eastAsia" w:hAnsi="宋体" w:cs="宋体"/>
          <w:b/>
          <w:bCs/>
          <w:color w:val="auto"/>
          <w:sz w:val="24"/>
          <w:szCs w:val="24"/>
          <w:highlight w:val="none"/>
        </w:rPr>
      </w:pPr>
      <w:r>
        <w:rPr>
          <w:rFonts w:hint="eastAsia" w:hAnsi="宋体" w:cs="宋体"/>
          <w:b/>
          <w:bCs/>
          <w:color w:val="auto"/>
          <w:sz w:val="24"/>
          <w:szCs w:val="24"/>
          <w:highlight w:val="none"/>
        </w:rPr>
        <w:t>评标标准</w:t>
      </w:r>
    </w:p>
    <w:tbl>
      <w:tblPr>
        <w:tblStyle w:val="3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5"/>
        <w:gridCol w:w="1184"/>
        <w:gridCol w:w="6599"/>
      </w:tblGrid>
      <w:tr w14:paraId="5A36D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436" w:type="pct"/>
            <w:tcBorders>
              <w:top w:val="single" w:color="auto" w:sz="4" w:space="0"/>
              <w:left w:val="single" w:color="auto" w:sz="4" w:space="0"/>
              <w:bottom w:val="single" w:color="auto" w:sz="4" w:space="0"/>
              <w:right w:val="single" w:color="auto" w:sz="4" w:space="0"/>
            </w:tcBorders>
            <w:noWrap w:val="0"/>
            <w:vAlign w:val="center"/>
          </w:tcPr>
          <w:p w14:paraId="6D7FB87D">
            <w:pPr>
              <w:spacing w:line="360" w:lineRule="atLeas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序号</w:t>
            </w:r>
          </w:p>
        </w:tc>
        <w:tc>
          <w:tcPr>
            <w:tcW w:w="694" w:type="pct"/>
            <w:tcBorders>
              <w:top w:val="single" w:color="auto" w:sz="4" w:space="0"/>
              <w:left w:val="single" w:color="auto" w:sz="4" w:space="0"/>
              <w:bottom w:val="single" w:color="auto" w:sz="4" w:space="0"/>
              <w:right w:val="single" w:color="auto" w:sz="4" w:space="0"/>
            </w:tcBorders>
            <w:noWrap w:val="0"/>
            <w:vAlign w:val="center"/>
          </w:tcPr>
          <w:p w14:paraId="0FD82864">
            <w:pPr>
              <w:spacing w:line="360" w:lineRule="atLeas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评审因素</w:t>
            </w:r>
          </w:p>
        </w:tc>
        <w:tc>
          <w:tcPr>
            <w:tcW w:w="3869" w:type="pct"/>
            <w:tcBorders>
              <w:top w:val="single" w:color="auto" w:sz="4" w:space="0"/>
              <w:left w:val="single" w:color="auto" w:sz="4" w:space="0"/>
              <w:bottom w:val="single" w:color="auto" w:sz="4" w:space="0"/>
              <w:right w:val="single" w:color="auto" w:sz="4" w:space="0"/>
            </w:tcBorders>
            <w:noWrap w:val="0"/>
            <w:vAlign w:val="center"/>
          </w:tcPr>
          <w:p w14:paraId="0E69147D">
            <w:pPr>
              <w:spacing w:line="360" w:lineRule="atLeas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评标标准</w:t>
            </w:r>
          </w:p>
        </w:tc>
      </w:tr>
      <w:tr w14:paraId="6039F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6" w:type="pct"/>
            <w:tcBorders>
              <w:top w:val="single" w:color="auto" w:sz="4" w:space="0"/>
              <w:left w:val="single" w:color="auto" w:sz="4" w:space="0"/>
              <w:bottom w:val="single" w:color="auto" w:sz="4" w:space="0"/>
              <w:right w:val="single" w:color="auto" w:sz="4" w:space="0"/>
            </w:tcBorders>
            <w:noWrap w:val="0"/>
            <w:vAlign w:val="center"/>
          </w:tcPr>
          <w:p w14:paraId="79FC23F6">
            <w:pPr>
              <w:spacing w:line="360" w:lineRule="atLeast"/>
              <w:jc w:val="center"/>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1</w:t>
            </w:r>
          </w:p>
        </w:tc>
        <w:tc>
          <w:tcPr>
            <w:tcW w:w="694" w:type="pct"/>
            <w:tcBorders>
              <w:top w:val="single" w:color="auto" w:sz="4" w:space="0"/>
              <w:left w:val="single" w:color="auto" w:sz="4" w:space="0"/>
              <w:bottom w:val="single" w:color="auto" w:sz="4" w:space="0"/>
              <w:right w:val="single" w:color="auto" w:sz="4" w:space="0"/>
            </w:tcBorders>
            <w:noWrap w:val="0"/>
            <w:vAlign w:val="center"/>
          </w:tcPr>
          <w:p w14:paraId="4809382F">
            <w:pPr>
              <w:spacing w:line="360" w:lineRule="atLeas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价格分</w:t>
            </w:r>
          </w:p>
          <w:p w14:paraId="455262BD">
            <w:pPr>
              <w:spacing w:line="360" w:lineRule="atLeas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（满分</w:t>
            </w:r>
            <w:r>
              <w:rPr>
                <w:rFonts w:hint="eastAsia" w:ascii="宋体" w:hAnsi="宋体" w:eastAsia="宋体" w:cs="宋体"/>
                <w:b/>
                <w:bCs/>
                <w:color w:val="auto"/>
                <w:sz w:val="21"/>
                <w:szCs w:val="21"/>
                <w:highlight w:val="none"/>
                <w:u w:val="single"/>
                <w:lang w:val="en-US" w:eastAsia="zh-CN"/>
              </w:rPr>
              <w:t>20</w:t>
            </w:r>
            <w:r>
              <w:rPr>
                <w:rFonts w:hint="eastAsia" w:ascii="宋体" w:hAnsi="宋体" w:eastAsia="宋体" w:cs="宋体"/>
                <w:b/>
                <w:bCs/>
                <w:color w:val="auto"/>
                <w:sz w:val="21"/>
                <w:szCs w:val="21"/>
                <w:highlight w:val="none"/>
              </w:rPr>
              <w:t>分）</w:t>
            </w:r>
          </w:p>
        </w:tc>
        <w:tc>
          <w:tcPr>
            <w:tcW w:w="3869" w:type="pct"/>
            <w:tcBorders>
              <w:top w:val="single" w:color="auto" w:sz="4" w:space="0"/>
              <w:left w:val="single" w:color="auto" w:sz="4" w:space="0"/>
              <w:bottom w:val="single" w:color="auto" w:sz="4" w:space="0"/>
              <w:right w:val="single" w:color="auto" w:sz="4" w:space="0"/>
            </w:tcBorders>
            <w:noWrap w:val="0"/>
            <w:vAlign w:val="center"/>
          </w:tcPr>
          <w:p w14:paraId="1E49C6A7">
            <w:pPr>
              <w:keepNext w:val="0"/>
              <w:keepLines w:val="0"/>
              <w:pageBreakBefore w:val="0"/>
              <w:widowControl w:val="0"/>
              <w:bidi w:val="0"/>
              <w:spacing w:line="360" w:lineRule="exact"/>
              <w:ind w:firstLine="233"/>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（1）评标报价为投标人的</w:t>
            </w:r>
            <w:r>
              <w:rPr>
                <w:rFonts w:hint="eastAsia" w:ascii="宋体" w:hAnsi="宋体" w:eastAsia="宋体" w:cs="宋体"/>
                <w:color w:val="auto"/>
                <w:sz w:val="21"/>
                <w:szCs w:val="21"/>
                <w:highlight w:val="none"/>
              </w:rPr>
              <w:t>投标报价</w:t>
            </w:r>
            <w:r>
              <w:rPr>
                <w:rFonts w:hint="eastAsia" w:ascii="宋体" w:hAnsi="宋体" w:eastAsia="宋体" w:cs="宋体"/>
                <w:bCs/>
                <w:color w:val="auto"/>
                <w:sz w:val="21"/>
                <w:szCs w:val="21"/>
                <w:highlight w:val="none"/>
              </w:rPr>
              <w:t>进行政策性扣除后的价格，评标报价只是作为评标时使用。最终</w:t>
            </w:r>
            <w:r>
              <w:rPr>
                <w:rFonts w:hint="eastAsia" w:ascii="宋体" w:hAnsi="宋体" w:eastAsia="宋体" w:cs="宋体"/>
                <w:bCs/>
                <w:color w:val="auto"/>
                <w:sz w:val="21"/>
                <w:szCs w:val="21"/>
                <w:highlight w:val="none"/>
                <w:lang w:eastAsia="zh-CN"/>
              </w:rPr>
              <w:t>中标供应商</w:t>
            </w:r>
            <w:r>
              <w:rPr>
                <w:rFonts w:hint="eastAsia" w:ascii="宋体" w:hAnsi="宋体" w:eastAsia="宋体" w:cs="宋体"/>
                <w:bCs/>
                <w:color w:val="auto"/>
                <w:sz w:val="21"/>
                <w:szCs w:val="21"/>
                <w:highlight w:val="none"/>
              </w:rPr>
              <w:t>的中标</w:t>
            </w:r>
            <w:r>
              <w:rPr>
                <w:rFonts w:hint="eastAsia" w:ascii="宋体" w:hAnsi="宋体" w:eastAsia="宋体" w:cs="宋体"/>
                <w:bCs/>
                <w:color w:val="auto"/>
                <w:sz w:val="21"/>
                <w:szCs w:val="21"/>
                <w:highlight w:val="none"/>
                <w:lang w:eastAsia="zh-CN"/>
              </w:rPr>
              <w:t>价</w:t>
            </w:r>
            <w:r>
              <w:rPr>
                <w:rFonts w:hint="eastAsia" w:ascii="宋体" w:hAnsi="宋体" w:eastAsia="宋体" w:cs="宋体"/>
                <w:bCs/>
                <w:color w:val="auto"/>
                <w:sz w:val="21"/>
                <w:szCs w:val="21"/>
                <w:highlight w:val="none"/>
              </w:rPr>
              <w:t>等于投标</w:t>
            </w:r>
            <w:r>
              <w:rPr>
                <w:rFonts w:hint="eastAsia" w:ascii="宋体" w:hAnsi="宋体" w:eastAsia="宋体" w:cs="宋体"/>
                <w:color w:val="auto"/>
                <w:sz w:val="21"/>
                <w:szCs w:val="21"/>
                <w:highlight w:val="none"/>
                <w:lang w:eastAsia="zh-CN"/>
              </w:rPr>
              <w:t>价</w:t>
            </w:r>
            <w:r>
              <w:rPr>
                <w:rFonts w:hint="eastAsia" w:ascii="宋体" w:hAnsi="宋体" w:eastAsia="宋体" w:cs="宋体"/>
                <w:bCs/>
                <w:color w:val="auto"/>
                <w:sz w:val="21"/>
                <w:szCs w:val="21"/>
                <w:highlight w:val="none"/>
              </w:rPr>
              <w:t>。</w:t>
            </w:r>
          </w:p>
          <w:p w14:paraId="2C35C117">
            <w:pPr>
              <w:keepNext w:val="0"/>
              <w:keepLines w:val="0"/>
              <w:pageBreakBefore w:val="0"/>
              <w:widowControl w:val="0"/>
              <w:bidi w:val="0"/>
              <w:spacing w:line="360" w:lineRule="exact"/>
              <w:ind w:firstLine="233"/>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（2）政策性扣除计算方法。</w:t>
            </w:r>
          </w:p>
          <w:p w14:paraId="6E82474C">
            <w:pPr>
              <w:keepNext w:val="0"/>
              <w:keepLines w:val="0"/>
              <w:pageBreakBefore w:val="0"/>
              <w:widowControl w:val="0"/>
              <w:bidi w:val="0"/>
              <w:spacing w:line="360" w:lineRule="exact"/>
              <w:ind w:firstLine="233"/>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根据《政府采购促进中小企业发展管理办法》（财库〔2020〕46号）及《广西壮族自治区财政厅关于持续优化政府采购营商环境推动高质量发展的通知》（桂财采〔2024〕55号）的规定，供应商在其投标文件中提供《中小企业声明函》，且其投标提供的服务由小微企业承接的，对供应商的</w:t>
            </w:r>
            <w:r>
              <w:rPr>
                <w:rFonts w:hint="eastAsia" w:ascii="宋体" w:hAnsi="宋体" w:eastAsia="宋体" w:cs="宋体"/>
                <w:color w:val="auto"/>
                <w:sz w:val="21"/>
                <w:szCs w:val="21"/>
                <w:highlight w:val="none"/>
                <w:lang w:val="en-US" w:eastAsia="zh-CN"/>
              </w:rPr>
              <w:t>投标</w:t>
            </w:r>
            <w:r>
              <w:rPr>
                <w:rFonts w:hint="eastAsia" w:ascii="宋体" w:hAnsi="宋体" w:eastAsia="宋体" w:cs="宋体"/>
                <w:color w:val="auto"/>
                <w:sz w:val="21"/>
                <w:szCs w:val="21"/>
                <w:highlight w:val="none"/>
              </w:rPr>
              <w:t>报价给予10%的扣除，扣除后的价格为评标报价，即评标报价=</w:t>
            </w:r>
            <w:r>
              <w:rPr>
                <w:rFonts w:hint="eastAsia" w:ascii="宋体" w:hAnsi="宋体" w:eastAsia="宋体" w:cs="宋体"/>
                <w:color w:val="auto"/>
                <w:sz w:val="21"/>
                <w:szCs w:val="21"/>
                <w:highlight w:val="none"/>
                <w:lang w:val="en-US" w:eastAsia="zh-CN"/>
              </w:rPr>
              <w:t>投标</w:t>
            </w:r>
            <w:r>
              <w:rPr>
                <w:rFonts w:hint="eastAsia" w:ascii="宋体" w:hAnsi="宋体" w:eastAsia="宋体" w:cs="宋体"/>
                <w:color w:val="auto"/>
                <w:sz w:val="21"/>
                <w:szCs w:val="21"/>
                <w:highlight w:val="none"/>
              </w:rPr>
              <w:t>报价×（1-10%）。除上述情况外，评标报价=</w:t>
            </w:r>
            <w:r>
              <w:rPr>
                <w:rFonts w:hint="eastAsia" w:ascii="宋体" w:hAnsi="宋体" w:eastAsia="宋体" w:cs="宋体"/>
                <w:color w:val="auto"/>
                <w:sz w:val="21"/>
                <w:szCs w:val="21"/>
                <w:highlight w:val="none"/>
                <w:lang w:val="en-US" w:eastAsia="zh-CN"/>
              </w:rPr>
              <w:t>投标</w:t>
            </w:r>
            <w:r>
              <w:rPr>
                <w:rFonts w:hint="eastAsia" w:ascii="宋体" w:hAnsi="宋体" w:eastAsia="宋体" w:cs="宋体"/>
                <w:color w:val="auto"/>
                <w:sz w:val="21"/>
                <w:szCs w:val="21"/>
                <w:highlight w:val="none"/>
              </w:rPr>
              <w:t>报价。</w:t>
            </w:r>
          </w:p>
          <w:p w14:paraId="520BC14A">
            <w:pPr>
              <w:keepNext w:val="0"/>
              <w:keepLines w:val="0"/>
              <w:pageBreakBefore w:val="0"/>
              <w:widowControl w:val="0"/>
              <w:bidi w:val="0"/>
              <w:spacing w:line="360" w:lineRule="exact"/>
              <w:ind w:firstLine="233"/>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14:paraId="5279CB01">
            <w:pPr>
              <w:keepNext w:val="0"/>
              <w:keepLines w:val="0"/>
              <w:pageBreakBefore w:val="0"/>
              <w:widowControl w:val="0"/>
              <w:bidi w:val="0"/>
              <w:spacing w:line="360" w:lineRule="exact"/>
              <w:ind w:firstLine="233"/>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6932F27F">
            <w:pPr>
              <w:keepNext w:val="0"/>
              <w:keepLines w:val="0"/>
              <w:pageBreakBefore w:val="0"/>
              <w:widowControl w:val="0"/>
              <w:bidi w:val="0"/>
              <w:spacing w:line="360" w:lineRule="exact"/>
              <w:ind w:firstLine="233"/>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（5）本项目不涉及本国产品政策性扣除。</w:t>
            </w:r>
          </w:p>
          <w:p w14:paraId="54272112">
            <w:pPr>
              <w:keepNext w:val="0"/>
              <w:keepLines w:val="0"/>
              <w:pageBreakBefore w:val="0"/>
              <w:widowControl w:val="0"/>
              <w:bidi w:val="0"/>
              <w:spacing w:line="360" w:lineRule="exact"/>
              <w:ind w:firstLine="233"/>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（6）满足招标文件要求且评标报价最低的评标报价为评标基准价，其价格分为满分。</w:t>
            </w:r>
          </w:p>
          <w:p w14:paraId="18BEDEA2">
            <w:pPr>
              <w:keepNext w:val="0"/>
              <w:keepLines w:val="0"/>
              <w:pageBreakBefore w:val="0"/>
              <w:widowControl w:val="0"/>
              <w:bidi w:val="0"/>
              <w:spacing w:line="360" w:lineRule="exact"/>
              <w:ind w:firstLine="233"/>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w:t>
            </w:r>
            <w:r>
              <w:rPr>
                <w:rFonts w:hint="eastAsia" w:ascii="宋体" w:hAnsi="宋体" w:eastAsia="宋体" w:cs="宋体"/>
                <w:bCs/>
                <w:color w:val="auto"/>
                <w:sz w:val="21"/>
                <w:szCs w:val="21"/>
                <w:highlight w:val="none"/>
                <w:lang w:val="en-US" w:eastAsia="zh-CN"/>
              </w:rPr>
              <w:t>7</w:t>
            </w:r>
            <w:r>
              <w:rPr>
                <w:rFonts w:hint="eastAsia" w:ascii="宋体" w:hAnsi="宋体" w:eastAsia="宋体" w:cs="宋体"/>
                <w:bCs/>
                <w:color w:val="auto"/>
                <w:sz w:val="21"/>
                <w:szCs w:val="21"/>
                <w:highlight w:val="none"/>
              </w:rPr>
              <w:t xml:space="preserve">）价格分计算公式：        </w:t>
            </w:r>
          </w:p>
          <w:p w14:paraId="1C7CAAC7">
            <w:pPr>
              <w:pStyle w:val="230"/>
              <w:keepNext w:val="0"/>
              <w:keepLines w:val="0"/>
              <w:pageBreakBefore w:val="0"/>
              <w:widowControl w:val="0"/>
              <w:bidi w:val="0"/>
              <w:spacing w:line="360" w:lineRule="exact"/>
              <w:ind w:firstLine="233"/>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价格分=（评标基准价／评标报价）×</w:t>
            </w:r>
            <w:r>
              <w:rPr>
                <w:rFonts w:hint="eastAsia" w:ascii="宋体" w:hAnsi="宋体" w:eastAsia="宋体" w:cs="宋体"/>
                <w:bCs/>
                <w:color w:val="auto"/>
                <w:sz w:val="21"/>
                <w:szCs w:val="21"/>
                <w:highlight w:val="none"/>
                <w:u w:val="single"/>
                <w:lang w:val="en-US" w:eastAsia="zh-CN"/>
              </w:rPr>
              <w:t xml:space="preserve"> 20  </w:t>
            </w:r>
            <w:r>
              <w:rPr>
                <w:rFonts w:hint="eastAsia" w:ascii="宋体" w:hAnsi="宋体" w:eastAsia="宋体" w:cs="宋体"/>
                <w:bCs/>
                <w:color w:val="auto"/>
                <w:sz w:val="21"/>
                <w:szCs w:val="21"/>
                <w:highlight w:val="none"/>
                <w:lang w:val="en-US" w:eastAsia="zh-CN"/>
              </w:rPr>
              <w:t>分</w:t>
            </w:r>
          </w:p>
        </w:tc>
      </w:tr>
      <w:tr w14:paraId="032CF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6" w:type="pct"/>
            <w:tcBorders>
              <w:top w:val="single" w:color="auto" w:sz="4" w:space="0"/>
              <w:left w:val="single" w:color="auto" w:sz="4" w:space="0"/>
              <w:bottom w:val="single" w:color="auto" w:sz="4" w:space="0"/>
              <w:right w:val="single" w:color="auto" w:sz="4" w:space="0"/>
            </w:tcBorders>
            <w:noWrap w:val="0"/>
            <w:vAlign w:val="center"/>
          </w:tcPr>
          <w:p w14:paraId="3A598824">
            <w:pPr>
              <w:spacing w:line="360" w:lineRule="atLeast"/>
              <w:ind w:left="-105" w:right="-105"/>
              <w:jc w:val="center"/>
              <w:rPr>
                <w:rFonts w:hint="eastAsia" w:ascii="宋体" w:hAnsi="宋体" w:eastAsia="宋体" w:cs="宋体"/>
                <w:b/>
                <w:color w:val="auto"/>
                <w:spacing w:val="-18"/>
                <w:sz w:val="21"/>
                <w:szCs w:val="21"/>
                <w:highlight w:val="none"/>
              </w:rPr>
            </w:pPr>
            <w:r>
              <w:rPr>
                <w:rFonts w:hint="eastAsia" w:ascii="宋体" w:hAnsi="宋体" w:eastAsia="宋体" w:cs="宋体"/>
                <w:color w:val="auto"/>
                <w:sz w:val="21"/>
                <w:szCs w:val="21"/>
                <w:highlight w:val="none"/>
              </w:rPr>
              <w:t>2</w:t>
            </w:r>
          </w:p>
        </w:tc>
        <w:tc>
          <w:tcPr>
            <w:tcW w:w="694" w:type="pct"/>
            <w:tcBorders>
              <w:top w:val="single" w:color="auto" w:sz="4" w:space="0"/>
              <w:left w:val="single" w:color="auto" w:sz="4" w:space="0"/>
              <w:bottom w:val="single" w:color="auto" w:sz="4" w:space="0"/>
              <w:right w:val="single" w:color="auto" w:sz="4" w:space="0"/>
            </w:tcBorders>
            <w:noWrap w:val="0"/>
            <w:vAlign w:val="center"/>
          </w:tcPr>
          <w:p w14:paraId="4EA67F04">
            <w:pPr>
              <w:spacing w:line="360" w:lineRule="exact"/>
              <w:jc w:val="left"/>
              <w:rPr>
                <w:rFonts w:hint="eastAsia" w:ascii="宋体" w:hAnsi="宋体" w:eastAsia="宋体" w:cs="宋体"/>
                <w:color w:val="auto"/>
                <w:sz w:val="21"/>
                <w:szCs w:val="21"/>
                <w:highlight w:val="none"/>
                <w:u w:val="single"/>
              </w:rPr>
            </w:pPr>
            <w:r>
              <w:rPr>
                <w:rFonts w:hint="eastAsia" w:ascii="宋体" w:hAnsi="宋体" w:eastAsia="宋体" w:cs="宋体"/>
                <w:b/>
                <w:color w:val="auto"/>
                <w:sz w:val="21"/>
                <w:szCs w:val="21"/>
                <w:highlight w:val="none"/>
              </w:rPr>
              <w:t>技术方案分（满分</w:t>
            </w:r>
            <w:r>
              <w:rPr>
                <w:rFonts w:hint="eastAsia" w:ascii="宋体" w:hAnsi="宋体" w:eastAsia="宋体" w:cs="宋体"/>
                <w:b/>
                <w:color w:val="auto"/>
                <w:sz w:val="21"/>
                <w:szCs w:val="21"/>
                <w:highlight w:val="none"/>
                <w:lang w:val="en-US" w:eastAsia="zh-CN"/>
              </w:rPr>
              <w:t>64</w:t>
            </w:r>
            <w:r>
              <w:rPr>
                <w:rFonts w:hint="eastAsia" w:ascii="宋体" w:hAnsi="宋体" w:eastAsia="宋体" w:cs="宋体"/>
                <w:b/>
                <w:color w:val="auto"/>
                <w:sz w:val="21"/>
                <w:szCs w:val="21"/>
                <w:highlight w:val="none"/>
              </w:rPr>
              <w:t>分）</w:t>
            </w:r>
          </w:p>
        </w:tc>
        <w:tc>
          <w:tcPr>
            <w:tcW w:w="3869" w:type="pct"/>
            <w:tcBorders>
              <w:top w:val="single" w:color="auto" w:sz="4" w:space="0"/>
              <w:left w:val="single" w:color="auto" w:sz="4" w:space="0"/>
              <w:bottom w:val="single" w:color="auto" w:sz="4" w:space="0"/>
              <w:right w:val="single" w:color="auto" w:sz="4" w:space="0"/>
            </w:tcBorders>
            <w:noWrap w:val="0"/>
            <w:vAlign w:val="center"/>
          </w:tcPr>
          <w:p w14:paraId="4F8EA2FF">
            <w:pPr>
              <w:pStyle w:val="230"/>
              <w:keepNext w:val="0"/>
              <w:keepLines w:val="0"/>
              <w:pageBreakBefore w:val="0"/>
              <w:widowControl w:val="0"/>
              <w:numPr>
                <w:ilvl w:val="0"/>
                <w:numId w:val="0"/>
              </w:numPr>
              <w:bidi w:val="0"/>
              <w:spacing w:line="360" w:lineRule="exact"/>
              <w:contextualSpacing/>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lang w:val="en-US" w:eastAsia="zh-CN" w:bidi="ar-SA"/>
              </w:rPr>
              <w:t>（1）</w:t>
            </w:r>
            <w:r>
              <w:rPr>
                <w:rFonts w:hint="eastAsia" w:ascii="宋体" w:hAnsi="宋体" w:eastAsia="宋体" w:cs="宋体"/>
                <w:b/>
                <w:bCs w:val="0"/>
                <w:color w:val="auto"/>
                <w:sz w:val="21"/>
                <w:szCs w:val="21"/>
                <w:highlight w:val="none"/>
              </w:rPr>
              <w:t>项目建设方案分（满分</w:t>
            </w:r>
            <w:r>
              <w:rPr>
                <w:rFonts w:hint="eastAsia" w:ascii="宋体" w:hAnsi="宋体" w:eastAsia="宋体" w:cs="宋体"/>
                <w:b/>
                <w:bCs w:val="0"/>
                <w:color w:val="auto"/>
                <w:sz w:val="21"/>
                <w:szCs w:val="21"/>
                <w:highlight w:val="none"/>
                <w:lang w:val="en-US" w:eastAsia="zh-CN"/>
              </w:rPr>
              <w:t>18</w:t>
            </w:r>
            <w:r>
              <w:rPr>
                <w:rFonts w:hint="eastAsia" w:ascii="宋体" w:hAnsi="宋体" w:eastAsia="宋体" w:cs="宋体"/>
                <w:b/>
                <w:bCs w:val="0"/>
                <w:color w:val="auto"/>
                <w:sz w:val="21"/>
                <w:szCs w:val="21"/>
                <w:highlight w:val="none"/>
              </w:rPr>
              <w:t>分）</w:t>
            </w:r>
          </w:p>
          <w:p w14:paraId="3D190170">
            <w:pPr>
              <w:keepNext w:val="0"/>
              <w:keepLines w:val="0"/>
              <w:pageBreakBefore w:val="0"/>
              <w:widowControl w:val="0"/>
              <w:bidi w:val="0"/>
              <w:spacing w:line="360" w:lineRule="exact"/>
              <w:ind w:firstLine="233"/>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一档（</w:t>
            </w:r>
            <w:r>
              <w:rPr>
                <w:rFonts w:hint="eastAsia" w:ascii="宋体" w:hAnsi="宋体" w:eastAsia="宋体" w:cs="宋体"/>
                <w:bCs/>
                <w:color w:val="auto"/>
                <w:sz w:val="21"/>
                <w:szCs w:val="21"/>
                <w:highlight w:val="none"/>
                <w:lang w:val="en-US" w:eastAsia="zh-CN"/>
              </w:rPr>
              <w:t>5</w:t>
            </w:r>
            <w:r>
              <w:rPr>
                <w:rFonts w:hint="eastAsia" w:ascii="宋体" w:hAnsi="宋体" w:eastAsia="宋体" w:cs="宋体"/>
                <w:bCs/>
                <w:color w:val="auto"/>
                <w:sz w:val="21"/>
                <w:szCs w:val="21"/>
                <w:highlight w:val="none"/>
              </w:rPr>
              <w:t>分）：根据项目服务需求，投标人提供技术方案完整，线路介绍、线路承载技术介绍等内容，满足采购文件项目的技术要求的。</w:t>
            </w:r>
          </w:p>
          <w:p w14:paraId="79B797C7">
            <w:pPr>
              <w:keepNext w:val="0"/>
              <w:keepLines w:val="0"/>
              <w:pageBreakBefore w:val="0"/>
              <w:widowControl w:val="0"/>
              <w:bidi w:val="0"/>
              <w:spacing w:line="360" w:lineRule="exact"/>
              <w:ind w:firstLine="233"/>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二档（</w:t>
            </w:r>
            <w:r>
              <w:rPr>
                <w:rFonts w:hint="eastAsia" w:ascii="宋体" w:hAnsi="宋体" w:eastAsia="宋体" w:cs="宋体"/>
                <w:bCs/>
                <w:color w:val="auto"/>
                <w:sz w:val="21"/>
                <w:szCs w:val="21"/>
                <w:highlight w:val="none"/>
                <w:lang w:val="en-US" w:eastAsia="zh-CN"/>
              </w:rPr>
              <w:t>8</w:t>
            </w:r>
            <w:r>
              <w:rPr>
                <w:rFonts w:hint="eastAsia" w:ascii="宋体" w:hAnsi="宋体" w:eastAsia="宋体" w:cs="宋体"/>
                <w:bCs/>
                <w:color w:val="auto"/>
                <w:sz w:val="21"/>
                <w:szCs w:val="21"/>
                <w:highlight w:val="none"/>
              </w:rPr>
              <w:t>分）：一档基础上，项目设计原则具有网络的先进性、可靠性、安全性、扩展性、管理性，能够理解本项目的特点，项目需求分析满足本项目需求，技术方案完整，线路具有稳定性和安全性，能保障业务系统不受影响。</w:t>
            </w:r>
          </w:p>
          <w:p w14:paraId="565CAE71">
            <w:pPr>
              <w:keepNext w:val="0"/>
              <w:keepLines w:val="0"/>
              <w:pageBreakBefore w:val="0"/>
              <w:widowControl w:val="0"/>
              <w:bidi w:val="0"/>
              <w:spacing w:line="360" w:lineRule="exact"/>
              <w:ind w:firstLine="233"/>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三档（</w:t>
            </w:r>
            <w:r>
              <w:rPr>
                <w:rFonts w:hint="eastAsia" w:ascii="宋体" w:hAnsi="宋体" w:eastAsia="宋体" w:cs="宋体"/>
                <w:bCs/>
                <w:color w:val="auto"/>
                <w:sz w:val="21"/>
                <w:szCs w:val="21"/>
                <w:highlight w:val="none"/>
                <w:lang w:val="en-US" w:eastAsia="zh-CN"/>
              </w:rPr>
              <w:t>13</w:t>
            </w:r>
            <w:r>
              <w:rPr>
                <w:rFonts w:hint="eastAsia" w:ascii="宋体" w:hAnsi="宋体" w:eastAsia="宋体" w:cs="宋体"/>
                <w:bCs/>
                <w:color w:val="auto"/>
                <w:sz w:val="21"/>
                <w:szCs w:val="21"/>
                <w:highlight w:val="none"/>
              </w:rPr>
              <w:t>分）：二档基础上，提供的技术方案具体，有针对性、具体可行，满足本项目需求，具有稳定性和安全性，组网方案能描述有整体方案设计、接入方式等内容。具备网络冗余备份、网络保护机制等</w:t>
            </w:r>
            <w:r>
              <w:rPr>
                <w:rFonts w:hint="eastAsia" w:ascii="宋体" w:hAnsi="宋体" w:cs="宋体"/>
                <w:bCs/>
                <w:color w:val="auto"/>
                <w:sz w:val="21"/>
                <w:szCs w:val="21"/>
                <w:highlight w:val="none"/>
                <w:lang w:val="en-US" w:eastAsia="zh-CN"/>
              </w:rPr>
              <w:t>措施</w:t>
            </w:r>
            <w:r>
              <w:rPr>
                <w:rFonts w:hint="eastAsia" w:ascii="宋体" w:hAnsi="宋体" w:eastAsia="宋体" w:cs="宋体"/>
                <w:bCs/>
                <w:color w:val="auto"/>
                <w:sz w:val="21"/>
                <w:szCs w:val="21"/>
                <w:highlight w:val="none"/>
              </w:rPr>
              <w:t>能保障业务系统完全不受影响。</w:t>
            </w:r>
          </w:p>
          <w:p w14:paraId="1DE0D77F">
            <w:pPr>
              <w:keepNext w:val="0"/>
              <w:keepLines w:val="0"/>
              <w:pageBreakBefore w:val="0"/>
              <w:widowControl w:val="0"/>
              <w:bidi w:val="0"/>
              <w:spacing w:line="360" w:lineRule="exact"/>
              <w:ind w:firstLine="233"/>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四档（</w:t>
            </w:r>
            <w:r>
              <w:rPr>
                <w:rFonts w:hint="eastAsia" w:ascii="宋体" w:hAnsi="宋体" w:eastAsia="宋体" w:cs="宋体"/>
                <w:bCs/>
                <w:color w:val="auto"/>
                <w:sz w:val="21"/>
                <w:szCs w:val="21"/>
                <w:highlight w:val="none"/>
                <w:lang w:val="en-US" w:eastAsia="zh-CN"/>
              </w:rPr>
              <w:t>18</w:t>
            </w:r>
            <w:r>
              <w:rPr>
                <w:rFonts w:hint="eastAsia" w:ascii="宋体" w:hAnsi="宋体" w:eastAsia="宋体" w:cs="宋体"/>
                <w:bCs/>
                <w:color w:val="auto"/>
                <w:sz w:val="21"/>
                <w:szCs w:val="21"/>
                <w:highlight w:val="none"/>
              </w:rPr>
              <w:t>分）：三档基础上，对本项目有详细的项目难点分析及</w:t>
            </w:r>
            <w:r>
              <w:rPr>
                <w:rFonts w:hint="eastAsia" w:ascii="宋体" w:hAnsi="宋体" w:cs="宋体"/>
                <w:bCs/>
                <w:color w:val="auto"/>
                <w:sz w:val="21"/>
                <w:szCs w:val="21"/>
                <w:highlight w:val="none"/>
                <w:lang w:val="en-US" w:eastAsia="zh-CN"/>
              </w:rPr>
              <w:t>处理</w:t>
            </w:r>
            <w:r>
              <w:rPr>
                <w:rFonts w:hint="eastAsia" w:ascii="宋体" w:hAnsi="宋体" w:eastAsia="宋体" w:cs="宋体"/>
                <w:bCs/>
                <w:color w:val="auto"/>
                <w:sz w:val="21"/>
                <w:szCs w:val="21"/>
                <w:highlight w:val="none"/>
              </w:rPr>
              <w:t>建议，技术方案具备成熟的传输网络，线路具备安全性，实现物理双路由、具备网络扩展性等</w:t>
            </w:r>
            <w:r>
              <w:rPr>
                <w:rFonts w:hint="eastAsia" w:ascii="宋体" w:hAnsi="宋体" w:cs="宋体"/>
                <w:bCs/>
                <w:color w:val="auto"/>
                <w:sz w:val="21"/>
                <w:szCs w:val="21"/>
                <w:highlight w:val="none"/>
                <w:lang w:val="en-US" w:eastAsia="zh-CN"/>
              </w:rPr>
              <w:t>特性</w:t>
            </w:r>
            <w:r>
              <w:rPr>
                <w:rFonts w:hint="eastAsia" w:ascii="宋体" w:hAnsi="宋体" w:eastAsia="宋体" w:cs="宋体"/>
                <w:bCs/>
                <w:color w:val="auto"/>
                <w:sz w:val="21"/>
                <w:szCs w:val="21"/>
                <w:highlight w:val="none"/>
              </w:rPr>
              <w:t>及亮点。线路具有多重安全技术，确保数据安全、冗余和保护机制的高可靠性保障，方案详细描述线路性能指标、备品备件方案。投标人网管能力具备完善的质量保障方案、完善的</w:t>
            </w:r>
            <w:r>
              <w:rPr>
                <w:rFonts w:hint="eastAsia" w:ascii="宋体" w:hAnsi="宋体" w:eastAsia="宋体" w:cs="宋体"/>
                <w:bCs/>
                <w:color w:val="auto"/>
                <w:sz w:val="21"/>
                <w:szCs w:val="21"/>
                <w:highlight w:val="none"/>
                <w:lang w:val="en-US" w:eastAsia="zh-CN"/>
              </w:rPr>
              <w:t>采购人</w:t>
            </w:r>
            <w:r>
              <w:rPr>
                <w:rFonts w:hint="eastAsia" w:ascii="宋体" w:hAnsi="宋体" w:eastAsia="宋体" w:cs="宋体"/>
                <w:bCs/>
                <w:color w:val="auto"/>
                <w:sz w:val="21"/>
                <w:szCs w:val="21"/>
                <w:highlight w:val="none"/>
              </w:rPr>
              <w:t>体验方案等内容。</w:t>
            </w:r>
          </w:p>
          <w:p w14:paraId="19991EE2">
            <w:pPr>
              <w:keepNext w:val="0"/>
              <w:keepLines w:val="0"/>
              <w:pageBreakBefore w:val="0"/>
              <w:widowControl w:val="0"/>
              <w:bidi w:val="0"/>
              <w:spacing w:line="360" w:lineRule="exact"/>
              <w:ind w:firstLine="233"/>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rPr>
              <w:t>备注：不能响应项目要求的，得0分</w:t>
            </w:r>
            <w:r>
              <w:rPr>
                <w:rFonts w:hint="eastAsia" w:ascii="宋体" w:hAnsi="宋体" w:eastAsia="宋体" w:cs="宋体"/>
                <w:bCs/>
                <w:color w:val="auto"/>
                <w:sz w:val="21"/>
                <w:szCs w:val="21"/>
                <w:highlight w:val="none"/>
                <w:lang w:eastAsia="zh-CN"/>
              </w:rPr>
              <w:t>。</w:t>
            </w:r>
          </w:p>
          <w:p w14:paraId="67B0112B">
            <w:pPr>
              <w:pStyle w:val="230"/>
              <w:keepNext w:val="0"/>
              <w:keepLines w:val="0"/>
              <w:pageBreakBefore w:val="0"/>
              <w:widowControl w:val="0"/>
              <w:numPr>
                <w:ilvl w:val="0"/>
                <w:numId w:val="9"/>
              </w:numPr>
              <w:bidi w:val="0"/>
              <w:spacing w:line="360" w:lineRule="exact"/>
              <w:contextualSpacing/>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项目实施方案分（满分</w:t>
            </w:r>
            <w:r>
              <w:rPr>
                <w:rFonts w:hint="eastAsia" w:ascii="宋体" w:hAnsi="宋体" w:eastAsia="宋体" w:cs="宋体"/>
                <w:b/>
                <w:bCs w:val="0"/>
                <w:color w:val="auto"/>
                <w:sz w:val="21"/>
                <w:szCs w:val="21"/>
                <w:highlight w:val="none"/>
                <w:lang w:val="en-US" w:eastAsia="zh-CN"/>
              </w:rPr>
              <w:t>20</w:t>
            </w:r>
            <w:r>
              <w:rPr>
                <w:rFonts w:hint="eastAsia" w:ascii="宋体" w:hAnsi="宋体" w:eastAsia="宋体" w:cs="宋体"/>
                <w:b/>
                <w:bCs w:val="0"/>
                <w:color w:val="auto"/>
                <w:sz w:val="21"/>
                <w:szCs w:val="21"/>
                <w:highlight w:val="none"/>
              </w:rPr>
              <w:t>分）</w:t>
            </w:r>
          </w:p>
          <w:p w14:paraId="4E563A8E">
            <w:pPr>
              <w:keepNext w:val="0"/>
              <w:keepLines w:val="0"/>
              <w:pageBreakBefore w:val="0"/>
              <w:widowControl w:val="0"/>
              <w:bidi w:val="0"/>
              <w:spacing w:line="360" w:lineRule="exact"/>
              <w:ind w:firstLine="233"/>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一档（5分）：项目实施服务方案满足项目服务采购需求，有项目实施组织机构，具有安装调试方法；</w:t>
            </w:r>
          </w:p>
          <w:p w14:paraId="41684ED7">
            <w:pPr>
              <w:keepNext w:val="0"/>
              <w:keepLines w:val="0"/>
              <w:pageBreakBefore w:val="0"/>
              <w:widowControl w:val="0"/>
              <w:bidi w:val="0"/>
              <w:spacing w:line="360" w:lineRule="exact"/>
              <w:ind w:firstLine="233"/>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二档（10分）：一档的基础上，有项目实施组织机构，具有合理的安装调试方法，工期划</w:t>
            </w:r>
            <w:r>
              <w:rPr>
                <w:rFonts w:hint="eastAsia" w:ascii="宋体" w:hAnsi="宋体" w:eastAsia="宋体" w:cs="宋体"/>
                <w:b w:val="0"/>
                <w:bCs/>
                <w:color w:val="auto"/>
                <w:sz w:val="21"/>
                <w:szCs w:val="21"/>
                <w:highlight w:val="none"/>
                <w:lang w:val="en-US" w:eastAsia="zh-CN" w:bidi="ar-SA"/>
              </w:rPr>
              <w:t>分合理，具有进度计划、项目实施管理文档计划、安</w:t>
            </w:r>
            <w:r>
              <w:rPr>
                <w:rFonts w:hint="eastAsia" w:ascii="宋体" w:hAnsi="宋体" w:eastAsia="宋体" w:cs="宋体"/>
                <w:bCs/>
                <w:color w:val="auto"/>
                <w:sz w:val="21"/>
                <w:szCs w:val="21"/>
                <w:highlight w:val="none"/>
                <w:lang w:val="en-US" w:eastAsia="zh-CN"/>
              </w:rPr>
              <w:t>全及质量保证措施，提供合理的工期保证措施；</w:t>
            </w:r>
          </w:p>
          <w:p w14:paraId="5BEE0CAD">
            <w:pPr>
              <w:keepNext w:val="0"/>
              <w:keepLines w:val="0"/>
              <w:pageBreakBefore w:val="0"/>
              <w:widowControl w:val="0"/>
              <w:bidi w:val="0"/>
              <w:spacing w:line="360" w:lineRule="exact"/>
              <w:ind w:firstLine="233"/>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三档（15分)：二档的基础上，有项目实施组织机构，具有合理的安装调试方法，工期划分合理，具有详细的进度计划、项目实施管理文档计划、安全及质量保证措施，提供合理的工期保证措施、项目应急预案，建议的安装、调试、验收方法或方案完善有效、优化细致、切实可行；</w:t>
            </w:r>
          </w:p>
          <w:p w14:paraId="080943DB">
            <w:pPr>
              <w:keepNext w:val="0"/>
              <w:keepLines w:val="0"/>
              <w:pageBreakBefore w:val="0"/>
              <w:widowControl w:val="0"/>
              <w:bidi w:val="0"/>
              <w:spacing w:line="360" w:lineRule="exact"/>
              <w:ind w:firstLine="233"/>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四档（20分）：三档基础上，提供的项目实施服务方案完整清晰，完全满足采购文件要求。工作安排和进度计划方案完整，能详细说明各个阶段工作安排和进度计划，提供实施进度计划和工期保证措施及赶工措施、服务实施安全保障措施、服务质量保证措施、项目风险管理措施、文明施工管理措施，技术服务、技术培训的服务内容和措施完善，保证项目实施的技术力量和人力资源安排有保障。</w:t>
            </w:r>
          </w:p>
          <w:p w14:paraId="2318AF7F">
            <w:pPr>
              <w:keepNext w:val="0"/>
              <w:keepLines w:val="0"/>
              <w:pageBreakBefore w:val="0"/>
              <w:widowControl w:val="0"/>
              <w:bidi w:val="0"/>
              <w:spacing w:line="360" w:lineRule="exact"/>
              <w:ind w:firstLine="233"/>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备注：不能响应项目要求的，得0分。</w:t>
            </w:r>
          </w:p>
          <w:p w14:paraId="06113828">
            <w:pPr>
              <w:keepNext w:val="0"/>
              <w:keepLines w:val="0"/>
              <w:pageBreakBefore w:val="0"/>
              <w:widowControl w:val="0"/>
              <w:numPr>
                <w:ilvl w:val="0"/>
                <w:numId w:val="0"/>
              </w:numPr>
              <w:bidi w:val="0"/>
              <w:spacing w:line="360" w:lineRule="exact"/>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lang w:val="en-US" w:eastAsia="zh-CN" w:bidi="ar-SA"/>
              </w:rPr>
              <w:t>（3）运维服务</w:t>
            </w:r>
            <w:r>
              <w:rPr>
                <w:rFonts w:hint="eastAsia" w:ascii="宋体" w:hAnsi="宋体" w:eastAsia="宋体" w:cs="宋体"/>
                <w:b/>
                <w:bCs w:val="0"/>
                <w:color w:val="auto"/>
                <w:sz w:val="21"/>
                <w:szCs w:val="21"/>
                <w:highlight w:val="none"/>
              </w:rPr>
              <w:t>方案（满分</w:t>
            </w:r>
            <w:r>
              <w:rPr>
                <w:rFonts w:hint="eastAsia" w:ascii="宋体" w:hAnsi="宋体" w:eastAsia="宋体" w:cs="宋体"/>
                <w:b/>
                <w:bCs w:val="0"/>
                <w:color w:val="auto"/>
                <w:sz w:val="21"/>
                <w:szCs w:val="21"/>
                <w:highlight w:val="none"/>
                <w:lang w:val="en-US" w:eastAsia="zh-CN"/>
              </w:rPr>
              <w:t>26</w:t>
            </w:r>
            <w:r>
              <w:rPr>
                <w:rFonts w:hint="eastAsia" w:ascii="宋体" w:hAnsi="宋体" w:eastAsia="宋体" w:cs="宋体"/>
                <w:b/>
                <w:bCs w:val="0"/>
                <w:color w:val="auto"/>
                <w:sz w:val="21"/>
                <w:szCs w:val="21"/>
                <w:highlight w:val="none"/>
              </w:rPr>
              <w:t>分）</w:t>
            </w:r>
          </w:p>
          <w:p w14:paraId="0EF044E6">
            <w:pPr>
              <w:pStyle w:val="230"/>
              <w:keepNext w:val="0"/>
              <w:keepLines w:val="0"/>
              <w:pageBreakBefore w:val="0"/>
              <w:widowControl w:val="0"/>
              <w:bidi w:val="0"/>
              <w:spacing w:line="360" w:lineRule="exact"/>
              <w:ind w:firstLine="42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一档（</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分）：仅满足采购文件最低要求的，仅提供了应急机制、运维服务承诺。</w:t>
            </w:r>
          </w:p>
          <w:p w14:paraId="0BC4DF61">
            <w:pPr>
              <w:pStyle w:val="230"/>
              <w:keepNext w:val="0"/>
              <w:keepLines w:val="0"/>
              <w:pageBreakBefore w:val="0"/>
              <w:widowControl w:val="0"/>
              <w:bidi w:val="0"/>
              <w:spacing w:line="360" w:lineRule="exact"/>
              <w:ind w:firstLine="42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二档（</w:t>
            </w:r>
            <w:r>
              <w:rPr>
                <w:rFonts w:hint="eastAsia" w:ascii="宋体" w:hAnsi="宋体" w:eastAsia="宋体" w:cs="宋体"/>
                <w:color w:val="auto"/>
                <w:sz w:val="21"/>
                <w:szCs w:val="21"/>
                <w:highlight w:val="none"/>
                <w:lang w:val="en-US" w:eastAsia="zh-CN"/>
              </w:rPr>
              <w:t>14</w:t>
            </w:r>
            <w:r>
              <w:rPr>
                <w:rFonts w:hint="eastAsia" w:ascii="宋体" w:hAnsi="宋体" w:eastAsia="宋体" w:cs="宋体"/>
                <w:color w:val="auto"/>
                <w:sz w:val="21"/>
                <w:szCs w:val="21"/>
                <w:highlight w:val="none"/>
              </w:rPr>
              <w:t>分）：仅满足采购文件最低要求的，提供有应急机制、运维服务承诺、故障处理流程、维护保障方式。</w:t>
            </w:r>
          </w:p>
          <w:p w14:paraId="02BC6CD9">
            <w:pPr>
              <w:pStyle w:val="230"/>
              <w:keepNext w:val="0"/>
              <w:keepLines w:val="0"/>
              <w:pageBreakBefore w:val="0"/>
              <w:widowControl w:val="0"/>
              <w:bidi w:val="0"/>
              <w:spacing w:line="360" w:lineRule="exact"/>
              <w:ind w:firstLine="42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三档（</w:t>
            </w:r>
            <w:r>
              <w:rPr>
                <w:rFonts w:hint="eastAsia" w:ascii="宋体" w:hAnsi="宋体" w:eastAsia="宋体" w:cs="宋体"/>
                <w:color w:val="auto"/>
                <w:sz w:val="21"/>
                <w:szCs w:val="21"/>
                <w:highlight w:val="none"/>
                <w:lang w:val="en-US" w:eastAsia="zh-CN"/>
              </w:rPr>
              <w:t>20</w:t>
            </w:r>
            <w:r>
              <w:rPr>
                <w:rFonts w:hint="eastAsia" w:ascii="宋体" w:hAnsi="宋体" w:eastAsia="宋体" w:cs="宋体"/>
                <w:color w:val="auto"/>
                <w:sz w:val="21"/>
                <w:szCs w:val="21"/>
                <w:highlight w:val="none"/>
              </w:rPr>
              <w:t>分）：满足采购文件要求，并提供有应急机制、运维服务承诺、故障处理流程、维护保障方式、维护组织架构、维护服务方式、售后响应时间及故障修复时间、线路及设备巡检，内容齐全。</w:t>
            </w:r>
          </w:p>
          <w:p w14:paraId="740250C0">
            <w:pPr>
              <w:pStyle w:val="230"/>
              <w:keepNext w:val="0"/>
              <w:keepLines w:val="0"/>
              <w:pageBreakBefore w:val="0"/>
              <w:widowControl w:val="0"/>
              <w:bidi w:val="0"/>
              <w:spacing w:line="360" w:lineRule="exact"/>
              <w:ind w:firstLine="42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四档（2</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分）：满足采购文件要求，并提供有详细的运维服务承诺、故障处理流程、维护保障方式、维护组织架构、维护服务方式、售后响应时间及故障修复时间、线路及设备巡检、应急保障方案、其他技术服务，整体方案齐全，具有科学性。</w:t>
            </w:r>
          </w:p>
          <w:p w14:paraId="06AA0A88">
            <w:pPr>
              <w:pStyle w:val="230"/>
              <w:keepNext w:val="0"/>
              <w:keepLines w:val="0"/>
              <w:pageBreakBefore w:val="0"/>
              <w:widowControl w:val="0"/>
              <w:bidi w:val="0"/>
              <w:spacing w:line="360" w:lineRule="exact"/>
              <w:ind w:firstLine="420"/>
              <w:contextualSpacing/>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备注：不能响应项目要求的，得0分</w:t>
            </w:r>
            <w:r>
              <w:rPr>
                <w:rFonts w:hint="eastAsia" w:ascii="宋体" w:hAnsi="宋体" w:eastAsia="宋体" w:cs="宋体"/>
                <w:color w:val="auto"/>
                <w:sz w:val="21"/>
                <w:szCs w:val="21"/>
                <w:highlight w:val="none"/>
                <w:lang w:eastAsia="zh-CN"/>
              </w:rPr>
              <w:t>。</w:t>
            </w:r>
          </w:p>
        </w:tc>
      </w:tr>
      <w:tr w14:paraId="0572C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7" w:hRule="atLeast"/>
          <w:jc w:val="center"/>
        </w:trPr>
        <w:tc>
          <w:tcPr>
            <w:tcW w:w="436" w:type="pct"/>
            <w:tcBorders>
              <w:top w:val="single" w:color="auto" w:sz="4" w:space="0"/>
              <w:left w:val="single" w:color="auto" w:sz="4" w:space="0"/>
              <w:bottom w:val="single" w:color="auto" w:sz="4" w:space="0"/>
              <w:right w:val="single" w:color="auto" w:sz="4" w:space="0"/>
            </w:tcBorders>
            <w:noWrap w:val="0"/>
            <w:vAlign w:val="center"/>
          </w:tcPr>
          <w:p w14:paraId="79D6951C">
            <w:pPr>
              <w:spacing w:line="360" w:lineRule="atLeast"/>
              <w:ind w:left="-105" w:right="-105"/>
              <w:jc w:val="center"/>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3</w:t>
            </w:r>
          </w:p>
        </w:tc>
        <w:tc>
          <w:tcPr>
            <w:tcW w:w="694" w:type="pct"/>
            <w:tcBorders>
              <w:top w:val="single" w:color="auto" w:sz="4" w:space="0"/>
              <w:left w:val="single" w:color="auto" w:sz="4" w:space="0"/>
              <w:bottom w:val="single" w:color="auto" w:sz="4" w:space="0"/>
              <w:right w:val="single" w:color="auto" w:sz="4" w:space="0"/>
            </w:tcBorders>
            <w:noWrap w:val="0"/>
            <w:vAlign w:val="center"/>
          </w:tcPr>
          <w:p w14:paraId="3F4AC978">
            <w:pPr>
              <w:spacing w:line="360" w:lineRule="auto"/>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人员配置</w:t>
            </w:r>
          </w:p>
          <w:p w14:paraId="5D52FA20">
            <w:pPr>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（满分</w:t>
            </w:r>
            <w:r>
              <w:rPr>
                <w:rFonts w:hint="eastAsia" w:ascii="宋体" w:hAnsi="宋体" w:eastAsia="宋体" w:cs="宋体"/>
                <w:b/>
                <w:color w:val="auto"/>
                <w:sz w:val="21"/>
                <w:szCs w:val="21"/>
                <w:highlight w:val="none"/>
                <w:lang w:val="en-US" w:eastAsia="zh-CN"/>
              </w:rPr>
              <w:t>8</w:t>
            </w:r>
            <w:r>
              <w:rPr>
                <w:rFonts w:hint="eastAsia" w:ascii="宋体" w:hAnsi="宋体" w:eastAsia="宋体" w:cs="宋体"/>
                <w:b/>
                <w:color w:val="auto"/>
                <w:sz w:val="21"/>
                <w:szCs w:val="21"/>
                <w:highlight w:val="none"/>
              </w:rPr>
              <w:t>分）</w:t>
            </w:r>
          </w:p>
        </w:tc>
        <w:tc>
          <w:tcPr>
            <w:tcW w:w="3869" w:type="pct"/>
            <w:tcBorders>
              <w:top w:val="single" w:color="auto" w:sz="4" w:space="0"/>
              <w:left w:val="single" w:color="auto" w:sz="4" w:space="0"/>
              <w:bottom w:val="single" w:color="auto" w:sz="4" w:space="0"/>
              <w:right w:val="single" w:color="auto" w:sz="4" w:space="0"/>
            </w:tcBorders>
            <w:noWrap w:val="0"/>
            <w:vAlign w:val="center"/>
          </w:tcPr>
          <w:p w14:paraId="7F7703E2">
            <w:pPr>
              <w:pStyle w:val="230"/>
              <w:keepNext w:val="0"/>
              <w:keepLines w:val="0"/>
              <w:pageBreakBefore w:val="0"/>
              <w:widowControl w:val="0"/>
              <w:bidi w:val="0"/>
              <w:spacing w:line="360" w:lineRule="exact"/>
              <w:contextualSpacing/>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团队维护人员具备以下资质：</w:t>
            </w:r>
          </w:p>
          <w:p w14:paraId="3BF4D7A7">
            <w:pPr>
              <w:pStyle w:val="230"/>
              <w:keepNext w:val="0"/>
              <w:keepLines w:val="0"/>
              <w:pageBreakBefore w:val="0"/>
              <w:widowControl w:val="0"/>
              <w:numPr>
                <w:ilvl w:val="0"/>
                <w:numId w:val="0"/>
              </w:numPr>
              <w:bidi w:val="0"/>
              <w:spacing w:line="360" w:lineRule="exact"/>
              <w:ind w:firstLine="420" w:firstLineChars="0"/>
              <w:contextualSpacing/>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bidi="ar-SA"/>
              </w:rPr>
              <w:t>（1）</w:t>
            </w:r>
            <w:r>
              <w:rPr>
                <w:rFonts w:hint="eastAsia" w:ascii="宋体" w:hAnsi="宋体" w:eastAsia="宋体" w:cs="宋体"/>
                <w:b w:val="0"/>
                <w:bCs/>
                <w:color w:val="auto"/>
                <w:sz w:val="21"/>
                <w:szCs w:val="21"/>
                <w:highlight w:val="none"/>
                <w:lang w:val="en-US" w:eastAsia="zh-CN"/>
              </w:rPr>
              <w:t>网络技术类：拟投入本项目的团队施工人员具备网络工程师或通信专业技术人员中级及以上</w:t>
            </w:r>
            <w:r>
              <w:rPr>
                <w:rFonts w:hint="eastAsia" w:hAnsi="宋体" w:cs="宋体"/>
                <w:b w:val="0"/>
                <w:bCs/>
                <w:color w:val="auto"/>
                <w:sz w:val="21"/>
                <w:szCs w:val="21"/>
                <w:highlight w:val="none"/>
                <w:lang w:val="en-US" w:eastAsia="zh-CN"/>
              </w:rPr>
              <w:t>职称</w:t>
            </w:r>
            <w:r>
              <w:rPr>
                <w:rFonts w:hint="eastAsia" w:ascii="宋体" w:hAnsi="宋体" w:eastAsia="宋体" w:cs="宋体"/>
                <w:b w:val="0"/>
                <w:bCs/>
                <w:color w:val="auto"/>
                <w:sz w:val="21"/>
                <w:szCs w:val="21"/>
                <w:highlight w:val="none"/>
                <w:lang w:val="en-US" w:eastAsia="zh-CN"/>
              </w:rPr>
              <w:t>，每提供1名符合要求的人员得1分，本项满分4分，未提供不得分。</w:t>
            </w:r>
          </w:p>
          <w:p w14:paraId="77942261">
            <w:pPr>
              <w:pStyle w:val="230"/>
              <w:keepNext w:val="0"/>
              <w:keepLines w:val="0"/>
              <w:pageBreakBefore w:val="0"/>
              <w:widowControl w:val="0"/>
              <w:numPr>
                <w:ilvl w:val="0"/>
                <w:numId w:val="0"/>
              </w:numPr>
              <w:bidi w:val="0"/>
              <w:spacing w:line="360" w:lineRule="exact"/>
              <w:ind w:firstLine="420" w:firstLineChars="0"/>
              <w:contextualSpacing/>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（2）作业操作类：拟投入本项目的团队施工人员同时持有特种作业操作证（电工作业）与特种作业操作证（高处作业），每提供1名双证齐全的人员得1分，本项满分4分。</w:t>
            </w:r>
          </w:p>
          <w:p w14:paraId="14131AAE">
            <w:pPr>
              <w:pStyle w:val="230"/>
              <w:keepNext w:val="0"/>
              <w:keepLines w:val="0"/>
              <w:pageBreakBefore w:val="0"/>
              <w:widowControl w:val="0"/>
              <w:numPr>
                <w:ilvl w:val="0"/>
                <w:numId w:val="0"/>
              </w:numPr>
              <w:bidi w:val="0"/>
              <w:spacing w:line="360" w:lineRule="exact"/>
              <w:ind w:firstLine="420" w:firstLineChars="0"/>
              <w:contextualSpacing/>
              <w:rPr>
                <w:rFonts w:hint="eastAsia" w:ascii="宋体" w:hAnsi="宋体" w:eastAsia="宋体" w:cs="宋体"/>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（注：上述人员须提供有效的证书证明材料，不按要求提供的不得分）。</w:t>
            </w:r>
          </w:p>
        </w:tc>
      </w:tr>
      <w:tr w14:paraId="341A9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6" w:type="pct"/>
            <w:tcBorders>
              <w:top w:val="single" w:color="auto" w:sz="4" w:space="0"/>
              <w:left w:val="single" w:color="auto" w:sz="4" w:space="0"/>
              <w:bottom w:val="single" w:color="auto" w:sz="4" w:space="0"/>
              <w:right w:val="single" w:color="auto" w:sz="4" w:space="0"/>
            </w:tcBorders>
            <w:noWrap w:val="0"/>
            <w:vAlign w:val="center"/>
          </w:tcPr>
          <w:p w14:paraId="7A15D0ED">
            <w:pPr>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val="en-US" w:eastAsia="zh-CN"/>
              </w:rPr>
              <w:t>4</w:t>
            </w:r>
          </w:p>
        </w:tc>
        <w:tc>
          <w:tcPr>
            <w:tcW w:w="694" w:type="pct"/>
            <w:tcBorders>
              <w:top w:val="single" w:color="auto" w:sz="4" w:space="0"/>
              <w:left w:val="single" w:color="auto" w:sz="4" w:space="0"/>
              <w:bottom w:val="single" w:color="auto" w:sz="4" w:space="0"/>
              <w:right w:val="single" w:color="auto" w:sz="4" w:space="0"/>
            </w:tcBorders>
            <w:noWrap w:val="0"/>
            <w:vAlign w:val="center"/>
          </w:tcPr>
          <w:p w14:paraId="75AF2226">
            <w:pPr>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eastAsia="zh-CN"/>
              </w:rPr>
              <w:t>业绩</w:t>
            </w:r>
            <w:r>
              <w:rPr>
                <w:rFonts w:hint="eastAsia" w:ascii="宋体" w:hAnsi="宋体" w:eastAsia="宋体" w:cs="宋体"/>
                <w:b/>
                <w:color w:val="auto"/>
                <w:sz w:val="21"/>
                <w:szCs w:val="21"/>
                <w:highlight w:val="none"/>
              </w:rPr>
              <w:t>（满分</w:t>
            </w:r>
            <w:r>
              <w:rPr>
                <w:rFonts w:hint="eastAsia" w:ascii="宋体" w:hAnsi="宋体" w:eastAsia="宋体" w:cs="宋体"/>
                <w:b/>
                <w:color w:val="auto"/>
                <w:sz w:val="21"/>
                <w:szCs w:val="21"/>
                <w:highlight w:val="none"/>
                <w:lang w:val="en-US" w:eastAsia="zh-CN"/>
              </w:rPr>
              <w:t>8</w:t>
            </w:r>
            <w:r>
              <w:rPr>
                <w:rFonts w:hint="eastAsia" w:ascii="宋体" w:hAnsi="宋体" w:eastAsia="宋体" w:cs="宋体"/>
                <w:b/>
                <w:color w:val="auto"/>
                <w:sz w:val="21"/>
                <w:szCs w:val="21"/>
                <w:highlight w:val="none"/>
              </w:rPr>
              <w:t>分）</w:t>
            </w:r>
          </w:p>
        </w:tc>
        <w:tc>
          <w:tcPr>
            <w:tcW w:w="3869" w:type="pct"/>
            <w:tcBorders>
              <w:top w:val="single" w:color="auto" w:sz="4" w:space="0"/>
              <w:left w:val="single" w:color="auto" w:sz="4" w:space="0"/>
              <w:bottom w:val="single" w:color="auto" w:sz="4" w:space="0"/>
              <w:right w:val="single" w:color="auto" w:sz="4" w:space="0"/>
            </w:tcBorders>
            <w:noWrap w:val="0"/>
            <w:vAlign w:val="center"/>
          </w:tcPr>
          <w:p w14:paraId="00EF3AEE">
            <w:pPr>
              <w:pStyle w:val="230"/>
              <w:keepNext w:val="0"/>
              <w:keepLines w:val="0"/>
              <w:pageBreakBefore w:val="0"/>
              <w:widowControl w:val="0"/>
              <w:bidi w:val="0"/>
              <w:spacing w:line="360" w:lineRule="exact"/>
              <w:ind w:firstLine="420"/>
              <w:contextualSpacing/>
              <w:rPr>
                <w:rFonts w:hint="eastAsia" w:ascii="宋体" w:hAnsi="宋体" w:eastAsia="宋体" w:cs="宋体"/>
                <w:color w:val="auto"/>
                <w:sz w:val="21"/>
                <w:szCs w:val="21"/>
                <w:highlight w:val="none"/>
              </w:rPr>
            </w:pPr>
            <w:r>
              <w:rPr>
                <w:rFonts w:hint="eastAsia" w:ascii="宋体" w:hAnsi="宋体" w:eastAsia="宋体" w:cs="宋体"/>
                <w:b w:val="0"/>
                <w:bCs/>
                <w:color w:val="auto"/>
                <w:sz w:val="21"/>
                <w:szCs w:val="21"/>
                <w:highlight w:val="none"/>
                <w:lang w:val="en-US" w:eastAsia="zh-CN"/>
              </w:rPr>
              <w:t>2023年6月1日以来至投标文件递交截止日期止，供应商具有类似服务项目业绩的，每项得4分，满分8分。（以有效的中标/成交通知书或合同复印件为准，合同应清晰</w:t>
            </w:r>
            <w:r>
              <w:rPr>
                <w:rFonts w:hint="eastAsia" w:hAnsi="宋体" w:cs="宋体"/>
                <w:b w:val="0"/>
                <w:bCs/>
                <w:color w:val="auto"/>
                <w:sz w:val="21"/>
                <w:szCs w:val="21"/>
                <w:highlight w:val="none"/>
                <w:lang w:val="en-US" w:eastAsia="zh-CN"/>
              </w:rPr>
              <w:t>反映</w:t>
            </w:r>
            <w:r>
              <w:rPr>
                <w:rFonts w:hint="eastAsia" w:ascii="宋体" w:hAnsi="宋体" w:eastAsia="宋体" w:cs="宋体"/>
                <w:b w:val="0"/>
                <w:bCs/>
                <w:color w:val="auto"/>
                <w:sz w:val="21"/>
                <w:szCs w:val="21"/>
                <w:highlight w:val="none"/>
                <w:lang w:val="en-US" w:eastAsia="zh-CN"/>
              </w:rPr>
              <w:t>合同采购内容，并加盖供应商公章）。</w:t>
            </w:r>
          </w:p>
        </w:tc>
      </w:tr>
      <w:tr w14:paraId="52CB1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jc w:val="center"/>
        </w:trPr>
        <w:tc>
          <w:tcPr>
            <w:tcW w:w="5000" w:type="pct"/>
            <w:gridSpan w:val="3"/>
            <w:tcBorders>
              <w:top w:val="single" w:color="auto" w:sz="4" w:space="0"/>
              <w:left w:val="single" w:color="auto" w:sz="4" w:space="0"/>
              <w:bottom w:val="single" w:color="auto" w:sz="4" w:space="0"/>
              <w:right w:val="single" w:color="auto" w:sz="4" w:space="0"/>
            </w:tcBorders>
            <w:noWrap w:val="0"/>
            <w:vAlign w:val="center"/>
          </w:tcPr>
          <w:p w14:paraId="183DA5F6">
            <w:pPr>
              <w:pStyle w:val="230"/>
              <w:spacing w:line="360" w:lineRule="atLeast"/>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总得分=1+2+3+4</w:t>
            </w:r>
          </w:p>
          <w:p w14:paraId="5F6954E6">
            <w:pPr>
              <w:pStyle w:val="230"/>
              <w:spacing w:line="360" w:lineRule="atLeast"/>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备注：本项目为服务类项目，不涉及节能环保政策考核。</w:t>
            </w:r>
          </w:p>
        </w:tc>
      </w:tr>
    </w:tbl>
    <w:p w14:paraId="1B2F1D0F">
      <w:pPr>
        <w:pStyle w:val="230"/>
        <w:spacing w:line="420" w:lineRule="exact"/>
        <w:ind w:firstLine="420"/>
        <w:rPr>
          <w:rFonts w:hint="eastAsia" w:hAnsi="宋体" w:cs="宋体"/>
          <w:b/>
          <w:color w:val="auto"/>
          <w:sz w:val="21"/>
          <w:highlight w:val="none"/>
        </w:rPr>
      </w:pPr>
      <w:r>
        <w:rPr>
          <w:rFonts w:hint="eastAsia" w:hAnsi="宋体" w:cs="宋体"/>
          <w:b/>
          <w:color w:val="auto"/>
          <w:sz w:val="21"/>
          <w:highlight w:val="none"/>
        </w:rPr>
        <w:t>三、中标候选人推荐原则</w:t>
      </w:r>
    </w:p>
    <w:p w14:paraId="4D560743">
      <w:pPr>
        <w:pStyle w:val="230"/>
        <w:spacing w:line="360" w:lineRule="exact"/>
        <w:ind w:firstLine="420"/>
        <w:rPr>
          <w:rFonts w:hint="eastAsia" w:ascii="宋体" w:hAnsi="宋体" w:eastAsia="宋体" w:cs="宋体"/>
          <w:color w:val="auto"/>
          <w:sz w:val="21"/>
          <w:highlight w:val="none"/>
        </w:rPr>
      </w:pPr>
      <w:r>
        <w:rPr>
          <w:rFonts w:hint="eastAsia" w:hAnsi="宋体" w:cs="宋体"/>
          <w:color w:val="auto"/>
          <w:sz w:val="21"/>
          <w:highlight w:val="none"/>
        </w:rPr>
        <w:t>1.评标委员会根据原始评</w:t>
      </w:r>
      <w:r>
        <w:rPr>
          <w:rFonts w:hint="eastAsia" w:ascii="宋体" w:hAnsi="宋体" w:eastAsia="宋体" w:cs="宋体"/>
          <w:color w:val="auto"/>
          <w:sz w:val="21"/>
          <w:highlight w:val="none"/>
        </w:rPr>
        <w:t>标记录和评标结果编写评标报告，并通过电子交易平台向采购人、采购代理机构提交。</w:t>
      </w:r>
    </w:p>
    <w:p w14:paraId="65F765F5">
      <w:pPr>
        <w:pStyle w:val="230"/>
        <w:spacing w:line="360" w:lineRule="exact"/>
        <w:ind w:firstLine="420"/>
        <w:rPr>
          <w:rFonts w:hint="eastAsia" w:ascii="宋体" w:hAnsi="宋体" w:eastAsia="宋体" w:cs="宋体"/>
          <w:color w:val="auto"/>
          <w:sz w:val="21"/>
          <w:highlight w:val="none"/>
        </w:rPr>
      </w:pPr>
      <w:r>
        <w:rPr>
          <w:rFonts w:hint="eastAsia" w:ascii="宋体" w:hAnsi="宋体" w:eastAsia="宋体" w:cs="宋体"/>
          <w:color w:val="auto"/>
          <w:sz w:val="21"/>
          <w:highlight w:val="none"/>
        </w:rPr>
        <w:t>2.评标委员会将根据总得分由高到低排列次序并推荐中标候选人。得分相同的，以投标报价由低到高顺序排列。得分相同且投标报价相同的并列，投标文件满足招标文件全部实质性要求，且按照评审因素的量化指标评审得分最高的投标人为排名第一的中标候选人。</w:t>
      </w:r>
    </w:p>
    <w:p w14:paraId="126F36F6">
      <w:pPr>
        <w:spacing w:before="120" w:after="120" w:line="400" w:lineRule="exact"/>
        <w:ind w:firstLine="420"/>
        <w:rPr>
          <w:rFonts w:hint="eastAsia" w:ascii="宋体" w:hAnsi="宋体" w:cs="宋体"/>
          <w:b/>
          <w:color w:val="auto"/>
          <w:sz w:val="24"/>
          <w:highlight w:val="none"/>
        </w:rPr>
      </w:pPr>
    </w:p>
    <w:p w14:paraId="0C19970E">
      <w:pPr>
        <w:spacing w:before="120" w:after="120" w:line="400" w:lineRule="exact"/>
        <w:ind w:firstLine="420"/>
        <w:rPr>
          <w:rFonts w:hint="eastAsia" w:ascii="宋体" w:hAnsi="宋体" w:cs="宋体"/>
          <w:b/>
          <w:color w:val="auto"/>
          <w:sz w:val="24"/>
          <w:highlight w:val="none"/>
        </w:rPr>
      </w:pPr>
    </w:p>
    <w:p w14:paraId="77B3B6FA">
      <w:pPr>
        <w:spacing w:before="120" w:after="120" w:line="400" w:lineRule="exact"/>
        <w:ind w:firstLine="420"/>
        <w:rPr>
          <w:rFonts w:hint="eastAsia" w:ascii="宋体" w:hAnsi="宋体" w:cs="宋体"/>
          <w:b/>
          <w:color w:val="auto"/>
          <w:sz w:val="24"/>
          <w:highlight w:val="none"/>
        </w:rPr>
      </w:pPr>
    </w:p>
    <w:p w14:paraId="0A01F1A4">
      <w:pPr>
        <w:spacing w:before="120" w:after="120" w:line="400" w:lineRule="exact"/>
        <w:ind w:firstLine="420"/>
        <w:rPr>
          <w:rFonts w:hint="eastAsia" w:ascii="宋体" w:hAnsi="宋体" w:cs="宋体"/>
          <w:b/>
          <w:color w:val="auto"/>
          <w:sz w:val="24"/>
          <w:highlight w:val="none"/>
        </w:rPr>
      </w:pPr>
    </w:p>
    <w:p w14:paraId="3BD2A6E9">
      <w:pPr>
        <w:spacing w:before="120" w:after="120" w:line="400" w:lineRule="exact"/>
        <w:ind w:firstLine="420"/>
        <w:rPr>
          <w:rFonts w:hint="eastAsia" w:ascii="宋体" w:hAnsi="宋体" w:cs="宋体"/>
          <w:b/>
          <w:color w:val="auto"/>
          <w:sz w:val="24"/>
          <w:highlight w:val="none"/>
        </w:rPr>
      </w:pPr>
    </w:p>
    <w:p w14:paraId="5352C220">
      <w:pPr>
        <w:spacing w:before="120" w:after="120" w:line="400" w:lineRule="exact"/>
        <w:ind w:firstLine="420"/>
        <w:rPr>
          <w:rFonts w:hint="eastAsia" w:ascii="宋体" w:hAnsi="宋体" w:cs="宋体"/>
          <w:b/>
          <w:color w:val="auto"/>
          <w:sz w:val="24"/>
          <w:highlight w:val="none"/>
        </w:rPr>
      </w:pPr>
    </w:p>
    <w:p w14:paraId="7DCB66E3">
      <w:pPr>
        <w:spacing w:before="120" w:after="120" w:line="400" w:lineRule="exact"/>
        <w:ind w:firstLine="420"/>
        <w:rPr>
          <w:rFonts w:hint="eastAsia" w:ascii="宋体" w:hAnsi="宋体" w:cs="宋体"/>
          <w:b/>
          <w:color w:val="auto"/>
          <w:sz w:val="24"/>
          <w:highlight w:val="none"/>
        </w:rPr>
      </w:pPr>
    </w:p>
    <w:p w14:paraId="680DFB64">
      <w:pPr>
        <w:pStyle w:val="196"/>
        <w:jc w:val="center"/>
        <w:rPr>
          <w:rFonts w:hint="eastAsia" w:ascii="宋体" w:hAnsi="宋体" w:eastAsia="宋体" w:cs="宋体"/>
          <w:color w:val="auto"/>
          <w:highlight w:val="none"/>
        </w:rPr>
      </w:pPr>
      <w:bookmarkStart w:id="144" w:name="_Toc29495"/>
      <w:r>
        <w:rPr>
          <w:rFonts w:hint="eastAsia" w:ascii="宋体" w:hAnsi="宋体" w:eastAsia="宋体" w:cs="宋体"/>
          <w:color w:val="auto"/>
          <w:highlight w:val="none"/>
        </w:rPr>
        <w:t>第五章  拟签订的合同文本</w:t>
      </w:r>
      <w:bookmarkEnd w:id="144"/>
    </w:p>
    <w:p w14:paraId="571BC02B">
      <w:pPr>
        <w:jc w:val="center"/>
        <w:rPr>
          <w:rFonts w:hint="eastAsia" w:ascii="宋体" w:hAnsi="宋体" w:cs="宋体"/>
          <w:bCs/>
          <w:color w:val="auto"/>
          <w:sz w:val="32"/>
          <w:szCs w:val="32"/>
          <w:highlight w:val="none"/>
        </w:rPr>
      </w:pPr>
    </w:p>
    <w:p w14:paraId="53E360BE">
      <w:pPr>
        <w:jc w:val="center"/>
        <w:rPr>
          <w:rFonts w:hint="eastAsia" w:ascii="宋体" w:hAnsi="宋体" w:cs="宋体"/>
          <w:bCs/>
          <w:color w:val="auto"/>
          <w:sz w:val="32"/>
          <w:szCs w:val="32"/>
          <w:highlight w:val="none"/>
        </w:rPr>
      </w:pPr>
    </w:p>
    <w:p w14:paraId="352597DF">
      <w:pPr>
        <w:jc w:val="center"/>
        <w:rPr>
          <w:rFonts w:hint="eastAsia" w:ascii="宋体" w:hAnsi="宋体" w:cs="宋体"/>
          <w:bCs/>
          <w:color w:val="auto"/>
          <w:sz w:val="32"/>
          <w:szCs w:val="32"/>
          <w:highlight w:val="none"/>
        </w:rPr>
      </w:pPr>
    </w:p>
    <w:p w14:paraId="7330DCA8">
      <w:pPr>
        <w:jc w:val="center"/>
        <w:rPr>
          <w:rFonts w:hint="eastAsia" w:ascii="宋体" w:hAnsi="宋体" w:cs="宋体"/>
          <w:bCs/>
          <w:color w:val="auto"/>
          <w:sz w:val="32"/>
          <w:szCs w:val="32"/>
          <w:highlight w:val="none"/>
        </w:rPr>
      </w:pPr>
    </w:p>
    <w:p w14:paraId="7A0EED8C">
      <w:pPr>
        <w:jc w:val="center"/>
        <w:rPr>
          <w:rFonts w:hint="eastAsia" w:ascii="宋体" w:hAnsi="宋体" w:cs="宋体"/>
          <w:bCs/>
          <w:color w:val="auto"/>
          <w:sz w:val="32"/>
          <w:szCs w:val="32"/>
          <w:highlight w:val="none"/>
        </w:rPr>
      </w:pPr>
    </w:p>
    <w:p w14:paraId="432EEDBB">
      <w:pPr>
        <w:jc w:val="center"/>
        <w:rPr>
          <w:rFonts w:hint="eastAsia" w:ascii="宋体" w:hAnsi="宋体" w:cs="宋体"/>
          <w:bCs/>
          <w:color w:val="auto"/>
          <w:sz w:val="32"/>
          <w:szCs w:val="32"/>
          <w:highlight w:val="none"/>
        </w:rPr>
      </w:pPr>
    </w:p>
    <w:p w14:paraId="623A06FF">
      <w:pPr>
        <w:jc w:val="center"/>
        <w:rPr>
          <w:rFonts w:hint="eastAsia" w:ascii="宋体" w:hAnsi="宋体" w:cs="宋体"/>
          <w:bCs/>
          <w:color w:val="auto"/>
          <w:sz w:val="32"/>
          <w:szCs w:val="32"/>
          <w:highlight w:val="none"/>
        </w:rPr>
      </w:pPr>
    </w:p>
    <w:p w14:paraId="7327B823">
      <w:pPr>
        <w:spacing w:line="380" w:lineRule="exact"/>
        <w:rPr>
          <w:rFonts w:hint="eastAsia" w:ascii="新宋体" w:hAnsi="新宋体" w:eastAsia="新宋体"/>
          <w:b/>
          <w:bCs/>
          <w:color w:val="auto"/>
          <w:sz w:val="32"/>
          <w:szCs w:val="32"/>
          <w:highlight w:val="none"/>
        </w:rPr>
      </w:pPr>
      <w:r>
        <w:rPr>
          <w:rFonts w:hint="eastAsia" w:ascii="宋体" w:hAnsi="宋体" w:cs="宋体"/>
          <w:bCs/>
          <w:color w:val="auto"/>
          <w:highlight w:val="none"/>
        </w:rPr>
        <w:br w:type="page" w:clear="all"/>
      </w:r>
    </w:p>
    <w:p w14:paraId="56BD4ADC">
      <w:pPr>
        <w:pStyle w:val="196"/>
        <w:spacing w:line="520" w:lineRule="exact"/>
        <w:jc w:val="center"/>
        <w:rPr>
          <w:rFonts w:hint="eastAsia"/>
          <w:b w:val="0"/>
          <w:bCs/>
          <w:color w:val="auto"/>
          <w:highlight w:val="none"/>
        </w:rPr>
      </w:pPr>
      <w:bookmarkStart w:id="145" w:name="_Toc16153"/>
      <w:r>
        <w:rPr>
          <w:rFonts w:hint="eastAsia"/>
          <w:b w:val="0"/>
          <w:bCs/>
          <w:color w:val="auto"/>
          <w:highlight w:val="none"/>
        </w:rPr>
        <w:t>合同文本</w:t>
      </w:r>
      <w:bookmarkEnd w:id="145"/>
    </w:p>
    <w:p w14:paraId="38A5556C">
      <w:pPr>
        <w:spacing w:line="520" w:lineRule="exact"/>
        <w:rPr>
          <w:rFonts w:hint="eastAsia" w:ascii="宋体" w:hAnsi="宋体" w:cs="Courier New"/>
          <w:b w:val="0"/>
          <w:bCs/>
          <w:color w:val="auto"/>
          <w:sz w:val="32"/>
          <w:szCs w:val="32"/>
          <w:highlight w:val="none"/>
        </w:rPr>
      </w:pPr>
    </w:p>
    <w:p w14:paraId="6A445541">
      <w:pPr>
        <w:spacing w:line="360" w:lineRule="auto"/>
        <w:ind w:right="800"/>
        <w:rPr>
          <w:rFonts w:ascii="宋体" w:hAnsi="宋体" w:cs="宋体"/>
          <w:b w:val="0"/>
          <w:bCs/>
          <w:color w:val="auto"/>
          <w:szCs w:val="21"/>
          <w:highlight w:val="none"/>
          <w:u w:val="single"/>
        </w:rPr>
      </w:pPr>
      <w:r>
        <w:rPr>
          <w:rFonts w:hint="eastAsia" w:ascii="宋体" w:hAnsi="宋体" w:cs="宋体"/>
          <w:b w:val="0"/>
          <w:bCs/>
          <w:color w:val="auto"/>
          <w:szCs w:val="21"/>
          <w:highlight w:val="none"/>
        </w:rPr>
        <w:t>采购计划号：</w:t>
      </w:r>
      <w:r>
        <w:rPr>
          <w:rFonts w:hint="eastAsia" w:ascii="宋体" w:hAnsi="宋体" w:cs="宋体"/>
          <w:b w:val="0"/>
          <w:bCs/>
          <w:color w:val="auto"/>
          <w:szCs w:val="21"/>
          <w:highlight w:val="none"/>
          <w:u w:val="single"/>
        </w:rPr>
        <w:t xml:space="preserve"> </w:t>
      </w:r>
      <w:r>
        <w:rPr>
          <w:rFonts w:ascii="宋体" w:hAnsi="宋体" w:cs="宋体"/>
          <w:b w:val="0"/>
          <w:bCs/>
          <w:color w:val="auto"/>
          <w:szCs w:val="21"/>
          <w:highlight w:val="none"/>
          <w:u w:val="single"/>
        </w:rPr>
        <w:t xml:space="preserve">                        </w:t>
      </w:r>
      <w:r>
        <w:rPr>
          <w:rFonts w:ascii="宋体" w:hAnsi="宋体" w:cs="宋体"/>
          <w:b w:val="0"/>
          <w:bCs/>
          <w:color w:val="auto"/>
          <w:szCs w:val="21"/>
          <w:highlight w:val="none"/>
        </w:rPr>
        <w:t xml:space="preserve">   </w:t>
      </w:r>
      <w:r>
        <w:rPr>
          <w:rFonts w:hint="eastAsia" w:ascii="宋体" w:hAnsi="宋体" w:cs="宋体"/>
          <w:b w:val="0"/>
          <w:bCs/>
          <w:color w:val="auto"/>
          <w:szCs w:val="21"/>
          <w:highlight w:val="none"/>
        </w:rPr>
        <w:t>合同编号：</w:t>
      </w:r>
      <w:r>
        <w:rPr>
          <w:rFonts w:ascii="宋体" w:hAnsi="宋体" w:cs="宋体"/>
          <w:b w:val="0"/>
          <w:bCs/>
          <w:color w:val="auto"/>
          <w:szCs w:val="21"/>
          <w:highlight w:val="none"/>
          <w:u w:val="single"/>
        </w:rPr>
        <w:t xml:space="preserve">                </w:t>
      </w:r>
      <w:r>
        <w:rPr>
          <w:rFonts w:hint="eastAsia" w:ascii="宋体" w:hAnsi="宋体" w:cs="宋体"/>
          <w:b w:val="0"/>
          <w:bCs/>
          <w:color w:val="auto"/>
          <w:szCs w:val="21"/>
          <w:highlight w:val="none"/>
          <w:u w:val="single"/>
        </w:rPr>
        <w:t xml:space="preserve">  </w:t>
      </w:r>
    </w:p>
    <w:p w14:paraId="50A92A8D">
      <w:pPr>
        <w:spacing w:line="360" w:lineRule="auto"/>
        <w:rPr>
          <w:rFonts w:ascii="宋体" w:hAnsi="宋体" w:cs="宋体"/>
          <w:b w:val="0"/>
          <w:bCs/>
          <w:color w:val="auto"/>
          <w:szCs w:val="21"/>
          <w:highlight w:val="none"/>
          <w:u w:val="single"/>
        </w:rPr>
      </w:pPr>
      <w:r>
        <w:rPr>
          <w:rFonts w:hint="eastAsia" w:ascii="宋体" w:hAnsi="宋体" w:cs="宋体"/>
          <w:b w:val="0"/>
          <w:bCs/>
          <w:color w:val="auto"/>
          <w:szCs w:val="21"/>
          <w:highlight w:val="none"/>
        </w:rPr>
        <w:t>采购人（甲方）：</w:t>
      </w:r>
      <w:r>
        <w:rPr>
          <w:rFonts w:hint="eastAsia" w:ascii="宋体" w:hAnsi="宋体" w:cs="宋体"/>
          <w:b w:val="0"/>
          <w:bCs/>
          <w:color w:val="auto"/>
          <w:szCs w:val="21"/>
          <w:highlight w:val="none"/>
          <w:u w:val="single"/>
        </w:rPr>
        <w:t xml:space="preserve"> </w:t>
      </w:r>
      <w:r>
        <w:rPr>
          <w:rFonts w:ascii="宋体" w:hAnsi="宋体" w:cs="宋体"/>
          <w:b w:val="0"/>
          <w:bCs/>
          <w:color w:val="auto"/>
          <w:szCs w:val="21"/>
          <w:highlight w:val="none"/>
          <w:u w:val="single"/>
        </w:rPr>
        <w:t xml:space="preserve">                 </w:t>
      </w:r>
      <w:r>
        <w:rPr>
          <w:rFonts w:hint="eastAsia" w:ascii="宋体" w:hAnsi="宋体" w:cs="宋体"/>
          <w:b w:val="0"/>
          <w:bCs/>
          <w:color w:val="auto"/>
          <w:szCs w:val="21"/>
          <w:highlight w:val="none"/>
          <w:u w:val="single"/>
        </w:rPr>
        <w:t xml:space="preserve">   </w:t>
      </w:r>
      <w:r>
        <w:rPr>
          <w:rFonts w:hint="eastAsia" w:ascii="宋体" w:hAnsi="宋体" w:cs="宋体"/>
          <w:b w:val="0"/>
          <w:bCs/>
          <w:color w:val="auto"/>
          <w:szCs w:val="21"/>
          <w:highlight w:val="none"/>
        </w:rPr>
        <w:t xml:space="preserve">   供应商（乙方）：</w:t>
      </w:r>
      <w:r>
        <w:rPr>
          <w:rFonts w:ascii="宋体" w:hAnsi="宋体" w:cs="宋体"/>
          <w:b w:val="0"/>
          <w:bCs/>
          <w:color w:val="auto"/>
          <w:szCs w:val="21"/>
          <w:highlight w:val="none"/>
          <w:u w:val="single"/>
        </w:rPr>
        <w:t xml:space="preserve">                    </w:t>
      </w:r>
      <w:r>
        <w:rPr>
          <w:rFonts w:hint="eastAsia" w:ascii="宋体" w:hAnsi="宋体" w:cs="宋体"/>
          <w:b w:val="0"/>
          <w:bCs/>
          <w:color w:val="auto"/>
          <w:szCs w:val="21"/>
          <w:highlight w:val="none"/>
        </w:rPr>
        <w:t xml:space="preserve">    </w:t>
      </w:r>
    </w:p>
    <w:p w14:paraId="69F398FF">
      <w:pPr>
        <w:spacing w:line="360" w:lineRule="auto"/>
        <w:rPr>
          <w:rFonts w:hint="eastAsia" w:ascii="宋体" w:hAnsi="宋体" w:cs="宋体"/>
          <w:b w:val="0"/>
          <w:bCs/>
          <w:color w:val="auto"/>
          <w:szCs w:val="21"/>
          <w:highlight w:val="none"/>
          <w:u w:val="single"/>
        </w:rPr>
      </w:pPr>
      <w:r>
        <w:rPr>
          <w:rFonts w:hint="eastAsia" w:ascii="宋体" w:hAnsi="宋体" w:cs="宋体"/>
          <w:b w:val="0"/>
          <w:bCs/>
          <w:color w:val="auto"/>
          <w:szCs w:val="21"/>
          <w:highlight w:val="none"/>
        </w:rPr>
        <w:t>项目名称：</w:t>
      </w:r>
      <w:r>
        <w:rPr>
          <w:rFonts w:ascii="宋体" w:hAnsi="宋体" w:cs="宋体"/>
          <w:b w:val="0"/>
          <w:bCs/>
          <w:color w:val="auto"/>
          <w:szCs w:val="21"/>
          <w:highlight w:val="none"/>
          <w:u w:val="single"/>
        </w:rPr>
        <w:t xml:space="preserve">                       </w:t>
      </w:r>
      <w:r>
        <w:rPr>
          <w:rFonts w:hint="eastAsia" w:ascii="宋体" w:hAnsi="宋体" w:cs="宋体"/>
          <w:b w:val="0"/>
          <w:bCs/>
          <w:color w:val="auto"/>
          <w:szCs w:val="21"/>
          <w:highlight w:val="none"/>
          <w:u w:val="single"/>
        </w:rPr>
        <w:t xml:space="preserve">  </w:t>
      </w:r>
      <w:r>
        <w:rPr>
          <w:rFonts w:ascii="宋体" w:hAnsi="宋体" w:cs="宋体"/>
          <w:b w:val="0"/>
          <w:bCs/>
          <w:color w:val="auto"/>
          <w:szCs w:val="21"/>
          <w:highlight w:val="none"/>
          <w:u w:val="single"/>
        </w:rPr>
        <w:t xml:space="preserve">  </w:t>
      </w:r>
      <w:r>
        <w:rPr>
          <w:rFonts w:ascii="宋体" w:hAnsi="宋体" w:cs="宋体"/>
          <w:b w:val="0"/>
          <w:bCs/>
          <w:color w:val="auto"/>
          <w:szCs w:val="21"/>
          <w:highlight w:val="none"/>
        </w:rPr>
        <w:t xml:space="preserve">   </w:t>
      </w:r>
      <w:r>
        <w:rPr>
          <w:rFonts w:hint="eastAsia" w:ascii="宋体" w:hAnsi="宋体" w:cs="宋体"/>
          <w:b w:val="0"/>
          <w:bCs/>
          <w:color w:val="auto"/>
          <w:szCs w:val="21"/>
          <w:highlight w:val="none"/>
        </w:rPr>
        <w:t>项目编号：</w:t>
      </w:r>
      <w:r>
        <w:rPr>
          <w:rFonts w:ascii="宋体" w:hAnsi="宋体" w:cs="宋体"/>
          <w:b w:val="0"/>
          <w:bCs/>
          <w:color w:val="auto"/>
          <w:szCs w:val="21"/>
          <w:highlight w:val="none"/>
          <w:u w:val="single"/>
        </w:rPr>
        <w:t xml:space="preserve">                          </w:t>
      </w:r>
    </w:p>
    <w:p w14:paraId="28EEC37E">
      <w:pPr>
        <w:spacing w:line="360" w:lineRule="auto"/>
        <w:rPr>
          <w:rFonts w:hint="eastAsia" w:ascii="宋体" w:hAnsi="宋体" w:cs="宋体"/>
          <w:b w:val="0"/>
          <w:bCs/>
          <w:color w:val="auto"/>
          <w:sz w:val="21"/>
          <w:szCs w:val="21"/>
          <w:highlight w:val="none"/>
          <w:u w:val="single"/>
        </w:rPr>
      </w:pPr>
      <w:r>
        <w:rPr>
          <w:rFonts w:hint="eastAsia" w:ascii="宋体" w:hAnsi="宋体" w:cs="宋体"/>
          <w:b w:val="0"/>
          <w:bCs/>
          <w:color w:val="auto"/>
          <w:szCs w:val="21"/>
          <w:highlight w:val="none"/>
        </w:rPr>
        <w:t>签订地点：</w:t>
      </w:r>
      <w:r>
        <w:rPr>
          <w:rFonts w:hint="eastAsia" w:ascii="宋体" w:hAnsi="宋体" w:cs="宋体"/>
          <w:b w:val="0"/>
          <w:bCs/>
          <w:color w:val="auto"/>
          <w:szCs w:val="21"/>
          <w:highlight w:val="none"/>
          <w:u w:val="single"/>
        </w:rPr>
        <w:t xml:space="preserve"> </w:t>
      </w:r>
      <w:r>
        <w:rPr>
          <w:rFonts w:ascii="宋体" w:hAnsi="宋体" w:cs="宋体"/>
          <w:b w:val="0"/>
          <w:bCs/>
          <w:color w:val="auto"/>
          <w:sz w:val="21"/>
          <w:szCs w:val="21"/>
          <w:highlight w:val="none"/>
          <w:u w:val="single"/>
        </w:rPr>
        <w:t xml:space="preserve">                    </w:t>
      </w:r>
      <w:r>
        <w:rPr>
          <w:rFonts w:hint="eastAsia" w:ascii="宋体" w:hAnsi="宋体" w:cs="宋体"/>
          <w:b w:val="0"/>
          <w:bCs/>
          <w:color w:val="auto"/>
          <w:sz w:val="21"/>
          <w:szCs w:val="21"/>
          <w:highlight w:val="none"/>
          <w:u w:val="single"/>
        </w:rPr>
        <w:t xml:space="preserve">  </w:t>
      </w:r>
      <w:r>
        <w:rPr>
          <w:rFonts w:ascii="宋体" w:hAnsi="宋体" w:cs="宋体"/>
          <w:b w:val="0"/>
          <w:bCs/>
          <w:color w:val="auto"/>
          <w:sz w:val="21"/>
          <w:szCs w:val="21"/>
          <w:highlight w:val="none"/>
          <w:u w:val="single"/>
        </w:rPr>
        <w:t xml:space="preserve">   </w:t>
      </w:r>
      <w:r>
        <w:rPr>
          <w:rFonts w:hint="eastAsia" w:ascii="宋体" w:hAnsi="宋体" w:cs="宋体"/>
          <w:b w:val="0"/>
          <w:bCs/>
          <w:color w:val="auto"/>
          <w:sz w:val="21"/>
          <w:szCs w:val="21"/>
          <w:highlight w:val="none"/>
          <w:u w:val="single"/>
        </w:rPr>
        <w:t xml:space="preserve"> </w:t>
      </w:r>
      <w:r>
        <w:rPr>
          <w:rFonts w:hint="eastAsia" w:ascii="宋体" w:hAnsi="宋体" w:cs="宋体"/>
          <w:b w:val="0"/>
          <w:bCs/>
          <w:color w:val="auto"/>
          <w:sz w:val="21"/>
          <w:szCs w:val="21"/>
          <w:highlight w:val="none"/>
        </w:rPr>
        <w:t xml:space="preserve">   签订时间：</w:t>
      </w:r>
      <w:r>
        <w:rPr>
          <w:rFonts w:hint="eastAsia" w:ascii="宋体" w:hAnsi="宋体" w:cs="宋体"/>
          <w:b w:val="0"/>
          <w:bCs/>
          <w:color w:val="auto"/>
          <w:sz w:val="21"/>
          <w:szCs w:val="21"/>
          <w:highlight w:val="none"/>
          <w:u w:val="single"/>
        </w:rPr>
        <w:t xml:space="preserve">        </w:t>
      </w:r>
      <w:r>
        <w:rPr>
          <w:rFonts w:ascii="宋体" w:hAnsi="宋体" w:cs="宋体"/>
          <w:b w:val="0"/>
          <w:bCs/>
          <w:color w:val="auto"/>
          <w:sz w:val="21"/>
          <w:szCs w:val="21"/>
          <w:highlight w:val="none"/>
          <w:u w:val="single"/>
        </w:rPr>
        <w:t xml:space="preserve">           </w:t>
      </w:r>
      <w:r>
        <w:rPr>
          <w:rFonts w:hint="eastAsia" w:ascii="宋体" w:hAnsi="宋体" w:cs="宋体"/>
          <w:b w:val="0"/>
          <w:bCs/>
          <w:color w:val="auto"/>
          <w:sz w:val="21"/>
          <w:szCs w:val="21"/>
          <w:highlight w:val="none"/>
          <w:u w:val="single"/>
        </w:rPr>
        <w:t xml:space="preserve">     </w:t>
      </w:r>
    </w:p>
    <w:p w14:paraId="42D2D45E">
      <w:pPr>
        <w:pStyle w:val="276"/>
        <w:rPr>
          <w:rFonts w:hint="eastAsia" w:ascii="宋体" w:hAnsi="宋体" w:cs="宋体"/>
          <w:b w:val="0"/>
          <w:bCs/>
          <w:color w:val="auto"/>
          <w:sz w:val="21"/>
          <w:szCs w:val="21"/>
          <w:highlight w:val="none"/>
          <w:u w:val="single"/>
          <w:lang w:val="en-US" w:eastAsia="zh-CN"/>
        </w:rPr>
      </w:pPr>
      <w:r>
        <w:rPr>
          <w:rFonts w:hint="eastAsia" w:ascii="宋体" w:hAnsi="宋体" w:cs="宋体"/>
          <w:b w:val="0"/>
          <w:bCs/>
          <w:color w:val="auto"/>
          <w:sz w:val="21"/>
          <w:szCs w:val="21"/>
          <w:highlight w:val="none"/>
          <w:u w:val="none"/>
          <w:lang w:eastAsia="zh-CN"/>
        </w:rPr>
        <w:t>分标号：</w:t>
      </w:r>
      <w:r>
        <w:rPr>
          <w:rFonts w:hint="eastAsia" w:ascii="宋体" w:hAnsi="宋体" w:cs="宋体"/>
          <w:b w:val="0"/>
          <w:bCs/>
          <w:color w:val="auto"/>
          <w:sz w:val="21"/>
          <w:szCs w:val="21"/>
          <w:highlight w:val="none"/>
          <w:u w:val="single"/>
          <w:lang w:val="en-US" w:eastAsia="zh-CN"/>
        </w:rPr>
        <w:t xml:space="preserve">            </w:t>
      </w:r>
    </w:p>
    <w:p w14:paraId="5061BB1F">
      <w:pPr>
        <w:pStyle w:val="276"/>
        <w:rPr>
          <w:rFonts w:ascii="宋体" w:hAnsi="宋体" w:cs="宋体"/>
          <w:b w:val="0"/>
          <w:bCs/>
          <w:color w:val="auto"/>
          <w:sz w:val="21"/>
          <w:szCs w:val="21"/>
          <w:highlight w:val="none"/>
          <w:u w:val="single"/>
          <w:lang w:val="en-US" w:eastAsia="zh-CN"/>
        </w:rPr>
      </w:pPr>
    </w:p>
    <w:p w14:paraId="342E5738">
      <w:pPr>
        <w:spacing w:line="360" w:lineRule="auto"/>
        <w:rPr>
          <w:rFonts w:hint="eastAsia" w:ascii="宋体" w:hAnsi="宋体" w:cs="宋体"/>
          <w:b w:val="0"/>
          <w:bCs/>
          <w:color w:val="auto"/>
          <w:szCs w:val="21"/>
          <w:highlight w:val="none"/>
        </w:rPr>
      </w:pPr>
      <w:r>
        <w:rPr>
          <w:rFonts w:hint="eastAsia" w:ascii="宋体" w:hAnsi="宋体" w:cs="宋体"/>
          <w:b w:val="0"/>
          <w:bCs/>
          <w:color w:val="auto"/>
          <w:szCs w:val="21"/>
          <w:highlight w:val="none"/>
        </w:rPr>
        <w:t>本合同为中小企业预留合同：</w:t>
      </w:r>
      <w:r>
        <w:rPr>
          <w:rFonts w:hint="eastAsia" w:ascii="宋体" w:hAnsi="宋体" w:cs="宋体"/>
          <w:b w:val="0"/>
          <w:bCs/>
          <w:color w:val="auto"/>
          <w:szCs w:val="21"/>
          <w:highlight w:val="none"/>
          <w:u w:val="single"/>
        </w:rPr>
        <w:t>（是/否）</w:t>
      </w:r>
      <w:r>
        <w:rPr>
          <w:rFonts w:hint="eastAsia" w:ascii="宋体" w:hAnsi="宋体" w:cs="宋体"/>
          <w:b w:val="0"/>
          <w:bCs/>
          <w:color w:val="auto"/>
          <w:szCs w:val="21"/>
          <w:highlight w:val="none"/>
        </w:rPr>
        <w:t>。</w:t>
      </w:r>
    </w:p>
    <w:p w14:paraId="63B8A3ED">
      <w:pPr>
        <w:spacing w:line="360" w:lineRule="auto"/>
        <w:ind w:firstLine="420"/>
        <w:rPr>
          <w:rFonts w:hint="eastAsia" w:ascii="宋体" w:hAnsi="宋体" w:cs="宋体"/>
          <w:b w:val="0"/>
          <w:bCs/>
          <w:color w:val="auto"/>
          <w:szCs w:val="21"/>
          <w:highlight w:val="none"/>
        </w:rPr>
      </w:pPr>
      <w:r>
        <w:rPr>
          <w:rFonts w:hint="eastAsia" w:ascii="宋体" w:hAnsi="宋体" w:cs="宋体"/>
          <w:b w:val="0"/>
          <w:bCs/>
          <w:color w:val="auto"/>
          <w:szCs w:val="21"/>
          <w:highlight w:val="none"/>
        </w:rPr>
        <w:t>根据《中华人民共和国政府采购法》、《中华人民共和国民法典》等法律、法规规定，按照</w:t>
      </w:r>
      <w:r>
        <w:rPr>
          <w:rFonts w:hint="eastAsia" w:ascii="宋体" w:hAnsi="宋体"/>
          <w:b w:val="0"/>
          <w:bCs/>
          <w:color w:val="auto"/>
          <w:szCs w:val="21"/>
          <w:highlight w:val="none"/>
        </w:rPr>
        <w:t>招标文件规定条款和乙方投标文件及其承诺，甲乙双方签订本合同。</w:t>
      </w:r>
    </w:p>
    <w:p w14:paraId="125F2D21">
      <w:pPr>
        <w:spacing w:line="360" w:lineRule="auto"/>
        <w:ind w:firstLine="420"/>
        <w:rPr>
          <w:rFonts w:hint="eastAsia" w:ascii="宋体" w:hAnsi="宋体" w:cs="宋体"/>
          <w:b w:val="0"/>
          <w:bCs/>
          <w:color w:val="auto"/>
          <w:szCs w:val="21"/>
          <w:highlight w:val="none"/>
        </w:rPr>
      </w:pPr>
      <w:r>
        <w:rPr>
          <w:rFonts w:hint="eastAsia" w:ascii="宋体" w:hAnsi="宋体" w:cs="宋体"/>
          <w:b w:val="0"/>
          <w:bCs/>
          <w:color w:val="auto"/>
          <w:szCs w:val="21"/>
          <w:highlight w:val="none"/>
        </w:rPr>
        <w:t>第一条　合同标的</w:t>
      </w:r>
    </w:p>
    <w:p w14:paraId="52C687CD">
      <w:pPr>
        <w:spacing w:line="360" w:lineRule="auto"/>
        <w:ind w:firstLine="420"/>
        <w:rPr>
          <w:rFonts w:hint="eastAsia" w:ascii="宋体" w:hAnsi="宋体" w:cs="宋体"/>
          <w:b w:val="0"/>
          <w:bCs/>
          <w:color w:val="auto"/>
          <w:szCs w:val="21"/>
          <w:highlight w:val="none"/>
        </w:rPr>
      </w:pPr>
      <w:r>
        <w:rPr>
          <w:rFonts w:hint="eastAsia" w:ascii="宋体" w:hAnsi="宋体" w:cs="宋体"/>
          <w:b w:val="0"/>
          <w:bCs/>
          <w:color w:val="auto"/>
          <w:szCs w:val="21"/>
          <w:highlight w:val="none"/>
        </w:rPr>
        <w:t>1、项目一览表</w:t>
      </w:r>
    </w:p>
    <w:p w14:paraId="5781FB03">
      <w:pPr>
        <w:pStyle w:val="276"/>
        <w:rPr>
          <w:rFonts w:eastAsia="宋体"/>
          <w:color w:val="auto"/>
          <w:highlight w:val="none"/>
          <w:lang w:val="en-US" w:eastAsia="zh-CN"/>
        </w:rPr>
      </w:pPr>
      <w:r>
        <w:rPr>
          <w:rFonts w:hint="eastAsia" w:ascii="宋体" w:hAnsi="宋体" w:cs="宋体"/>
          <w:b w:val="0"/>
          <w:bCs/>
          <w:color w:val="auto"/>
          <w:szCs w:val="21"/>
          <w:highlight w:val="none"/>
          <w:lang w:eastAsia="zh-CN"/>
        </w:rPr>
        <w:t>分标：</w:t>
      </w:r>
      <w:r>
        <w:rPr>
          <w:rFonts w:hint="eastAsia" w:ascii="宋体" w:hAnsi="宋体" w:cs="宋体"/>
          <w:b w:val="0"/>
          <w:bCs/>
          <w:color w:val="auto"/>
          <w:szCs w:val="21"/>
          <w:highlight w:val="none"/>
          <w:u w:val="single"/>
          <w:lang w:val="en-US" w:eastAsia="zh-CN"/>
        </w:rPr>
        <w:t xml:space="preserve">     </w:t>
      </w:r>
    </w:p>
    <w:tbl>
      <w:tblPr>
        <w:tblStyle w:val="33"/>
        <w:tblW w:w="9360" w:type="dxa"/>
        <w:tblInd w:w="-1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213"/>
        <w:gridCol w:w="2400"/>
        <w:gridCol w:w="1320"/>
        <w:gridCol w:w="2456"/>
        <w:gridCol w:w="1251"/>
      </w:tblGrid>
      <w:tr w14:paraId="5C331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720" w:type="dxa"/>
            <w:tcBorders>
              <w:top w:val="single" w:color="auto" w:sz="4" w:space="0"/>
              <w:left w:val="single" w:color="auto" w:sz="4" w:space="0"/>
              <w:bottom w:val="single" w:color="auto" w:sz="4" w:space="0"/>
              <w:right w:val="single" w:color="auto" w:sz="4" w:space="0"/>
            </w:tcBorders>
            <w:noWrap w:val="0"/>
            <w:vAlign w:val="center"/>
          </w:tcPr>
          <w:p w14:paraId="1F4D210C">
            <w:pPr>
              <w:spacing w:before="50" w:after="50"/>
              <w:jc w:val="center"/>
              <w:rPr>
                <w:rFonts w:ascii="宋体" w:hAnsi="宋体" w:cs="宋体"/>
                <w:b w:val="0"/>
                <w:bCs/>
                <w:color w:val="auto"/>
                <w:szCs w:val="21"/>
                <w:highlight w:val="none"/>
              </w:rPr>
            </w:pPr>
            <w:r>
              <w:rPr>
                <w:rFonts w:hint="eastAsia" w:ascii="宋体" w:hAnsi="宋体" w:cs="宋体"/>
                <w:b w:val="0"/>
                <w:bCs/>
                <w:color w:val="auto"/>
                <w:sz w:val="21"/>
                <w:szCs w:val="21"/>
                <w:highlight w:val="none"/>
              </w:rPr>
              <w:t>序号</w:t>
            </w:r>
          </w:p>
        </w:tc>
        <w:tc>
          <w:tcPr>
            <w:tcW w:w="1213" w:type="dxa"/>
            <w:tcBorders>
              <w:top w:val="single" w:color="auto" w:sz="4" w:space="0"/>
              <w:left w:val="single" w:color="auto" w:sz="4" w:space="0"/>
              <w:bottom w:val="single" w:color="auto" w:sz="4" w:space="0"/>
              <w:right w:val="single" w:color="auto" w:sz="4" w:space="0"/>
            </w:tcBorders>
            <w:noWrap w:val="0"/>
            <w:vAlign w:val="center"/>
          </w:tcPr>
          <w:p w14:paraId="409603D3">
            <w:pPr>
              <w:spacing w:before="50" w:after="50"/>
              <w:jc w:val="center"/>
              <w:rPr>
                <w:rFonts w:ascii="宋体" w:hAnsi="宋体" w:cs="宋体"/>
                <w:b w:val="0"/>
                <w:bCs/>
                <w:color w:val="auto"/>
                <w:szCs w:val="21"/>
                <w:highlight w:val="none"/>
              </w:rPr>
            </w:pPr>
            <w:r>
              <w:rPr>
                <w:rFonts w:hint="eastAsia" w:ascii="宋体" w:hAnsi="宋体" w:cs="宋体"/>
                <w:b w:val="0"/>
                <w:bCs/>
                <w:color w:val="auto"/>
                <w:sz w:val="21"/>
                <w:szCs w:val="21"/>
                <w:highlight w:val="none"/>
              </w:rPr>
              <w:t>标的名称</w:t>
            </w:r>
          </w:p>
        </w:tc>
        <w:tc>
          <w:tcPr>
            <w:tcW w:w="2400" w:type="dxa"/>
            <w:tcBorders>
              <w:top w:val="single" w:color="auto" w:sz="4" w:space="0"/>
              <w:left w:val="single" w:color="auto" w:sz="4" w:space="0"/>
              <w:bottom w:val="single" w:color="auto" w:sz="4" w:space="0"/>
              <w:right w:val="single" w:color="auto" w:sz="4" w:space="0"/>
            </w:tcBorders>
            <w:noWrap w:val="0"/>
            <w:vAlign w:val="center"/>
          </w:tcPr>
          <w:p w14:paraId="2E3E36D7">
            <w:pPr>
              <w:spacing w:before="50" w:after="50"/>
              <w:jc w:val="center"/>
              <w:rPr>
                <w:rFonts w:ascii="宋体" w:hAnsi="宋体" w:cs="宋体"/>
                <w:b w:val="0"/>
                <w:bCs/>
                <w:color w:val="auto"/>
                <w:szCs w:val="21"/>
                <w:highlight w:val="none"/>
              </w:rPr>
            </w:pPr>
            <w:r>
              <w:rPr>
                <w:rFonts w:hint="eastAsia" w:ascii="宋体" w:hAnsi="宋体" w:cs="宋体"/>
                <w:b w:val="0"/>
                <w:bCs/>
                <w:color w:val="auto"/>
                <w:sz w:val="21"/>
                <w:szCs w:val="21"/>
                <w:highlight w:val="none"/>
              </w:rPr>
              <w:t>数量</w:t>
            </w:r>
          </w:p>
        </w:tc>
        <w:tc>
          <w:tcPr>
            <w:tcW w:w="1320" w:type="dxa"/>
            <w:tcBorders>
              <w:top w:val="single" w:color="auto" w:sz="4" w:space="0"/>
              <w:left w:val="single" w:color="auto" w:sz="4" w:space="0"/>
              <w:bottom w:val="single" w:color="auto" w:sz="4" w:space="0"/>
              <w:right w:val="single" w:color="auto" w:sz="4" w:space="0"/>
            </w:tcBorders>
            <w:noWrap w:val="0"/>
            <w:vAlign w:val="center"/>
          </w:tcPr>
          <w:p w14:paraId="07F86BD4">
            <w:pPr>
              <w:spacing w:before="50" w:after="50"/>
              <w:jc w:val="center"/>
              <w:rPr>
                <w:rFonts w:ascii="宋体" w:hAnsi="宋体" w:cs="宋体"/>
                <w:b w:val="0"/>
                <w:bCs/>
                <w:color w:val="auto"/>
                <w:szCs w:val="21"/>
                <w:highlight w:val="none"/>
              </w:rPr>
            </w:pPr>
            <w:r>
              <w:rPr>
                <w:rFonts w:hint="eastAsia" w:ascii="宋体" w:hAnsi="宋体" w:cs="宋体"/>
                <w:b w:val="0"/>
                <w:bCs/>
                <w:color w:val="auto"/>
                <w:sz w:val="21"/>
                <w:szCs w:val="21"/>
                <w:highlight w:val="none"/>
              </w:rPr>
              <w:t>单价</w:t>
            </w:r>
          </w:p>
        </w:tc>
        <w:tc>
          <w:tcPr>
            <w:tcW w:w="2456" w:type="dxa"/>
            <w:tcBorders>
              <w:top w:val="single" w:color="auto" w:sz="4" w:space="0"/>
              <w:left w:val="single" w:color="auto" w:sz="4" w:space="0"/>
              <w:bottom w:val="single" w:color="auto" w:sz="4" w:space="0"/>
              <w:right w:val="single" w:color="auto" w:sz="4" w:space="0"/>
            </w:tcBorders>
            <w:noWrap w:val="0"/>
            <w:vAlign w:val="center"/>
          </w:tcPr>
          <w:p w14:paraId="145DEBEF">
            <w:pPr>
              <w:spacing w:before="50" w:after="50"/>
              <w:jc w:val="center"/>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总价</w:t>
            </w:r>
          </w:p>
          <w:p w14:paraId="006734AC">
            <w:pPr>
              <w:spacing w:before="50" w:after="50"/>
              <w:jc w:val="center"/>
              <w:rPr>
                <w:rFonts w:ascii="宋体" w:hAnsi="宋体" w:cs="宋体"/>
                <w:b w:val="0"/>
                <w:bCs/>
                <w:color w:val="auto"/>
                <w:szCs w:val="21"/>
                <w:highlight w:val="none"/>
              </w:rPr>
            </w:pPr>
            <w:r>
              <w:rPr>
                <w:rFonts w:hint="eastAsia" w:ascii="宋体" w:hAnsi="宋体" w:cs="宋体"/>
                <w:b w:val="0"/>
                <w:bCs/>
                <w:color w:val="auto"/>
                <w:sz w:val="21"/>
                <w:szCs w:val="21"/>
                <w:highlight w:val="none"/>
              </w:rPr>
              <w:t>（单位：元）</w:t>
            </w:r>
          </w:p>
        </w:tc>
        <w:tc>
          <w:tcPr>
            <w:tcW w:w="1251" w:type="dxa"/>
            <w:tcBorders>
              <w:top w:val="single" w:color="auto" w:sz="4" w:space="0"/>
              <w:left w:val="single" w:color="auto" w:sz="4" w:space="0"/>
              <w:bottom w:val="single" w:color="auto" w:sz="4" w:space="0"/>
              <w:right w:val="single" w:color="auto" w:sz="4" w:space="0"/>
            </w:tcBorders>
            <w:noWrap w:val="0"/>
            <w:vAlign w:val="center"/>
          </w:tcPr>
          <w:p w14:paraId="5E6F1BF7">
            <w:pPr>
              <w:spacing w:line="360" w:lineRule="auto"/>
              <w:jc w:val="center"/>
              <w:rPr>
                <w:rFonts w:hint="eastAsia" w:ascii="宋体" w:hAnsi="宋体" w:eastAsia="宋体" w:cs="宋体"/>
                <w:b w:val="0"/>
                <w:bCs/>
                <w:color w:val="auto"/>
                <w:szCs w:val="21"/>
                <w:highlight w:val="none"/>
                <w:lang w:eastAsia="zh-CN"/>
              </w:rPr>
            </w:pPr>
            <w:r>
              <w:rPr>
                <w:rFonts w:hint="eastAsia" w:ascii="宋体" w:hAnsi="宋体" w:cs="宋体"/>
                <w:b w:val="0"/>
                <w:bCs/>
                <w:color w:val="auto"/>
                <w:sz w:val="21"/>
                <w:szCs w:val="21"/>
                <w:highlight w:val="none"/>
                <w:lang w:eastAsia="zh-CN"/>
              </w:rPr>
              <w:t>备注</w:t>
            </w:r>
          </w:p>
        </w:tc>
      </w:tr>
      <w:tr w14:paraId="21B99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9360" w:type="dxa"/>
            <w:gridSpan w:val="6"/>
            <w:tcBorders>
              <w:top w:val="single" w:color="auto" w:sz="4" w:space="0"/>
              <w:left w:val="single" w:color="auto" w:sz="4" w:space="0"/>
              <w:bottom w:val="single" w:color="auto" w:sz="4" w:space="0"/>
              <w:right w:val="single" w:color="auto" w:sz="4" w:space="0"/>
            </w:tcBorders>
            <w:noWrap w:val="0"/>
            <w:vAlign w:val="center"/>
          </w:tcPr>
          <w:p w14:paraId="4CB77DCF">
            <w:pPr>
              <w:spacing w:line="360" w:lineRule="auto"/>
              <w:jc w:val="center"/>
              <w:rPr>
                <w:rFonts w:ascii="宋体" w:hAnsi="宋体" w:cs="宋体"/>
                <w:b w:val="0"/>
                <w:bCs/>
                <w:color w:val="auto"/>
                <w:szCs w:val="21"/>
                <w:highlight w:val="none"/>
              </w:rPr>
            </w:pPr>
            <w:r>
              <w:rPr>
                <w:rFonts w:hint="eastAsia" w:ascii="宋体" w:hAnsi="宋体" w:cs="宋体"/>
                <w:b w:val="0"/>
                <w:bCs/>
                <w:color w:val="auto"/>
                <w:szCs w:val="21"/>
                <w:highlight w:val="none"/>
              </w:rPr>
              <w:t>详见开标一览表</w:t>
            </w:r>
          </w:p>
        </w:tc>
      </w:tr>
      <w:tr w14:paraId="43179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9360" w:type="dxa"/>
            <w:gridSpan w:val="6"/>
            <w:tcBorders>
              <w:top w:val="single" w:color="auto" w:sz="4" w:space="0"/>
              <w:left w:val="single" w:color="auto" w:sz="4" w:space="0"/>
              <w:bottom w:val="single" w:color="auto" w:sz="4" w:space="0"/>
              <w:right w:val="single" w:color="auto" w:sz="4" w:space="0"/>
            </w:tcBorders>
            <w:noWrap w:val="0"/>
            <w:vAlign w:val="center"/>
          </w:tcPr>
          <w:p w14:paraId="28006E82">
            <w:pPr>
              <w:spacing w:line="360" w:lineRule="auto"/>
              <w:rPr>
                <w:rFonts w:ascii="宋体" w:hAnsi="宋体" w:cs="宋体"/>
                <w:b w:val="0"/>
                <w:bCs/>
                <w:color w:val="auto"/>
                <w:szCs w:val="21"/>
                <w:highlight w:val="none"/>
              </w:rPr>
            </w:pPr>
            <w:r>
              <w:rPr>
                <w:rFonts w:hint="eastAsia" w:ascii="宋体" w:hAnsi="宋体" w:cs="宋体"/>
                <w:b w:val="0"/>
                <w:bCs/>
                <w:color w:val="auto"/>
                <w:szCs w:val="21"/>
                <w:highlight w:val="none"/>
              </w:rPr>
              <w:t>人民币合计金额（大写）：</w:t>
            </w:r>
            <w:r>
              <w:rPr>
                <w:rFonts w:ascii="宋体" w:hAnsi="宋体" w:cs="宋体"/>
                <w:b w:val="0"/>
                <w:bCs/>
                <w:color w:val="auto"/>
                <w:szCs w:val="21"/>
                <w:highlight w:val="none"/>
                <w:u w:val="single"/>
              </w:rPr>
              <w:t xml:space="preserve">      </w:t>
            </w:r>
            <w:r>
              <w:rPr>
                <w:rFonts w:hint="eastAsia" w:ascii="宋体" w:hAnsi="宋体" w:cs="宋体"/>
                <w:b w:val="0"/>
                <w:bCs/>
                <w:color w:val="auto"/>
                <w:szCs w:val="21"/>
                <w:highlight w:val="none"/>
                <w:u w:val="single"/>
              </w:rPr>
              <w:t xml:space="preserve">                      </w:t>
            </w:r>
            <w:r>
              <w:rPr>
                <w:rFonts w:ascii="宋体" w:hAnsi="宋体" w:cs="宋体"/>
                <w:b w:val="0"/>
                <w:bCs/>
                <w:color w:val="auto"/>
                <w:szCs w:val="21"/>
                <w:highlight w:val="none"/>
                <w:u w:val="single"/>
              </w:rPr>
              <w:t xml:space="preserve">  </w:t>
            </w:r>
            <w:r>
              <w:rPr>
                <w:rFonts w:hint="eastAsia" w:ascii="宋体" w:hAnsi="宋体" w:cs="宋体"/>
                <w:b w:val="0"/>
                <w:bCs/>
                <w:color w:val="auto"/>
                <w:szCs w:val="21"/>
                <w:highlight w:val="none"/>
              </w:rPr>
              <w:t>元整（¥</w:t>
            </w:r>
            <w:r>
              <w:rPr>
                <w:rFonts w:ascii="宋体" w:hAnsi="宋体" w:cs="宋体"/>
                <w:b w:val="0"/>
                <w:bCs/>
                <w:color w:val="auto"/>
                <w:szCs w:val="21"/>
                <w:highlight w:val="none"/>
                <w:u w:val="single"/>
              </w:rPr>
              <w:t xml:space="preserve">           </w:t>
            </w:r>
            <w:r>
              <w:rPr>
                <w:rFonts w:hint="eastAsia" w:ascii="宋体" w:hAnsi="宋体" w:cs="宋体"/>
                <w:b w:val="0"/>
                <w:bCs/>
                <w:color w:val="auto"/>
                <w:szCs w:val="21"/>
                <w:highlight w:val="none"/>
              </w:rPr>
              <w:t xml:space="preserve">）              </w:t>
            </w:r>
          </w:p>
        </w:tc>
      </w:tr>
    </w:tbl>
    <w:p w14:paraId="62CD37C7">
      <w:pPr>
        <w:spacing w:line="360" w:lineRule="auto"/>
        <w:ind w:firstLine="420"/>
        <w:rPr>
          <w:rFonts w:hint="eastAsia" w:ascii="宋体" w:hAnsi="宋体" w:cs="宋体"/>
          <w:b w:val="0"/>
          <w:bCs/>
          <w:color w:val="auto"/>
          <w:szCs w:val="21"/>
          <w:highlight w:val="none"/>
        </w:rPr>
      </w:pPr>
      <w:r>
        <w:rPr>
          <w:rFonts w:hint="eastAsia" w:ascii="宋体" w:hAnsi="宋体" w:cs="宋体"/>
          <w:b w:val="0"/>
          <w:bCs/>
          <w:color w:val="auto"/>
          <w:szCs w:val="21"/>
          <w:highlight w:val="none"/>
        </w:rPr>
        <w:t>2、合同合计金额包括但不限于满足本次投标全部采购需求所应提供的服务，以及伴随的货物和工程（如有）的价格；报价是履行合同的最终价格，投标报价包含实施和完成本项目全部工作所需的服务期内所需的一切费用，包括但不限于</w:t>
      </w:r>
      <w:r>
        <w:rPr>
          <w:rFonts w:hint="eastAsia" w:ascii="宋体" w:hAnsi="宋体" w:cs="宋体"/>
          <w:b w:val="0"/>
          <w:bCs/>
          <w:color w:val="auto"/>
          <w:szCs w:val="21"/>
          <w:highlight w:val="none"/>
          <w:lang w:eastAsia="zh-CN"/>
        </w:rPr>
        <w:t>实施人员业务和劳务费、技术服务费、一般耗材、保险、税费、利润和招标代理服务费</w:t>
      </w:r>
      <w:r>
        <w:rPr>
          <w:rFonts w:hint="eastAsia" w:ascii="宋体" w:hAnsi="宋体" w:cs="宋体"/>
          <w:b w:val="0"/>
          <w:bCs/>
          <w:color w:val="auto"/>
          <w:szCs w:val="21"/>
          <w:highlight w:val="none"/>
        </w:rPr>
        <w:t>等所有服</w:t>
      </w:r>
      <w:r>
        <w:rPr>
          <w:rFonts w:hint="eastAsia" w:ascii="宋体" w:hAnsi="宋体" w:cs="宋体"/>
          <w:b w:val="0"/>
          <w:bCs/>
          <w:color w:val="auto"/>
          <w:szCs w:val="21"/>
          <w:highlight w:val="none"/>
          <w:lang w:eastAsia="zh-CN"/>
        </w:rPr>
        <w:t>务过程产生的费用</w:t>
      </w:r>
      <w:r>
        <w:rPr>
          <w:rFonts w:hint="eastAsia" w:ascii="宋体" w:hAnsi="宋体" w:cs="宋体"/>
          <w:b w:val="0"/>
          <w:bCs/>
          <w:color w:val="auto"/>
          <w:szCs w:val="21"/>
          <w:highlight w:val="none"/>
        </w:rPr>
        <w:t>。</w:t>
      </w:r>
    </w:p>
    <w:p w14:paraId="079EE2E0">
      <w:pPr>
        <w:spacing w:line="360" w:lineRule="auto"/>
        <w:ind w:firstLine="420"/>
        <w:rPr>
          <w:rFonts w:hint="eastAsia" w:ascii="宋体" w:hAnsi="宋体" w:cs="宋体"/>
          <w:b w:val="0"/>
          <w:bCs/>
          <w:color w:val="auto"/>
          <w:szCs w:val="21"/>
          <w:highlight w:val="none"/>
        </w:rPr>
      </w:pPr>
      <w:r>
        <w:rPr>
          <w:rFonts w:hint="eastAsia" w:ascii="宋体" w:hAnsi="宋体" w:cs="宋体"/>
          <w:b w:val="0"/>
          <w:bCs/>
          <w:color w:val="auto"/>
          <w:szCs w:val="21"/>
          <w:highlight w:val="none"/>
        </w:rPr>
        <w:t>第二条　质量保证</w:t>
      </w:r>
    </w:p>
    <w:p w14:paraId="7636FB06">
      <w:pPr>
        <w:spacing w:line="360" w:lineRule="auto"/>
        <w:ind w:firstLine="420"/>
        <w:rPr>
          <w:rFonts w:hint="eastAsia" w:ascii="宋体" w:hAnsi="宋体" w:cs="宋体"/>
          <w:b w:val="0"/>
          <w:bCs/>
          <w:color w:val="auto"/>
          <w:szCs w:val="21"/>
          <w:highlight w:val="none"/>
        </w:rPr>
      </w:pPr>
      <w:r>
        <w:rPr>
          <w:rFonts w:hint="eastAsia" w:ascii="宋体" w:hAnsi="宋体" w:cs="宋体"/>
          <w:b w:val="0"/>
          <w:bCs/>
          <w:color w:val="auto"/>
          <w:szCs w:val="21"/>
          <w:highlight w:val="none"/>
        </w:rPr>
        <w:t>乙方所提供的服务及服务内容必须与投标文件承诺相一致，有国家强制性标准的，还必须符合国家强制性标准的规定，没有国家强制性标准但有其他强制性标准的，必须符合其他强制性标准的规定。</w:t>
      </w:r>
    </w:p>
    <w:p w14:paraId="57DC9B6B">
      <w:pPr>
        <w:spacing w:line="360" w:lineRule="auto"/>
        <w:ind w:firstLine="420"/>
        <w:rPr>
          <w:rFonts w:hint="eastAsia" w:ascii="宋体" w:hAnsi="宋体" w:cs="宋体"/>
          <w:b w:val="0"/>
          <w:bCs/>
          <w:color w:val="auto"/>
          <w:szCs w:val="21"/>
          <w:highlight w:val="none"/>
        </w:rPr>
      </w:pPr>
      <w:r>
        <w:rPr>
          <w:rFonts w:hint="eastAsia" w:ascii="宋体" w:hAnsi="宋体" w:cs="宋体"/>
          <w:b w:val="0"/>
          <w:bCs/>
          <w:color w:val="auto"/>
          <w:szCs w:val="21"/>
          <w:highlight w:val="none"/>
        </w:rPr>
        <w:t>第三条　权利保证</w:t>
      </w:r>
    </w:p>
    <w:p w14:paraId="29AEAEBA">
      <w:pPr>
        <w:spacing w:line="360" w:lineRule="auto"/>
        <w:ind w:firstLine="420"/>
        <w:rPr>
          <w:rFonts w:hint="eastAsia" w:ascii="宋体" w:hAnsi="宋体" w:cs="宋体"/>
          <w:b w:val="0"/>
          <w:bCs/>
          <w:color w:val="auto"/>
          <w:szCs w:val="21"/>
          <w:highlight w:val="none"/>
        </w:rPr>
      </w:pPr>
      <w:r>
        <w:rPr>
          <w:rFonts w:hint="eastAsia" w:ascii="宋体" w:hAnsi="宋体" w:cs="宋体"/>
          <w:b w:val="0"/>
          <w:bCs/>
          <w:color w:val="auto"/>
          <w:szCs w:val="21"/>
          <w:highlight w:val="none"/>
        </w:rPr>
        <w:t>1、乙方应保证所提供服务在使用时不会侵犯任何第三方的专利权、商标权、工业设计权等知识产权及其他合法权利，且所有权、处分权等没有受到任何限制。</w:t>
      </w:r>
    </w:p>
    <w:p w14:paraId="633A2415">
      <w:pPr>
        <w:spacing w:line="360" w:lineRule="auto"/>
        <w:ind w:firstLine="420"/>
        <w:rPr>
          <w:rFonts w:hint="eastAsia" w:ascii="宋体" w:hAnsi="宋体" w:cs="宋体"/>
          <w:b w:val="0"/>
          <w:bCs/>
          <w:color w:val="auto"/>
          <w:szCs w:val="21"/>
          <w:highlight w:val="none"/>
        </w:rPr>
      </w:pPr>
      <w:r>
        <w:rPr>
          <w:rFonts w:hint="eastAsia" w:ascii="宋体" w:hAnsi="宋体" w:cs="宋体"/>
          <w:b w:val="0"/>
          <w:bCs/>
          <w:color w:val="auto"/>
          <w:szCs w:val="21"/>
          <w:highlight w:val="none"/>
        </w:rPr>
        <w:t>2、没有甲方事先书面同意，乙方不得将由甲方提供的有关合同或者任何合同条文、规格、计划、图纸、样品或者资料提供给与履行本合同无关的任何其他人。即使向履行本合同有关的人员提供，也应注意保密并限于履行合同的必需范围。乙方的保密义务持续有效，不因为本合同履行终止、解除或者无效而解除。</w:t>
      </w:r>
    </w:p>
    <w:p w14:paraId="0E60A8E8">
      <w:pPr>
        <w:spacing w:line="360" w:lineRule="auto"/>
        <w:ind w:firstLine="420"/>
        <w:rPr>
          <w:rFonts w:hint="eastAsia" w:ascii="宋体" w:hAnsi="宋体" w:cs="宋体"/>
          <w:b w:val="0"/>
          <w:bCs/>
          <w:color w:val="auto"/>
          <w:szCs w:val="21"/>
          <w:highlight w:val="none"/>
        </w:rPr>
      </w:pPr>
      <w:r>
        <w:rPr>
          <w:rFonts w:hint="eastAsia" w:ascii="宋体" w:hAnsi="宋体" w:cs="宋体"/>
          <w:b w:val="0"/>
          <w:bCs/>
          <w:color w:val="auto"/>
          <w:szCs w:val="21"/>
          <w:highlight w:val="none"/>
        </w:rPr>
        <w:t>第四条　交付和验收</w:t>
      </w:r>
    </w:p>
    <w:p w14:paraId="2255478B">
      <w:pPr>
        <w:spacing w:line="360" w:lineRule="auto"/>
        <w:ind w:firstLine="420"/>
        <w:rPr>
          <w:rFonts w:hint="eastAsia" w:ascii="宋体" w:hAnsi="宋体" w:cs="宋体"/>
          <w:b w:val="0"/>
          <w:bCs/>
          <w:color w:val="auto"/>
          <w:szCs w:val="21"/>
          <w:highlight w:val="none"/>
        </w:rPr>
      </w:pPr>
      <w:r>
        <w:rPr>
          <w:rFonts w:hint="eastAsia" w:ascii="宋体" w:hAnsi="宋体" w:cs="宋体"/>
          <w:b w:val="0"/>
          <w:bCs/>
          <w:color w:val="auto"/>
          <w:szCs w:val="21"/>
          <w:highlight w:val="none"/>
        </w:rPr>
        <w:t>1、</w:t>
      </w:r>
      <w:r>
        <w:rPr>
          <w:rFonts w:hint="eastAsia" w:ascii="宋体" w:hAnsi="宋体" w:cs="宋体"/>
          <w:b w:val="0"/>
          <w:bCs/>
          <w:color w:val="auto"/>
          <w:szCs w:val="21"/>
          <w:highlight w:val="none"/>
          <w:lang w:eastAsia="zh-CN"/>
        </w:rPr>
        <w:t>实施</w:t>
      </w:r>
      <w:r>
        <w:rPr>
          <w:rFonts w:hint="eastAsia" w:ascii="宋体" w:hAnsi="宋体" w:cs="宋体"/>
          <w:b w:val="0"/>
          <w:bCs/>
          <w:color w:val="auto"/>
          <w:szCs w:val="21"/>
          <w:highlight w:val="none"/>
        </w:rPr>
        <w:t>期限：</w:t>
      </w:r>
      <w:r>
        <w:rPr>
          <w:rFonts w:hint="eastAsia" w:ascii="宋体" w:hAnsi="宋体" w:cs="宋体"/>
          <w:b w:val="0"/>
          <w:bCs/>
          <w:color w:val="auto"/>
          <w:szCs w:val="21"/>
          <w:highlight w:val="none"/>
          <w:u w:val="single"/>
        </w:rPr>
        <w:t xml:space="preserve"> </w:t>
      </w:r>
      <w:r>
        <w:rPr>
          <w:rFonts w:ascii="宋体" w:hAnsi="宋体" w:cs="宋体"/>
          <w:b w:val="0"/>
          <w:bCs/>
          <w:color w:val="auto"/>
          <w:szCs w:val="21"/>
          <w:highlight w:val="none"/>
          <w:u w:val="single"/>
        </w:rPr>
        <w:t xml:space="preserve">          </w:t>
      </w:r>
      <w:r>
        <w:rPr>
          <w:rFonts w:hint="eastAsia" w:ascii="宋体" w:hAnsi="宋体" w:cs="宋体"/>
          <w:b w:val="0"/>
          <w:bCs/>
          <w:color w:val="auto"/>
          <w:szCs w:val="21"/>
          <w:highlight w:val="none"/>
          <w:u w:val="single"/>
        </w:rPr>
        <w:t>起至</w:t>
      </w:r>
      <w:r>
        <w:rPr>
          <w:rFonts w:ascii="宋体" w:hAnsi="宋体" w:cs="宋体"/>
          <w:b w:val="0"/>
          <w:bCs/>
          <w:color w:val="auto"/>
          <w:szCs w:val="21"/>
          <w:highlight w:val="none"/>
          <w:u w:val="single"/>
        </w:rPr>
        <w:t xml:space="preserve">              </w:t>
      </w:r>
      <w:r>
        <w:rPr>
          <w:rFonts w:hint="eastAsia" w:ascii="宋体" w:hAnsi="宋体" w:cs="宋体"/>
          <w:b w:val="0"/>
          <w:bCs/>
          <w:color w:val="auto"/>
          <w:szCs w:val="21"/>
          <w:highlight w:val="none"/>
        </w:rPr>
        <w:t>，服务地点：</w:t>
      </w:r>
      <w:r>
        <w:rPr>
          <w:rFonts w:hint="eastAsia" w:ascii="宋体" w:hAnsi="宋体" w:cs="宋体"/>
          <w:b w:val="0"/>
          <w:bCs/>
          <w:color w:val="auto"/>
          <w:szCs w:val="21"/>
          <w:highlight w:val="none"/>
          <w:u w:val="single"/>
        </w:rPr>
        <w:t xml:space="preserve"> </w:t>
      </w:r>
      <w:r>
        <w:rPr>
          <w:rFonts w:ascii="宋体" w:hAnsi="宋体" w:cs="宋体"/>
          <w:b w:val="0"/>
          <w:bCs/>
          <w:color w:val="auto"/>
          <w:szCs w:val="21"/>
          <w:highlight w:val="none"/>
          <w:u w:val="single"/>
        </w:rPr>
        <w:t xml:space="preserve">            </w:t>
      </w:r>
      <w:r>
        <w:rPr>
          <w:rFonts w:hint="eastAsia" w:ascii="宋体" w:hAnsi="宋体" w:cs="宋体"/>
          <w:b w:val="0"/>
          <w:bCs/>
          <w:color w:val="auto"/>
          <w:szCs w:val="21"/>
          <w:highlight w:val="none"/>
        </w:rPr>
        <w:t>。</w:t>
      </w:r>
    </w:p>
    <w:p w14:paraId="2AAE7F4C">
      <w:pPr>
        <w:spacing w:line="360" w:lineRule="auto"/>
        <w:ind w:firstLine="420"/>
        <w:rPr>
          <w:rFonts w:hint="eastAsia" w:ascii="宋体" w:hAnsi="宋体" w:cs="宋体"/>
          <w:b w:val="0"/>
          <w:bCs/>
          <w:color w:val="auto"/>
          <w:szCs w:val="21"/>
          <w:highlight w:val="none"/>
        </w:rPr>
      </w:pPr>
      <w:r>
        <w:rPr>
          <w:rFonts w:hint="eastAsia" w:ascii="宋体" w:hAnsi="宋体" w:cs="宋体"/>
          <w:b w:val="0"/>
          <w:bCs/>
          <w:color w:val="auto"/>
          <w:szCs w:val="21"/>
          <w:highlight w:val="none"/>
        </w:rPr>
        <w:t>2、乙方应按投标文件的承诺向甲方提供相应的服务，并提供所服务内容的相关技术资料。</w:t>
      </w:r>
    </w:p>
    <w:p w14:paraId="62C69B51">
      <w:pPr>
        <w:spacing w:line="360" w:lineRule="auto"/>
        <w:ind w:firstLine="420"/>
        <w:rPr>
          <w:rFonts w:hint="eastAsia" w:ascii="宋体" w:hAnsi="宋体" w:cs="宋体"/>
          <w:b w:val="0"/>
          <w:bCs/>
          <w:color w:val="auto"/>
          <w:szCs w:val="21"/>
          <w:highlight w:val="none"/>
        </w:rPr>
      </w:pPr>
      <w:r>
        <w:rPr>
          <w:rFonts w:hint="eastAsia" w:ascii="宋体" w:hAnsi="宋体" w:cs="宋体"/>
          <w:b w:val="0"/>
          <w:bCs/>
          <w:color w:val="auto"/>
          <w:szCs w:val="21"/>
          <w:highlight w:val="none"/>
        </w:rPr>
        <w:t>3、乙方提供不符合投标文件和本合同规定的服务成果，甲方有权拒绝接受。</w:t>
      </w:r>
    </w:p>
    <w:p w14:paraId="2CCE4EB8">
      <w:pPr>
        <w:spacing w:line="360" w:lineRule="auto"/>
        <w:ind w:firstLine="420"/>
        <w:rPr>
          <w:rFonts w:hint="eastAsia" w:ascii="宋体" w:hAnsi="宋体"/>
          <w:b w:val="0"/>
          <w:bCs/>
          <w:color w:val="auto"/>
          <w:szCs w:val="21"/>
          <w:highlight w:val="none"/>
        </w:rPr>
      </w:pPr>
      <w:r>
        <w:rPr>
          <w:rFonts w:hint="eastAsia" w:ascii="宋体" w:hAnsi="宋体"/>
          <w:b w:val="0"/>
          <w:bCs/>
          <w:color w:val="auto"/>
          <w:szCs w:val="21"/>
          <w:highlight w:val="none"/>
        </w:rPr>
        <w:t>4、乙方完成服务后应及时书面通知甲方进行验收，甲方应在收到通知后七个工作日内进行验收，逾期不开始验收的，乙方可视同验收合格。验收合格后由甲乙双方签署验收单并加盖采购人公章，甲乙双方各执一份。</w:t>
      </w:r>
    </w:p>
    <w:p w14:paraId="48711B1A">
      <w:pPr>
        <w:spacing w:line="360" w:lineRule="auto"/>
        <w:ind w:firstLine="420"/>
        <w:rPr>
          <w:rFonts w:hint="eastAsia" w:ascii="宋体" w:hAnsi="宋体"/>
          <w:b w:val="0"/>
          <w:bCs/>
          <w:color w:val="auto"/>
          <w:szCs w:val="21"/>
          <w:highlight w:val="none"/>
        </w:rPr>
      </w:pPr>
      <w:r>
        <w:rPr>
          <w:rFonts w:hint="eastAsia" w:ascii="宋体" w:hAnsi="宋体" w:cs="宋体"/>
          <w:b w:val="0"/>
          <w:bCs/>
          <w:color w:val="auto"/>
          <w:szCs w:val="21"/>
          <w:highlight w:val="none"/>
        </w:rPr>
        <w:t>5、甲乙双方应按照《</w:t>
      </w:r>
      <w:r>
        <w:rPr>
          <w:rFonts w:ascii="宋体" w:hAnsi="宋体" w:cs="宋体"/>
          <w:b w:val="0"/>
          <w:bCs/>
          <w:color w:val="auto"/>
          <w:szCs w:val="21"/>
          <w:highlight w:val="none"/>
        </w:rPr>
        <w:t>广西壮族自治区政府采购项目履约验收管理办法</w:t>
      </w:r>
      <w:r>
        <w:rPr>
          <w:rFonts w:hint="eastAsia" w:ascii="宋体" w:hAnsi="宋体" w:cs="宋体"/>
          <w:b w:val="0"/>
          <w:bCs/>
          <w:color w:val="auto"/>
          <w:szCs w:val="21"/>
          <w:highlight w:val="none"/>
        </w:rPr>
        <w:t>》、双方合同、投标文件验收。</w:t>
      </w:r>
    </w:p>
    <w:p w14:paraId="3EFA0509">
      <w:pPr>
        <w:spacing w:line="360" w:lineRule="auto"/>
        <w:ind w:firstLine="420"/>
        <w:rPr>
          <w:rFonts w:hint="eastAsia" w:ascii="宋体" w:hAnsi="宋体" w:cs="宋体"/>
          <w:b w:val="0"/>
          <w:bCs/>
          <w:color w:val="auto"/>
          <w:szCs w:val="21"/>
          <w:highlight w:val="none"/>
        </w:rPr>
      </w:pPr>
      <w:r>
        <w:rPr>
          <w:rFonts w:hint="eastAsia" w:ascii="宋体" w:hAnsi="宋体" w:cs="宋体"/>
          <w:b w:val="0"/>
          <w:bCs/>
          <w:color w:val="auto"/>
          <w:szCs w:val="21"/>
          <w:highlight w:val="none"/>
        </w:rPr>
        <w:t>6、甲方在初步验收或者最终验收过程中如发现乙方提供的服务成果不满足投标文件及本合同规定的，可暂缓向乙方付款，直到乙方及时完善并提交相应的服务成果且经甲方验收合格后，方可办理付款。</w:t>
      </w:r>
    </w:p>
    <w:p w14:paraId="6A60144D">
      <w:pPr>
        <w:spacing w:line="360" w:lineRule="auto"/>
        <w:ind w:firstLine="420"/>
        <w:rPr>
          <w:rFonts w:hint="eastAsia" w:ascii="宋体" w:hAnsi="宋体" w:cs="宋体"/>
          <w:b w:val="0"/>
          <w:bCs/>
          <w:color w:val="auto"/>
          <w:szCs w:val="21"/>
          <w:highlight w:val="none"/>
        </w:rPr>
      </w:pPr>
      <w:r>
        <w:rPr>
          <w:rFonts w:hint="eastAsia" w:ascii="宋体" w:hAnsi="宋体" w:cs="宋体"/>
          <w:b w:val="0"/>
          <w:bCs/>
          <w:color w:val="auto"/>
          <w:szCs w:val="21"/>
          <w:highlight w:val="none"/>
        </w:rPr>
        <w:t>7、甲方验收时以书面形式提出异议的，乙方应自收到甲方书面异议后五个工作日内及时予以解决，否则甲方有权不出具服务验收合格单。</w:t>
      </w:r>
    </w:p>
    <w:p w14:paraId="038DD76F">
      <w:pPr>
        <w:spacing w:line="360" w:lineRule="auto"/>
        <w:ind w:firstLine="420"/>
        <w:rPr>
          <w:rFonts w:hint="eastAsia" w:ascii="宋体" w:hAnsi="宋体" w:cs="宋体"/>
          <w:b w:val="0"/>
          <w:bCs/>
          <w:color w:val="auto"/>
          <w:szCs w:val="21"/>
          <w:highlight w:val="none"/>
        </w:rPr>
      </w:pPr>
      <w:r>
        <w:rPr>
          <w:rFonts w:hint="eastAsia" w:ascii="宋体" w:hAnsi="宋体" w:cs="宋体"/>
          <w:b w:val="0"/>
          <w:bCs/>
          <w:color w:val="auto"/>
          <w:szCs w:val="21"/>
          <w:highlight w:val="none"/>
        </w:rPr>
        <w:t>第五条  服务及培训</w:t>
      </w:r>
    </w:p>
    <w:p w14:paraId="423F2521">
      <w:pPr>
        <w:spacing w:line="360" w:lineRule="auto"/>
        <w:ind w:firstLine="420"/>
        <w:rPr>
          <w:rFonts w:hint="eastAsia" w:ascii="宋体" w:hAnsi="宋体" w:cs="宋体"/>
          <w:b w:val="0"/>
          <w:bCs/>
          <w:color w:val="auto"/>
          <w:szCs w:val="21"/>
          <w:highlight w:val="none"/>
        </w:rPr>
      </w:pPr>
      <w:r>
        <w:rPr>
          <w:rFonts w:hint="eastAsia" w:ascii="宋体" w:hAnsi="宋体" w:cs="宋体"/>
          <w:b w:val="0"/>
          <w:bCs/>
          <w:color w:val="auto"/>
          <w:szCs w:val="21"/>
          <w:highlight w:val="none"/>
        </w:rPr>
        <w:t>1、乙方应按照国家有关法律法规和本合同所附的《服务承诺》要求为甲方提供相应的服务。</w:t>
      </w:r>
    </w:p>
    <w:p w14:paraId="7FE9B603">
      <w:pPr>
        <w:spacing w:line="360" w:lineRule="auto"/>
        <w:ind w:firstLine="420"/>
        <w:rPr>
          <w:rFonts w:hint="eastAsia" w:ascii="宋体" w:hAnsi="宋体" w:cs="宋体"/>
          <w:b w:val="0"/>
          <w:bCs/>
          <w:color w:val="auto"/>
          <w:szCs w:val="21"/>
          <w:highlight w:val="none"/>
        </w:rPr>
      </w:pPr>
      <w:r>
        <w:rPr>
          <w:rFonts w:hint="eastAsia" w:ascii="宋体" w:hAnsi="宋体" w:cs="宋体"/>
          <w:b w:val="0"/>
          <w:bCs/>
          <w:color w:val="auto"/>
          <w:szCs w:val="21"/>
          <w:highlight w:val="none"/>
        </w:rPr>
        <w:t>2、甲方应提供必要测试条件（如场地、电源、水源等）。</w:t>
      </w:r>
    </w:p>
    <w:p w14:paraId="56FDB135">
      <w:pPr>
        <w:spacing w:line="360" w:lineRule="auto"/>
        <w:ind w:firstLine="420"/>
        <w:rPr>
          <w:rFonts w:hint="eastAsia" w:ascii="宋体" w:hAnsi="宋体" w:cs="宋体"/>
          <w:b w:val="0"/>
          <w:bCs/>
          <w:color w:val="auto"/>
          <w:szCs w:val="21"/>
          <w:highlight w:val="none"/>
        </w:rPr>
      </w:pPr>
      <w:r>
        <w:rPr>
          <w:rFonts w:hint="eastAsia" w:ascii="宋体" w:hAnsi="宋体" w:cs="宋体"/>
          <w:b w:val="0"/>
          <w:bCs/>
          <w:color w:val="auto"/>
          <w:szCs w:val="21"/>
          <w:highlight w:val="none"/>
        </w:rPr>
        <w:t>3、乙方负责甲方有关人员的培训。培训时间、地点：</w:t>
      </w:r>
      <w:r>
        <w:rPr>
          <w:rFonts w:hint="eastAsia" w:ascii="宋体" w:hAnsi="宋体" w:cs="宋体"/>
          <w:b w:val="0"/>
          <w:bCs/>
          <w:color w:val="auto"/>
          <w:szCs w:val="21"/>
          <w:highlight w:val="none"/>
          <w:u w:val="single"/>
        </w:rPr>
        <w:t xml:space="preserve"> </w:t>
      </w:r>
      <w:r>
        <w:rPr>
          <w:rFonts w:ascii="宋体" w:hAnsi="宋体" w:cs="宋体"/>
          <w:b w:val="0"/>
          <w:bCs/>
          <w:color w:val="auto"/>
          <w:szCs w:val="21"/>
          <w:highlight w:val="none"/>
          <w:u w:val="single"/>
        </w:rPr>
        <w:t xml:space="preserve">                   </w:t>
      </w:r>
      <w:r>
        <w:rPr>
          <w:rFonts w:hint="eastAsia" w:ascii="宋体" w:hAnsi="宋体" w:cs="宋体"/>
          <w:b w:val="0"/>
          <w:bCs/>
          <w:color w:val="auto"/>
          <w:szCs w:val="21"/>
          <w:highlight w:val="none"/>
        </w:rPr>
        <w:t>。</w:t>
      </w:r>
    </w:p>
    <w:p w14:paraId="4957A3E2">
      <w:pPr>
        <w:spacing w:line="360" w:lineRule="auto"/>
        <w:ind w:firstLine="420"/>
        <w:rPr>
          <w:rFonts w:hint="eastAsia" w:ascii="宋体" w:hAnsi="宋体" w:cs="宋体"/>
          <w:b w:val="0"/>
          <w:bCs/>
          <w:color w:val="auto"/>
          <w:szCs w:val="21"/>
          <w:highlight w:val="none"/>
          <w:u w:val="single"/>
        </w:rPr>
      </w:pPr>
      <w:r>
        <w:rPr>
          <w:rFonts w:hint="eastAsia" w:ascii="宋体" w:hAnsi="宋体" w:cs="宋体"/>
          <w:b w:val="0"/>
          <w:bCs/>
          <w:color w:val="auto"/>
          <w:szCs w:val="21"/>
          <w:highlight w:val="none"/>
        </w:rPr>
        <w:t>第六条　付款方式</w:t>
      </w:r>
    </w:p>
    <w:p w14:paraId="3137F3D9">
      <w:pPr>
        <w:spacing w:line="360" w:lineRule="auto"/>
        <w:ind w:firstLine="420"/>
        <w:rPr>
          <w:rFonts w:hint="eastAsia" w:ascii="宋体" w:hAnsi="宋体"/>
          <w:b w:val="0"/>
          <w:bCs/>
          <w:color w:val="auto"/>
          <w:szCs w:val="21"/>
          <w:highlight w:val="none"/>
          <w:u w:val="single"/>
        </w:rPr>
      </w:pPr>
      <w:r>
        <w:rPr>
          <w:rFonts w:hint="eastAsia" w:ascii="宋体" w:hAnsi="宋体"/>
          <w:b w:val="0"/>
          <w:bCs/>
          <w:color w:val="auto"/>
          <w:szCs w:val="21"/>
          <w:highlight w:val="none"/>
        </w:rPr>
        <w:t>甲乙双方同意本合同金额的支付按以下第</w:t>
      </w:r>
      <w:r>
        <w:rPr>
          <w:rFonts w:hint="eastAsia" w:ascii="宋体" w:hAnsi="宋体"/>
          <w:b w:val="0"/>
          <w:bCs/>
          <w:color w:val="auto"/>
          <w:szCs w:val="21"/>
          <w:highlight w:val="none"/>
          <w:u w:val="single"/>
        </w:rPr>
        <w:t xml:space="preserve">  </w:t>
      </w:r>
      <w:r>
        <w:rPr>
          <w:rFonts w:hint="eastAsia" w:ascii="宋体" w:hAnsi="宋体"/>
          <w:b w:val="0"/>
          <w:bCs/>
          <w:color w:val="auto"/>
          <w:szCs w:val="21"/>
          <w:highlight w:val="none"/>
          <w:u w:val="single"/>
          <w:lang w:val="en-US" w:eastAsia="zh-CN"/>
        </w:rPr>
        <w:t>2</w:t>
      </w:r>
      <w:r>
        <w:rPr>
          <w:rFonts w:hint="eastAsia" w:ascii="宋体" w:hAnsi="宋体"/>
          <w:b w:val="0"/>
          <w:bCs/>
          <w:color w:val="auto"/>
          <w:szCs w:val="21"/>
          <w:highlight w:val="none"/>
          <w:u w:val="single"/>
        </w:rPr>
        <w:t xml:space="preserve"> </w:t>
      </w:r>
      <w:r>
        <w:rPr>
          <w:rFonts w:hint="eastAsia" w:ascii="宋体" w:hAnsi="宋体"/>
          <w:b w:val="0"/>
          <w:bCs/>
          <w:color w:val="auto"/>
          <w:szCs w:val="21"/>
          <w:highlight w:val="none"/>
        </w:rPr>
        <w:t>项约定执行：</w:t>
      </w:r>
    </w:p>
    <w:p w14:paraId="135BAAF8">
      <w:pPr>
        <w:spacing w:line="360" w:lineRule="auto"/>
        <w:ind w:firstLine="420"/>
        <w:rPr>
          <w:rFonts w:ascii="宋体" w:hAnsi="宋体"/>
          <w:b w:val="0"/>
          <w:bCs/>
          <w:color w:val="auto"/>
          <w:szCs w:val="21"/>
          <w:highlight w:val="none"/>
        </w:rPr>
      </w:pPr>
      <w:r>
        <w:rPr>
          <w:rFonts w:hint="eastAsia" w:ascii="宋体" w:hAnsi="宋体"/>
          <w:b w:val="0"/>
          <w:bCs/>
          <w:color w:val="auto"/>
          <w:szCs w:val="21"/>
          <w:highlight w:val="none"/>
        </w:rPr>
        <w:t>1、一次性支付：</w:t>
      </w:r>
      <w:r>
        <w:rPr>
          <w:rFonts w:hint="eastAsia" w:ascii="宋体" w:hAnsi="宋体"/>
          <w:b w:val="0"/>
          <w:bCs/>
          <w:color w:val="auto"/>
          <w:szCs w:val="21"/>
          <w:highlight w:val="none"/>
          <w:u w:val="single"/>
        </w:rPr>
        <w:t xml:space="preserve">                                         </w:t>
      </w:r>
      <w:r>
        <w:rPr>
          <w:rFonts w:hint="eastAsia" w:ascii="宋体" w:hAnsi="宋体"/>
          <w:b w:val="0"/>
          <w:bCs/>
          <w:color w:val="auto"/>
          <w:szCs w:val="21"/>
          <w:highlight w:val="none"/>
        </w:rPr>
        <w:t>。</w:t>
      </w:r>
    </w:p>
    <w:p w14:paraId="4A03F24E">
      <w:pPr>
        <w:spacing w:line="360" w:lineRule="auto"/>
        <w:ind w:firstLine="420"/>
        <w:rPr>
          <w:rFonts w:ascii="宋体" w:hAnsi="宋体"/>
          <w:b w:val="0"/>
          <w:bCs/>
          <w:color w:val="auto"/>
          <w:szCs w:val="21"/>
          <w:highlight w:val="none"/>
        </w:rPr>
      </w:pPr>
      <w:r>
        <w:rPr>
          <w:rFonts w:hint="eastAsia" w:ascii="宋体" w:hAnsi="宋体"/>
          <w:b w:val="0"/>
          <w:bCs/>
          <w:color w:val="auto"/>
          <w:szCs w:val="21"/>
          <w:highlight w:val="none"/>
        </w:rPr>
        <w:t>2、分期支付：</w:t>
      </w:r>
      <w:r>
        <w:rPr>
          <w:rFonts w:hint="eastAsia" w:ascii="宋体" w:hAnsi="宋体"/>
          <w:b w:val="0"/>
          <w:bCs/>
          <w:color w:val="auto"/>
          <w:szCs w:val="21"/>
          <w:highlight w:val="none"/>
          <w:u w:val="single"/>
        </w:rPr>
        <w:t xml:space="preserve">  </w:t>
      </w:r>
      <w:r>
        <w:rPr>
          <w:rFonts w:hint="eastAsia" w:ascii="宋体" w:hAnsi="宋体"/>
          <w:b w:val="0"/>
          <w:bCs/>
          <w:color w:val="auto"/>
          <w:szCs w:val="21"/>
          <w:highlight w:val="none"/>
          <w:u w:val="single"/>
          <w:lang w:eastAsia="zh-CN"/>
        </w:rPr>
        <w:t>按第二章采购需求中执行</w:t>
      </w:r>
      <w:r>
        <w:rPr>
          <w:rFonts w:hint="eastAsia" w:ascii="宋体" w:hAnsi="宋体"/>
          <w:b w:val="0"/>
          <w:bCs/>
          <w:color w:val="auto"/>
          <w:szCs w:val="21"/>
          <w:highlight w:val="none"/>
          <w:u w:val="single"/>
        </w:rPr>
        <w:t xml:space="preserve">       </w:t>
      </w:r>
      <w:r>
        <w:rPr>
          <w:rFonts w:hint="eastAsia" w:ascii="宋体" w:hAnsi="宋体"/>
          <w:b w:val="0"/>
          <w:bCs/>
          <w:color w:val="auto"/>
          <w:szCs w:val="21"/>
          <w:highlight w:val="none"/>
        </w:rPr>
        <w:t>。</w:t>
      </w:r>
    </w:p>
    <w:p w14:paraId="43EA74D0">
      <w:pPr>
        <w:spacing w:line="360" w:lineRule="auto"/>
        <w:ind w:firstLine="420"/>
        <w:rPr>
          <w:rFonts w:hint="eastAsia" w:ascii="宋体" w:hAnsi="宋体" w:cs="宋体"/>
          <w:b w:val="0"/>
          <w:bCs/>
          <w:color w:val="auto"/>
          <w:szCs w:val="21"/>
          <w:highlight w:val="none"/>
        </w:rPr>
      </w:pPr>
      <w:r>
        <w:rPr>
          <w:rFonts w:hint="eastAsia" w:ascii="宋体" w:hAnsi="宋体" w:cs="宋体"/>
          <w:b w:val="0"/>
          <w:bCs/>
          <w:color w:val="auto"/>
          <w:szCs w:val="21"/>
          <w:highlight w:val="none"/>
        </w:rPr>
        <w:t>第七条　履约保证金</w:t>
      </w:r>
    </w:p>
    <w:p w14:paraId="4E2D7EF4">
      <w:pPr>
        <w:spacing w:line="360" w:lineRule="auto"/>
        <w:ind w:firstLine="420"/>
        <w:rPr>
          <w:rFonts w:hint="eastAsia" w:ascii="宋体" w:hAnsi="宋体" w:cs="宋体"/>
          <w:b w:val="0"/>
          <w:bCs/>
          <w:color w:val="auto"/>
          <w:szCs w:val="21"/>
          <w:highlight w:val="none"/>
        </w:rPr>
      </w:pPr>
      <w:r>
        <w:rPr>
          <w:rFonts w:hint="eastAsia" w:ascii="宋体" w:hAnsi="宋体" w:cs="宋体"/>
          <w:b w:val="0"/>
          <w:bCs/>
          <w:color w:val="auto"/>
          <w:szCs w:val="21"/>
          <w:highlight w:val="none"/>
        </w:rPr>
        <w:t>履约保证金金额：无。</w:t>
      </w:r>
    </w:p>
    <w:p w14:paraId="028EB6A2">
      <w:pPr>
        <w:spacing w:line="360" w:lineRule="auto"/>
        <w:ind w:firstLine="420"/>
        <w:rPr>
          <w:rFonts w:hint="eastAsia" w:ascii="宋体" w:hAnsi="宋体" w:cs="宋体"/>
          <w:b w:val="0"/>
          <w:bCs/>
          <w:color w:val="auto"/>
          <w:szCs w:val="21"/>
          <w:highlight w:val="none"/>
        </w:rPr>
      </w:pPr>
      <w:r>
        <w:rPr>
          <w:rFonts w:hint="eastAsia" w:ascii="宋体" w:hAnsi="宋体" w:cs="宋体"/>
          <w:b w:val="0"/>
          <w:bCs/>
          <w:color w:val="auto"/>
          <w:szCs w:val="21"/>
          <w:highlight w:val="none"/>
        </w:rPr>
        <w:t>第八条  税费</w:t>
      </w:r>
    </w:p>
    <w:p w14:paraId="17F00E38">
      <w:pPr>
        <w:spacing w:line="360" w:lineRule="auto"/>
        <w:ind w:firstLine="420"/>
        <w:rPr>
          <w:rFonts w:hint="eastAsia" w:ascii="宋体" w:hAnsi="宋体" w:cs="宋体"/>
          <w:b w:val="0"/>
          <w:bCs/>
          <w:color w:val="auto"/>
          <w:szCs w:val="21"/>
          <w:highlight w:val="none"/>
        </w:rPr>
      </w:pPr>
      <w:r>
        <w:rPr>
          <w:rFonts w:hint="eastAsia" w:ascii="宋体" w:hAnsi="宋体" w:cs="宋体"/>
          <w:b w:val="0"/>
          <w:bCs/>
          <w:color w:val="auto"/>
          <w:szCs w:val="21"/>
          <w:highlight w:val="none"/>
        </w:rPr>
        <w:t>本合同执行中相关的一切税费均由乙方负担，合同另有约定的除外。</w:t>
      </w:r>
    </w:p>
    <w:p w14:paraId="24031C65">
      <w:pPr>
        <w:spacing w:line="360" w:lineRule="auto"/>
        <w:ind w:firstLine="420"/>
        <w:rPr>
          <w:rFonts w:hint="eastAsia" w:ascii="宋体" w:hAnsi="宋体" w:cs="宋体"/>
          <w:b w:val="0"/>
          <w:bCs/>
          <w:color w:val="auto"/>
          <w:szCs w:val="21"/>
          <w:highlight w:val="none"/>
        </w:rPr>
      </w:pPr>
      <w:r>
        <w:rPr>
          <w:rFonts w:hint="eastAsia" w:ascii="宋体" w:hAnsi="宋体" w:cs="宋体"/>
          <w:b w:val="0"/>
          <w:bCs/>
          <w:color w:val="auto"/>
          <w:szCs w:val="21"/>
          <w:highlight w:val="none"/>
        </w:rPr>
        <w:t>第九条　违约责任</w:t>
      </w:r>
    </w:p>
    <w:p w14:paraId="420A6E30">
      <w:pPr>
        <w:spacing w:line="360" w:lineRule="auto"/>
        <w:ind w:firstLine="420"/>
        <w:rPr>
          <w:rFonts w:hint="eastAsia" w:ascii="宋体" w:hAnsi="宋体" w:cs="宋体"/>
          <w:b w:val="0"/>
          <w:bCs/>
          <w:color w:val="auto"/>
          <w:szCs w:val="21"/>
          <w:highlight w:val="none"/>
        </w:rPr>
      </w:pPr>
      <w:r>
        <w:rPr>
          <w:rFonts w:hint="eastAsia" w:ascii="宋体" w:hAnsi="宋体"/>
          <w:b w:val="0"/>
          <w:bCs/>
          <w:color w:val="auto"/>
          <w:szCs w:val="21"/>
          <w:highlight w:val="none"/>
        </w:rPr>
        <w:t>1、除不可抗力原因外，乙方没有按照合同规定的时间提供服务的，甲方可要求乙方支付违约金。每推迟一天按合同金额的3‰支付违约金，该违约金累计不超过合同金额的10%。</w:t>
      </w:r>
      <w:r>
        <w:rPr>
          <w:rFonts w:hint="eastAsia" w:ascii="宋体" w:hAnsi="宋体" w:cs="宋体"/>
          <w:b w:val="0"/>
          <w:bCs/>
          <w:color w:val="auto"/>
          <w:szCs w:val="21"/>
          <w:highlight w:val="none"/>
        </w:rPr>
        <w:t xml:space="preserve">                                  </w:t>
      </w:r>
    </w:p>
    <w:p w14:paraId="58ED3D33">
      <w:pPr>
        <w:spacing w:line="360" w:lineRule="auto"/>
        <w:ind w:firstLine="420"/>
        <w:rPr>
          <w:rFonts w:hint="eastAsia" w:ascii="宋体" w:hAnsi="宋体" w:cs="宋体"/>
          <w:b w:val="0"/>
          <w:bCs/>
          <w:color w:val="auto"/>
          <w:szCs w:val="21"/>
          <w:highlight w:val="none"/>
        </w:rPr>
      </w:pPr>
      <w:r>
        <w:rPr>
          <w:rFonts w:hint="eastAsia" w:ascii="宋体" w:hAnsi="宋体" w:cs="宋体"/>
          <w:b w:val="0"/>
          <w:bCs/>
          <w:color w:val="auto"/>
          <w:szCs w:val="21"/>
          <w:highlight w:val="none"/>
        </w:rPr>
        <w:t>2、乙方提供的服务如侵犯了第三方合法权益而引发的任何纠纷或者诉讼，均由乙方负责交涉并承担全部责任。</w:t>
      </w:r>
    </w:p>
    <w:p w14:paraId="625FC6BC">
      <w:pPr>
        <w:spacing w:line="360" w:lineRule="auto"/>
        <w:ind w:firstLine="420"/>
        <w:rPr>
          <w:rFonts w:hint="eastAsia" w:ascii="宋体" w:hAnsi="宋体" w:cs="宋体"/>
          <w:b w:val="0"/>
          <w:bCs/>
          <w:color w:val="auto"/>
          <w:szCs w:val="21"/>
          <w:highlight w:val="none"/>
        </w:rPr>
      </w:pPr>
      <w:r>
        <w:rPr>
          <w:rFonts w:ascii="宋体" w:hAnsi="宋体"/>
          <w:b w:val="0"/>
          <w:bCs/>
          <w:color w:val="auto"/>
          <w:szCs w:val="21"/>
          <w:highlight w:val="none"/>
        </w:rPr>
        <w:t>3</w:t>
      </w:r>
      <w:r>
        <w:rPr>
          <w:rFonts w:hint="eastAsia" w:ascii="宋体" w:hAnsi="宋体"/>
          <w:b w:val="0"/>
          <w:bCs/>
          <w:color w:val="auto"/>
          <w:szCs w:val="21"/>
          <w:highlight w:val="none"/>
        </w:rPr>
        <w:t>、甲方延期付款的，每天向乙方偿付延期款额3‰滞纳金，但滞纳金累计不得超过延期款额5%。</w:t>
      </w:r>
    </w:p>
    <w:p w14:paraId="6C9521F5">
      <w:pPr>
        <w:spacing w:line="360" w:lineRule="auto"/>
        <w:ind w:firstLine="420"/>
        <w:rPr>
          <w:rFonts w:hint="eastAsia" w:ascii="宋体" w:hAnsi="宋体" w:cs="宋体"/>
          <w:b w:val="0"/>
          <w:bCs/>
          <w:color w:val="auto"/>
          <w:szCs w:val="21"/>
          <w:highlight w:val="none"/>
        </w:rPr>
      </w:pPr>
      <w:r>
        <w:rPr>
          <w:rFonts w:hint="eastAsia" w:ascii="宋体" w:hAnsi="宋体" w:cs="宋体"/>
          <w:b w:val="0"/>
          <w:bCs/>
          <w:color w:val="auto"/>
          <w:szCs w:val="21"/>
          <w:highlight w:val="none"/>
        </w:rPr>
        <w:t>第十条  不可抗力事件处理</w:t>
      </w:r>
    </w:p>
    <w:p w14:paraId="731203F1">
      <w:pPr>
        <w:spacing w:line="360" w:lineRule="auto"/>
        <w:ind w:firstLine="420"/>
        <w:rPr>
          <w:rFonts w:hint="eastAsia" w:ascii="宋体" w:hAnsi="宋体" w:cs="宋体"/>
          <w:b w:val="0"/>
          <w:bCs/>
          <w:color w:val="auto"/>
          <w:szCs w:val="21"/>
          <w:highlight w:val="none"/>
        </w:rPr>
      </w:pPr>
      <w:r>
        <w:rPr>
          <w:rFonts w:hint="eastAsia" w:ascii="宋体" w:hAnsi="宋体" w:cs="宋体"/>
          <w:b w:val="0"/>
          <w:bCs/>
          <w:color w:val="auto"/>
          <w:szCs w:val="21"/>
          <w:highlight w:val="none"/>
        </w:rPr>
        <w:t>1、在合同有效期内，任何一方因不可抗力事件导致不能履行合同，则合同履行期可延长，其延长期与不可抗力影响期相同。</w:t>
      </w:r>
    </w:p>
    <w:p w14:paraId="4ACB3F3A">
      <w:pPr>
        <w:spacing w:line="360" w:lineRule="auto"/>
        <w:ind w:firstLine="420"/>
        <w:rPr>
          <w:rFonts w:hint="eastAsia" w:ascii="宋体" w:hAnsi="宋体" w:cs="宋体"/>
          <w:b w:val="0"/>
          <w:bCs/>
          <w:color w:val="auto"/>
          <w:szCs w:val="21"/>
          <w:highlight w:val="none"/>
        </w:rPr>
      </w:pPr>
      <w:r>
        <w:rPr>
          <w:rFonts w:hint="eastAsia" w:ascii="宋体" w:hAnsi="宋体" w:cs="宋体"/>
          <w:b w:val="0"/>
          <w:bCs/>
          <w:color w:val="auto"/>
          <w:szCs w:val="21"/>
          <w:highlight w:val="none"/>
        </w:rPr>
        <w:t>2、不可抗力事件发生后，应立即通知对方，并寄送有关权威机构出具的证明。</w:t>
      </w:r>
    </w:p>
    <w:p w14:paraId="174EC6AD">
      <w:pPr>
        <w:spacing w:line="360" w:lineRule="auto"/>
        <w:ind w:firstLine="420"/>
        <w:rPr>
          <w:rFonts w:hint="eastAsia" w:ascii="宋体" w:hAnsi="宋体" w:cs="宋体"/>
          <w:b w:val="0"/>
          <w:bCs/>
          <w:color w:val="auto"/>
          <w:szCs w:val="21"/>
          <w:highlight w:val="none"/>
        </w:rPr>
      </w:pPr>
      <w:r>
        <w:rPr>
          <w:rFonts w:hint="eastAsia" w:ascii="宋体" w:hAnsi="宋体" w:cs="宋体"/>
          <w:b w:val="0"/>
          <w:bCs/>
          <w:color w:val="auto"/>
          <w:szCs w:val="21"/>
          <w:highlight w:val="none"/>
        </w:rPr>
        <w:t>3、不可抗力事件延续一百二十天以上，双方应通过友好协商，确定是否继续履行合同。</w:t>
      </w:r>
    </w:p>
    <w:p w14:paraId="59250136">
      <w:pPr>
        <w:spacing w:line="360" w:lineRule="auto"/>
        <w:ind w:firstLine="420"/>
        <w:rPr>
          <w:rFonts w:hint="eastAsia" w:ascii="宋体" w:hAnsi="宋体" w:cs="宋体"/>
          <w:b w:val="0"/>
          <w:bCs/>
          <w:color w:val="auto"/>
          <w:szCs w:val="21"/>
          <w:highlight w:val="none"/>
        </w:rPr>
      </w:pPr>
      <w:r>
        <w:rPr>
          <w:rFonts w:hint="eastAsia" w:ascii="宋体" w:hAnsi="宋体" w:cs="宋体"/>
          <w:b w:val="0"/>
          <w:bCs/>
          <w:color w:val="auto"/>
          <w:szCs w:val="21"/>
          <w:highlight w:val="none"/>
        </w:rPr>
        <w:t>第十一条  合同争议解决</w:t>
      </w:r>
    </w:p>
    <w:p w14:paraId="7D74898B">
      <w:pPr>
        <w:spacing w:line="360" w:lineRule="auto"/>
        <w:ind w:firstLine="420"/>
        <w:rPr>
          <w:rFonts w:hint="eastAsia" w:ascii="宋体" w:hAnsi="宋体" w:cs="宋体"/>
          <w:b w:val="0"/>
          <w:bCs/>
          <w:color w:val="auto"/>
          <w:szCs w:val="21"/>
          <w:highlight w:val="none"/>
        </w:rPr>
      </w:pPr>
      <w:r>
        <w:rPr>
          <w:rFonts w:hint="eastAsia" w:ascii="宋体" w:hAnsi="宋体" w:cs="宋体"/>
          <w:b w:val="0"/>
          <w:bCs/>
          <w:color w:val="auto"/>
          <w:szCs w:val="21"/>
          <w:highlight w:val="none"/>
        </w:rPr>
        <w:t>1、因服务质量问题发生争议的，应邀请国家认可的质量检测机构进行鉴定。服务符合标准的，鉴定费由甲方承担；服务不符合标准的，鉴定费由乙方承担。</w:t>
      </w:r>
    </w:p>
    <w:p w14:paraId="7BA2B5D3">
      <w:pPr>
        <w:spacing w:line="360" w:lineRule="auto"/>
        <w:ind w:firstLine="420"/>
        <w:rPr>
          <w:rFonts w:hint="eastAsia" w:ascii="宋体" w:hAnsi="宋体" w:cs="宋体"/>
          <w:b w:val="0"/>
          <w:bCs/>
          <w:color w:val="auto"/>
          <w:szCs w:val="21"/>
          <w:highlight w:val="none"/>
        </w:rPr>
      </w:pPr>
      <w:r>
        <w:rPr>
          <w:rFonts w:hint="eastAsia" w:ascii="宋体" w:hAnsi="宋体" w:cs="宋体"/>
          <w:b w:val="0"/>
          <w:bCs/>
          <w:color w:val="auto"/>
          <w:szCs w:val="21"/>
          <w:highlight w:val="none"/>
        </w:rPr>
        <w:t>2、因履行本合同引起的或者与本合同有关的争议，甲乙双方应首先通过友好协商解决，如果协商不能解决，可向甲方所在地有管辖权</w:t>
      </w:r>
      <w:r>
        <w:rPr>
          <w:rFonts w:hint="eastAsia" w:ascii="宋体" w:hAnsi="宋体" w:cs="宋体"/>
          <w:b w:val="0"/>
          <w:bCs/>
          <w:color w:val="auto"/>
          <w:szCs w:val="21"/>
          <w:highlight w:val="none"/>
          <w:lang w:eastAsia="zh-CN"/>
        </w:rPr>
        <w:t>的</w:t>
      </w:r>
      <w:r>
        <w:rPr>
          <w:rFonts w:hint="eastAsia" w:ascii="宋体" w:hAnsi="宋体" w:cs="宋体"/>
          <w:b w:val="0"/>
          <w:bCs/>
          <w:color w:val="auto"/>
          <w:szCs w:val="21"/>
          <w:highlight w:val="none"/>
        </w:rPr>
        <w:t>人民法院提起诉讼。</w:t>
      </w:r>
    </w:p>
    <w:p w14:paraId="3940180A">
      <w:pPr>
        <w:spacing w:line="360" w:lineRule="auto"/>
        <w:ind w:firstLine="420"/>
        <w:rPr>
          <w:rFonts w:hint="eastAsia" w:ascii="宋体" w:hAnsi="宋体" w:cs="宋体"/>
          <w:b w:val="0"/>
          <w:bCs/>
          <w:color w:val="auto"/>
          <w:szCs w:val="21"/>
          <w:highlight w:val="none"/>
        </w:rPr>
      </w:pPr>
      <w:r>
        <w:rPr>
          <w:rFonts w:hint="eastAsia" w:ascii="宋体" w:hAnsi="宋体" w:cs="宋体"/>
          <w:b w:val="0"/>
          <w:bCs/>
          <w:color w:val="auto"/>
          <w:szCs w:val="21"/>
          <w:highlight w:val="none"/>
        </w:rPr>
        <w:t>3、诉讼期间，本合同继续履行。</w:t>
      </w:r>
    </w:p>
    <w:p w14:paraId="333D2EAC">
      <w:pPr>
        <w:spacing w:line="360" w:lineRule="auto"/>
        <w:ind w:firstLine="420"/>
        <w:rPr>
          <w:rFonts w:hint="eastAsia" w:ascii="宋体" w:hAnsi="宋体" w:cs="宋体"/>
          <w:b w:val="0"/>
          <w:bCs/>
          <w:color w:val="auto"/>
          <w:szCs w:val="21"/>
          <w:highlight w:val="none"/>
        </w:rPr>
      </w:pPr>
      <w:r>
        <w:rPr>
          <w:rFonts w:hint="eastAsia" w:ascii="宋体" w:hAnsi="宋体" w:cs="宋体"/>
          <w:b w:val="0"/>
          <w:bCs/>
          <w:color w:val="auto"/>
          <w:szCs w:val="21"/>
          <w:highlight w:val="none"/>
        </w:rPr>
        <w:t>第十二条  合同生效及其它</w:t>
      </w:r>
    </w:p>
    <w:p w14:paraId="59DFC48F">
      <w:pPr>
        <w:spacing w:line="360" w:lineRule="auto"/>
        <w:ind w:firstLine="420"/>
        <w:rPr>
          <w:rFonts w:hint="eastAsia" w:ascii="宋体" w:hAnsi="宋体" w:cs="宋体"/>
          <w:b w:val="0"/>
          <w:bCs/>
          <w:color w:val="auto"/>
          <w:szCs w:val="21"/>
          <w:highlight w:val="none"/>
        </w:rPr>
      </w:pPr>
      <w:r>
        <w:rPr>
          <w:rFonts w:hint="eastAsia" w:ascii="宋体" w:hAnsi="宋体" w:cs="宋体"/>
          <w:b w:val="0"/>
          <w:bCs/>
          <w:color w:val="auto"/>
          <w:szCs w:val="21"/>
          <w:highlight w:val="none"/>
        </w:rPr>
        <w:t>1、合同经双方法定代表人或者授权代表签字并加盖单位公章后生效（委托代理人签字的需后附法定代表人授权委托书，格式自拟）。</w:t>
      </w:r>
    </w:p>
    <w:p w14:paraId="170AC60C">
      <w:pPr>
        <w:spacing w:line="360" w:lineRule="auto"/>
        <w:ind w:firstLine="420"/>
        <w:rPr>
          <w:rFonts w:hint="eastAsia" w:ascii="宋体" w:hAnsi="宋体" w:cs="宋体"/>
          <w:b w:val="0"/>
          <w:bCs/>
          <w:color w:val="auto"/>
          <w:szCs w:val="21"/>
          <w:highlight w:val="none"/>
        </w:rPr>
      </w:pPr>
      <w:r>
        <w:rPr>
          <w:rFonts w:hint="eastAsia" w:ascii="宋体" w:hAnsi="宋体" w:cs="宋体"/>
          <w:b w:val="0"/>
          <w:bCs/>
          <w:color w:val="auto"/>
          <w:szCs w:val="21"/>
          <w:highlight w:val="none"/>
        </w:rPr>
        <w:t>2、合同执行中涉及采购资金和采购内容修改或者补充的，须经财政部门审批，并签书面补充协议报财政部门备案，方可作为主合同不可分割的一部分。</w:t>
      </w:r>
    </w:p>
    <w:p w14:paraId="3BEFECBC">
      <w:pPr>
        <w:spacing w:line="360" w:lineRule="auto"/>
        <w:ind w:firstLine="420"/>
        <w:rPr>
          <w:rFonts w:hint="eastAsia" w:ascii="宋体" w:hAnsi="宋体" w:cs="宋体"/>
          <w:b w:val="0"/>
          <w:bCs/>
          <w:color w:val="auto"/>
          <w:szCs w:val="21"/>
          <w:highlight w:val="none"/>
        </w:rPr>
      </w:pPr>
      <w:r>
        <w:rPr>
          <w:rFonts w:hint="eastAsia" w:ascii="宋体" w:hAnsi="宋体" w:cs="宋体"/>
          <w:b w:val="0"/>
          <w:bCs/>
          <w:color w:val="auto"/>
          <w:szCs w:val="21"/>
          <w:highlight w:val="none"/>
        </w:rPr>
        <w:t>3、本合同未尽事宜，遵照《中华人民共和国民法典》有关条文执行。</w:t>
      </w:r>
    </w:p>
    <w:p w14:paraId="2C643A49">
      <w:pPr>
        <w:spacing w:line="360" w:lineRule="auto"/>
        <w:ind w:firstLine="420"/>
        <w:rPr>
          <w:rFonts w:hint="eastAsia" w:ascii="宋体" w:hAnsi="宋体" w:cs="宋体"/>
          <w:b w:val="0"/>
          <w:bCs/>
          <w:color w:val="auto"/>
          <w:szCs w:val="21"/>
          <w:highlight w:val="none"/>
        </w:rPr>
      </w:pPr>
      <w:r>
        <w:rPr>
          <w:rFonts w:hint="eastAsia" w:ascii="宋体" w:hAnsi="宋体" w:cs="宋体"/>
          <w:b w:val="0"/>
          <w:bCs/>
          <w:color w:val="auto"/>
          <w:szCs w:val="21"/>
          <w:highlight w:val="none"/>
        </w:rPr>
        <w:t>第十三条　合同的变更、终止与转让</w:t>
      </w:r>
    </w:p>
    <w:p w14:paraId="28F42B94">
      <w:pPr>
        <w:spacing w:line="360" w:lineRule="auto"/>
        <w:ind w:firstLine="420"/>
        <w:rPr>
          <w:rFonts w:hint="eastAsia" w:ascii="宋体" w:hAnsi="宋体" w:cs="宋体"/>
          <w:b w:val="0"/>
          <w:bCs/>
          <w:color w:val="auto"/>
          <w:szCs w:val="21"/>
          <w:highlight w:val="none"/>
        </w:rPr>
      </w:pPr>
      <w:r>
        <w:rPr>
          <w:rFonts w:hint="eastAsia" w:ascii="宋体" w:hAnsi="宋体" w:cs="宋体"/>
          <w:b w:val="0"/>
          <w:bCs/>
          <w:color w:val="auto"/>
          <w:szCs w:val="21"/>
          <w:highlight w:val="none"/>
        </w:rPr>
        <w:t>1、除《中华人民共和国政府采购法》第五十条规定的情形外，本合同一经签订，甲乙双方不得擅自变更、中止或者终止。</w:t>
      </w:r>
    </w:p>
    <w:p w14:paraId="245EB01B">
      <w:pPr>
        <w:spacing w:line="360" w:lineRule="auto"/>
        <w:ind w:firstLine="420"/>
        <w:rPr>
          <w:rFonts w:hint="eastAsia" w:ascii="宋体" w:hAnsi="宋体" w:cs="宋体"/>
          <w:b w:val="0"/>
          <w:bCs/>
          <w:color w:val="auto"/>
          <w:szCs w:val="21"/>
          <w:highlight w:val="none"/>
        </w:rPr>
      </w:pPr>
      <w:r>
        <w:rPr>
          <w:rFonts w:hint="eastAsia" w:ascii="宋体" w:hAnsi="宋体" w:cs="宋体"/>
          <w:b w:val="0"/>
          <w:bCs/>
          <w:color w:val="auto"/>
          <w:szCs w:val="21"/>
          <w:highlight w:val="none"/>
        </w:rPr>
        <w:t>2、乙方不得擅自转让其应履行的合同义务。</w:t>
      </w:r>
    </w:p>
    <w:p w14:paraId="18238A24">
      <w:pPr>
        <w:spacing w:line="360" w:lineRule="auto"/>
        <w:ind w:firstLine="420"/>
        <w:rPr>
          <w:rFonts w:hint="eastAsia" w:ascii="宋体" w:hAnsi="宋体" w:cs="宋体"/>
          <w:b w:val="0"/>
          <w:bCs/>
          <w:color w:val="auto"/>
          <w:szCs w:val="21"/>
          <w:highlight w:val="none"/>
        </w:rPr>
      </w:pPr>
      <w:r>
        <w:rPr>
          <w:rFonts w:hint="eastAsia" w:ascii="宋体" w:hAnsi="宋体" w:cs="宋体"/>
          <w:b w:val="0"/>
          <w:bCs/>
          <w:color w:val="auto"/>
          <w:szCs w:val="21"/>
          <w:highlight w:val="none"/>
        </w:rPr>
        <w:t>第十四条　签订本合同依据</w:t>
      </w:r>
    </w:p>
    <w:p w14:paraId="782A141A">
      <w:pPr>
        <w:spacing w:line="360" w:lineRule="auto"/>
        <w:ind w:firstLine="420"/>
        <w:rPr>
          <w:rFonts w:hint="eastAsia" w:ascii="宋体" w:hAnsi="宋体" w:cs="宋体"/>
          <w:b w:val="0"/>
          <w:bCs/>
          <w:color w:val="auto"/>
          <w:szCs w:val="21"/>
          <w:highlight w:val="none"/>
        </w:rPr>
      </w:pPr>
      <w:r>
        <w:rPr>
          <w:rFonts w:hint="eastAsia" w:ascii="宋体" w:hAnsi="宋体" w:cs="宋体"/>
          <w:b w:val="0"/>
          <w:bCs/>
          <w:color w:val="auto"/>
          <w:szCs w:val="21"/>
          <w:highlight w:val="none"/>
        </w:rPr>
        <w:t>1、</w:t>
      </w:r>
      <w:r>
        <w:rPr>
          <w:rFonts w:hint="eastAsia" w:ascii="宋体" w:hAnsi="宋体"/>
          <w:b w:val="0"/>
          <w:bCs/>
          <w:color w:val="auto"/>
          <w:szCs w:val="21"/>
          <w:highlight w:val="none"/>
        </w:rPr>
        <w:t>中标通知书</w:t>
      </w:r>
      <w:r>
        <w:rPr>
          <w:rFonts w:hint="eastAsia" w:ascii="宋体" w:hAnsi="宋体" w:cs="宋体"/>
          <w:b w:val="0"/>
          <w:bCs/>
          <w:color w:val="auto"/>
          <w:szCs w:val="21"/>
          <w:highlight w:val="none"/>
        </w:rPr>
        <w:t>；</w:t>
      </w:r>
    </w:p>
    <w:p w14:paraId="7CD017EC">
      <w:pPr>
        <w:spacing w:line="360" w:lineRule="auto"/>
        <w:ind w:firstLine="420"/>
        <w:rPr>
          <w:rFonts w:hint="eastAsia" w:ascii="宋体" w:hAnsi="宋体" w:cs="宋体"/>
          <w:b w:val="0"/>
          <w:bCs/>
          <w:color w:val="auto"/>
          <w:szCs w:val="21"/>
          <w:highlight w:val="none"/>
        </w:rPr>
      </w:pPr>
      <w:r>
        <w:rPr>
          <w:rFonts w:hint="eastAsia" w:ascii="宋体" w:hAnsi="宋体" w:cs="宋体"/>
          <w:b w:val="0"/>
          <w:bCs/>
          <w:color w:val="auto"/>
          <w:szCs w:val="21"/>
          <w:highlight w:val="none"/>
        </w:rPr>
        <w:t>2、开标一览表；</w:t>
      </w:r>
    </w:p>
    <w:p w14:paraId="7BD33DD7">
      <w:pPr>
        <w:spacing w:line="360" w:lineRule="auto"/>
        <w:ind w:firstLine="420"/>
        <w:rPr>
          <w:rFonts w:ascii="宋体" w:hAnsi="宋体" w:cs="宋体"/>
          <w:b w:val="0"/>
          <w:bCs/>
          <w:color w:val="auto"/>
          <w:szCs w:val="21"/>
          <w:highlight w:val="none"/>
        </w:rPr>
      </w:pPr>
      <w:r>
        <w:rPr>
          <w:rFonts w:hint="eastAsia" w:ascii="宋体" w:hAnsi="宋体" w:cs="宋体"/>
          <w:b w:val="0"/>
          <w:bCs/>
          <w:color w:val="auto"/>
          <w:szCs w:val="21"/>
          <w:highlight w:val="none"/>
        </w:rPr>
        <w:t>3、商务</w:t>
      </w:r>
      <w:r>
        <w:rPr>
          <w:rFonts w:hint="eastAsia" w:ascii="宋体" w:hAnsi="宋体" w:cs="宋体"/>
          <w:b w:val="0"/>
          <w:bCs/>
          <w:color w:val="auto"/>
          <w:szCs w:val="21"/>
          <w:highlight w:val="none"/>
          <w:lang w:eastAsia="zh-CN"/>
        </w:rPr>
        <w:t>要求</w:t>
      </w:r>
      <w:r>
        <w:rPr>
          <w:rFonts w:hint="eastAsia" w:ascii="宋体" w:hAnsi="宋体" w:cs="宋体"/>
          <w:b w:val="0"/>
          <w:bCs/>
          <w:color w:val="auto"/>
          <w:szCs w:val="21"/>
          <w:highlight w:val="none"/>
        </w:rPr>
        <w:t>偏离表和技术要求偏离表；</w:t>
      </w:r>
    </w:p>
    <w:p w14:paraId="1ED35BCD">
      <w:pPr>
        <w:spacing w:line="360" w:lineRule="auto"/>
        <w:ind w:firstLine="420"/>
        <w:rPr>
          <w:rFonts w:ascii="宋体" w:hAnsi="宋体" w:cs="宋体"/>
          <w:b w:val="0"/>
          <w:bCs/>
          <w:color w:val="auto"/>
          <w:szCs w:val="21"/>
          <w:highlight w:val="none"/>
        </w:rPr>
      </w:pPr>
      <w:r>
        <w:rPr>
          <w:rFonts w:ascii="宋体" w:hAnsi="宋体" w:cs="宋体"/>
          <w:b w:val="0"/>
          <w:bCs/>
          <w:color w:val="auto"/>
          <w:szCs w:val="21"/>
          <w:highlight w:val="none"/>
        </w:rPr>
        <w:t>4</w:t>
      </w:r>
      <w:r>
        <w:rPr>
          <w:rFonts w:hint="eastAsia" w:ascii="宋体" w:hAnsi="宋体" w:cs="宋体"/>
          <w:b w:val="0"/>
          <w:bCs/>
          <w:color w:val="auto"/>
          <w:szCs w:val="21"/>
          <w:highlight w:val="none"/>
        </w:rPr>
        <w:t>、</w:t>
      </w:r>
      <w:r>
        <w:rPr>
          <w:rFonts w:hint="eastAsia" w:ascii="宋体" w:hAnsi="宋体" w:cs="宋体"/>
          <w:b w:val="0"/>
          <w:bCs/>
          <w:color w:val="auto"/>
          <w:szCs w:val="21"/>
          <w:highlight w:val="none"/>
          <w:lang w:eastAsia="zh-CN"/>
        </w:rPr>
        <w:t>中标供应商技术方</w:t>
      </w:r>
      <w:r>
        <w:rPr>
          <w:rFonts w:hint="eastAsia" w:ascii="宋体" w:hAnsi="宋体" w:cs="宋体"/>
          <w:b w:val="0"/>
          <w:bCs/>
          <w:color w:val="auto"/>
          <w:szCs w:val="21"/>
          <w:highlight w:val="none"/>
        </w:rPr>
        <w:t>案；</w:t>
      </w:r>
    </w:p>
    <w:p w14:paraId="55EA1F6C">
      <w:pPr>
        <w:spacing w:line="360" w:lineRule="auto"/>
        <w:ind w:firstLine="420"/>
        <w:rPr>
          <w:rFonts w:ascii="宋体" w:hAnsi="宋体" w:cs="宋体"/>
          <w:b w:val="0"/>
          <w:bCs/>
          <w:color w:val="auto"/>
          <w:szCs w:val="21"/>
          <w:highlight w:val="none"/>
        </w:rPr>
      </w:pPr>
      <w:r>
        <w:rPr>
          <w:rFonts w:hint="eastAsia" w:ascii="宋体" w:hAnsi="宋体" w:cs="宋体"/>
          <w:b w:val="0"/>
          <w:bCs/>
          <w:color w:val="auto"/>
          <w:szCs w:val="21"/>
          <w:highlight w:val="none"/>
        </w:rPr>
        <w:t>5、投标文件中的其他相关文件。</w:t>
      </w:r>
    </w:p>
    <w:p w14:paraId="39E97D08">
      <w:pPr>
        <w:spacing w:line="360" w:lineRule="auto"/>
        <w:ind w:firstLine="420"/>
        <w:rPr>
          <w:rFonts w:hint="eastAsia" w:ascii="宋体" w:hAnsi="宋体" w:cs="宋体"/>
          <w:b w:val="0"/>
          <w:bCs/>
          <w:color w:val="auto"/>
          <w:szCs w:val="21"/>
          <w:highlight w:val="none"/>
        </w:rPr>
      </w:pPr>
      <w:r>
        <w:rPr>
          <w:rFonts w:ascii="宋体" w:hAnsi="宋体" w:cs="宋体"/>
          <w:b w:val="0"/>
          <w:bCs/>
          <w:color w:val="auto"/>
          <w:szCs w:val="21"/>
          <w:highlight w:val="none"/>
        </w:rPr>
        <w:t>6</w:t>
      </w:r>
      <w:r>
        <w:rPr>
          <w:rFonts w:hint="eastAsia" w:ascii="宋体" w:hAnsi="宋体" w:cs="宋体"/>
          <w:b w:val="0"/>
          <w:bCs/>
          <w:color w:val="auto"/>
          <w:szCs w:val="21"/>
          <w:highlight w:val="none"/>
        </w:rPr>
        <w:t>、上述合同文件互相补充和解释。如果合同文件之间存在矛盾或者不一致之处，以上述文件的排列顺序在先者为准。</w:t>
      </w:r>
    </w:p>
    <w:p w14:paraId="1E24DF09">
      <w:pPr>
        <w:spacing w:line="360" w:lineRule="auto"/>
        <w:ind w:firstLine="420"/>
        <w:rPr>
          <w:rFonts w:hint="eastAsia" w:ascii="宋体" w:hAnsi="宋体" w:cs="宋体"/>
          <w:b w:val="0"/>
          <w:bCs/>
          <w:color w:val="auto"/>
          <w:szCs w:val="21"/>
          <w:highlight w:val="none"/>
        </w:rPr>
      </w:pPr>
      <w:r>
        <w:rPr>
          <w:rFonts w:hint="eastAsia" w:ascii="宋体" w:hAnsi="宋体" w:cs="宋体"/>
          <w:b w:val="0"/>
          <w:bCs/>
          <w:color w:val="auto"/>
          <w:szCs w:val="21"/>
          <w:highlight w:val="none"/>
        </w:rPr>
        <w:t>第十五条　本合同一式四份，具有同等法律效力，财政部门（政府采购监管部门）、采购代理机构各一份，甲乙双方各一份（可根据需要另增加）。</w:t>
      </w:r>
    </w:p>
    <w:p w14:paraId="70F8DBFE">
      <w:pPr>
        <w:spacing w:line="360" w:lineRule="auto"/>
        <w:ind w:firstLine="420"/>
        <w:rPr>
          <w:rFonts w:hint="eastAsia" w:ascii="宋体" w:hAnsi="宋体" w:cs="宋体"/>
          <w:b w:val="0"/>
          <w:bCs/>
          <w:color w:val="auto"/>
          <w:szCs w:val="21"/>
          <w:highlight w:val="none"/>
        </w:rPr>
      </w:pPr>
      <w:r>
        <w:rPr>
          <w:rFonts w:hint="eastAsia" w:ascii="宋体" w:hAnsi="宋体" w:cs="宋体"/>
          <w:b w:val="0"/>
          <w:bCs/>
          <w:color w:val="auto"/>
          <w:szCs w:val="21"/>
          <w:highlight w:val="none"/>
        </w:rPr>
        <w:t>本合同甲乙双方签字盖章后生效，自签订之日起七个工作日内。</w:t>
      </w:r>
    </w:p>
    <w:p w14:paraId="5454EDC5">
      <w:pPr>
        <w:spacing w:line="360" w:lineRule="auto"/>
        <w:ind w:firstLine="420"/>
        <w:rPr>
          <w:rFonts w:hint="eastAsia" w:ascii="宋体" w:hAnsi="宋体" w:cs="宋体"/>
          <w:b w:val="0"/>
          <w:bCs/>
          <w:color w:val="auto"/>
          <w:szCs w:val="21"/>
          <w:highlight w:val="none"/>
        </w:rPr>
      </w:pPr>
      <w:r>
        <w:rPr>
          <w:rFonts w:hint="eastAsia" w:ascii="宋体" w:hAnsi="宋体" w:cs="宋体"/>
          <w:b w:val="0"/>
          <w:bCs/>
          <w:color w:val="auto"/>
          <w:szCs w:val="21"/>
          <w:highlight w:val="none"/>
        </w:rPr>
        <w:t>本合同自签订之日起2个工作日内，甲方应当将采购合同在广西壮族自治区财政厅指定的媒体上公告。</w:t>
      </w:r>
    </w:p>
    <w:tbl>
      <w:tblPr>
        <w:tblStyle w:val="33"/>
        <w:tblpPr w:leftFromText="180" w:rightFromText="180" w:vertAnchor="text" w:horzAnchor="margin" w:tblpXSpec="left" w:tblpY="21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82"/>
        <w:gridCol w:w="4583"/>
      </w:tblGrid>
      <w:tr w14:paraId="583E5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80" w:hRule="atLeast"/>
        </w:trPr>
        <w:tc>
          <w:tcPr>
            <w:tcW w:w="4582" w:type="dxa"/>
            <w:tcBorders>
              <w:top w:val="single" w:color="auto" w:sz="4" w:space="0"/>
              <w:left w:val="single" w:color="auto" w:sz="4" w:space="0"/>
              <w:bottom w:val="single" w:color="auto" w:sz="4" w:space="0"/>
              <w:right w:val="single" w:color="auto" w:sz="4" w:space="0"/>
            </w:tcBorders>
            <w:noWrap w:val="0"/>
            <w:vAlign w:val="center"/>
          </w:tcPr>
          <w:p w14:paraId="092AC6EE">
            <w:pPr>
              <w:spacing w:line="360" w:lineRule="auto"/>
              <w:rPr>
                <w:rFonts w:hint="eastAsia" w:ascii="宋体" w:hAnsi="宋体" w:cs="宋体"/>
                <w:b w:val="0"/>
                <w:bCs/>
                <w:color w:val="auto"/>
                <w:szCs w:val="21"/>
                <w:highlight w:val="none"/>
              </w:rPr>
            </w:pPr>
            <w:r>
              <w:rPr>
                <w:rFonts w:hint="eastAsia" w:ascii="宋体" w:hAnsi="宋体" w:cs="宋体"/>
                <w:b w:val="0"/>
                <w:bCs/>
                <w:color w:val="auto"/>
                <w:szCs w:val="21"/>
                <w:highlight w:val="none"/>
              </w:rPr>
              <w:t>甲方：（章）</w:t>
            </w:r>
          </w:p>
          <w:p w14:paraId="456217B7">
            <w:pPr>
              <w:spacing w:line="360" w:lineRule="auto"/>
              <w:rPr>
                <w:rFonts w:hint="eastAsia" w:ascii="宋体" w:hAnsi="宋体" w:cs="宋体"/>
                <w:b w:val="0"/>
                <w:bCs/>
                <w:color w:val="auto"/>
                <w:szCs w:val="21"/>
                <w:highlight w:val="none"/>
              </w:rPr>
            </w:pPr>
          </w:p>
          <w:p w14:paraId="35CF5C56">
            <w:pPr>
              <w:spacing w:line="360" w:lineRule="auto"/>
              <w:rPr>
                <w:rFonts w:hint="eastAsia" w:ascii="宋体" w:hAnsi="宋体" w:cs="宋体"/>
                <w:b w:val="0"/>
                <w:bCs/>
                <w:color w:val="auto"/>
                <w:szCs w:val="21"/>
                <w:highlight w:val="none"/>
              </w:rPr>
            </w:pPr>
          </w:p>
          <w:p w14:paraId="66E08D2A">
            <w:pPr>
              <w:spacing w:line="360" w:lineRule="auto"/>
              <w:ind w:firstLine="945"/>
              <w:jc w:val="right"/>
              <w:rPr>
                <w:rFonts w:hint="eastAsia" w:ascii="宋体" w:hAnsi="宋体" w:cs="宋体"/>
                <w:b w:val="0"/>
                <w:bCs/>
                <w:color w:val="auto"/>
                <w:szCs w:val="21"/>
                <w:highlight w:val="none"/>
              </w:rPr>
            </w:pPr>
          </w:p>
          <w:p w14:paraId="7289DC2C">
            <w:pPr>
              <w:spacing w:line="360" w:lineRule="auto"/>
              <w:ind w:firstLine="945"/>
              <w:jc w:val="right"/>
              <w:rPr>
                <w:rFonts w:ascii="宋体" w:hAnsi="宋体" w:cs="宋体"/>
                <w:b w:val="0"/>
                <w:bCs/>
                <w:color w:val="auto"/>
                <w:szCs w:val="21"/>
                <w:highlight w:val="none"/>
              </w:rPr>
            </w:pPr>
            <w:r>
              <w:rPr>
                <w:rFonts w:hint="eastAsia" w:ascii="宋体" w:hAnsi="宋体" w:cs="宋体"/>
                <w:b w:val="0"/>
                <w:bCs/>
                <w:color w:val="auto"/>
                <w:szCs w:val="21"/>
                <w:highlight w:val="none"/>
              </w:rPr>
              <w:t>年   月   日</w:t>
            </w:r>
          </w:p>
        </w:tc>
        <w:tc>
          <w:tcPr>
            <w:tcW w:w="4583" w:type="dxa"/>
            <w:tcBorders>
              <w:top w:val="single" w:color="auto" w:sz="4" w:space="0"/>
              <w:left w:val="single" w:color="auto" w:sz="4" w:space="0"/>
              <w:bottom w:val="single" w:color="auto" w:sz="4" w:space="0"/>
              <w:right w:val="single" w:color="auto" w:sz="4" w:space="0"/>
            </w:tcBorders>
            <w:noWrap w:val="0"/>
            <w:vAlign w:val="center"/>
          </w:tcPr>
          <w:p w14:paraId="6DD55151">
            <w:pPr>
              <w:spacing w:line="360" w:lineRule="auto"/>
              <w:rPr>
                <w:rFonts w:hint="eastAsia" w:ascii="宋体" w:hAnsi="宋体" w:cs="宋体"/>
                <w:b w:val="0"/>
                <w:bCs/>
                <w:color w:val="auto"/>
                <w:szCs w:val="21"/>
                <w:highlight w:val="none"/>
              </w:rPr>
            </w:pPr>
            <w:r>
              <w:rPr>
                <w:rFonts w:hint="eastAsia" w:ascii="宋体" w:hAnsi="宋体" w:cs="宋体"/>
                <w:b w:val="0"/>
                <w:bCs/>
                <w:color w:val="auto"/>
                <w:szCs w:val="21"/>
                <w:highlight w:val="none"/>
              </w:rPr>
              <w:t xml:space="preserve">乙方：（章）       </w:t>
            </w:r>
          </w:p>
          <w:p w14:paraId="030B8D75">
            <w:pPr>
              <w:spacing w:line="360" w:lineRule="auto"/>
              <w:rPr>
                <w:rFonts w:hint="eastAsia" w:ascii="宋体" w:hAnsi="宋体" w:cs="宋体"/>
                <w:b w:val="0"/>
                <w:bCs/>
                <w:color w:val="auto"/>
                <w:szCs w:val="21"/>
                <w:highlight w:val="none"/>
              </w:rPr>
            </w:pPr>
          </w:p>
          <w:p w14:paraId="5D077D16">
            <w:pPr>
              <w:spacing w:line="360" w:lineRule="auto"/>
              <w:rPr>
                <w:rFonts w:hint="eastAsia" w:ascii="宋体" w:hAnsi="宋体" w:cs="宋体"/>
                <w:b w:val="0"/>
                <w:bCs/>
                <w:color w:val="auto"/>
                <w:szCs w:val="21"/>
                <w:highlight w:val="none"/>
              </w:rPr>
            </w:pPr>
            <w:r>
              <w:rPr>
                <w:rFonts w:hint="eastAsia" w:ascii="宋体" w:hAnsi="宋体" w:cs="宋体"/>
                <w:b w:val="0"/>
                <w:bCs/>
                <w:color w:val="auto"/>
                <w:szCs w:val="21"/>
                <w:highlight w:val="none"/>
              </w:rPr>
              <w:t xml:space="preserve">       </w:t>
            </w:r>
          </w:p>
          <w:p w14:paraId="68016BC5">
            <w:pPr>
              <w:spacing w:line="360" w:lineRule="auto"/>
              <w:jc w:val="right"/>
              <w:rPr>
                <w:rFonts w:hint="eastAsia" w:ascii="宋体" w:hAnsi="宋体" w:cs="宋体"/>
                <w:b w:val="0"/>
                <w:bCs/>
                <w:color w:val="auto"/>
                <w:szCs w:val="21"/>
                <w:highlight w:val="none"/>
              </w:rPr>
            </w:pPr>
          </w:p>
          <w:p w14:paraId="48F66308">
            <w:pPr>
              <w:spacing w:line="360" w:lineRule="auto"/>
              <w:jc w:val="right"/>
              <w:rPr>
                <w:rFonts w:ascii="宋体" w:hAnsi="宋体" w:cs="宋体"/>
                <w:b w:val="0"/>
                <w:bCs/>
                <w:color w:val="auto"/>
                <w:szCs w:val="21"/>
                <w:highlight w:val="none"/>
              </w:rPr>
            </w:pPr>
            <w:r>
              <w:rPr>
                <w:rFonts w:hint="eastAsia" w:ascii="宋体" w:hAnsi="宋体" w:cs="宋体"/>
                <w:b w:val="0"/>
                <w:bCs/>
                <w:color w:val="auto"/>
                <w:szCs w:val="21"/>
                <w:highlight w:val="none"/>
              </w:rPr>
              <w:t xml:space="preserve"> 年   月   日</w:t>
            </w:r>
          </w:p>
        </w:tc>
      </w:tr>
      <w:tr w14:paraId="3B182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noWrap w:val="0"/>
            <w:vAlign w:val="center"/>
          </w:tcPr>
          <w:p w14:paraId="2E0BE370">
            <w:pPr>
              <w:spacing w:line="360" w:lineRule="auto"/>
              <w:rPr>
                <w:rFonts w:ascii="宋体" w:hAnsi="宋体" w:cs="宋体"/>
                <w:b w:val="0"/>
                <w:bCs/>
                <w:color w:val="auto"/>
                <w:szCs w:val="21"/>
                <w:highlight w:val="none"/>
              </w:rPr>
            </w:pPr>
            <w:r>
              <w:rPr>
                <w:rFonts w:hint="eastAsia" w:ascii="宋体" w:hAnsi="宋体" w:cs="宋体"/>
                <w:b w:val="0"/>
                <w:bCs/>
                <w:color w:val="auto"/>
                <w:szCs w:val="21"/>
                <w:highlight w:val="none"/>
              </w:rPr>
              <w:t>单位地址：</w:t>
            </w:r>
            <w:r>
              <w:rPr>
                <w:rFonts w:ascii="宋体" w:hAnsi="宋体" w:cs="宋体"/>
                <w:b w:val="0"/>
                <w:bCs/>
                <w:color w:val="auto"/>
                <w:szCs w:val="21"/>
                <w:highlight w:val="none"/>
              </w:rPr>
              <w:t xml:space="preserve"> </w:t>
            </w:r>
          </w:p>
        </w:tc>
        <w:tc>
          <w:tcPr>
            <w:tcW w:w="4583" w:type="dxa"/>
            <w:tcBorders>
              <w:top w:val="single" w:color="auto" w:sz="4" w:space="0"/>
              <w:left w:val="single" w:color="auto" w:sz="4" w:space="0"/>
              <w:bottom w:val="single" w:color="auto" w:sz="4" w:space="0"/>
              <w:right w:val="single" w:color="auto" w:sz="4" w:space="0"/>
            </w:tcBorders>
            <w:noWrap w:val="0"/>
            <w:vAlign w:val="center"/>
          </w:tcPr>
          <w:p w14:paraId="361EBFA0">
            <w:pPr>
              <w:spacing w:line="360" w:lineRule="auto"/>
              <w:rPr>
                <w:rFonts w:ascii="宋体" w:hAnsi="宋体" w:cs="宋体"/>
                <w:b w:val="0"/>
                <w:bCs/>
                <w:color w:val="auto"/>
                <w:szCs w:val="21"/>
                <w:highlight w:val="none"/>
              </w:rPr>
            </w:pPr>
            <w:r>
              <w:rPr>
                <w:rFonts w:hint="eastAsia" w:ascii="宋体" w:hAnsi="宋体" w:cs="宋体"/>
                <w:b w:val="0"/>
                <w:bCs/>
                <w:color w:val="auto"/>
                <w:szCs w:val="21"/>
                <w:highlight w:val="none"/>
              </w:rPr>
              <w:t xml:space="preserve">单位地址： </w:t>
            </w:r>
          </w:p>
        </w:tc>
      </w:tr>
      <w:tr w14:paraId="3CAB6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noWrap w:val="0"/>
            <w:vAlign w:val="center"/>
          </w:tcPr>
          <w:p w14:paraId="59CA7B73">
            <w:pPr>
              <w:spacing w:line="360" w:lineRule="auto"/>
              <w:rPr>
                <w:rFonts w:ascii="宋体" w:hAnsi="宋体" w:cs="宋体"/>
                <w:b w:val="0"/>
                <w:bCs/>
                <w:color w:val="auto"/>
                <w:szCs w:val="21"/>
                <w:highlight w:val="none"/>
              </w:rPr>
            </w:pPr>
            <w:r>
              <w:rPr>
                <w:rFonts w:hint="eastAsia" w:ascii="宋体" w:hAnsi="宋体" w:cs="宋体"/>
                <w:b w:val="0"/>
                <w:bCs/>
                <w:color w:val="auto"/>
                <w:szCs w:val="21"/>
                <w:highlight w:val="none"/>
              </w:rPr>
              <w:t>法定代表人：</w:t>
            </w:r>
          </w:p>
        </w:tc>
        <w:tc>
          <w:tcPr>
            <w:tcW w:w="4583" w:type="dxa"/>
            <w:tcBorders>
              <w:top w:val="single" w:color="auto" w:sz="4" w:space="0"/>
              <w:left w:val="single" w:color="auto" w:sz="4" w:space="0"/>
              <w:bottom w:val="single" w:color="auto" w:sz="4" w:space="0"/>
              <w:right w:val="single" w:color="auto" w:sz="4" w:space="0"/>
            </w:tcBorders>
            <w:noWrap w:val="0"/>
            <w:vAlign w:val="center"/>
          </w:tcPr>
          <w:p w14:paraId="3B258F5B">
            <w:pPr>
              <w:spacing w:line="360" w:lineRule="auto"/>
              <w:rPr>
                <w:rFonts w:ascii="宋体" w:hAnsi="宋体" w:cs="宋体"/>
                <w:b w:val="0"/>
                <w:bCs/>
                <w:color w:val="auto"/>
                <w:szCs w:val="21"/>
                <w:highlight w:val="none"/>
              </w:rPr>
            </w:pPr>
            <w:r>
              <w:rPr>
                <w:rFonts w:hint="eastAsia" w:ascii="宋体" w:hAnsi="宋体" w:cs="宋体"/>
                <w:b w:val="0"/>
                <w:bCs/>
                <w:color w:val="auto"/>
                <w:szCs w:val="21"/>
                <w:highlight w:val="none"/>
              </w:rPr>
              <w:t>法定代表人：</w:t>
            </w:r>
          </w:p>
        </w:tc>
      </w:tr>
      <w:tr w14:paraId="48BE5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noWrap w:val="0"/>
            <w:vAlign w:val="center"/>
          </w:tcPr>
          <w:p w14:paraId="016E154B">
            <w:pPr>
              <w:spacing w:line="360" w:lineRule="auto"/>
              <w:rPr>
                <w:rFonts w:ascii="宋体" w:hAnsi="宋体" w:cs="宋体"/>
                <w:b w:val="0"/>
                <w:bCs/>
                <w:color w:val="auto"/>
                <w:szCs w:val="21"/>
                <w:highlight w:val="none"/>
              </w:rPr>
            </w:pPr>
            <w:r>
              <w:rPr>
                <w:rFonts w:hint="eastAsia" w:ascii="宋体" w:hAnsi="宋体" w:cs="宋体"/>
                <w:b w:val="0"/>
                <w:bCs/>
                <w:color w:val="auto"/>
                <w:szCs w:val="21"/>
                <w:highlight w:val="none"/>
              </w:rPr>
              <w:t>委托代理人：</w:t>
            </w:r>
          </w:p>
        </w:tc>
        <w:tc>
          <w:tcPr>
            <w:tcW w:w="4583" w:type="dxa"/>
            <w:tcBorders>
              <w:top w:val="single" w:color="auto" w:sz="4" w:space="0"/>
              <w:left w:val="single" w:color="auto" w:sz="4" w:space="0"/>
              <w:bottom w:val="single" w:color="auto" w:sz="4" w:space="0"/>
              <w:right w:val="single" w:color="auto" w:sz="4" w:space="0"/>
            </w:tcBorders>
            <w:noWrap w:val="0"/>
            <w:vAlign w:val="center"/>
          </w:tcPr>
          <w:p w14:paraId="07E52454">
            <w:pPr>
              <w:spacing w:line="360" w:lineRule="auto"/>
              <w:rPr>
                <w:rFonts w:ascii="宋体" w:hAnsi="宋体" w:cs="宋体"/>
                <w:b w:val="0"/>
                <w:bCs/>
                <w:color w:val="auto"/>
                <w:szCs w:val="21"/>
                <w:highlight w:val="none"/>
              </w:rPr>
            </w:pPr>
            <w:r>
              <w:rPr>
                <w:rFonts w:hint="eastAsia" w:ascii="宋体" w:hAnsi="宋体" w:cs="宋体"/>
                <w:b w:val="0"/>
                <w:bCs/>
                <w:color w:val="auto"/>
                <w:szCs w:val="21"/>
                <w:highlight w:val="none"/>
              </w:rPr>
              <w:t>委托代理人：</w:t>
            </w:r>
          </w:p>
        </w:tc>
      </w:tr>
      <w:tr w14:paraId="2D09C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noWrap w:val="0"/>
            <w:vAlign w:val="center"/>
          </w:tcPr>
          <w:p w14:paraId="67E33D14">
            <w:pPr>
              <w:spacing w:line="360" w:lineRule="auto"/>
              <w:rPr>
                <w:rFonts w:ascii="宋体" w:hAnsi="宋体" w:cs="宋体"/>
                <w:b w:val="0"/>
                <w:bCs/>
                <w:color w:val="auto"/>
                <w:szCs w:val="21"/>
                <w:highlight w:val="none"/>
              </w:rPr>
            </w:pPr>
            <w:r>
              <w:rPr>
                <w:rFonts w:hint="eastAsia" w:ascii="宋体" w:hAnsi="宋体" w:cs="宋体"/>
                <w:b w:val="0"/>
                <w:bCs/>
                <w:color w:val="auto"/>
                <w:szCs w:val="21"/>
                <w:highlight w:val="none"/>
              </w:rPr>
              <w:t>电话：</w:t>
            </w:r>
          </w:p>
        </w:tc>
        <w:tc>
          <w:tcPr>
            <w:tcW w:w="4583" w:type="dxa"/>
            <w:tcBorders>
              <w:top w:val="single" w:color="auto" w:sz="4" w:space="0"/>
              <w:left w:val="single" w:color="auto" w:sz="4" w:space="0"/>
              <w:bottom w:val="single" w:color="auto" w:sz="4" w:space="0"/>
              <w:right w:val="single" w:color="auto" w:sz="4" w:space="0"/>
            </w:tcBorders>
            <w:noWrap w:val="0"/>
            <w:vAlign w:val="center"/>
          </w:tcPr>
          <w:p w14:paraId="5597E6A4">
            <w:pPr>
              <w:spacing w:line="360" w:lineRule="auto"/>
              <w:rPr>
                <w:rFonts w:ascii="宋体" w:hAnsi="宋体" w:cs="宋体"/>
                <w:b w:val="0"/>
                <w:bCs/>
                <w:color w:val="auto"/>
                <w:szCs w:val="21"/>
                <w:highlight w:val="none"/>
              </w:rPr>
            </w:pPr>
            <w:r>
              <w:rPr>
                <w:rFonts w:hint="eastAsia" w:ascii="宋体" w:hAnsi="宋体" w:cs="宋体"/>
                <w:b w:val="0"/>
                <w:bCs/>
                <w:color w:val="auto"/>
                <w:szCs w:val="21"/>
                <w:highlight w:val="none"/>
              </w:rPr>
              <w:t>电话：</w:t>
            </w:r>
          </w:p>
        </w:tc>
      </w:tr>
      <w:tr w14:paraId="203A1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noWrap w:val="0"/>
            <w:vAlign w:val="center"/>
          </w:tcPr>
          <w:p w14:paraId="4E33919D">
            <w:pPr>
              <w:spacing w:line="360" w:lineRule="auto"/>
              <w:rPr>
                <w:rFonts w:ascii="宋体" w:hAnsi="宋体" w:cs="宋体"/>
                <w:b w:val="0"/>
                <w:bCs/>
                <w:color w:val="auto"/>
                <w:szCs w:val="21"/>
                <w:highlight w:val="none"/>
              </w:rPr>
            </w:pPr>
            <w:r>
              <w:rPr>
                <w:rFonts w:hint="eastAsia" w:ascii="宋体" w:hAnsi="宋体" w:cs="宋体"/>
                <w:b w:val="0"/>
                <w:bCs/>
                <w:color w:val="auto"/>
                <w:szCs w:val="21"/>
                <w:highlight w:val="none"/>
              </w:rPr>
              <w:t xml:space="preserve">开户银行： </w:t>
            </w:r>
          </w:p>
        </w:tc>
        <w:tc>
          <w:tcPr>
            <w:tcW w:w="4583" w:type="dxa"/>
            <w:tcBorders>
              <w:top w:val="single" w:color="auto" w:sz="4" w:space="0"/>
              <w:left w:val="single" w:color="auto" w:sz="4" w:space="0"/>
              <w:bottom w:val="single" w:color="auto" w:sz="4" w:space="0"/>
              <w:right w:val="single" w:color="auto" w:sz="4" w:space="0"/>
            </w:tcBorders>
            <w:noWrap w:val="0"/>
            <w:vAlign w:val="center"/>
          </w:tcPr>
          <w:p w14:paraId="39C802D5">
            <w:pPr>
              <w:spacing w:line="360" w:lineRule="auto"/>
              <w:rPr>
                <w:rFonts w:ascii="宋体" w:hAnsi="宋体" w:cs="宋体"/>
                <w:b w:val="0"/>
                <w:bCs/>
                <w:color w:val="auto"/>
                <w:szCs w:val="21"/>
                <w:highlight w:val="none"/>
              </w:rPr>
            </w:pPr>
            <w:r>
              <w:rPr>
                <w:rFonts w:hint="eastAsia" w:ascii="宋体" w:hAnsi="宋体" w:cs="宋体"/>
                <w:b w:val="0"/>
                <w:bCs/>
                <w:color w:val="auto"/>
                <w:szCs w:val="21"/>
                <w:highlight w:val="none"/>
              </w:rPr>
              <w:t xml:space="preserve">开户银行： </w:t>
            </w:r>
          </w:p>
        </w:tc>
      </w:tr>
      <w:tr w14:paraId="785E5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noWrap w:val="0"/>
            <w:vAlign w:val="center"/>
          </w:tcPr>
          <w:p w14:paraId="4B4F73C7">
            <w:pPr>
              <w:spacing w:line="360" w:lineRule="auto"/>
              <w:rPr>
                <w:rFonts w:ascii="宋体" w:hAnsi="宋体" w:cs="宋体"/>
                <w:b w:val="0"/>
                <w:bCs/>
                <w:color w:val="auto"/>
                <w:szCs w:val="21"/>
                <w:highlight w:val="none"/>
              </w:rPr>
            </w:pPr>
            <w:r>
              <w:rPr>
                <w:rFonts w:hint="eastAsia" w:ascii="宋体" w:hAnsi="宋体" w:cs="宋体"/>
                <w:b w:val="0"/>
                <w:bCs/>
                <w:color w:val="auto"/>
                <w:szCs w:val="21"/>
                <w:highlight w:val="none"/>
              </w:rPr>
              <w:t>账号：</w:t>
            </w:r>
          </w:p>
        </w:tc>
        <w:tc>
          <w:tcPr>
            <w:tcW w:w="4583" w:type="dxa"/>
            <w:tcBorders>
              <w:top w:val="single" w:color="auto" w:sz="4" w:space="0"/>
              <w:left w:val="single" w:color="auto" w:sz="4" w:space="0"/>
              <w:bottom w:val="single" w:color="auto" w:sz="4" w:space="0"/>
              <w:right w:val="single" w:color="auto" w:sz="4" w:space="0"/>
            </w:tcBorders>
            <w:noWrap w:val="0"/>
            <w:vAlign w:val="center"/>
          </w:tcPr>
          <w:p w14:paraId="756B055A">
            <w:pPr>
              <w:spacing w:line="360" w:lineRule="auto"/>
              <w:rPr>
                <w:rFonts w:ascii="宋体" w:hAnsi="宋体" w:cs="宋体"/>
                <w:b w:val="0"/>
                <w:bCs/>
                <w:color w:val="auto"/>
                <w:szCs w:val="21"/>
                <w:highlight w:val="none"/>
              </w:rPr>
            </w:pPr>
            <w:r>
              <w:rPr>
                <w:rFonts w:hint="eastAsia" w:ascii="宋体" w:hAnsi="宋体" w:cs="宋体"/>
                <w:b w:val="0"/>
                <w:bCs/>
                <w:color w:val="auto"/>
                <w:szCs w:val="21"/>
                <w:highlight w:val="none"/>
              </w:rPr>
              <w:t>账号：</w:t>
            </w:r>
          </w:p>
        </w:tc>
      </w:tr>
      <w:tr w14:paraId="3B765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noWrap w:val="0"/>
            <w:vAlign w:val="center"/>
          </w:tcPr>
          <w:p w14:paraId="51D7A174">
            <w:pPr>
              <w:spacing w:line="360" w:lineRule="auto"/>
              <w:rPr>
                <w:rFonts w:ascii="宋体" w:hAnsi="宋体" w:cs="宋体"/>
                <w:b w:val="0"/>
                <w:bCs/>
                <w:color w:val="auto"/>
                <w:szCs w:val="21"/>
                <w:highlight w:val="none"/>
              </w:rPr>
            </w:pPr>
            <w:r>
              <w:rPr>
                <w:rFonts w:hint="eastAsia" w:ascii="宋体" w:hAnsi="宋体" w:cs="宋体"/>
                <w:b w:val="0"/>
                <w:bCs/>
                <w:color w:val="auto"/>
                <w:szCs w:val="21"/>
                <w:highlight w:val="none"/>
              </w:rPr>
              <w:t>邮政编码：</w:t>
            </w:r>
          </w:p>
        </w:tc>
        <w:tc>
          <w:tcPr>
            <w:tcW w:w="4583" w:type="dxa"/>
            <w:tcBorders>
              <w:top w:val="single" w:color="auto" w:sz="4" w:space="0"/>
              <w:left w:val="single" w:color="auto" w:sz="4" w:space="0"/>
              <w:bottom w:val="single" w:color="auto" w:sz="4" w:space="0"/>
              <w:right w:val="single" w:color="auto" w:sz="4" w:space="0"/>
            </w:tcBorders>
            <w:noWrap w:val="0"/>
            <w:vAlign w:val="center"/>
          </w:tcPr>
          <w:p w14:paraId="08A1D5E4">
            <w:pPr>
              <w:spacing w:line="360" w:lineRule="auto"/>
              <w:rPr>
                <w:rFonts w:ascii="宋体" w:hAnsi="宋体" w:cs="宋体"/>
                <w:b w:val="0"/>
                <w:bCs/>
                <w:color w:val="auto"/>
                <w:szCs w:val="21"/>
                <w:highlight w:val="none"/>
              </w:rPr>
            </w:pPr>
            <w:r>
              <w:rPr>
                <w:rFonts w:hint="eastAsia" w:ascii="宋体" w:hAnsi="宋体" w:cs="宋体"/>
                <w:b w:val="0"/>
                <w:bCs/>
                <w:color w:val="auto"/>
                <w:szCs w:val="21"/>
                <w:highlight w:val="none"/>
              </w:rPr>
              <w:t>邮政编码：</w:t>
            </w:r>
          </w:p>
        </w:tc>
      </w:tr>
    </w:tbl>
    <w:p w14:paraId="02D67690">
      <w:pPr>
        <w:jc w:val="center"/>
        <w:rPr>
          <w:rFonts w:hint="eastAsia" w:ascii="宋体" w:hAnsi="宋体"/>
          <w:b w:val="0"/>
          <w:bCs/>
          <w:color w:val="auto"/>
          <w:sz w:val="32"/>
          <w:szCs w:val="32"/>
          <w:highlight w:val="none"/>
        </w:rPr>
      </w:pPr>
    </w:p>
    <w:p w14:paraId="70504CB4">
      <w:pPr>
        <w:pStyle w:val="241"/>
        <w:rPr>
          <w:rFonts w:hint="eastAsia" w:ascii="宋体" w:hAnsi="宋体" w:cs="宋体"/>
          <w:b/>
          <w:bCs/>
          <w:color w:val="auto"/>
          <w:sz w:val="24"/>
          <w:highlight w:val="none"/>
        </w:rPr>
      </w:pPr>
    </w:p>
    <w:p w14:paraId="2A9526E7">
      <w:pPr>
        <w:pStyle w:val="241"/>
        <w:rPr>
          <w:rFonts w:hint="eastAsia" w:ascii="宋体" w:hAnsi="宋体" w:cs="宋体"/>
          <w:b/>
          <w:bCs/>
          <w:color w:val="auto"/>
          <w:sz w:val="24"/>
          <w:highlight w:val="none"/>
        </w:rPr>
      </w:pPr>
    </w:p>
    <w:p w14:paraId="3DCAE5F0">
      <w:pPr>
        <w:pStyle w:val="241"/>
        <w:rPr>
          <w:rFonts w:hint="eastAsia" w:ascii="宋体" w:hAnsi="宋体" w:cs="宋体"/>
          <w:b/>
          <w:bCs/>
          <w:color w:val="auto"/>
          <w:sz w:val="24"/>
          <w:highlight w:val="none"/>
        </w:rPr>
      </w:pPr>
    </w:p>
    <w:p w14:paraId="7B600EB5">
      <w:pPr>
        <w:pStyle w:val="241"/>
        <w:rPr>
          <w:rFonts w:hint="eastAsia" w:ascii="宋体" w:hAnsi="宋体" w:cs="宋体"/>
          <w:b/>
          <w:bCs/>
          <w:color w:val="auto"/>
          <w:sz w:val="24"/>
          <w:highlight w:val="none"/>
        </w:rPr>
      </w:pPr>
    </w:p>
    <w:p w14:paraId="481EFE4C">
      <w:pPr>
        <w:pStyle w:val="241"/>
        <w:rPr>
          <w:rFonts w:hint="eastAsia" w:ascii="宋体" w:hAnsi="宋体" w:cs="宋体"/>
          <w:b/>
          <w:bCs/>
          <w:color w:val="auto"/>
          <w:sz w:val="24"/>
          <w:highlight w:val="none"/>
        </w:rPr>
      </w:pPr>
    </w:p>
    <w:p w14:paraId="0A4AAC61">
      <w:pPr>
        <w:pStyle w:val="241"/>
        <w:rPr>
          <w:rFonts w:hint="eastAsia" w:ascii="宋体" w:hAnsi="宋体" w:cs="宋体"/>
          <w:b/>
          <w:bCs/>
          <w:color w:val="auto"/>
          <w:sz w:val="24"/>
          <w:highlight w:val="none"/>
        </w:rPr>
      </w:pPr>
    </w:p>
    <w:p w14:paraId="415D97B6">
      <w:pPr>
        <w:pStyle w:val="241"/>
        <w:rPr>
          <w:rFonts w:hint="eastAsia" w:ascii="宋体" w:hAnsi="宋体" w:cs="宋体"/>
          <w:b/>
          <w:bCs/>
          <w:color w:val="auto"/>
          <w:sz w:val="24"/>
          <w:highlight w:val="none"/>
        </w:rPr>
      </w:pPr>
    </w:p>
    <w:p w14:paraId="4FFC8A65">
      <w:pPr>
        <w:pStyle w:val="241"/>
        <w:rPr>
          <w:rFonts w:hint="eastAsia" w:ascii="宋体" w:hAnsi="宋体" w:cs="宋体"/>
          <w:b/>
          <w:bCs/>
          <w:color w:val="auto"/>
          <w:sz w:val="24"/>
          <w:highlight w:val="none"/>
        </w:rPr>
      </w:pPr>
    </w:p>
    <w:p w14:paraId="15A286FA">
      <w:pPr>
        <w:pStyle w:val="241"/>
        <w:rPr>
          <w:rFonts w:hint="eastAsia" w:ascii="宋体" w:hAnsi="宋体" w:cs="宋体"/>
          <w:b/>
          <w:bCs/>
          <w:color w:val="auto"/>
          <w:sz w:val="24"/>
          <w:highlight w:val="none"/>
        </w:rPr>
      </w:pPr>
    </w:p>
    <w:p w14:paraId="6A6D064E">
      <w:pPr>
        <w:pStyle w:val="241"/>
        <w:rPr>
          <w:rFonts w:hint="eastAsia" w:ascii="宋体" w:hAnsi="宋体" w:cs="宋体"/>
          <w:b/>
          <w:bCs/>
          <w:color w:val="auto"/>
          <w:sz w:val="24"/>
          <w:highlight w:val="none"/>
        </w:rPr>
      </w:pPr>
    </w:p>
    <w:p w14:paraId="3062030A">
      <w:pPr>
        <w:pStyle w:val="241"/>
        <w:rPr>
          <w:rFonts w:hint="eastAsia" w:ascii="宋体" w:hAnsi="宋体" w:cs="宋体"/>
          <w:b/>
          <w:bCs/>
          <w:color w:val="auto"/>
          <w:sz w:val="24"/>
          <w:highlight w:val="none"/>
        </w:rPr>
      </w:pPr>
    </w:p>
    <w:p w14:paraId="633527E5">
      <w:pPr>
        <w:pStyle w:val="241"/>
        <w:rPr>
          <w:rFonts w:hint="eastAsia" w:ascii="宋体" w:hAnsi="宋体" w:cs="宋体"/>
          <w:b/>
          <w:bCs/>
          <w:color w:val="auto"/>
          <w:sz w:val="24"/>
          <w:highlight w:val="none"/>
        </w:rPr>
      </w:pPr>
    </w:p>
    <w:p w14:paraId="0AF29A94">
      <w:pPr>
        <w:pStyle w:val="241"/>
        <w:rPr>
          <w:rFonts w:hint="eastAsia" w:ascii="宋体" w:hAnsi="宋体" w:cs="宋体"/>
          <w:b/>
          <w:bCs/>
          <w:color w:val="auto"/>
          <w:sz w:val="24"/>
          <w:highlight w:val="none"/>
        </w:rPr>
      </w:pPr>
    </w:p>
    <w:p w14:paraId="30F1F32B">
      <w:pPr>
        <w:pStyle w:val="241"/>
        <w:rPr>
          <w:rFonts w:hint="eastAsia" w:ascii="宋体" w:hAnsi="宋体" w:cs="宋体"/>
          <w:b/>
          <w:bCs/>
          <w:color w:val="auto"/>
          <w:sz w:val="24"/>
          <w:highlight w:val="none"/>
        </w:rPr>
      </w:pPr>
    </w:p>
    <w:p w14:paraId="1B9D7789">
      <w:pPr>
        <w:pStyle w:val="241"/>
        <w:rPr>
          <w:rFonts w:hint="eastAsia" w:ascii="宋体" w:hAnsi="宋体" w:cs="宋体"/>
          <w:b/>
          <w:bCs/>
          <w:color w:val="auto"/>
          <w:sz w:val="24"/>
          <w:highlight w:val="none"/>
        </w:rPr>
      </w:pPr>
    </w:p>
    <w:p w14:paraId="16A44DAD">
      <w:pPr>
        <w:pStyle w:val="241"/>
        <w:rPr>
          <w:rFonts w:hint="eastAsia" w:ascii="宋体" w:hAnsi="宋体" w:cs="宋体"/>
          <w:b/>
          <w:bCs/>
          <w:color w:val="auto"/>
          <w:sz w:val="24"/>
          <w:highlight w:val="none"/>
        </w:rPr>
      </w:pPr>
    </w:p>
    <w:p w14:paraId="27DF3B01">
      <w:pPr>
        <w:pStyle w:val="241"/>
        <w:rPr>
          <w:rFonts w:hint="eastAsia" w:ascii="宋体" w:hAnsi="宋体" w:cs="宋体"/>
          <w:b/>
          <w:bCs/>
          <w:color w:val="auto"/>
          <w:sz w:val="24"/>
          <w:highlight w:val="none"/>
        </w:rPr>
      </w:pPr>
    </w:p>
    <w:p w14:paraId="0F58023B">
      <w:pPr>
        <w:pStyle w:val="241"/>
        <w:rPr>
          <w:rFonts w:hint="eastAsia" w:ascii="宋体" w:hAnsi="宋体" w:cs="宋体"/>
          <w:b/>
          <w:bCs/>
          <w:color w:val="auto"/>
          <w:sz w:val="24"/>
          <w:highlight w:val="none"/>
        </w:rPr>
      </w:pPr>
    </w:p>
    <w:p w14:paraId="1AA464FB">
      <w:pPr>
        <w:pStyle w:val="241"/>
        <w:rPr>
          <w:rFonts w:hint="eastAsia" w:ascii="宋体" w:hAnsi="宋体" w:cs="宋体"/>
          <w:b/>
          <w:bCs/>
          <w:color w:val="auto"/>
          <w:sz w:val="24"/>
          <w:highlight w:val="none"/>
        </w:rPr>
      </w:pPr>
    </w:p>
    <w:p w14:paraId="02B7FE43">
      <w:pPr>
        <w:pStyle w:val="241"/>
        <w:rPr>
          <w:rFonts w:hint="eastAsia" w:ascii="宋体" w:hAnsi="宋体" w:cs="宋体"/>
          <w:b/>
          <w:bCs/>
          <w:color w:val="auto"/>
          <w:sz w:val="24"/>
          <w:highlight w:val="none"/>
        </w:rPr>
      </w:pPr>
    </w:p>
    <w:p w14:paraId="318C47CB">
      <w:pPr>
        <w:pStyle w:val="241"/>
        <w:rPr>
          <w:rFonts w:hint="eastAsia" w:ascii="宋体" w:hAnsi="宋体" w:cs="宋体"/>
          <w:b/>
          <w:bCs/>
          <w:color w:val="auto"/>
          <w:sz w:val="24"/>
          <w:highlight w:val="none"/>
        </w:rPr>
      </w:pPr>
    </w:p>
    <w:p w14:paraId="1FC3BBAD">
      <w:pPr>
        <w:pStyle w:val="241"/>
        <w:rPr>
          <w:rFonts w:hint="eastAsia" w:ascii="宋体" w:hAnsi="宋体" w:cs="宋体"/>
          <w:b/>
          <w:bCs/>
          <w:color w:val="auto"/>
          <w:sz w:val="24"/>
          <w:highlight w:val="none"/>
        </w:rPr>
      </w:pPr>
    </w:p>
    <w:p w14:paraId="73419757">
      <w:pPr>
        <w:pStyle w:val="241"/>
        <w:rPr>
          <w:rFonts w:hint="eastAsia" w:ascii="宋体" w:hAnsi="宋体" w:cs="宋体"/>
          <w:b/>
          <w:bCs/>
          <w:color w:val="auto"/>
          <w:sz w:val="24"/>
          <w:highlight w:val="none"/>
        </w:rPr>
      </w:pPr>
    </w:p>
    <w:p w14:paraId="6ACBDF5E">
      <w:pPr>
        <w:pStyle w:val="241"/>
        <w:rPr>
          <w:rFonts w:hint="eastAsia" w:ascii="宋体" w:hAnsi="宋体" w:cs="宋体"/>
          <w:b/>
          <w:bCs/>
          <w:color w:val="auto"/>
          <w:sz w:val="24"/>
          <w:highlight w:val="none"/>
        </w:rPr>
      </w:pPr>
    </w:p>
    <w:p w14:paraId="7A45C9A6">
      <w:pPr>
        <w:pStyle w:val="241"/>
        <w:rPr>
          <w:rFonts w:hint="eastAsia" w:ascii="宋体" w:hAnsi="宋体" w:cs="宋体"/>
          <w:b/>
          <w:bCs/>
          <w:color w:val="auto"/>
          <w:sz w:val="24"/>
          <w:highlight w:val="none"/>
        </w:rPr>
      </w:pPr>
    </w:p>
    <w:p w14:paraId="37361B24">
      <w:pPr>
        <w:pStyle w:val="241"/>
        <w:rPr>
          <w:rFonts w:hint="eastAsia" w:ascii="宋体" w:hAnsi="宋体" w:cs="宋体"/>
          <w:b/>
          <w:bCs/>
          <w:color w:val="auto"/>
          <w:sz w:val="24"/>
          <w:highlight w:val="none"/>
        </w:rPr>
      </w:pPr>
    </w:p>
    <w:p w14:paraId="2CDF9D26">
      <w:pPr>
        <w:pStyle w:val="241"/>
        <w:rPr>
          <w:rFonts w:hint="eastAsia" w:ascii="宋体" w:hAnsi="宋体" w:cs="宋体"/>
          <w:b/>
          <w:bCs/>
          <w:color w:val="auto"/>
          <w:sz w:val="24"/>
          <w:highlight w:val="none"/>
        </w:rPr>
      </w:pPr>
    </w:p>
    <w:p w14:paraId="2D2F4E0F">
      <w:pPr>
        <w:pStyle w:val="241"/>
        <w:rPr>
          <w:rFonts w:hint="eastAsia" w:ascii="宋体" w:hAnsi="宋体" w:cs="宋体"/>
          <w:b/>
          <w:bCs/>
          <w:color w:val="auto"/>
          <w:sz w:val="24"/>
          <w:highlight w:val="none"/>
        </w:rPr>
      </w:pPr>
    </w:p>
    <w:p w14:paraId="4ABB159F">
      <w:pPr>
        <w:pStyle w:val="241"/>
        <w:rPr>
          <w:rFonts w:hint="eastAsia" w:ascii="宋体" w:hAnsi="宋体" w:cs="宋体"/>
          <w:b/>
          <w:bCs/>
          <w:color w:val="auto"/>
          <w:sz w:val="24"/>
          <w:highlight w:val="none"/>
        </w:rPr>
      </w:pPr>
    </w:p>
    <w:p w14:paraId="38D9519B">
      <w:pPr>
        <w:pStyle w:val="241"/>
        <w:rPr>
          <w:rFonts w:hint="eastAsia" w:ascii="宋体" w:hAnsi="宋体" w:cs="宋体"/>
          <w:b/>
          <w:bCs/>
          <w:color w:val="auto"/>
          <w:sz w:val="24"/>
          <w:highlight w:val="none"/>
        </w:rPr>
      </w:pPr>
    </w:p>
    <w:p w14:paraId="78B9DFAE">
      <w:pPr>
        <w:pStyle w:val="241"/>
        <w:rPr>
          <w:rFonts w:hint="eastAsia" w:ascii="宋体" w:hAnsi="宋体" w:cs="宋体"/>
          <w:b/>
          <w:bCs/>
          <w:color w:val="auto"/>
          <w:sz w:val="24"/>
          <w:highlight w:val="none"/>
        </w:rPr>
      </w:pPr>
    </w:p>
    <w:p w14:paraId="6EC8A84A">
      <w:pPr>
        <w:pStyle w:val="241"/>
        <w:rPr>
          <w:rFonts w:hint="eastAsia" w:ascii="宋体" w:hAnsi="宋体" w:cs="宋体"/>
          <w:b/>
          <w:bCs/>
          <w:color w:val="auto"/>
          <w:sz w:val="24"/>
          <w:highlight w:val="none"/>
        </w:rPr>
      </w:pPr>
    </w:p>
    <w:p w14:paraId="396CE46D">
      <w:pPr>
        <w:pStyle w:val="241"/>
        <w:rPr>
          <w:rFonts w:hint="eastAsia" w:ascii="宋体" w:hAnsi="宋体" w:cs="宋体"/>
          <w:b/>
          <w:bCs/>
          <w:color w:val="auto"/>
          <w:sz w:val="24"/>
          <w:highlight w:val="none"/>
        </w:rPr>
      </w:pPr>
    </w:p>
    <w:p w14:paraId="0F3903C9">
      <w:pPr>
        <w:pStyle w:val="241"/>
        <w:rPr>
          <w:rFonts w:hint="eastAsia" w:ascii="宋体" w:hAnsi="宋体" w:cs="宋体"/>
          <w:b/>
          <w:bCs/>
          <w:color w:val="auto"/>
          <w:sz w:val="24"/>
          <w:highlight w:val="none"/>
        </w:rPr>
      </w:pPr>
    </w:p>
    <w:p w14:paraId="42706097">
      <w:pPr>
        <w:pStyle w:val="241"/>
        <w:rPr>
          <w:rFonts w:hint="eastAsia" w:ascii="宋体" w:hAnsi="宋体" w:cs="宋体"/>
          <w:b/>
          <w:bCs/>
          <w:color w:val="auto"/>
          <w:sz w:val="24"/>
          <w:highlight w:val="none"/>
        </w:rPr>
      </w:pPr>
    </w:p>
    <w:p w14:paraId="1FCC94C4">
      <w:pPr>
        <w:pStyle w:val="241"/>
        <w:rPr>
          <w:rFonts w:hint="eastAsia" w:ascii="宋体" w:hAnsi="宋体" w:cs="宋体"/>
          <w:b/>
          <w:bCs/>
          <w:color w:val="auto"/>
          <w:sz w:val="24"/>
          <w:highlight w:val="none"/>
        </w:rPr>
      </w:pPr>
    </w:p>
    <w:p w14:paraId="41EBAC62">
      <w:pPr>
        <w:pStyle w:val="241"/>
        <w:rPr>
          <w:rFonts w:hint="eastAsia" w:ascii="宋体" w:hAnsi="宋体" w:cs="宋体"/>
          <w:b/>
          <w:bCs/>
          <w:color w:val="auto"/>
          <w:sz w:val="24"/>
          <w:highlight w:val="none"/>
        </w:rPr>
      </w:pPr>
    </w:p>
    <w:p w14:paraId="1834406E">
      <w:pPr>
        <w:pStyle w:val="241"/>
        <w:rPr>
          <w:rFonts w:hint="eastAsia" w:ascii="宋体" w:hAnsi="宋体" w:cs="宋体"/>
          <w:b/>
          <w:bCs/>
          <w:color w:val="auto"/>
          <w:sz w:val="24"/>
          <w:highlight w:val="none"/>
        </w:rPr>
      </w:pPr>
    </w:p>
    <w:p w14:paraId="2E895A20">
      <w:pPr>
        <w:pStyle w:val="241"/>
        <w:rPr>
          <w:rFonts w:hint="eastAsia" w:ascii="宋体" w:hAnsi="宋体" w:cs="宋体"/>
          <w:b/>
          <w:bCs/>
          <w:color w:val="auto"/>
          <w:sz w:val="24"/>
          <w:highlight w:val="none"/>
        </w:rPr>
      </w:pPr>
    </w:p>
    <w:p w14:paraId="5E27DABB">
      <w:pPr>
        <w:pStyle w:val="241"/>
        <w:rPr>
          <w:rFonts w:hint="eastAsia" w:ascii="宋体" w:hAnsi="宋体" w:cs="宋体"/>
          <w:b/>
          <w:bCs/>
          <w:color w:val="auto"/>
          <w:sz w:val="24"/>
          <w:highlight w:val="none"/>
        </w:rPr>
      </w:pPr>
    </w:p>
    <w:p w14:paraId="5BCDC2CA">
      <w:pPr>
        <w:pStyle w:val="241"/>
        <w:rPr>
          <w:rFonts w:hint="eastAsia" w:ascii="宋体" w:hAnsi="宋体" w:cs="宋体"/>
          <w:b/>
          <w:bCs/>
          <w:color w:val="auto"/>
          <w:sz w:val="24"/>
          <w:highlight w:val="none"/>
        </w:rPr>
      </w:pPr>
    </w:p>
    <w:p w14:paraId="7D6F1596">
      <w:pPr>
        <w:pStyle w:val="241"/>
        <w:rPr>
          <w:rFonts w:hint="eastAsia" w:ascii="宋体" w:hAnsi="宋体" w:cs="宋体"/>
          <w:b/>
          <w:bCs/>
          <w:color w:val="auto"/>
          <w:sz w:val="24"/>
          <w:highlight w:val="none"/>
        </w:rPr>
      </w:pPr>
    </w:p>
    <w:p w14:paraId="0392B3BE">
      <w:pPr>
        <w:pStyle w:val="241"/>
        <w:rPr>
          <w:rFonts w:hint="eastAsia" w:ascii="宋体" w:hAnsi="宋体" w:cs="宋体"/>
          <w:b/>
          <w:bCs/>
          <w:color w:val="auto"/>
          <w:sz w:val="24"/>
          <w:highlight w:val="none"/>
        </w:rPr>
      </w:pPr>
    </w:p>
    <w:p w14:paraId="15C0B10E">
      <w:pPr>
        <w:pStyle w:val="241"/>
        <w:rPr>
          <w:rFonts w:hint="eastAsia" w:ascii="宋体" w:hAnsi="宋体" w:cs="宋体"/>
          <w:b/>
          <w:bCs/>
          <w:color w:val="auto"/>
          <w:sz w:val="24"/>
          <w:highlight w:val="none"/>
        </w:rPr>
      </w:pPr>
    </w:p>
    <w:p w14:paraId="558E54AE">
      <w:pPr>
        <w:pStyle w:val="241"/>
        <w:rPr>
          <w:rFonts w:hint="eastAsia" w:ascii="宋体" w:hAnsi="宋体" w:cs="宋体"/>
          <w:b/>
          <w:bCs/>
          <w:color w:val="auto"/>
          <w:sz w:val="24"/>
          <w:highlight w:val="none"/>
        </w:rPr>
      </w:pPr>
    </w:p>
    <w:p w14:paraId="1B89C7BE">
      <w:pPr>
        <w:pStyle w:val="241"/>
        <w:rPr>
          <w:rFonts w:hint="eastAsia" w:ascii="宋体" w:hAnsi="宋体" w:cs="宋体"/>
          <w:b/>
          <w:bCs/>
          <w:color w:val="auto"/>
          <w:sz w:val="24"/>
          <w:highlight w:val="none"/>
        </w:rPr>
      </w:pPr>
    </w:p>
    <w:p w14:paraId="7FC1DB38">
      <w:pPr>
        <w:spacing w:before="50" w:after="50"/>
        <w:jc w:val="center"/>
        <w:outlineLvl w:val="1"/>
        <w:rPr>
          <w:rFonts w:hint="eastAsia" w:ascii="宋体" w:hAnsi="宋体" w:cs="宋体"/>
          <w:b/>
          <w:bCs/>
          <w:color w:val="auto"/>
          <w:sz w:val="24"/>
          <w:highlight w:val="none"/>
        </w:rPr>
      </w:pPr>
      <w:bookmarkStart w:id="146" w:name="_Toc30641"/>
      <w:r>
        <w:rPr>
          <w:rFonts w:hint="eastAsia" w:ascii="宋体" w:hAnsi="宋体" w:cs="宋体"/>
          <w:b/>
          <w:bCs/>
          <w:color w:val="auto"/>
          <w:sz w:val="24"/>
          <w:highlight w:val="none"/>
        </w:rPr>
        <w:t>第六章  投标文件格式</w:t>
      </w:r>
      <w:bookmarkEnd w:id="146"/>
    </w:p>
    <w:p w14:paraId="2E67D985">
      <w:pPr>
        <w:spacing w:before="50" w:after="50"/>
        <w:outlineLvl w:val="1"/>
        <w:rPr>
          <w:rFonts w:hint="eastAsia" w:ascii="宋体" w:hAnsi="宋体" w:cs="宋体"/>
          <w:b/>
          <w:bCs/>
          <w:color w:val="auto"/>
          <w:sz w:val="24"/>
          <w:highlight w:val="none"/>
        </w:rPr>
      </w:pPr>
    </w:p>
    <w:p w14:paraId="4C6DCBEC">
      <w:pPr>
        <w:spacing w:before="120" w:after="50" w:line="360" w:lineRule="auto"/>
        <w:ind w:left="142"/>
        <w:jc w:val="left"/>
        <w:rPr>
          <w:rFonts w:hint="eastAsia" w:ascii="宋体" w:hAnsi="宋体" w:cs="宋体"/>
          <w:b/>
          <w:color w:val="auto"/>
          <w:sz w:val="24"/>
          <w:highlight w:val="none"/>
        </w:rPr>
      </w:pPr>
    </w:p>
    <w:p w14:paraId="0115CF93">
      <w:pPr>
        <w:spacing w:before="120" w:after="50" w:line="360" w:lineRule="auto"/>
        <w:ind w:left="142"/>
        <w:jc w:val="left"/>
        <w:rPr>
          <w:rFonts w:hint="eastAsia" w:ascii="宋体" w:hAnsi="宋体" w:cs="宋体"/>
          <w:b/>
          <w:color w:val="auto"/>
          <w:sz w:val="24"/>
          <w:highlight w:val="none"/>
        </w:rPr>
      </w:pPr>
    </w:p>
    <w:p w14:paraId="5E18FBB8">
      <w:pPr>
        <w:spacing w:before="120" w:after="50" w:line="360" w:lineRule="auto"/>
        <w:ind w:left="142"/>
        <w:jc w:val="left"/>
        <w:rPr>
          <w:rFonts w:hint="eastAsia" w:ascii="宋体" w:hAnsi="宋体" w:cs="宋体"/>
          <w:b/>
          <w:color w:val="auto"/>
          <w:sz w:val="24"/>
          <w:highlight w:val="none"/>
        </w:rPr>
      </w:pPr>
    </w:p>
    <w:p w14:paraId="63ECB881">
      <w:pPr>
        <w:spacing w:before="120" w:after="50" w:line="360" w:lineRule="auto"/>
        <w:ind w:left="142"/>
        <w:jc w:val="left"/>
        <w:rPr>
          <w:rFonts w:hint="eastAsia" w:ascii="宋体" w:hAnsi="宋体" w:cs="宋体"/>
          <w:b/>
          <w:color w:val="auto"/>
          <w:sz w:val="24"/>
          <w:highlight w:val="none"/>
        </w:rPr>
      </w:pPr>
    </w:p>
    <w:p w14:paraId="12C63F9C">
      <w:pPr>
        <w:spacing w:before="120" w:after="50" w:line="360" w:lineRule="auto"/>
        <w:ind w:left="142"/>
        <w:jc w:val="left"/>
        <w:rPr>
          <w:rFonts w:hint="eastAsia" w:ascii="宋体" w:hAnsi="宋体" w:cs="宋体"/>
          <w:b/>
          <w:color w:val="auto"/>
          <w:sz w:val="24"/>
          <w:highlight w:val="none"/>
        </w:rPr>
      </w:pPr>
    </w:p>
    <w:p w14:paraId="6B13453C">
      <w:pPr>
        <w:spacing w:before="120" w:after="50" w:line="360" w:lineRule="auto"/>
        <w:ind w:left="142"/>
        <w:jc w:val="left"/>
        <w:rPr>
          <w:rFonts w:hint="eastAsia" w:ascii="宋体" w:hAnsi="宋体" w:cs="宋体"/>
          <w:b/>
          <w:color w:val="auto"/>
          <w:sz w:val="24"/>
          <w:highlight w:val="none"/>
        </w:rPr>
      </w:pPr>
    </w:p>
    <w:p w14:paraId="751882B6">
      <w:pPr>
        <w:spacing w:before="120" w:after="50" w:line="360" w:lineRule="auto"/>
        <w:ind w:left="142"/>
        <w:jc w:val="left"/>
        <w:rPr>
          <w:rFonts w:hint="eastAsia" w:ascii="宋体" w:hAnsi="宋体" w:cs="宋体"/>
          <w:b/>
          <w:color w:val="auto"/>
          <w:sz w:val="24"/>
          <w:highlight w:val="none"/>
        </w:rPr>
      </w:pPr>
    </w:p>
    <w:p w14:paraId="2CD97D92">
      <w:pPr>
        <w:spacing w:before="120" w:after="50" w:line="360" w:lineRule="auto"/>
        <w:ind w:left="142"/>
        <w:jc w:val="left"/>
        <w:rPr>
          <w:rFonts w:hint="eastAsia" w:ascii="宋体" w:hAnsi="宋体" w:cs="宋体"/>
          <w:b/>
          <w:color w:val="auto"/>
          <w:sz w:val="24"/>
          <w:highlight w:val="none"/>
        </w:rPr>
      </w:pPr>
    </w:p>
    <w:p w14:paraId="0F683971">
      <w:pPr>
        <w:pStyle w:val="276"/>
        <w:rPr>
          <w:rFonts w:hint="eastAsia" w:cs="宋体"/>
          <w:b/>
          <w:color w:val="auto"/>
          <w:highlight w:val="none"/>
        </w:rPr>
      </w:pPr>
    </w:p>
    <w:p w14:paraId="34C26102">
      <w:pPr>
        <w:pStyle w:val="276"/>
        <w:rPr>
          <w:rFonts w:hint="eastAsia" w:cs="宋体"/>
          <w:b/>
          <w:color w:val="auto"/>
          <w:highlight w:val="none"/>
        </w:rPr>
      </w:pPr>
    </w:p>
    <w:p w14:paraId="2B755049">
      <w:pPr>
        <w:pStyle w:val="276"/>
        <w:rPr>
          <w:rFonts w:hint="eastAsia" w:cs="宋体"/>
          <w:b/>
          <w:color w:val="auto"/>
          <w:highlight w:val="none"/>
        </w:rPr>
      </w:pPr>
    </w:p>
    <w:p w14:paraId="4D5EFDC8">
      <w:pPr>
        <w:spacing w:before="120" w:after="50" w:line="360" w:lineRule="auto"/>
        <w:ind w:left="142"/>
        <w:jc w:val="left"/>
        <w:rPr>
          <w:rFonts w:hint="eastAsia" w:ascii="宋体" w:hAnsi="宋体" w:cs="宋体"/>
          <w:b/>
          <w:color w:val="auto"/>
          <w:sz w:val="24"/>
          <w:highlight w:val="none"/>
        </w:rPr>
      </w:pPr>
    </w:p>
    <w:p w14:paraId="728C1B9F">
      <w:pPr>
        <w:spacing w:before="120" w:after="50" w:line="360" w:lineRule="auto"/>
        <w:ind w:left="142"/>
        <w:jc w:val="left"/>
        <w:rPr>
          <w:rFonts w:hint="eastAsia" w:ascii="宋体" w:hAnsi="宋体" w:cs="宋体"/>
          <w:color w:val="auto"/>
          <w:sz w:val="24"/>
          <w:szCs w:val="20"/>
          <w:highlight w:val="none"/>
        </w:rPr>
      </w:pPr>
      <w:r>
        <w:rPr>
          <w:rFonts w:hint="eastAsia" w:ascii="宋体" w:hAnsi="宋体" w:cs="宋体"/>
          <w:b/>
          <w:color w:val="auto"/>
          <w:sz w:val="24"/>
          <w:highlight w:val="none"/>
        </w:rPr>
        <w:t xml:space="preserve">1. 报价文件封面格式： </w:t>
      </w:r>
    </w:p>
    <w:p w14:paraId="02C41B0D">
      <w:pPr>
        <w:spacing w:before="120" w:after="50" w:line="360" w:lineRule="auto"/>
        <w:ind w:left="142"/>
        <w:jc w:val="center"/>
        <w:rPr>
          <w:rFonts w:hint="eastAsia" w:ascii="宋体" w:hAnsi="宋体" w:cs="宋体"/>
          <w:bCs/>
          <w:color w:val="auto"/>
          <w:sz w:val="48"/>
          <w:szCs w:val="48"/>
          <w:highlight w:val="none"/>
        </w:rPr>
      </w:pPr>
      <w:r>
        <w:rPr>
          <w:rFonts w:hint="eastAsia" w:ascii="宋体" w:hAnsi="宋体" w:cs="宋体"/>
          <w:bCs/>
          <w:color w:val="auto"/>
          <w:sz w:val="48"/>
          <w:szCs w:val="48"/>
          <w:highlight w:val="none"/>
        </w:rPr>
        <w:t>电子投标文件</w:t>
      </w:r>
    </w:p>
    <w:p w14:paraId="2217EF11">
      <w:pPr>
        <w:spacing w:before="120" w:after="50" w:line="400" w:lineRule="exact"/>
        <w:rPr>
          <w:rFonts w:hint="eastAsia" w:ascii="宋体" w:hAnsi="宋体" w:cs="宋体"/>
          <w:bCs/>
          <w:color w:val="auto"/>
          <w:sz w:val="32"/>
          <w:szCs w:val="20"/>
          <w:highlight w:val="none"/>
        </w:rPr>
      </w:pPr>
      <w:r>
        <w:rPr>
          <w:rFonts w:hint="eastAsia" w:ascii="宋体" w:hAnsi="宋体" w:cs="宋体"/>
          <w:color w:val="auto"/>
          <w:sz w:val="24"/>
          <w:highlight w:val="none"/>
        </w:rPr>
        <w:t xml:space="preserve">                 </w:t>
      </w:r>
    </w:p>
    <w:p w14:paraId="0612E708">
      <w:pPr>
        <w:spacing w:before="120" w:after="50" w:line="400" w:lineRule="exact"/>
        <w:jc w:val="center"/>
        <w:rPr>
          <w:rFonts w:hint="eastAsia" w:ascii="宋体" w:hAnsi="宋体" w:cs="宋体"/>
          <w:bCs/>
          <w:color w:val="auto"/>
          <w:sz w:val="24"/>
          <w:szCs w:val="20"/>
          <w:highlight w:val="none"/>
        </w:rPr>
      </w:pPr>
    </w:p>
    <w:p w14:paraId="732ABEAC">
      <w:pPr>
        <w:spacing w:before="120" w:after="50" w:line="400" w:lineRule="exact"/>
        <w:jc w:val="cente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报价文件</w:t>
      </w:r>
    </w:p>
    <w:p w14:paraId="1616E3C7">
      <w:pPr>
        <w:spacing w:before="120" w:after="50" w:line="400" w:lineRule="exact"/>
        <w:rPr>
          <w:rFonts w:hint="eastAsia" w:ascii="宋体" w:hAnsi="宋体" w:cs="宋体"/>
          <w:bCs/>
          <w:color w:val="auto"/>
          <w:sz w:val="24"/>
          <w:szCs w:val="20"/>
          <w:highlight w:val="none"/>
        </w:rPr>
      </w:pPr>
    </w:p>
    <w:p w14:paraId="7FB0D453">
      <w:pPr>
        <w:spacing w:before="120" w:after="50" w:line="400" w:lineRule="exact"/>
        <w:rPr>
          <w:rFonts w:hint="eastAsia" w:ascii="宋体" w:hAnsi="宋体" w:cs="宋体"/>
          <w:bCs/>
          <w:color w:val="auto"/>
          <w:sz w:val="24"/>
          <w:szCs w:val="20"/>
          <w:highlight w:val="none"/>
        </w:rPr>
      </w:pPr>
    </w:p>
    <w:p w14:paraId="5D041654">
      <w:pPr>
        <w:spacing w:before="120" w:after="50" w:line="400" w:lineRule="exact"/>
        <w:rPr>
          <w:rFonts w:hint="eastAsia" w:ascii="宋体" w:hAnsi="宋体" w:cs="宋体"/>
          <w:bCs/>
          <w:color w:val="auto"/>
          <w:sz w:val="24"/>
          <w:szCs w:val="20"/>
          <w:highlight w:val="none"/>
        </w:rPr>
      </w:pPr>
    </w:p>
    <w:p w14:paraId="3052A74E">
      <w:pPr>
        <w:spacing w:before="120" w:after="50" w:line="400" w:lineRule="exact"/>
        <w:rPr>
          <w:rFonts w:hint="eastAsia" w:ascii="宋体" w:hAnsi="宋体" w:cs="宋体"/>
          <w:bCs/>
          <w:color w:val="auto"/>
          <w:sz w:val="24"/>
          <w:szCs w:val="20"/>
          <w:highlight w:val="none"/>
        </w:rPr>
      </w:pPr>
    </w:p>
    <w:p w14:paraId="50212F85">
      <w:pPr>
        <w:spacing w:before="120" w:after="50" w:line="400" w:lineRule="exact"/>
        <w:ind w:firstLine="360"/>
        <w:rPr>
          <w:rFonts w:hint="eastAsia" w:ascii="宋体" w:hAnsi="宋体" w:cs="宋体"/>
          <w:bCs/>
          <w:color w:val="auto"/>
          <w:sz w:val="24"/>
          <w:highlight w:val="none"/>
        </w:rPr>
      </w:pPr>
      <w:r>
        <w:rPr>
          <w:rFonts w:hint="eastAsia" w:ascii="宋体" w:hAnsi="宋体" w:cs="宋体"/>
          <w:bCs/>
          <w:color w:val="auto"/>
          <w:sz w:val="24"/>
          <w:highlight w:val="none"/>
        </w:rPr>
        <w:t xml:space="preserve">项目名称： </w:t>
      </w:r>
    </w:p>
    <w:p w14:paraId="6078BED2">
      <w:pPr>
        <w:spacing w:before="120" w:after="50" w:line="400" w:lineRule="exact"/>
        <w:ind w:firstLine="360"/>
        <w:rPr>
          <w:rFonts w:hint="eastAsia" w:ascii="宋体" w:hAnsi="宋体" w:cs="宋体"/>
          <w:bCs/>
          <w:color w:val="auto"/>
          <w:sz w:val="24"/>
          <w:highlight w:val="none"/>
        </w:rPr>
      </w:pPr>
    </w:p>
    <w:p w14:paraId="0D9B1709">
      <w:pPr>
        <w:spacing w:before="120" w:after="50" w:line="400" w:lineRule="exact"/>
        <w:ind w:firstLine="360"/>
        <w:rPr>
          <w:rFonts w:hint="eastAsia" w:ascii="宋体" w:hAnsi="宋体" w:cs="宋体"/>
          <w:color w:val="auto"/>
          <w:highlight w:val="none"/>
        </w:rPr>
      </w:pPr>
      <w:r>
        <w:rPr>
          <w:rFonts w:hint="eastAsia" w:ascii="宋体" w:hAnsi="宋体" w:cs="宋体"/>
          <w:bCs/>
          <w:color w:val="auto"/>
          <w:sz w:val="24"/>
          <w:highlight w:val="none"/>
        </w:rPr>
        <w:t xml:space="preserve">项目编号： </w:t>
      </w:r>
    </w:p>
    <w:p w14:paraId="4E62B7EF">
      <w:pPr>
        <w:spacing w:before="120" w:after="50"/>
        <w:ind w:firstLine="360"/>
        <w:rPr>
          <w:rFonts w:hint="eastAsia" w:ascii="宋体" w:hAnsi="宋体" w:cs="宋体"/>
          <w:bCs/>
          <w:color w:val="auto"/>
          <w:sz w:val="24"/>
          <w:highlight w:val="none"/>
        </w:rPr>
      </w:pPr>
    </w:p>
    <w:p w14:paraId="5DBE5B6F">
      <w:pPr>
        <w:pStyle w:val="198"/>
        <w:rPr>
          <w:rFonts w:hint="eastAsia" w:ascii="宋体" w:hAnsi="宋体" w:eastAsia="宋体" w:cs="宋体"/>
          <w:color w:val="auto"/>
          <w:highlight w:val="none"/>
        </w:rPr>
      </w:pPr>
    </w:p>
    <w:p w14:paraId="64DCF7C5">
      <w:pPr>
        <w:spacing w:before="120" w:after="50" w:line="400" w:lineRule="exact"/>
        <w:ind w:firstLine="360"/>
        <w:rPr>
          <w:rFonts w:hint="eastAsia" w:ascii="宋体" w:hAnsi="宋体" w:cs="宋体"/>
          <w:bCs/>
          <w:color w:val="auto"/>
          <w:sz w:val="24"/>
          <w:highlight w:val="none"/>
        </w:rPr>
      </w:pPr>
      <w:r>
        <w:rPr>
          <w:rFonts w:hint="eastAsia" w:ascii="宋体" w:hAnsi="宋体" w:cs="宋体"/>
          <w:bCs/>
          <w:color w:val="auto"/>
          <w:sz w:val="24"/>
          <w:highlight w:val="none"/>
        </w:rPr>
        <w:t>投标人名称：</w:t>
      </w:r>
    </w:p>
    <w:p w14:paraId="3F5ABC72">
      <w:pPr>
        <w:spacing w:before="120" w:after="50" w:line="400" w:lineRule="exact"/>
        <w:ind w:firstLine="360"/>
        <w:rPr>
          <w:rFonts w:hint="eastAsia" w:ascii="宋体" w:hAnsi="宋体" w:cs="宋体"/>
          <w:bCs/>
          <w:color w:val="auto"/>
          <w:sz w:val="24"/>
          <w:highlight w:val="none"/>
        </w:rPr>
      </w:pPr>
    </w:p>
    <w:p w14:paraId="6460E302">
      <w:pPr>
        <w:spacing w:before="120" w:after="50" w:line="400" w:lineRule="exact"/>
        <w:ind w:firstLine="360"/>
        <w:rPr>
          <w:rFonts w:hint="eastAsia" w:ascii="宋体" w:hAnsi="宋体" w:cs="宋体"/>
          <w:bCs/>
          <w:color w:val="auto"/>
          <w:sz w:val="24"/>
          <w:highlight w:val="none"/>
        </w:rPr>
      </w:pPr>
      <w:r>
        <w:rPr>
          <w:rFonts w:hint="eastAsia" w:ascii="宋体" w:hAnsi="宋体" w:cs="宋体"/>
          <w:bCs/>
          <w:color w:val="auto"/>
          <w:sz w:val="24"/>
          <w:highlight w:val="none"/>
        </w:rPr>
        <w:t>投标人地址：</w:t>
      </w:r>
    </w:p>
    <w:p w14:paraId="61DD671A">
      <w:pPr>
        <w:pStyle w:val="200"/>
        <w:spacing w:before="50" w:after="50" w:line="400" w:lineRule="exact"/>
        <w:ind w:firstLine="960"/>
        <w:rPr>
          <w:rFonts w:hint="eastAsia" w:ascii="宋体" w:hAnsi="宋体" w:cs="宋体"/>
          <w:bCs/>
          <w:color w:val="auto"/>
          <w:sz w:val="24"/>
          <w:szCs w:val="24"/>
          <w:highlight w:val="none"/>
        </w:rPr>
      </w:pPr>
    </w:p>
    <w:p w14:paraId="7A72DF93">
      <w:pPr>
        <w:spacing w:before="120" w:after="50" w:line="400" w:lineRule="exact"/>
        <w:rPr>
          <w:rFonts w:hint="eastAsia" w:ascii="宋体" w:hAnsi="宋体" w:cs="宋体"/>
          <w:color w:val="auto"/>
          <w:sz w:val="30"/>
          <w:szCs w:val="20"/>
          <w:highlight w:val="none"/>
        </w:rPr>
      </w:pPr>
      <w:r>
        <w:rPr>
          <w:rFonts w:hint="eastAsia" w:ascii="宋体" w:hAnsi="宋体" w:cs="宋体"/>
          <w:color w:val="auto"/>
          <w:sz w:val="24"/>
          <w:highlight w:val="none"/>
        </w:rPr>
        <w:t xml:space="preserve">                                   年  月  日</w:t>
      </w:r>
    </w:p>
    <w:p w14:paraId="6AE74E79">
      <w:pPr>
        <w:spacing w:before="120" w:after="50" w:line="360" w:lineRule="auto"/>
        <w:jc w:val="left"/>
        <w:rPr>
          <w:rFonts w:hint="eastAsia" w:ascii="宋体" w:hAnsi="宋体" w:cs="宋体"/>
          <w:color w:val="auto"/>
          <w:sz w:val="24"/>
          <w:szCs w:val="20"/>
          <w:highlight w:val="none"/>
        </w:rPr>
      </w:pPr>
      <w:r>
        <w:rPr>
          <w:rFonts w:hint="eastAsia" w:ascii="宋体" w:hAnsi="宋体" w:cs="宋体"/>
          <w:b/>
          <w:color w:val="auto"/>
          <w:sz w:val="24"/>
          <w:highlight w:val="none"/>
        </w:rPr>
        <w:br w:type="page" w:clear="all"/>
      </w:r>
      <w:r>
        <w:rPr>
          <w:rFonts w:hint="eastAsia" w:ascii="宋体" w:hAnsi="宋体" w:cs="宋体"/>
          <w:b/>
          <w:color w:val="auto"/>
          <w:sz w:val="24"/>
          <w:highlight w:val="none"/>
        </w:rPr>
        <w:t>2.</w:t>
      </w:r>
      <w:r>
        <w:rPr>
          <w:rFonts w:hint="eastAsia" w:ascii="宋体" w:hAnsi="宋体" w:cs="宋体"/>
          <w:b/>
          <w:bCs/>
          <w:color w:val="auto"/>
          <w:sz w:val="24"/>
          <w:highlight w:val="none"/>
        </w:rPr>
        <w:t>报价文件目录</w:t>
      </w:r>
    </w:p>
    <w:p w14:paraId="256178A9">
      <w:pPr>
        <w:spacing w:before="50" w:after="120" w:line="360" w:lineRule="auto"/>
        <w:jc w:val="left"/>
        <w:rPr>
          <w:rFonts w:hint="eastAsia" w:ascii="宋体" w:hAnsi="宋体" w:cs="宋体"/>
          <w:b/>
          <w:color w:val="auto"/>
          <w:sz w:val="24"/>
          <w:highlight w:val="none"/>
        </w:rPr>
      </w:pPr>
      <w:r>
        <w:rPr>
          <w:rFonts w:hint="eastAsia" w:ascii="宋体" w:hAnsi="宋体" w:cs="宋体"/>
          <w:color w:val="auto"/>
          <w:szCs w:val="21"/>
          <w:highlight w:val="none"/>
        </w:rPr>
        <w:t>根据招标文件规定及投标人提供的材料自行编写目录。</w:t>
      </w:r>
    </w:p>
    <w:p w14:paraId="363886ED">
      <w:pPr>
        <w:spacing w:before="120" w:after="50"/>
        <w:rPr>
          <w:rFonts w:hint="eastAsia" w:ascii="宋体" w:hAnsi="宋体" w:cs="宋体"/>
          <w:b/>
          <w:color w:val="auto"/>
          <w:sz w:val="24"/>
          <w:highlight w:val="none"/>
        </w:rPr>
      </w:pPr>
    </w:p>
    <w:p w14:paraId="2044D539">
      <w:pPr>
        <w:spacing w:before="120" w:after="50"/>
        <w:rPr>
          <w:rFonts w:hint="eastAsia" w:ascii="宋体" w:hAnsi="宋体" w:cs="宋体"/>
          <w:b/>
          <w:color w:val="auto"/>
          <w:sz w:val="24"/>
          <w:highlight w:val="none"/>
        </w:rPr>
      </w:pPr>
    </w:p>
    <w:p w14:paraId="76CF5D81">
      <w:pPr>
        <w:spacing w:before="120" w:after="50"/>
        <w:rPr>
          <w:rFonts w:hint="eastAsia" w:ascii="宋体" w:hAnsi="宋体" w:cs="宋体"/>
          <w:b/>
          <w:color w:val="auto"/>
          <w:sz w:val="24"/>
          <w:highlight w:val="none"/>
        </w:rPr>
      </w:pPr>
    </w:p>
    <w:p w14:paraId="525F25E8">
      <w:pPr>
        <w:spacing w:before="120" w:after="50"/>
        <w:ind w:left="142"/>
        <w:jc w:val="left"/>
        <w:rPr>
          <w:rFonts w:hint="eastAsia" w:ascii="宋体" w:hAnsi="宋体" w:cs="宋体"/>
          <w:b/>
          <w:color w:val="auto"/>
          <w:sz w:val="24"/>
          <w:highlight w:val="none"/>
        </w:rPr>
      </w:pPr>
      <w:r>
        <w:rPr>
          <w:rFonts w:hint="eastAsia" w:ascii="宋体" w:hAnsi="宋体" w:cs="宋体"/>
          <w:b/>
          <w:color w:val="auto"/>
          <w:sz w:val="24"/>
          <w:highlight w:val="none"/>
        </w:rPr>
        <w:br w:type="page" w:clear="all"/>
      </w:r>
      <w:r>
        <w:rPr>
          <w:rFonts w:hint="eastAsia" w:ascii="宋体" w:hAnsi="宋体" w:cs="宋体"/>
          <w:b/>
          <w:color w:val="auto"/>
          <w:sz w:val="24"/>
          <w:highlight w:val="none"/>
        </w:rPr>
        <w:t>3. 投标函格式：</w:t>
      </w:r>
    </w:p>
    <w:p w14:paraId="7EB4FA09">
      <w:pPr>
        <w:spacing w:before="120" w:after="50" w:line="320" w:lineRule="exact"/>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投 标 函</w:t>
      </w:r>
    </w:p>
    <w:p w14:paraId="41CFA4F2">
      <w:pPr>
        <w:spacing w:before="120" w:after="50" w:line="320" w:lineRule="exact"/>
        <w:jc w:val="center"/>
        <w:rPr>
          <w:rFonts w:hint="eastAsia" w:ascii="宋体" w:hAnsi="宋体" w:cs="宋体"/>
          <w:b/>
          <w:color w:val="auto"/>
          <w:sz w:val="24"/>
          <w:szCs w:val="20"/>
          <w:highlight w:val="none"/>
        </w:rPr>
      </w:pPr>
    </w:p>
    <w:p w14:paraId="07512EA4">
      <w:pPr>
        <w:spacing w:before="120" w:after="50" w:line="320" w:lineRule="exact"/>
        <w:jc w:val="center"/>
        <w:rPr>
          <w:rFonts w:hint="eastAsia" w:ascii="宋体" w:hAnsi="宋体" w:cs="宋体"/>
          <w:b/>
          <w:color w:val="auto"/>
          <w:sz w:val="24"/>
          <w:szCs w:val="20"/>
          <w:highlight w:val="none"/>
        </w:rPr>
      </w:pPr>
    </w:p>
    <w:p w14:paraId="5464F0AE">
      <w:pPr>
        <w:spacing w:before="120" w:after="50" w:line="320" w:lineRule="exact"/>
        <w:jc w:val="center"/>
        <w:rPr>
          <w:rFonts w:hint="eastAsia" w:ascii="宋体" w:hAnsi="宋体" w:cs="宋体"/>
          <w:b/>
          <w:color w:val="auto"/>
          <w:sz w:val="24"/>
          <w:szCs w:val="20"/>
          <w:highlight w:val="none"/>
        </w:rPr>
      </w:pPr>
    </w:p>
    <w:p w14:paraId="095F9F8A">
      <w:pPr>
        <w:spacing w:line="360" w:lineRule="auto"/>
        <w:rPr>
          <w:rFonts w:hint="eastAsia"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采购人名称</w:t>
      </w:r>
      <w:r>
        <w:rPr>
          <w:rFonts w:hint="eastAsia" w:ascii="宋体" w:hAnsi="宋体" w:cs="宋体"/>
          <w:color w:val="auto"/>
          <w:sz w:val="24"/>
          <w:highlight w:val="none"/>
        </w:rPr>
        <w:t>：</w:t>
      </w:r>
    </w:p>
    <w:p w14:paraId="33CF3245">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根据贵方</w:t>
      </w:r>
      <w:r>
        <w:rPr>
          <w:rFonts w:hint="eastAsia" w:ascii="宋体" w:hAnsi="宋体" w:cs="宋体"/>
          <w:color w:val="auto"/>
          <w:sz w:val="24"/>
          <w:highlight w:val="none"/>
          <w:u w:val="single"/>
        </w:rPr>
        <w:t xml:space="preserve"> 项目名称</w:t>
      </w:r>
      <w:r>
        <w:rPr>
          <w:rFonts w:hint="eastAsia" w:ascii="宋体" w:hAnsi="宋体" w:cs="宋体"/>
          <w:color w:val="auto"/>
          <w:sz w:val="24"/>
          <w:highlight w:val="none"/>
        </w:rPr>
        <w:t>（项目编号：</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）的招标公告，签字代表______</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（姓名）经正式授权并代表投标人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（投标人名称）提交投标文件。</w:t>
      </w:r>
    </w:p>
    <w:p w14:paraId="3D30C8F7">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据此函，我方宣布同意如下：</w:t>
      </w:r>
    </w:p>
    <w:p w14:paraId="4EE450FD">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1.我方已详细审查全部“招标文件”，包括修改文件（如有的话）以及全部参考资料和有关附件，已经了解我方对于招标文件、采购过程、采购结果有依法进行询问、质疑、投诉的权利及相关渠道和要求。</w:t>
      </w:r>
    </w:p>
    <w:p w14:paraId="16330636">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2.我方在投标之前已经完全理解并接受招标文件的各项规定和要求，对招标文件的合理性、合法性不再有异议。</w:t>
      </w:r>
    </w:p>
    <w:p w14:paraId="52B8FE55">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3.本投标有效期自投标截止之日起</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p>
    <w:p w14:paraId="344804A7">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4.如中标，本投标文件至本项目合同履行完毕止均保持有效，我方将按“招标文件”及政府采购法律、法规的规定履行合同责任和义务。</w:t>
      </w:r>
    </w:p>
    <w:p w14:paraId="60BD40F6">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5.我方同意按照贵方要求提供与投标有关的一切数据或者资料。</w:t>
      </w:r>
    </w:p>
    <w:p w14:paraId="16D72645">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6.我方向贵方提交的所有投标文件、资料都是准确的和真实的。</w:t>
      </w:r>
    </w:p>
    <w:p w14:paraId="1C4FEEFB">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7.以上事项如有虚假或者隐瞒，我方愿意承担一切后果，并不再寻求任何旨在减轻或者免除法律责任的辩解。</w:t>
      </w:r>
    </w:p>
    <w:p w14:paraId="56C017F7">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8.根据《中华人民共和国政府采购法实施条例》第五十条要求对政府采购合同进行公告，但政府采购合同中涉及国家秘密、商业秘密的内容除外。我方就对本次投标文件进行注明如下：（两项内容中必须选择一项）</w:t>
      </w:r>
    </w:p>
    <w:p w14:paraId="67DE8201">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□我方本次投标文件内容中未涉及商业秘密；</w:t>
      </w:r>
    </w:p>
    <w:p w14:paraId="34740848">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□我方本次投标文件涉及商业秘密的内容有：</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003D3D23">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9.与本投标有关的一切正式往来信函请寄：</w:t>
      </w:r>
    </w:p>
    <w:p w14:paraId="14FE951B">
      <w:pPr>
        <w:spacing w:line="360" w:lineRule="auto"/>
        <w:ind w:firstLine="480"/>
        <w:rPr>
          <w:rFonts w:hint="eastAsia" w:ascii="宋体" w:hAnsi="宋体" w:cs="宋体"/>
          <w:color w:val="auto"/>
          <w:sz w:val="24"/>
          <w:highlight w:val="none"/>
          <w:u w:val="single"/>
        </w:rPr>
      </w:pPr>
      <w:r>
        <w:rPr>
          <w:rFonts w:hint="eastAsia" w:ascii="宋体" w:hAnsi="宋体" w:cs="宋体"/>
          <w:color w:val="auto"/>
          <w:sz w:val="24"/>
          <w:highlight w:val="none"/>
        </w:rPr>
        <w:t>地址：</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邮编：</w:t>
      </w:r>
      <w:r>
        <w:rPr>
          <w:rFonts w:hint="eastAsia" w:ascii="宋体" w:hAnsi="宋体" w:cs="宋体"/>
          <w:color w:val="auto"/>
          <w:sz w:val="24"/>
          <w:highlight w:val="none"/>
          <w:u w:val="single"/>
        </w:rPr>
        <w:t xml:space="preserve">            </w:t>
      </w:r>
    </w:p>
    <w:p w14:paraId="5B687D68">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电话：</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传真：</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电子邮箱：</w:t>
      </w:r>
      <w:r>
        <w:rPr>
          <w:rFonts w:hint="eastAsia" w:ascii="宋体" w:hAnsi="宋体" w:cs="宋体"/>
          <w:color w:val="auto"/>
          <w:sz w:val="24"/>
          <w:highlight w:val="none"/>
          <w:u w:val="single"/>
        </w:rPr>
        <w:t xml:space="preserve">         </w:t>
      </w:r>
    </w:p>
    <w:p w14:paraId="713B8B23">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投标人名称：</w:t>
      </w:r>
      <w:r>
        <w:rPr>
          <w:rFonts w:hint="eastAsia" w:ascii="宋体" w:hAnsi="宋体" w:cs="宋体"/>
          <w:color w:val="auto"/>
          <w:sz w:val="24"/>
          <w:highlight w:val="none"/>
          <w:u w:val="single"/>
        </w:rPr>
        <w:t xml:space="preserve">                </w:t>
      </w:r>
    </w:p>
    <w:p w14:paraId="07152C30">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开户银行：</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银行账号：</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70DD2B48">
      <w:pPr>
        <w:spacing w:line="360" w:lineRule="auto"/>
        <w:ind w:firstLine="480"/>
        <w:jc w:val="left"/>
        <w:rPr>
          <w:rFonts w:hint="eastAsia" w:ascii="宋体" w:hAnsi="宋体" w:cs="宋体"/>
          <w:color w:val="auto"/>
          <w:sz w:val="24"/>
          <w:highlight w:val="none"/>
        </w:rPr>
      </w:pPr>
    </w:p>
    <w:p w14:paraId="04C05CC4">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 xml:space="preserve">         法定代表人（或负责人）或者委托代理人（签字或者电子签名）：_______ </w:t>
      </w:r>
    </w:p>
    <w:p w14:paraId="42FC9E1A">
      <w:pPr>
        <w:pStyle w:val="230"/>
        <w:spacing w:before="295" w:after="295" w:line="360" w:lineRule="auto"/>
        <w:jc w:val="center"/>
        <w:rPr>
          <w:rFonts w:hint="eastAsia" w:hAnsi="宋体" w:cs="宋体"/>
          <w:color w:val="auto"/>
          <w:sz w:val="24"/>
          <w:szCs w:val="24"/>
          <w:highlight w:val="none"/>
          <w:u w:val="single"/>
        </w:rPr>
      </w:pPr>
      <w:r>
        <w:rPr>
          <w:rFonts w:hint="eastAsia" w:hAnsi="宋体" w:cs="宋体"/>
          <w:color w:val="auto"/>
          <w:sz w:val="24"/>
          <w:highlight w:val="none"/>
        </w:rPr>
        <w:t xml:space="preserve">                                     投标人名称（电子签章）：</w:t>
      </w:r>
    </w:p>
    <w:p w14:paraId="258241D5">
      <w:pPr>
        <w:pStyle w:val="230"/>
        <w:spacing w:before="295" w:after="295" w:line="360" w:lineRule="auto"/>
        <w:rPr>
          <w:rFonts w:hint="eastAsia" w:hAnsi="宋体" w:cs="宋体"/>
          <w:color w:val="auto"/>
          <w:sz w:val="24"/>
          <w:highlight w:val="none"/>
        </w:rPr>
      </w:pPr>
      <w:r>
        <w:rPr>
          <w:rFonts w:hint="eastAsia" w:hAnsi="宋体" w:cs="宋体"/>
          <w:color w:val="auto"/>
          <w:sz w:val="24"/>
          <w:szCs w:val="24"/>
          <w:highlight w:val="none"/>
        </w:rPr>
        <w:t xml:space="preserve">                                                </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年</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月</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日</w:t>
      </w:r>
    </w:p>
    <w:p w14:paraId="17816A1A">
      <w:pPr>
        <w:spacing w:before="120" w:after="50"/>
        <w:jc w:val="left"/>
        <w:rPr>
          <w:rFonts w:hint="eastAsia" w:ascii="宋体" w:hAnsi="宋体" w:cs="宋体"/>
          <w:b/>
          <w:color w:val="auto"/>
          <w:sz w:val="24"/>
          <w:szCs w:val="20"/>
          <w:highlight w:val="none"/>
        </w:rPr>
      </w:pPr>
      <w:r>
        <w:rPr>
          <w:rFonts w:hint="eastAsia" w:ascii="宋体" w:hAnsi="宋体" w:cs="宋体"/>
          <w:color w:val="auto"/>
          <w:highlight w:val="none"/>
          <w:u w:val="single"/>
        </w:rPr>
        <w:br w:type="page" w:clear="all"/>
      </w:r>
      <w:r>
        <w:rPr>
          <w:rFonts w:hint="eastAsia" w:ascii="宋体" w:hAnsi="宋体" w:cs="宋体"/>
          <w:b/>
          <w:color w:val="auto"/>
          <w:sz w:val="24"/>
          <w:highlight w:val="none"/>
        </w:rPr>
        <w:t>4. 开标一览表</w:t>
      </w:r>
    </w:p>
    <w:p w14:paraId="7B1E7CFA">
      <w:pPr>
        <w:spacing w:before="50" w:after="50"/>
        <w:jc w:val="center"/>
        <w:rPr>
          <w:rFonts w:hint="eastAsia" w:ascii="宋体" w:hAnsi="宋体" w:cs="宋体"/>
          <w:b/>
          <w:color w:val="auto"/>
          <w:sz w:val="30"/>
          <w:highlight w:val="none"/>
        </w:rPr>
      </w:pPr>
      <w:r>
        <w:rPr>
          <w:rFonts w:hint="eastAsia" w:ascii="宋体" w:hAnsi="宋体" w:cs="宋体"/>
          <w:b/>
          <w:color w:val="auto"/>
          <w:sz w:val="30"/>
          <w:highlight w:val="none"/>
        </w:rPr>
        <w:t>开标一览表</w:t>
      </w:r>
    </w:p>
    <w:p w14:paraId="02B389CD">
      <w:pPr>
        <w:spacing w:before="50" w:after="50"/>
        <w:jc w:val="center"/>
        <w:rPr>
          <w:rFonts w:hint="eastAsia" w:ascii="宋体" w:hAnsi="宋体" w:cs="宋体"/>
          <w:b/>
          <w:color w:val="auto"/>
          <w:sz w:val="30"/>
          <w:szCs w:val="20"/>
          <w:highlight w:val="none"/>
        </w:rPr>
      </w:pPr>
    </w:p>
    <w:p w14:paraId="5185D065">
      <w:pPr>
        <w:spacing w:before="50" w:after="50" w:line="360" w:lineRule="auto"/>
        <w:rPr>
          <w:rFonts w:hint="eastAsia" w:ascii="宋体" w:hAnsi="宋体" w:cs="宋体"/>
          <w:color w:val="auto"/>
          <w:sz w:val="24"/>
          <w:highlight w:val="none"/>
          <w:u w:val="single"/>
        </w:rPr>
      </w:pPr>
      <w:r>
        <w:rPr>
          <w:rFonts w:hint="eastAsia" w:ascii="宋体" w:hAnsi="宋体" w:cs="宋体"/>
          <w:color w:val="auto"/>
          <w:sz w:val="24"/>
          <w:highlight w:val="none"/>
        </w:rPr>
        <w:t>项目名称：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项目编号：</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2D2DAD9A">
      <w:pPr>
        <w:spacing w:before="50" w:after="50" w:line="360" w:lineRule="auto"/>
        <w:rPr>
          <w:rFonts w:hint="eastAsia" w:ascii="宋体" w:hAnsi="宋体" w:cs="宋体"/>
          <w:color w:val="auto"/>
          <w:sz w:val="24"/>
          <w:highlight w:val="none"/>
        </w:rPr>
      </w:pPr>
      <w:r>
        <w:rPr>
          <w:rFonts w:hint="eastAsia" w:ascii="宋体" w:hAnsi="宋体" w:cs="宋体"/>
          <w:color w:val="auto"/>
          <w:sz w:val="24"/>
          <w:highlight w:val="none"/>
        </w:rPr>
        <w:t>投标人名称：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tbl>
      <w:tblPr>
        <w:tblStyle w:val="33"/>
        <w:tblW w:w="10252"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24"/>
        <w:gridCol w:w="2391"/>
        <w:gridCol w:w="1575"/>
        <w:gridCol w:w="2040"/>
        <w:gridCol w:w="2557"/>
        <w:gridCol w:w="865"/>
      </w:tblGrid>
      <w:tr w14:paraId="613BC1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824" w:type="dxa"/>
            <w:tcBorders>
              <w:top w:val="single" w:color="auto" w:sz="4" w:space="0"/>
              <w:left w:val="single" w:color="auto" w:sz="4" w:space="0"/>
              <w:bottom w:val="single" w:color="auto" w:sz="4" w:space="0"/>
              <w:right w:val="single" w:color="auto" w:sz="4" w:space="0"/>
            </w:tcBorders>
            <w:noWrap w:val="0"/>
            <w:vAlign w:val="center"/>
          </w:tcPr>
          <w:p w14:paraId="19B322D5">
            <w:pPr>
              <w:spacing w:before="50" w:after="50"/>
              <w:jc w:val="center"/>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序号</w:t>
            </w:r>
          </w:p>
        </w:tc>
        <w:tc>
          <w:tcPr>
            <w:tcW w:w="2391" w:type="dxa"/>
            <w:tcBorders>
              <w:top w:val="single" w:color="auto" w:sz="4" w:space="0"/>
              <w:left w:val="single" w:color="auto" w:sz="4" w:space="0"/>
              <w:bottom w:val="single" w:color="auto" w:sz="4" w:space="0"/>
              <w:right w:val="single" w:color="auto" w:sz="4" w:space="0"/>
            </w:tcBorders>
            <w:noWrap w:val="0"/>
            <w:vAlign w:val="center"/>
          </w:tcPr>
          <w:p w14:paraId="1C72F9BF">
            <w:pPr>
              <w:spacing w:before="50" w:after="50"/>
              <w:jc w:val="center"/>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标的名称</w:t>
            </w:r>
          </w:p>
        </w:tc>
        <w:tc>
          <w:tcPr>
            <w:tcW w:w="1575" w:type="dxa"/>
            <w:tcBorders>
              <w:top w:val="single" w:color="auto" w:sz="4" w:space="0"/>
              <w:left w:val="single" w:color="auto" w:sz="4" w:space="0"/>
              <w:bottom w:val="single" w:color="auto" w:sz="4" w:space="0"/>
              <w:right w:val="single" w:color="auto" w:sz="4" w:space="0"/>
            </w:tcBorders>
            <w:noWrap w:val="0"/>
            <w:vAlign w:val="center"/>
          </w:tcPr>
          <w:p w14:paraId="6B17E481">
            <w:pPr>
              <w:spacing w:before="50" w:after="50"/>
              <w:jc w:val="center"/>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数量①</w:t>
            </w:r>
          </w:p>
        </w:tc>
        <w:tc>
          <w:tcPr>
            <w:tcW w:w="2040" w:type="dxa"/>
            <w:tcBorders>
              <w:top w:val="single" w:color="auto" w:sz="4" w:space="0"/>
              <w:left w:val="single" w:color="auto" w:sz="4" w:space="0"/>
              <w:bottom w:val="single" w:color="auto" w:sz="4" w:space="0"/>
              <w:right w:val="single" w:color="auto" w:sz="4" w:space="0"/>
            </w:tcBorders>
            <w:noWrap w:val="0"/>
            <w:vAlign w:val="center"/>
          </w:tcPr>
          <w:p w14:paraId="44B69848">
            <w:pPr>
              <w:spacing w:before="50" w:after="50"/>
              <w:jc w:val="center"/>
              <w:rPr>
                <w:rFonts w:hint="eastAsia" w:ascii="宋体" w:hAnsi="宋体" w:cs="宋体"/>
                <w:b w:val="0"/>
                <w:bCs/>
                <w:color w:val="auto"/>
                <w:sz w:val="21"/>
                <w:szCs w:val="21"/>
                <w:highlight w:val="none"/>
                <w:lang w:val="en-US" w:eastAsia="zh-CN" w:bidi="ar-SA"/>
              </w:rPr>
            </w:pPr>
            <w:r>
              <w:rPr>
                <w:rFonts w:hint="eastAsia" w:ascii="宋体" w:hAnsi="宋体" w:cs="宋体"/>
                <w:b w:val="0"/>
                <w:bCs/>
                <w:color w:val="auto"/>
                <w:sz w:val="21"/>
                <w:szCs w:val="21"/>
                <w:highlight w:val="none"/>
              </w:rPr>
              <w:t>投标所报单价②</w:t>
            </w:r>
          </w:p>
        </w:tc>
        <w:tc>
          <w:tcPr>
            <w:tcW w:w="2557" w:type="dxa"/>
            <w:tcBorders>
              <w:top w:val="single" w:color="auto" w:sz="4" w:space="0"/>
              <w:left w:val="single" w:color="auto" w:sz="4" w:space="0"/>
              <w:bottom w:val="single" w:color="auto" w:sz="4" w:space="0"/>
              <w:right w:val="single" w:color="auto" w:sz="4" w:space="0"/>
            </w:tcBorders>
            <w:noWrap w:val="0"/>
            <w:vAlign w:val="center"/>
          </w:tcPr>
          <w:p w14:paraId="6C7D1103">
            <w:pPr>
              <w:spacing w:before="50" w:after="50"/>
              <w:jc w:val="center"/>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投标总价③=①*②</w:t>
            </w:r>
          </w:p>
          <w:p w14:paraId="7003BB5A">
            <w:pPr>
              <w:spacing w:before="50" w:after="50"/>
              <w:jc w:val="center"/>
              <w:rPr>
                <w:rFonts w:hint="eastAsia" w:ascii="宋体" w:hAnsi="宋体" w:cs="宋体"/>
                <w:b w:val="0"/>
                <w:bCs/>
                <w:color w:val="auto"/>
                <w:sz w:val="21"/>
                <w:szCs w:val="21"/>
                <w:highlight w:val="none"/>
                <w:lang w:val="en-US" w:eastAsia="zh-CN" w:bidi="ar-SA"/>
              </w:rPr>
            </w:pPr>
            <w:r>
              <w:rPr>
                <w:rFonts w:hint="eastAsia" w:ascii="宋体" w:hAnsi="宋体" w:cs="宋体"/>
                <w:b w:val="0"/>
                <w:bCs/>
                <w:color w:val="auto"/>
                <w:sz w:val="21"/>
                <w:szCs w:val="21"/>
                <w:highlight w:val="none"/>
              </w:rPr>
              <w:t>（单位：元）</w:t>
            </w:r>
          </w:p>
        </w:tc>
        <w:tc>
          <w:tcPr>
            <w:tcW w:w="865" w:type="dxa"/>
            <w:tcBorders>
              <w:top w:val="single" w:color="auto" w:sz="4" w:space="0"/>
              <w:left w:val="single" w:color="auto" w:sz="4" w:space="0"/>
              <w:bottom w:val="single" w:color="auto" w:sz="4" w:space="0"/>
              <w:right w:val="single" w:color="auto" w:sz="4" w:space="0"/>
            </w:tcBorders>
            <w:noWrap w:val="0"/>
            <w:vAlign w:val="center"/>
          </w:tcPr>
          <w:p w14:paraId="1A4B9D55">
            <w:pPr>
              <w:spacing w:before="50" w:after="50"/>
              <w:jc w:val="center"/>
              <w:rPr>
                <w:rFonts w:hint="eastAsia" w:ascii="宋体" w:hAnsi="宋体" w:eastAsia="宋体" w:cs="宋体"/>
                <w:b w:val="0"/>
                <w:bCs/>
                <w:color w:val="auto"/>
                <w:sz w:val="21"/>
                <w:szCs w:val="21"/>
                <w:highlight w:val="none"/>
                <w:lang w:eastAsia="zh-CN"/>
              </w:rPr>
            </w:pPr>
            <w:r>
              <w:rPr>
                <w:rFonts w:hint="eastAsia" w:ascii="宋体" w:hAnsi="宋体" w:cs="宋体"/>
                <w:b w:val="0"/>
                <w:bCs/>
                <w:color w:val="auto"/>
                <w:sz w:val="21"/>
                <w:szCs w:val="21"/>
                <w:highlight w:val="none"/>
                <w:lang w:eastAsia="zh-CN"/>
              </w:rPr>
              <w:t>备注</w:t>
            </w:r>
          </w:p>
        </w:tc>
      </w:tr>
      <w:tr w14:paraId="131B95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39" w:hRule="atLeast"/>
          <w:jc w:val="center"/>
        </w:trPr>
        <w:tc>
          <w:tcPr>
            <w:tcW w:w="824" w:type="dxa"/>
            <w:tcBorders>
              <w:top w:val="single" w:color="auto" w:sz="4" w:space="0"/>
              <w:left w:val="single" w:color="auto" w:sz="4" w:space="0"/>
              <w:bottom w:val="single" w:color="auto" w:sz="4" w:space="0"/>
              <w:right w:val="single" w:color="auto" w:sz="4" w:space="0"/>
            </w:tcBorders>
            <w:noWrap w:val="0"/>
            <w:vAlign w:val="center"/>
          </w:tcPr>
          <w:p w14:paraId="41ACC9C3">
            <w:pPr>
              <w:spacing w:before="50" w:after="50"/>
              <w:jc w:val="center"/>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1</w:t>
            </w:r>
          </w:p>
        </w:tc>
        <w:tc>
          <w:tcPr>
            <w:tcW w:w="2391" w:type="dxa"/>
            <w:tcBorders>
              <w:top w:val="single" w:color="auto" w:sz="4" w:space="0"/>
              <w:left w:val="single" w:color="auto" w:sz="4" w:space="0"/>
              <w:bottom w:val="single" w:color="auto" w:sz="4" w:space="0"/>
              <w:right w:val="single" w:color="auto" w:sz="4" w:space="0"/>
            </w:tcBorders>
            <w:noWrap w:val="0"/>
            <w:vAlign w:val="center"/>
          </w:tcPr>
          <w:p w14:paraId="23DA2DB9">
            <w:pPr>
              <w:widowControl/>
              <w:spacing w:line="420" w:lineRule="exact"/>
              <w:jc w:val="left"/>
              <w:rPr>
                <w:rFonts w:hint="eastAsia" w:ascii="宋体" w:hAnsi="宋体" w:cs="宋体"/>
                <w:b w:val="0"/>
                <w:bCs/>
                <w:color w:val="auto"/>
                <w:sz w:val="21"/>
                <w:szCs w:val="21"/>
                <w:highlight w:val="none"/>
              </w:rPr>
            </w:pPr>
          </w:p>
        </w:tc>
        <w:tc>
          <w:tcPr>
            <w:tcW w:w="1575" w:type="dxa"/>
            <w:tcBorders>
              <w:top w:val="single" w:color="auto" w:sz="4" w:space="0"/>
              <w:left w:val="single" w:color="auto" w:sz="4" w:space="0"/>
              <w:bottom w:val="single" w:color="auto" w:sz="4" w:space="0"/>
              <w:right w:val="single" w:color="auto" w:sz="4" w:space="0"/>
            </w:tcBorders>
            <w:noWrap w:val="0"/>
            <w:vAlign w:val="center"/>
          </w:tcPr>
          <w:p w14:paraId="7D25534A">
            <w:pPr>
              <w:keepNext w:val="0"/>
              <w:keepLines w:val="0"/>
              <w:widowControl/>
              <w:suppressLineNumbers w:val="0"/>
              <w:ind w:firstLine="420"/>
              <w:jc w:val="left"/>
              <w:rPr>
                <w:rFonts w:hint="eastAsia" w:ascii="宋体" w:hAnsi="宋体" w:eastAsia="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1项</w:t>
            </w:r>
          </w:p>
        </w:tc>
        <w:tc>
          <w:tcPr>
            <w:tcW w:w="2040" w:type="dxa"/>
            <w:tcBorders>
              <w:top w:val="single" w:color="auto" w:sz="4" w:space="0"/>
              <w:left w:val="single" w:color="auto" w:sz="4" w:space="0"/>
              <w:bottom w:val="single" w:color="auto" w:sz="4" w:space="0"/>
              <w:right w:val="single" w:color="auto" w:sz="4" w:space="0"/>
            </w:tcBorders>
            <w:noWrap w:val="0"/>
            <w:vAlign w:val="center"/>
          </w:tcPr>
          <w:p w14:paraId="474ED974">
            <w:pPr>
              <w:keepNext w:val="0"/>
              <w:keepLines w:val="0"/>
              <w:widowControl/>
              <w:suppressLineNumbers w:val="0"/>
              <w:jc w:val="left"/>
              <w:rPr>
                <w:rFonts w:hint="eastAsia" w:ascii="宋体" w:hAnsi="宋体" w:cs="宋体"/>
                <w:b w:val="0"/>
                <w:bCs/>
                <w:color w:val="auto"/>
                <w:sz w:val="21"/>
                <w:szCs w:val="21"/>
                <w:highlight w:val="none"/>
              </w:rPr>
            </w:pPr>
          </w:p>
        </w:tc>
        <w:tc>
          <w:tcPr>
            <w:tcW w:w="2557" w:type="dxa"/>
            <w:tcBorders>
              <w:top w:val="single" w:color="auto" w:sz="4" w:space="0"/>
              <w:left w:val="single" w:color="auto" w:sz="4" w:space="0"/>
              <w:bottom w:val="single" w:color="auto" w:sz="4" w:space="0"/>
              <w:right w:val="single" w:color="auto" w:sz="4" w:space="0"/>
            </w:tcBorders>
            <w:noWrap w:val="0"/>
            <w:vAlign w:val="center"/>
          </w:tcPr>
          <w:p w14:paraId="2D5E8417">
            <w:pPr>
              <w:keepNext w:val="0"/>
              <w:keepLines w:val="0"/>
              <w:widowControl/>
              <w:suppressLineNumbers w:val="0"/>
              <w:ind w:firstLine="1050"/>
              <w:jc w:val="left"/>
              <w:rPr>
                <w:rFonts w:hint="eastAsia" w:ascii="宋体" w:hAnsi="宋体" w:cs="宋体"/>
                <w:b w:val="0"/>
                <w:bCs/>
                <w:color w:val="auto"/>
                <w:sz w:val="21"/>
                <w:szCs w:val="21"/>
                <w:highlight w:val="none"/>
              </w:rPr>
            </w:pPr>
          </w:p>
        </w:tc>
        <w:tc>
          <w:tcPr>
            <w:tcW w:w="865" w:type="dxa"/>
            <w:tcBorders>
              <w:top w:val="single" w:color="auto" w:sz="4" w:space="0"/>
              <w:left w:val="single" w:color="auto" w:sz="4" w:space="0"/>
              <w:bottom w:val="single" w:color="auto" w:sz="4" w:space="0"/>
              <w:right w:val="single" w:color="auto" w:sz="4" w:space="0"/>
            </w:tcBorders>
            <w:noWrap w:val="0"/>
            <w:vAlign w:val="center"/>
          </w:tcPr>
          <w:p w14:paraId="455107F8">
            <w:pPr>
              <w:spacing w:before="50" w:after="50"/>
              <w:jc w:val="center"/>
              <w:rPr>
                <w:rFonts w:hint="eastAsia" w:ascii="宋体" w:hAnsi="宋体" w:cs="宋体"/>
                <w:b w:val="0"/>
                <w:bCs/>
                <w:color w:val="auto"/>
                <w:sz w:val="21"/>
                <w:szCs w:val="21"/>
                <w:highlight w:val="none"/>
              </w:rPr>
            </w:pPr>
          </w:p>
        </w:tc>
      </w:tr>
      <w:tr w14:paraId="0C6272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10252" w:type="dxa"/>
            <w:gridSpan w:val="6"/>
            <w:tcBorders>
              <w:top w:val="single" w:color="auto" w:sz="4" w:space="0"/>
              <w:left w:val="single" w:color="auto" w:sz="4" w:space="0"/>
              <w:bottom w:val="single" w:color="auto" w:sz="4" w:space="0"/>
              <w:right w:val="single" w:color="auto" w:sz="4" w:space="0"/>
            </w:tcBorders>
            <w:noWrap w:val="0"/>
            <w:vAlign w:val="center"/>
          </w:tcPr>
          <w:p w14:paraId="110D2CD3">
            <w:pPr>
              <w:spacing w:before="50" w:after="50"/>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合计总报价（包含税费等所有费用）：（大写）人民币</w:t>
            </w:r>
            <w:r>
              <w:rPr>
                <w:rFonts w:hint="eastAsia" w:ascii="宋体" w:hAnsi="宋体" w:cs="宋体"/>
                <w:b w:val="0"/>
                <w:bCs/>
                <w:color w:val="auto"/>
                <w:sz w:val="21"/>
                <w:szCs w:val="21"/>
                <w:highlight w:val="none"/>
                <w:u w:val="single"/>
              </w:rPr>
              <w:t xml:space="preserve">                     </w:t>
            </w:r>
            <w:r>
              <w:rPr>
                <w:rFonts w:hint="eastAsia" w:ascii="宋体" w:hAnsi="宋体" w:cs="宋体"/>
                <w:b w:val="0"/>
                <w:bCs/>
                <w:color w:val="auto"/>
                <w:sz w:val="21"/>
                <w:szCs w:val="21"/>
                <w:highlight w:val="none"/>
              </w:rPr>
              <w:t>（￥             元）</w:t>
            </w:r>
          </w:p>
        </w:tc>
      </w:tr>
      <w:tr w14:paraId="287DC3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10252" w:type="dxa"/>
            <w:gridSpan w:val="6"/>
            <w:tcBorders>
              <w:top w:val="single" w:color="auto" w:sz="4" w:space="0"/>
              <w:left w:val="single" w:color="auto" w:sz="4" w:space="0"/>
              <w:bottom w:val="single" w:color="auto" w:sz="4" w:space="0"/>
              <w:right w:val="single" w:color="auto" w:sz="4" w:space="0"/>
            </w:tcBorders>
            <w:noWrap w:val="0"/>
            <w:vAlign w:val="center"/>
          </w:tcPr>
          <w:p w14:paraId="0B46617D">
            <w:pPr>
              <w:spacing w:before="50" w:after="50"/>
              <w:rPr>
                <w:rFonts w:hint="eastAsia" w:ascii="宋体" w:hAnsi="宋体" w:eastAsia="宋体" w:cs="宋体"/>
                <w:b w:val="0"/>
                <w:bCs/>
                <w:color w:val="auto"/>
                <w:sz w:val="21"/>
                <w:szCs w:val="21"/>
                <w:highlight w:val="none"/>
                <w:lang w:eastAsia="zh-CN"/>
              </w:rPr>
            </w:pPr>
            <w:r>
              <w:rPr>
                <w:rFonts w:hint="eastAsia" w:ascii="宋体" w:hAnsi="宋体" w:cs="宋体"/>
                <w:b w:val="0"/>
                <w:bCs/>
                <w:color w:val="auto"/>
                <w:sz w:val="21"/>
                <w:szCs w:val="21"/>
                <w:highlight w:val="none"/>
                <w:lang w:eastAsia="zh-CN"/>
              </w:rPr>
              <w:t>实施的期限</w:t>
            </w:r>
            <w:r>
              <w:rPr>
                <w:rFonts w:hint="eastAsia" w:ascii="宋体" w:hAnsi="宋体" w:cs="宋体"/>
                <w:b w:val="0"/>
                <w:bCs/>
                <w:color w:val="auto"/>
                <w:sz w:val="21"/>
                <w:szCs w:val="21"/>
                <w:highlight w:val="none"/>
              </w:rPr>
              <w:t>：</w:t>
            </w:r>
            <w:r>
              <w:rPr>
                <w:rFonts w:hint="eastAsia" w:ascii="宋体" w:hAnsi="宋体" w:cs="宋体"/>
                <w:b w:val="0"/>
                <w:bCs/>
                <w:color w:val="auto"/>
                <w:sz w:val="21"/>
                <w:szCs w:val="21"/>
                <w:highlight w:val="none"/>
                <w:lang w:eastAsia="zh-CN"/>
              </w:rPr>
              <w:t>自合同签订之日起 24个月。</w:t>
            </w:r>
          </w:p>
        </w:tc>
      </w:tr>
    </w:tbl>
    <w:p w14:paraId="7760C178">
      <w:pPr>
        <w:spacing w:line="360" w:lineRule="auto"/>
        <w:jc w:val="left"/>
        <w:rPr>
          <w:rFonts w:hint="eastAsia" w:ascii="宋体" w:hAnsi="宋体" w:cs="宋体"/>
          <w:color w:val="auto"/>
          <w:sz w:val="24"/>
          <w:highlight w:val="none"/>
        </w:rPr>
      </w:pPr>
      <w:r>
        <w:rPr>
          <w:rFonts w:hint="eastAsia" w:ascii="宋体" w:hAnsi="宋体" w:cs="宋体"/>
          <w:color w:val="auto"/>
          <w:sz w:val="24"/>
          <w:highlight w:val="none"/>
        </w:rPr>
        <w:t xml:space="preserve">注： </w:t>
      </w:r>
    </w:p>
    <w:p w14:paraId="06B10A9B">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1.投标人的开标一览表必须加盖投标人电子签章并由法定代表人（或负责人）或者委托代理人签字或者电子签名，</w:t>
      </w:r>
      <w:r>
        <w:rPr>
          <w:rFonts w:hint="eastAsia" w:ascii="宋体" w:hAnsi="宋体" w:cs="宋体"/>
          <w:b/>
          <w:color w:val="auto"/>
          <w:sz w:val="24"/>
          <w:highlight w:val="none"/>
        </w:rPr>
        <w:t>否则其投标作无效标处理</w:t>
      </w:r>
      <w:r>
        <w:rPr>
          <w:rFonts w:hint="eastAsia" w:ascii="宋体" w:hAnsi="宋体" w:cs="宋体"/>
          <w:color w:val="auto"/>
          <w:sz w:val="24"/>
          <w:highlight w:val="none"/>
        </w:rPr>
        <w:t>。</w:t>
      </w:r>
    </w:p>
    <w:p w14:paraId="2BFA2B36">
      <w:pPr>
        <w:spacing w:line="360" w:lineRule="auto"/>
        <w:ind w:firstLine="480"/>
        <w:jc w:val="left"/>
        <w:rPr>
          <w:rFonts w:hint="eastAsia" w:ascii="宋体" w:hAnsi="宋体" w:cs="宋体"/>
          <w:b/>
          <w:color w:val="auto"/>
          <w:sz w:val="24"/>
          <w:highlight w:val="none"/>
        </w:rPr>
      </w:pPr>
      <w:r>
        <w:rPr>
          <w:rFonts w:hint="eastAsia" w:ascii="宋体" w:hAnsi="宋体" w:cs="宋体"/>
          <w:bCs/>
          <w:color w:val="auto"/>
          <w:sz w:val="24"/>
          <w:highlight w:val="none"/>
        </w:rPr>
        <w:t>2.</w:t>
      </w:r>
      <w:r>
        <w:rPr>
          <w:rFonts w:hint="eastAsia" w:ascii="宋体" w:hAnsi="宋体" w:cs="宋体"/>
          <w:color w:val="auto"/>
          <w:sz w:val="24"/>
          <w:highlight w:val="none"/>
        </w:rPr>
        <w:t>报价一经涂改，应在涂改处加盖投标人公章或者加盖电子签章或者由法定代表人（或负责人）或者委托代理人签字（或者电子签名）</w:t>
      </w:r>
      <w:r>
        <w:rPr>
          <w:rFonts w:hint="eastAsia" w:ascii="宋体" w:hAnsi="宋体" w:cs="宋体"/>
          <w:b/>
          <w:color w:val="auto"/>
          <w:sz w:val="24"/>
          <w:highlight w:val="none"/>
        </w:rPr>
        <w:t>，否则其投标作无效标处理。</w:t>
      </w:r>
    </w:p>
    <w:p w14:paraId="19D16C79">
      <w:pPr>
        <w:spacing w:line="360" w:lineRule="auto"/>
        <w:rPr>
          <w:rFonts w:hint="eastAsia" w:ascii="宋体" w:hAnsi="宋体" w:cs="宋体"/>
          <w:b/>
          <w:color w:val="auto"/>
          <w:sz w:val="24"/>
          <w:highlight w:val="none"/>
        </w:rPr>
      </w:pPr>
    </w:p>
    <w:p w14:paraId="0FC1DCF7">
      <w:pPr>
        <w:spacing w:line="360" w:lineRule="auto"/>
        <w:rPr>
          <w:rFonts w:hint="eastAsia" w:ascii="宋体" w:hAnsi="宋体" w:cs="宋体"/>
          <w:b/>
          <w:color w:val="auto"/>
          <w:sz w:val="24"/>
          <w:highlight w:val="none"/>
        </w:rPr>
      </w:pPr>
    </w:p>
    <w:p w14:paraId="737FAEE6">
      <w:pPr>
        <w:spacing w:line="360" w:lineRule="auto"/>
        <w:rPr>
          <w:rFonts w:hint="eastAsia" w:ascii="宋体" w:hAnsi="宋体" w:cs="宋体"/>
          <w:b/>
          <w:color w:val="auto"/>
          <w:sz w:val="24"/>
          <w:highlight w:val="none"/>
        </w:rPr>
      </w:pPr>
    </w:p>
    <w:p w14:paraId="4D70BB87">
      <w:pPr>
        <w:spacing w:line="360" w:lineRule="auto"/>
        <w:rPr>
          <w:rFonts w:hint="eastAsia" w:ascii="宋体" w:hAnsi="宋体" w:cs="宋体"/>
          <w:b/>
          <w:color w:val="auto"/>
          <w:sz w:val="24"/>
          <w:highlight w:val="none"/>
        </w:rPr>
      </w:pPr>
    </w:p>
    <w:p w14:paraId="167E4255">
      <w:pPr>
        <w:spacing w:line="360" w:lineRule="auto"/>
        <w:ind w:left="-2" w:right="-817"/>
        <w:rPr>
          <w:rFonts w:hint="eastAsia" w:ascii="宋体" w:hAnsi="宋体" w:cs="宋体"/>
          <w:color w:val="auto"/>
          <w:sz w:val="24"/>
          <w:highlight w:val="none"/>
        </w:rPr>
      </w:pPr>
      <w:r>
        <w:rPr>
          <w:rFonts w:hint="eastAsia" w:ascii="宋体" w:hAnsi="宋体" w:cs="宋体"/>
          <w:color w:val="auto"/>
          <w:sz w:val="24"/>
          <w:highlight w:val="none"/>
        </w:rPr>
        <w:t xml:space="preserve">                       法定代表人（或负责人）或者委托代理人（签字或者电子签名）： </w:t>
      </w:r>
    </w:p>
    <w:p w14:paraId="121BA512">
      <w:pPr>
        <w:spacing w:line="360" w:lineRule="auto"/>
        <w:ind w:left="-3" w:right="-817" w:hanging="28"/>
        <w:rPr>
          <w:rFonts w:hint="eastAsia" w:ascii="宋体" w:hAnsi="宋体" w:cs="宋体"/>
          <w:color w:val="auto"/>
          <w:sz w:val="24"/>
          <w:highlight w:val="none"/>
        </w:rPr>
      </w:pPr>
      <w:r>
        <w:rPr>
          <w:rFonts w:hint="eastAsia" w:ascii="宋体" w:hAnsi="宋体" w:cs="宋体"/>
          <w:color w:val="auto"/>
          <w:sz w:val="24"/>
          <w:highlight w:val="none"/>
        </w:rPr>
        <w:t xml:space="preserve">                                  投标人名称（电子签章）：</w:t>
      </w:r>
    </w:p>
    <w:p w14:paraId="7915CA0C">
      <w:pPr>
        <w:spacing w:line="360" w:lineRule="auto"/>
        <w:ind w:left="-3" w:right="-817" w:hanging="28"/>
        <w:rPr>
          <w:rFonts w:hint="eastAsia" w:ascii="宋体" w:hAnsi="宋体" w:cs="宋体"/>
          <w:color w:val="auto"/>
          <w:szCs w:val="21"/>
          <w:highlight w:val="none"/>
        </w:rPr>
      </w:pPr>
      <w:r>
        <w:rPr>
          <w:rFonts w:hint="eastAsia" w:ascii="宋体" w:hAnsi="宋体" w:cs="宋体"/>
          <w:color w:val="auto"/>
          <w:sz w:val="24"/>
          <w:highlight w:val="none"/>
        </w:rPr>
        <w:t xml:space="preserve">                                  日期：    年   月   日</w:t>
      </w:r>
    </w:p>
    <w:p w14:paraId="3D0F6553">
      <w:pPr>
        <w:rPr>
          <w:rFonts w:hint="eastAsia" w:ascii="宋体" w:hAnsi="宋体" w:cs="宋体"/>
          <w:b/>
          <w:color w:val="auto"/>
          <w:sz w:val="28"/>
          <w:szCs w:val="28"/>
          <w:highlight w:val="none"/>
        </w:rPr>
      </w:pPr>
      <w:r>
        <w:rPr>
          <w:rFonts w:hint="eastAsia" w:ascii="宋体" w:hAnsi="宋体" w:cs="宋体"/>
          <w:b/>
          <w:bCs/>
          <w:color w:val="auto"/>
          <w:sz w:val="24"/>
          <w:highlight w:val="none"/>
        </w:rPr>
        <w:br w:type="page" w:clear="all"/>
      </w:r>
      <w:r>
        <w:rPr>
          <w:rFonts w:hint="eastAsia" w:ascii="宋体" w:hAnsi="宋体" w:cs="宋体"/>
          <w:b/>
          <w:color w:val="auto"/>
          <w:sz w:val="28"/>
          <w:szCs w:val="28"/>
          <w:highlight w:val="none"/>
        </w:rPr>
        <w:t>二、资格证明文件格式</w:t>
      </w:r>
    </w:p>
    <w:p w14:paraId="66F13E84">
      <w:pPr>
        <w:numPr>
          <w:ilvl w:val="2"/>
          <w:numId w:val="10"/>
        </w:numPr>
        <w:spacing w:before="120" w:after="50" w:line="360" w:lineRule="auto"/>
        <w:ind w:left="0" w:firstLine="0"/>
        <w:jc w:val="left"/>
        <w:rPr>
          <w:rFonts w:hint="eastAsia" w:ascii="宋体" w:hAnsi="宋体" w:cs="宋体"/>
          <w:b/>
          <w:color w:val="auto"/>
          <w:sz w:val="24"/>
          <w:highlight w:val="none"/>
        </w:rPr>
      </w:pPr>
      <w:r>
        <w:rPr>
          <w:rFonts w:hint="eastAsia" w:ascii="宋体" w:hAnsi="宋体" w:cs="宋体"/>
          <w:b/>
          <w:color w:val="auto"/>
          <w:sz w:val="24"/>
          <w:highlight w:val="none"/>
        </w:rPr>
        <w:t xml:space="preserve">资格证明文件封面格式： </w:t>
      </w:r>
    </w:p>
    <w:p w14:paraId="1BCD8BC5">
      <w:pPr>
        <w:spacing w:before="120" w:after="50"/>
        <w:jc w:val="center"/>
        <w:rPr>
          <w:rFonts w:hint="eastAsia" w:ascii="宋体" w:hAnsi="宋体" w:cs="宋体"/>
          <w:bCs/>
          <w:color w:val="auto"/>
          <w:sz w:val="48"/>
          <w:szCs w:val="48"/>
          <w:highlight w:val="none"/>
        </w:rPr>
      </w:pPr>
      <w:r>
        <w:rPr>
          <w:rFonts w:hint="eastAsia" w:ascii="宋体" w:hAnsi="宋体" w:cs="宋体"/>
          <w:bCs/>
          <w:color w:val="auto"/>
          <w:sz w:val="48"/>
          <w:szCs w:val="48"/>
          <w:highlight w:val="none"/>
        </w:rPr>
        <w:t>电子投标文件</w:t>
      </w:r>
    </w:p>
    <w:p w14:paraId="316F7A26">
      <w:pPr>
        <w:spacing w:before="120" w:after="50"/>
        <w:rPr>
          <w:rFonts w:hint="eastAsia" w:ascii="宋体" w:hAnsi="宋体" w:cs="宋体"/>
          <w:color w:val="auto"/>
          <w:sz w:val="24"/>
          <w:szCs w:val="20"/>
          <w:highlight w:val="none"/>
        </w:rPr>
      </w:pPr>
      <w:r>
        <w:rPr>
          <w:rFonts w:hint="eastAsia" w:ascii="宋体" w:hAnsi="宋体" w:cs="宋体"/>
          <w:color w:val="auto"/>
          <w:sz w:val="24"/>
          <w:highlight w:val="none"/>
        </w:rPr>
        <w:t xml:space="preserve">                 </w:t>
      </w:r>
    </w:p>
    <w:p w14:paraId="6FB813A4">
      <w:pPr>
        <w:spacing w:before="120" w:after="50"/>
        <w:jc w:val="center"/>
        <w:rPr>
          <w:rFonts w:hint="eastAsia" w:ascii="宋体" w:hAnsi="宋体" w:cs="宋体"/>
          <w:b/>
          <w:color w:val="auto"/>
          <w:sz w:val="24"/>
          <w:szCs w:val="20"/>
          <w:highlight w:val="none"/>
        </w:rPr>
      </w:pPr>
      <w:r>
        <w:rPr>
          <w:rFonts w:hint="eastAsia" w:ascii="宋体" w:hAnsi="宋体" w:cs="宋体"/>
          <w:b/>
          <w:color w:val="auto"/>
          <w:sz w:val="32"/>
          <w:szCs w:val="32"/>
          <w:highlight w:val="none"/>
        </w:rPr>
        <w:t>资格证明文件</w:t>
      </w:r>
    </w:p>
    <w:p w14:paraId="47FE5AD7">
      <w:pPr>
        <w:spacing w:before="120" w:after="50"/>
        <w:rPr>
          <w:rFonts w:hint="eastAsia" w:ascii="宋体" w:hAnsi="宋体" w:cs="宋体"/>
          <w:bCs/>
          <w:color w:val="auto"/>
          <w:sz w:val="24"/>
          <w:szCs w:val="20"/>
          <w:highlight w:val="none"/>
        </w:rPr>
      </w:pPr>
    </w:p>
    <w:p w14:paraId="4583944D">
      <w:pPr>
        <w:spacing w:before="120" w:after="50"/>
        <w:rPr>
          <w:rFonts w:hint="eastAsia" w:ascii="宋体" w:hAnsi="宋体" w:cs="宋体"/>
          <w:bCs/>
          <w:color w:val="auto"/>
          <w:sz w:val="24"/>
          <w:szCs w:val="20"/>
          <w:highlight w:val="none"/>
        </w:rPr>
      </w:pPr>
    </w:p>
    <w:p w14:paraId="74B011ED">
      <w:pPr>
        <w:spacing w:before="120" w:after="50"/>
        <w:rPr>
          <w:rFonts w:hint="eastAsia" w:ascii="宋体" w:hAnsi="宋体" w:cs="宋体"/>
          <w:bCs/>
          <w:color w:val="auto"/>
          <w:sz w:val="24"/>
          <w:szCs w:val="20"/>
          <w:highlight w:val="none"/>
        </w:rPr>
      </w:pPr>
    </w:p>
    <w:p w14:paraId="54F642E0">
      <w:pPr>
        <w:spacing w:before="120" w:after="50"/>
        <w:rPr>
          <w:rFonts w:hint="eastAsia" w:ascii="宋体" w:hAnsi="宋体" w:cs="宋体"/>
          <w:bCs/>
          <w:color w:val="auto"/>
          <w:sz w:val="24"/>
          <w:szCs w:val="20"/>
          <w:highlight w:val="none"/>
        </w:rPr>
      </w:pPr>
    </w:p>
    <w:p w14:paraId="24DC907E">
      <w:pPr>
        <w:spacing w:before="120" w:after="50"/>
        <w:rPr>
          <w:rFonts w:hint="eastAsia" w:ascii="宋体" w:hAnsi="宋体" w:cs="宋体"/>
          <w:bCs/>
          <w:color w:val="auto"/>
          <w:sz w:val="24"/>
          <w:szCs w:val="20"/>
          <w:highlight w:val="none"/>
        </w:rPr>
      </w:pPr>
    </w:p>
    <w:p w14:paraId="4EECDE1F">
      <w:pPr>
        <w:spacing w:before="120" w:after="50"/>
        <w:rPr>
          <w:rFonts w:hint="eastAsia" w:ascii="宋体" w:hAnsi="宋体" w:cs="宋体"/>
          <w:bCs/>
          <w:color w:val="auto"/>
          <w:sz w:val="24"/>
          <w:szCs w:val="20"/>
          <w:highlight w:val="none"/>
        </w:rPr>
      </w:pPr>
    </w:p>
    <w:p w14:paraId="7CC41533">
      <w:pPr>
        <w:spacing w:before="120" w:after="50"/>
        <w:rPr>
          <w:rFonts w:hint="eastAsia" w:ascii="宋体" w:hAnsi="宋体" w:cs="宋体"/>
          <w:bCs/>
          <w:color w:val="auto"/>
          <w:sz w:val="24"/>
          <w:szCs w:val="20"/>
          <w:highlight w:val="none"/>
        </w:rPr>
      </w:pPr>
    </w:p>
    <w:p w14:paraId="39ABF30B">
      <w:pPr>
        <w:spacing w:before="120" w:after="50"/>
        <w:ind w:firstLine="540"/>
        <w:rPr>
          <w:rFonts w:hint="eastAsia" w:ascii="宋体" w:hAnsi="宋体" w:cs="宋体"/>
          <w:bCs/>
          <w:color w:val="auto"/>
          <w:sz w:val="24"/>
          <w:highlight w:val="none"/>
        </w:rPr>
      </w:pPr>
      <w:r>
        <w:rPr>
          <w:rFonts w:hint="eastAsia" w:ascii="宋体" w:hAnsi="宋体" w:cs="宋体"/>
          <w:bCs/>
          <w:color w:val="auto"/>
          <w:sz w:val="24"/>
          <w:highlight w:val="none"/>
        </w:rPr>
        <w:t>项目名称：</w:t>
      </w:r>
    </w:p>
    <w:p w14:paraId="73E0B926">
      <w:pPr>
        <w:spacing w:before="120" w:after="50"/>
        <w:ind w:firstLine="540"/>
        <w:rPr>
          <w:rFonts w:hint="eastAsia" w:ascii="宋体" w:hAnsi="宋体" w:cs="宋体"/>
          <w:bCs/>
          <w:color w:val="auto"/>
          <w:sz w:val="24"/>
          <w:szCs w:val="20"/>
          <w:highlight w:val="none"/>
        </w:rPr>
      </w:pPr>
    </w:p>
    <w:p w14:paraId="3C305A2B">
      <w:pPr>
        <w:spacing w:before="120" w:after="50"/>
        <w:ind w:firstLine="540"/>
        <w:rPr>
          <w:rFonts w:hint="eastAsia" w:ascii="宋体" w:hAnsi="宋体" w:cs="宋体"/>
          <w:bCs/>
          <w:color w:val="auto"/>
          <w:sz w:val="24"/>
          <w:highlight w:val="none"/>
        </w:rPr>
      </w:pPr>
      <w:r>
        <w:rPr>
          <w:rFonts w:hint="eastAsia" w:ascii="宋体" w:hAnsi="宋体" w:cs="宋体"/>
          <w:bCs/>
          <w:color w:val="auto"/>
          <w:sz w:val="24"/>
          <w:highlight w:val="none"/>
        </w:rPr>
        <w:t>项目编号：</w:t>
      </w:r>
    </w:p>
    <w:p w14:paraId="61C7503A">
      <w:pPr>
        <w:spacing w:before="120" w:after="50"/>
        <w:ind w:firstLine="540"/>
        <w:rPr>
          <w:rFonts w:hint="eastAsia" w:ascii="宋体" w:hAnsi="宋体" w:cs="宋体"/>
          <w:bCs/>
          <w:color w:val="auto"/>
          <w:sz w:val="24"/>
          <w:szCs w:val="20"/>
          <w:highlight w:val="none"/>
        </w:rPr>
      </w:pPr>
      <w:r>
        <w:rPr>
          <w:rFonts w:hint="eastAsia" w:ascii="宋体" w:hAnsi="宋体" w:cs="宋体"/>
          <w:bCs/>
          <w:color w:val="auto"/>
          <w:sz w:val="24"/>
          <w:highlight w:val="none"/>
        </w:rPr>
        <w:t xml:space="preserve"> </w:t>
      </w:r>
    </w:p>
    <w:p w14:paraId="0812911B">
      <w:pPr>
        <w:pStyle w:val="200"/>
        <w:spacing w:before="50" w:after="50"/>
        <w:ind w:firstLine="540"/>
        <w:rPr>
          <w:rFonts w:hint="eastAsia" w:ascii="宋体" w:hAnsi="宋体" w:cs="宋体"/>
          <w:bCs/>
          <w:color w:val="auto"/>
          <w:sz w:val="24"/>
          <w:szCs w:val="24"/>
          <w:highlight w:val="none"/>
        </w:rPr>
      </w:pPr>
    </w:p>
    <w:p w14:paraId="018CF833">
      <w:pPr>
        <w:pStyle w:val="200"/>
        <w:spacing w:before="50" w:after="50"/>
        <w:ind w:firstLine="540"/>
        <w:rPr>
          <w:rFonts w:hint="eastAsia" w:ascii="宋体" w:hAnsi="宋体" w:cs="宋体"/>
          <w:bCs/>
          <w:color w:val="auto"/>
          <w:sz w:val="24"/>
          <w:szCs w:val="24"/>
          <w:highlight w:val="none"/>
        </w:rPr>
      </w:pPr>
    </w:p>
    <w:p w14:paraId="5BD4AF0C">
      <w:pPr>
        <w:pStyle w:val="200"/>
        <w:spacing w:before="50" w:after="50"/>
        <w:ind w:firstLine="540"/>
        <w:rPr>
          <w:rFonts w:hint="eastAsia" w:ascii="宋体" w:hAnsi="宋体" w:cs="宋体"/>
          <w:bCs/>
          <w:color w:val="auto"/>
          <w:sz w:val="24"/>
          <w:szCs w:val="24"/>
          <w:highlight w:val="none"/>
        </w:rPr>
      </w:pPr>
      <w:r>
        <w:rPr>
          <w:rFonts w:hint="eastAsia" w:ascii="宋体" w:hAnsi="宋体" w:cs="宋体"/>
          <w:bCs/>
          <w:color w:val="auto"/>
          <w:sz w:val="24"/>
          <w:szCs w:val="24"/>
          <w:highlight w:val="none"/>
        </w:rPr>
        <w:t>投标人名称：</w:t>
      </w:r>
    </w:p>
    <w:p w14:paraId="6EDC6AB1">
      <w:pPr>
        <w:pStyle w:val="200"/>
        <w:spacing w:before="50" w:after="50"/>
        <w:ind w:firstLine="540"/>
        <w:rPr>
          <w:rFonts w:hint="eastAsia" w:ascii="宋体" w:hAnsi="宋体" w:cs="宋体"/>
          <w:bCs/>
          <w:color w:val="auto"/>
          <w:sz w:val="24"/>
          <w:szCs w:val="24"/>
          <w:highlight w:val="none"/>
        </w:rPr>
      </w:pPr>
    </w:p>
    <w:p w14:paraId="010213CE">
      <w:pPr>
        <w:pStyle w:val="200"/>
        <w:spacing w:before="50" w:after="50"/>
        <w:ind w:firstLine="960"/>
        <w:rPr>
          <w:rFonts w:hint="eastAsia" w:ascii="宋体" w:hAnsi="宋体" w:cs="宋体"/>
          <w:bCs/>
          <w:color w:val="auto"/>
          <w:sz w:val="24"/>
          <w:szCs w:val="24"/>
          <w:highlight w:val="none"/>
        </w:rPr>
      </w:pPr>
    </w:p>
    <w:p w14:paraId="0289F78E">
      <w:pPr>
        <w:spacing w:before="120" w:after="50"/>
        <w:ind w:firstLine="645"/>
        <w:jc w:val="center"/>
        <w:rPr>
          <w:rFonts w:hint="eastAsia" w:ascii="宋体" w:hAnsi="宋体" w:cs="宋体"/>
          <w:color w:val="auto"/>
          <w:sz w:val="24"/>
          <w:highlight w:val="none"/>
        </w:rPr>
      </w:pPr>
      <w:r>
        <w:rPr>
          <w:rFonts w:hint="eastAsia" w:ascii="宋体" w:hAnsi="宋体" w:cs="宋体"/>
          <w:color w:val="auto"/>
          <w:sz w:val="24"/>
          <w:highlight w:val="none"/>
        </w:rPr>
        <w:t>年  月  日</w:t>
      </w:r>
    </w:p>
    <w:p w14:paraId="6295016F">
      <w:pPr>
        <w:spacing w:before="120" w:after="50"/>
        <w:rPr>
          <w:rFonts w:hint="eastAsia" w:ascii="宋体" w:hAnsi="宋体" w:cs="宋体"/>
          <w:color w:val="auto"/>
          <w:sz w:val="24"/>
          <w:szCs w:val="20"/>
          <w:highlight w:val="none"/>
        </w:rPr>
      </w:pPr>
      <w:r>
        <w:rPr>
          <w:rFonts w:hint="eastAsia" w:ascii="宋体" w:hAnsi="宋体" w:cs="宋体"/>
          <w:color w:val="auto"/>
          <w:sz w:val="24"/>
          <w:szCs w:val="20"/>
          <w:highlight w:val="none"/>
        </w:rPr>
        <w:t xml:space="preserve"> </w:t>
      </w:r>
    </w:p>
    <w:p w14:paraId="2A8839C4">
      <w:pPr>
        <w:spacing w:before="120" w:after="50"/>
        <w:rPr>
          <w:rFonts w:hint="eastAsia" w:ascii="宋体" w:hAnsi="宋体" w:cs="宋体"/>
          <w:color w:val="auto"/>
          <w:sz w:val="24"/>
          <w:szCs w:val="20"/>
          <w:highlight w:val="none"/>
        </w:rPr>
      </w:pPr>
    </w:p>
    <w:p w14:paraId="03B39376">
      <w:pPr>
        <w:numPr>
          <w:ilvl w:val="2"/>
          <w:numId w:val="10"/>
        </w:numPr>
        <w:spacing w:before="120" w:after="50" w:line="360" w:lineRule="auto"/>
        <w:ind w:left="0" w:firstLine="0"/>
        <w:jc w:val="left"/>
        <w:rPr>
          <w:rFonts w:hint="eastAsia" w:ascii="宋体" w:hAnsi="宋体" w:cs="宋体"/>
          <w:color w:val="auto"/>
          <w:sz w:val="24"/>
          <w:szCs w:val="20"/>
          <w:highlight w:val="none"/>
        </w:rPr>
      </w:pPr>
      <w:r>
        <w:rPr>
          <w:rFonts w:hint="eastAsia" w:ascii="宋体" w:hAnsi="宋体" w:cs="宋体"/>
          <w:b/>
          <w:bCs/>
          <w:color w:val="auto"/>
          <w:sz w:val="24"/>
          <w:highlight w:val="none"/>
        </w:rPr>
        <w:br w:type="page" w:clear="all"/>
      </w:r>
      <w:r>
        <w:rPr>
          <w:rFonts w:hint="eastAsia" w:ascii="宋体" w:hAnsi="宋体" w:cs="宋体"/>
          <w:b/>
          <w:bCs/>
          <w:color w:val="auto"/>
          <w:sz w:val="24"/>
          <w:highlight w:val="none"/>
        </w:rPr>
        <w:t>资格证明文件目录</w:t>
      </w:r>
    </w:p>
    <w:p w14:paraId="110B5843">
      <w:pPr>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根据招标文件规定及投标人提供的材料自行编写目录。</w:t>
      </w:r>
    </w:p>
    <w:p w14:paraId="509A34CA">
      <w:pPr>
        <w:spacing w:before="50" w:after="120"/>
        <w:jc w:val="left"/>
        <w:rPr>
          <w:rFonts w:hint="eastAsia" w:ascii="宋体" w:hAnsi="宋体" w:cs="宋体"/>
          <w:color w:val="auto"/>
          <w:sz w:val="24"/>
          <w:highlight w:val="none"/>
        </w:rPr>
      </w:pPr>
    </w:p>
    <w:p w14:paraId="05C5F8F8">
      <w:pPr>
        <w:spacing w:before="50" w:after="120"/>
        <w:jc w:val="left"/>
        <w:rPr>
          <w:rFonts w:hint="eastAsia" w:ascii="宋体" w:hAnsi="宋体" w:cs="宋体"/>
          <w:color w:val="auto"/>
          <w:sz w:val="24"/>
          <w:highlight w:val="none"/>
        </w:rPr>
      </w:pPr>
    </w:p>
    <w:p w14:paraId="6018452E">
      <w:pPr>
        <w:numPr>
          <w:ilvl w:val="2"/>
          <w:numId w:val="10"/>
        </w:numPr>
        <w:spacing w:before="120" w:after="50"/>
        <w:ind w:left="0" w:firstLine="0"/>
        <w:jc w:val="left"/>
        <w:rPr>
          <w:rFonts w:hint="eastAsia" w:ascii="宋体" w:hAnsi="宋体" w:cs="宋体"/>
          <w:b/>
          <w:color w:val="auto"/>
          <w:sz w:val="24"/>
          <w:highlight w:val="none"/>
        </w:rPr>
      </w:pPr>
      <w:r>
        <w:rPr>
          <w:rFonts w:hint="eastAsia" w:ascii="宋体" w:hAnsi="宋体" w:cs="宋体"/>
          <w:b/>
          <w:color w:val="auto"/>
          <w:sz w:val="24"/>
          <w:highlight w:val="none"/>
        </w:rPr>
        <w:br w:type="page" w:clear="all"/>
      </w:r>
      <w:r>
        <w:rPr>
          <w:rFonts w:hint="eastAsia" w:ascii="宋体" w:hAnsi="宋体" w:cs="宋体"/>
          <w:b/>
          <w:color w:val="auto"/>
          <w:sz w:val="28"/>
          <w:szCs w:val="28"/>
          <w:highlight w:val="none"/>
        </w:rPr>
        <w:t>投标人直接控股、管理关系信息表</w:t>
      </w:r>
    </w:p>
    <w:p w14:paraId="525F51FA">
      <w:pPr>
        <w:spacing w:before="50" w:after="120"/>
        <w:jc w:val="center"/>
        <w:rPr>
          <w:rFonts w:hint="eastAsia" w:ascii="宋体" w:hAnsi="宋体" w:cs="宋体"/>
          <w:b/>
          <w:color w:val="auto"/>
          <w:sz w:val="28"/>
          <w:szCs w:val="28"/>
          <w:highlight w:val="none"/>
        </w:rPr>
      </w:pPr>
    </w:p>
    <w:p w14:paraId="03B2ACBB">
      <w:pPr>
        <w:spacing w:before="50" w:after="120" w:line="360" w:lineRule="auto"/>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投标人直接控股股东信息表</w:t>
      </w:r>
    </w:p>
    <w:tbl>
      <w:tblPr>
        <w:tblStyle w:val="33"/>
        <w:tblW w:w="0" w:type="auto"/>
        <w:tblInd w:w="-120" w:type="dxa"/>
        <w:shd w:val="clear" w:color="auto" w:fill="FBFBFB"/>
        <w:tblLayout w:type="fixed"/>
        <w:tblCellMar>
          <w:top w:w="120" w:type="dxa"/>
          <w:left w:w="120" w:type="dxa"/>
          <w:bottom w:w="120" w:type="dxa"/>
          <w:right w:w="120" w:type="dxa"/>
        </w:tblCellMar>
      </w:tblPr>
      <w:tblGrid>
        <w:gridCol w:w="828"/>
        <w:gridCol w:w="2269"/>
        <w:gridCol w:w="1239"/>
        <w:gridCol w:w="3722"/>
        <w:gridCol w:w="1418"/>
      </w:tblGrid>
      <w:tr w14:paraId="4070B179">
        <w:tblPrEx>
          <w:shd w:val="clear" w:color="auto" w:fill="FBFBFB"/>
          <w:tblCellMar>
            <w:top w:w="120" w:type="dxa"/>
            <w:left w:w="120" w:type="dxa"/>
            <w:bottom w:w="120" w:type="dxa"/>
            <w:right w:w="120" w:type="dxa"/>
          </w:tblCellMar>
        </w:tblPrEx>
        <w:trPr>
          <w:tblHeader/>
        </w:trPr>
        <w:tc>
          <w:tcPr>
            <w:tcW w:w="82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C51FC12">
            <w:pPr>
              <w:spacing w:line="360" w:lineRule="auto"/>
              <w:jc w:val="center"/>
              <w:rPr>
                <w:rFonts w:hint="eastAsia" w:ascii="宋体" w:hAnsi="宋体" w:cs="宋体"/>
                <w:b/>
                <w:bCs/>
                <w:color w:val="auto"/>
                <w:sz w:val="24"/>
                <w:highlight w:val="none"/>
              </w:rPr>
            </w:pPr>
            <w:r>
              <w:rPr>
                <w:rFonts w:hint="eastAsia" w:ascii="宋体" w:hAnsi="宋体" w:cs="宋体"/>
                <w:b/>
                <w:bCs/>
                <w:color w:val="auto"/>
                <w:sz w:val="24"/>
                <w:highlight w:val="none"/>
              </w:rPr>
              <w:t>序号</w:t>
            </w:r>
          </w:p>
        </w:tc>
        <w:tc>
          <w:tcPr>
            <w:tcW w:w="226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4AD39C01">
            <w:pPr>
              <w:spacing w:line="360" w:lineRule="auto"/>
              <w:jc w:val="center"/>
              <w:rPr>
                <w:rFonts w:hint="eastAsia" w:ascii="宋体" w:hAnsi="宋体" w:cs="宋体"/>
                <w:b/>
                <w:bCs/>
                <w:color w:val="auto"/>
                <w:sz w:val="24"/>
                <w:highlight w:val="none"/>
              </w:rPr>
            </w:pPr>
            <w:r>
              <w:rPr>
                <w:rFonts w:hint="eastAsia" w:ascii="宋体" w:hAnsi="宋体" w:cs="宋体"/>
                <w:b/>
                <w:bCs/>
                <w:color w:val="auto"/>
                <w:sz w:val="24"/>
                <w:highlight w:val="none"/>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99F1DE0">
            <w:pPr>
              <w:spacing w:line="360" w:lineRule="auto"/>
              <w:jc w:val="center"/>
              <w:rPr>
                <w:rFonts w:hint="eastAsia" w:ascii="宋体" w:hAnsi="宋体" w:cs="宋体"/>
                <w:b/>
                <w:bCs/>
                <w:color w:val="auto"/>
                <w:sz w:val="24"/>
                <w:highlight w:val="none"/>
              </w:rPr>
            </w:pPr>
            <w:r>
              <w:rPr>
                <w:rFonts w:hint="eastAsia" w:ascii="宋体" w:hAnsi="宋体" w:cs="宋体"/>
                <w:b/>
                <w:bCs/>
                <w:color w:val="auto"/>
                <w:sz w:val="24"/>
                <w:highlight w:val="none"/>
              </w:rPr>
              <w:t>出资比例</w:t>
            </w:r>
          </w:p>
        </w:tc>
        <w:tc>
          <w:tcPr>
            <w:tcW w:w="372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85B972">
            <w:pPr>
              <w:spacing w:line="360" w:lineRule="auto"/>
              <w:jc w:val="center"/>
              <w:rPr>
                <w:rFonts w:hint="eastAsia" w:ascii="宋体" w:hAnsi="宋体" w:cs="宋体"/>
                <w:b/>
                <w:bCs/>
                <w:color w:val="auto"/>
                <w:sz w:val="24"/>
                <w:highlight w:val="none"/>
              </w:rPr>
            </w:pPr>
            <w:r>
              <w:rPr>
                <w:rFonts w:hint="eastAsia" w:ascii="宋体" w:hAnsi="宋体" w:cs="宋体"/>
                <w:b/>
                <w:bCs/>
                <w:color w:val="auto"/>
                <w:sz w:val="24"/>
                <w:highlight w:val="none"/>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726639B">
            <w:pPr>
              <w:spacing w:line="360" w:lineRule="auto"/>
              <w:jc w:val="center"/>
              <w:rPr>
                <w:rFonts w:hint="eastAsia" w:ascii="宋体" w:hAnsi="宋体" w:cs="宋体"/>
                <w:b/>
                <w:bCs/>
                <w:color w:val="auto"/>
                <w:sz w:val="24"/>
                <w:highlight w:val="none"/>
              </w:rPr>
            </w:pPr>
            <w:r>
              <w:rPr>
                <w:rFonts w:hint="eastAsia" w:ascii="宋体" w:hAnsi="宋体" w:cs="宋体"/>
                <w:b/>
                <w:bCs/>
                <w:color w:val="auto"/>
                <w:sz w:val="24"/>
                <w:highlight w:val="none"/>
              </w:rPr>
              <w:t>备注</w:t>
            </w:r>
          </w:p>
        </w:tc>
      </w:tr>
      <w:tr w14:paraId="381DBA45">
        <w:tblPrEx>
          <w:tblCellMar>
            <w:top w:w="120" w:type="dxa"/>
            <w:left w:w="120" w:type="dxa"/>
            <w:bottom w:w="120" w:type="dxa"/>
            <w:right w:w="12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A4FD66">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39AA8D9">
            <w:pPr>
              <w:spacing w:line="360" w:lineRule="auto"/>
              <w:jc w:val="center"/>
              <w:rPr>
                <w:rFonts w:hint="eastAsia" w:ascii="宋体" w:hAnsi="宋体" w:cs="宋体"/>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02770CE">
            <w:pPr>
              <w:spacing w:line="360" w:lineRule="auto"/>
              <w:jc w:val="center"/>
              <w:rPr>
                <w:rFonts w:hint="eastAsia" w:ascii="宋体" w:hAnsi="宋体" w:cs="宋体"/>
                <w:color w:val="auto"/>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CD4EF30">
            <w:pPr>
              <w:spacing w:line="360" w:lineRule="auto"/>
              <w:jc w:val="center"/>
              <w:rPr>
                <w:rFonts w:hint="eastAsia" w:ascii="宋体" w:hAnsi="宋体" w:cs="宋体"/>
                <w:color w:val="auto"/>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813EA00">
            <w:pPr>
              <w:spacing w:line="360" w:lineRule="auto"/>
              <w:jc w:val="center"/>
              <w:rPr>
                <w:rFonts w:hint="eastAsia" w:ascii="宋体" w:hAnsi="宋体" w:cs="宋体"/>
                <w:color w:val="auto"/>
                <w:sz w:val="24"/>
                <w:highlight w:val="none"/>
              </w:rPr>
            </w:pPr>
          </w:p>
        </w:tc>
      </w:tr>
      <w:tr w14:paraId="6FD873BF">
        <w:tblPrEx>
          <w:tblCellMar>
            <w:top w:w="120" w:type="dxa"/>
            <w:left w:w="120" w:type="dxa"/>
            <w:bottom w:w="120" w:type="dxa"/>
            <w:right w:w="12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D799647">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3220823">
            <w:pPr>
              <w:spacing w:line="360" w:lineRule="auto"/>
              <w:jc w:val="center"/>
              <w:rPr>
                <w:rFonts w:hint="eastAsia" w:ascii="宋体" w:hAnsi="宋体" w:cs="宋体"/>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B154992">
            <w:pPr>
              <w:spacing w:line="360" w:lineRule="auto"/>
              <w:jc w:val="center"/>
              <w:rPr>
                <w:rFonts w:hint="eastAsia" w:ascii="宋体" w:hAnsi="宋体" w:cs="宋体"/>
                <w:color w:val="auto"/>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DB1490B">
            <w:pPr>
              <w:spacing w:line="360" w:lineRule="auto"/>
              <w:jc w:val="center"/>
              <w:rPr>
                <w:rFonts w:hint="eastAsia" w:ascii="宋体" w:hAnsi="宋体" w:cs="宋体"/>
                <w:color w:val="auto"/>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2D3E6A5">
            <w:pPr>
              <w:spacing w:line="360" w:lineRule="auto"/>
              <w:jc w:val="center"/>
              <w:rPr>
                <w:rFonts w:hint="eastAsia" w:ascii="宋体" w:hAnsi="宋体" w:cs="宋体"/>
                <w:color w:val="auto"/>
                <w:sz w:val="24"/>
                <w:highlight w:val="none"/>
              </w:rPr>
            </w:pPr>
          </w:p>
        </w:tc>
      </w:tr>
      <w:tr w14:paraId="78ACEDFD">
        <w:tblPrEx>
          <w:tblCellMar>
            <w:top w:w="120" w:type="dxa"/>
            <w:left w:w="120" w:type="dxa"/>
            <w:bottom w:w="120" w:type="dxa"/>
            <w:right w:w="12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C9F78F0">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44CB4D">
            <w:pPr>
              <w:spacing w:line="360" w:lineRule="auto"/>
              <w:jc w:val="center"/>
              <w:rPr>
                <w:rFonts w:hint="eastAsia" w:ascii="宋体" w:hAnsi="宋体" w:cs="宋体"/>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8125D5D">
            <w:pPr>
              <w:spacing w:line="360" w:lineRule="auto"/>
              <w:jc w:val="center"/>
              <w:rPr>
                <w:rFonts w:hint="eastAsia" w:ascii="宋体" w:hAnsi="宋体" w:cs="宋体"/>
                <w:color w:val="auto"/>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92EC688">
            <w:pPr>
              <w:spacing w:line="360" w:lineRule="auto"/>
              <w:jc w:val="center"/>
              <w:rPr>
                <w:rFonts w:hint="eastAsia" w:ascii="宋体" w:hAnsi="宋体" w:cs="宋体"/>
                <w:color w:val="auto"/>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1CEA23B">
            <w:pPr>
              <w:spacing w:line="360" w:lineRule="auto"/>
              <w:jc w:val="center"/>
              <w:rPr>
                <w:rFonts w:hint="eastAsia" w:ascii="宋体" w:hAnsi="宋体" w:cs="宋体"/>
                <w:color w:val="auto"/>
                <w:sz w:val="24"/>
                <w:highlight w:val="none"/>
              </w:rPr>
            </w:pPr>
          </w:p>
        </w:tc>
      </w:tr>
      <w:tr w14:paraId="437126AF">
        <w:tblPrEx>
          <w:tblCellMar>
            <w:top w:w="120" w:type="dxa"/>
            <w:left w:w="120" w:type="dxa"/>
            <w:bottom w:w="120" w:type="dxa"/>
            <w:right w:w="12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5282439">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B000B7">
            <w:pPr>
              <w:spacing w:line="360" w:lineRule="auto"/>
              <w:jc w:val="center"/>
              <w:rPr>
                <w:rFonts w:hint="eastAsia" w:ascii="宋体" w:hAnsi="宋体" w:cs="宋体"/>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C8E7A09">
            <w:pPr>
              <w:spacing w:line="360" w:lineRule="auto"/>
              <w:jc w:val="center"/>
              <w:rPr>
                <w:rFonts w:hint="eastAsia" w:ascii="宋体" w:hAnsi="宋体" w:cs="宋体"/>
                <w:color w:val="auto"/>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24D93D">
            <w:pPr>
              <w:spacing w:line="360" w:lineRule="auto"/>
              <w:jc w:val="center"/>
              <w:rPr>
                <w:rFonts w:hint="eastAsia" w:ascii="宋体" w:hAnsi="宋体" w:cs="宋体"/>
                <w:color w:val="auto"/>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5FC7926">
            <w:pPr>
              <w:spacing w:line="360" w:lineRule="auto"/>
              <w:jc w:val="center"/>
              <w:rPr>
                <w:rFonts w:hint="eastAsia" w:ascii="宋体" w:hAnsi="宋体" w:cs="宋体"/>
                <w:color w:val="auto"/>
                <w:sz w:val="24"/>
                <w:highlight w:val="none"/>
              </w:rPr>
            </w:pPr>
          </w:p>
        </w:tc>
      </w:tr>
    </w:tbl>
    <w:p w14:paraId="2DF9CF84">
      <w:pPr>
        <w:spacing w:line="360" w:lineRule="auto"/>
        <w:jc w:val="left"/>
        <w:rPr>
          <w:rFonts w:hint="eastAsia" w:ascii="宋体" w:hAnsi="宋体" w:cs="宋体"/>
          <w:color w:val="auto"/>
          <w:sz w:val="24"/>
          <w:highlight w:val="none"/>
        </w:rPr>
      </w:pPr>
      <w:r>
        <w:rPr>
          <w:rFonts w:hint="eastAsia" w:ascii="宋体" w:hAnsi="宋体" w:cs="宋体"/>
          <w:color w:val="auto"/>
          <w:sz w:val="24"/>
          <w:highlight w:val="none"/>
        </w:rPr>
        <w:t>注：</w:t>
      </w:r>
    </w:p>
    <w:p w14:paraId="153B0170">
      <w:pPr>
        <w:spacing w:line="360" w:lineRule="auto"/>
        <w:jc w:val="left"/>
        <w:rPr>
          <w:rFonts w:hint="eastAsia" w:ascii="宋体" w:hAnsi="宋体" w:cs="宋体"/>
          <w:color w:val="auto"/>
          <w:sz w:val="24"/>
          <w:highlight w:val="none"/>
        </w:rPr>
      </w:pPr>
      <w:r>
        <w:rPr>
          <w:rFonts w:hint="eastAsia" w:ascii="宋体" w:hAnsi="宋体" w:cs="宋体"/>
          <w:color w:val="auto"/>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201AFF9F">
      <w:pPr>
        <w:spacing w:line="360" w:lineRule="auto"/>
        <w:jc w:val="left"/>
        <w:rPr>
          <w:rFonts w:hint="eastAsia" w:ascii="宋体" w:hAnsi="宋体" w:cs="宋体"/>
          <w:color w:val="auto"/>
          <w:sz w:val="24"/>
          <w:highlight w:val="none"/>
        </w:rPr>
      </w:pPr>
      <w:r>
        <w:rPr>
          <w:rFonts w:hint="eastAsia" w:ascii="宋体" w:hAnsi="宋体" w:cs="宋体"/>
          <w:color w:val="auto"/>
          <w:sz w:val="24"/>
          <w:highlight w:val="none"/>
        </w:rPr>
        <w:t>2.本表所指的控股关系仅限于直接控股关系，不包括间接的控股关系。公司实际控制人与公司之间的关系不属于本表所指的直接控股关系。</w:t>
      </w:r>
    </w:p>
    <w:p w14:paraId="787E293F">
      <w:pPr>
        <w:spacing w:line="360" w:lineRule="auto"/>
        <w:jc w:val="left"/>
        <w:rPr>
          <w:rFonts w:hint="eastAsia" w:ascii="宋体" w:hAnsi="宋体" w:cs="宋体"/>
          <w:color w:val="auto"/>
          <w:sz w:val="24"/>
          <w:highlight w:val="none"/>
        </w:rPr>
      </w:pPr>
      <w:r>
        <w:rPr>
          <w:rFonts w:hint="eastAsia" w:ascii="宋体" w:hAnsi="宋体" w:cs="宋体"/>
          <w:color w:val="auto"/>
          <w:sz w:val="24"/>
          <w:highlight w:val="none"/>
        </w:rPr>
        <w:t>3.供应商不存在直接控股股东的，则在“</w:t>
      </w:r>
      <w:r>
        <w:rPr>
          <w:rFonts w:hint="eastAsia" w:ascii="宋体" w:hAnsi="宋体" w:cs="宋体"/>
          <w:b/>
          <w:bCs/>
          <w:color w:val="auto"/>
          <w:sz w:val="24"/>
          <w:highlight w:val="none"/>
        </w:rPr>
        <w:t>直接控股股东名称</w:t>
      </w:r>
      <w:r>
        <w:rPr>
          <w:rFonts w:hint="eastAsia" w:ascii="宋体" w:hAnsi="宋体" w:cs="宋体"/>
          <w:color w:val="auto"/>
          <w:sz w:val="24"/>
          <w:highlight w:val="none"/>
        </w:rPr>
        <w:t>”中填“无”。</w:t>
      </w:r>
    </w:p>
    <w:p w14:paraId="39887591">
      <w:pPr>
        <w:spacing w:line="360" w:lineRule="auto"/>
        <w:jc w:val="left"/>
        <w:rPr>
          <w:rFonts w:hint="eastAsia" w:ascii="宋体" w:hAnsi="宋体" w:cs="宋体"/>
          <w:color w:val="auto"/>
          <w:sz w:val="24"/>
          <w:highlight w:val="none"/>
        </w:rPr>
      </w:pPr>
    </w:p>
    <w:p w14:paraId="450FDC4B">
      <w:pPr>
        <w:spacing w:line="360" w:lineRule="auto"/>
        <w:jc w:val="left"/>
        <w:rPr>
          <w:rFonts w:hint="eastAsia" w:ascii="宋体" w:hAnsi="宋体" w:cs="宋体"/>
          <w:color w:val="auto"/>
          <w:sz w:val="24"/>
          <w:highlight w:val="none"/>
        </w:rPr>
      </w:pPr>
    </w:p>
    <w:p w14:paraId="7FAF75B2">
      <w:pPr>
        <w:spacing w:line="360" w:lineRule="auto"/>
        <w:jc w:val="left"/>
        <w:rPr>
          <w:rFonts w:hint="eastAsia" w:ascii="宋体" w:hAnsi="宋体" w:cs="宋体"/>
          <w:color w:val="auto"/>
          <w:sz w:val="24"/>
          <w:highlight w:val="none"/>
        </w:rPr>
      </w:pPr>
    </w:p>
    <w:p w14:paraId="3BC7999B">
      <w:pPr>
        <w:spacing w:line="360" w:lineRule="auto"/>
        <w:jc w:val="left"/>
        <w:rPr>
          <w:rFonts w:hint="eastAsia" w:ascii="宋体" w:hAnsi="宋体" w:cs="宋体"/>
          <w:color w:val="auto"/>
          <w:sz w:val="24"/>
          <w:highlight w:val="none"/>
        </w:rPr>
      </w:pPr>
    </w:p>
    <w:p w14:paraId="314A066D">
      <w:pPr>
        <w:spacing w:line="360" w:lineRule="auto"/>
        <w:jc w:val="left"/>
        <w:rPr>
          <w:rFonts w:hint="eastAsia" w:ascii="宋体" w:hAnsi="宋体" w:cs="宋体"/>
          <w:color w:val="auto"/>
          <w:sz w:val="24"/>
          <w:highlight w:val="none"/>
        </w:rPr>
      </w:pPr>
    </w:p>
    <w:p w14:paraId="20E2E0E6">
      <w:pPr>
        <w:spacing w:line="360" w:lineRule="auto"/>
        <w:ind w:left="-2" w:right="-817" w:firstLine="1920"/>
        <w:rPr>
          <w:rFonts w:hint="eastAsia" w:ascii="宋体" w:hAnsi="宋体" w:cs="宋体"/>
          <w:color w:val="auto"/>
          <w:sz w:val="24"/>
          <w:highlight w:val="none"/>
        </w:rPr>
      </w:pPr>
      <w:r>
        <w:rPr>
          <w:rFonts w:hint="eastAsia" w:ascii="宋体" w:hAnsi="宋体" w:cs="宋体"/>
          <w:color w:val="auto"/>
          <w:sz w:val="24"/>
          <w:highlight w:val="none"/>
        </w:rPr>
        <w:t xml:space="preserve">法定代表人（或负责人）或者委托代理人（签字或者电子签名）： </w:t>
      </w:r>
    </w:p>
    <w:p w14:paraId="06710F4B">
      <w:pPr>
        <w:spacing w:line="360" w:lineRule="auto"/>
        <w:ind w:left="-3" w:right="-817" w:hanging="28"/>
        <w:rPr>
          <w:rFonts w:hint="eastAsia" w:ascii="宋体" w:hAnsi="宋体" w:cs="宋体"/>
          <w:color w:val="auto"/>
          <w:sz w:val="24"/>
          <w:highlight w:val="none"/>
        </w:rPr>
      </w:pPr>
      <w:r>
        <w:rPr>
          <w:rFonts w:hint="eastAsia" w:ascii="宋体" w:hAnsi="宋体" w:cs="宋体"/>
          <w:color w:val="auto"/>
          <w:sz w:val="24"/>
          <w:highlight w:val="none"/>
        </w:rPr>
        <w:t xml:space="preserve">                                    投标人名称（电子签章）：</w:t>
      </w:r>
    </w:p>
    <w:p w14:paraId="37C18E8F">
      <w:pPr>
        <w:spacing w:line="360" w:lineRule="auto"/>
        <w:jc w:val="left"/>
        <w:rPr>
          <w:rFonts w:hint="eastAsia" w:ascii="宋体" w:hAnsi="宋体" w:cs="宋体"/>
          <w:color w:val="auto"/>
          <w:szCs w:val="21"/>
          <w:highlight w:val="none"/>
        </w:rPr>
      </w:pPr>
      <w:r>
        <w:rPr>
          <w:rFonts w:hint="eastAsia" w:ascii="宋体" w:hAnsi="宋体" w:cs="宋体"/>
          <w:color w:val="auto"/>
          <w:sz w:val="24"/>
          <w:highlight w:val="none"/>
        </w:rPr>
        <w:t xml:space="preserve">                                    日期：    年   月   日</w:t>
      </w:r>
    </w:p>
    <w:p w14:paraId="10C09E87">
      <w:pPr>
        <w:spacing w:before="120" w:after="50" w:line="360" w:lineRule="auto"/>
        <w:ind w:right="480" w:firstLine="6465"/>
        <w:rPr>
          <w:rFonts w:hint="eastAsia" w:ascii="宋体" w:hAnsi="宋体" w:cs="宋体"/>
          <w:b/>
          <w:color w:val="auto"/>
          <w:sz w:val="28"/>
          <w:szCs w:val="28"/>
          <w:highlight w:val="none"/>
        </w:rPr>
      </w:pPr>
      <w:r>
        <w:rPr>
          <w:rFonts w:hint="eastAsia" w:ascii="宋体" w:hAnsi="宋体" w:cs="宋体"/>
          <w:b/>
          <w:color w:val="auto"/>
          <w:sz w:val="28"/>
          <w:szCs w:val="28"/>
          <w:highlight w:val="none"/>
        </w:rPr>
        <w:br w:type="page" w:clear="all"/>
      </w:r>
    </w:p>
    <w:p w14:paraId="2477F54D">
      <w:pPr>
        <w:spacing w:line="360" w:lineRule="auto"/>
        <w:jc w:val="center"/>
        <w:rPr>
          <w:rFonts w:hint="eastAsia" w:ascii="宋体" w:hAnsi="宋体" w:cs="宋体"/>
          <w:color w:val="auto"/>
          <w:sz w:val="32"/>
          <w:szCs w:val="32"/>
          <w:highlight w:val="none"/>
        </w:rPr>
      </w:pPr>
      <w:r>
        <w:rPr>
          <w:rFonts w:hint="eastAsia" w:ascii="宋体" w:hAnsi="宋体" w:cs="宋体"/>
          <w:b/>
          <w:color w:val="auto"/>
          <w:sz w:val="32"/>
          <w:szCs w:val="32"/>
          <w:highlight w:val="none"/>
        </w:rPr>
        <w:t>投标人直接管理关系信息表</w:t>
      </w:r>
    </w:p>
    <w:tbl>
      <w:tblPr>
        <w:tblStyle w:val="33"/>
        <w:tblW w:w="0" w:type="auto"/>
        <w:tblInd w:w="-120" w:type="dxa"/>
        <w:shd w:val="clear" w:color="auto" w:fill="FBFBFB"/>
        <w:tblLayout w:type="fixed"/>
        <w:tblCellMar>
          <w:top w:w="120" w:type="dxa"/>
          <w:left w:w="120" w:type="dxa"/>
          <w:bottom w:w="120" w:type="dxa"/>
          <w:right w:w="120" w:type="dxa"/>
        </w:tblCellMar>
      </w:tblPr>
      <w:tblGrid>
        <w:gridCol w:w="1005"/>
        <w:gridCol w:w="2659"/>
        <w:gridCol w:w="3924"/>
        <w:gridCol w:w="2064"/>
      </w:tblGrid>
      <w:tr w14:paraId="68A0067E">
        <w:tblPrEx>
          <w:shd w:val="clear" w:color="auto" w:fill="FBFBFB"/>
          <w:tblCellMar>
            <w:top w:w="120" w:type="dxa"/>
            <w:left w:w="120" w:type="dxa"/>
            <w:bottom w:w="120" w:type="dxa"/>
            <w:right w:w="12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339B8617">
            <w:pPr>
              <w:spacing w:line="360" w:lineRule="auto"/>
              <w:jc w:val="center"/>
              <w:rPr>
                <w:rFonts w:hint="eastAsia" w:ascii="宋体" w:hAnsi="宋体" w:cs="宋体"/>
                <w:b/>
                <w:bCs/>
                <w:color w:val="auto"/>
                <w:sz w:val="24"/>
                <w:highlight w:val="none"/>
              </w:rPr>
            </w:pPr>
            <w:r>
              <w:rPr>
                <w:rFonts w:hint="eastAsia" w:ascii="宋体" w:hAnsi="宋体" w:cs="宋体"/>
                <w:b/>
                <w:bCs/>
                <w:color w:val="auto"/>
                <w:sz w:val="24"/>
                <w:highlight w:val="none"/>
              </w:rPr>
              <w:t>序号</w:t>
            </w:r>
          </w:p>
        </w:tc>
        <w:tc>
          <w:tcPr>
            <w:tcW w:w="265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520F9E7">
            <w:pPr>
              <w:spacing w:line="360" w:lineRule="auto"/>
              <w:jc w:val="center"/>
              <w:rPr>
                <w:rFonts w:hint="eastAsia" w:ascii="宋体" w:hAnsi="宋体" w:cs="宋体"/>
                <w:b/>
                <w:bCs/>
                <w:color w:val="auto"/>
                <w:sz w:val="24"/>
                <w:highlight w:val="none"/>
              </w:rPr>
            </w:pPr>
            <w:r>
              <w:rPr>
                <w:rFonts w:hint="eastAsia" w:ascii="宋体" w:hAnsi="宋体" w:cs="宋体"/>
                <w:b/>
                <w:bCs/>
                <w:color w:val="auto"/>
                <w:sz w:val="24"/>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A5B0301">
            <w:pPr>
              <w:spacing w:line="360" w:lineRule="auto"/>
              <w:jc w:val="center"/>
              <w:rPr>
                <w:rFonts w:hint="eastAsia" w:ascii="宋体" w:hAnsi="宋体" w:cs="宋体"/>
                <w:b/>
                <w:bCs/>
                <w:color w:val="auto"/>
                <w:sz w:val="24"/>
                <w:highlight w:val="none"/>
              </w:rPr>
            </w:pPr>
            <w:r>
              <w:rPr>
                <w:rFonts w:hint="eastAsia" w:ascii="宋体" w:hAnsi="宋体" w:cs="宋体"/>
                <w:b/>
                <w:bCs/>
                <w:color w:val="auto"/>
                <w:sz w:val="24"/>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EFE9AE9">
            <w:pPr>
              <w:spacing w:line="360" w:lineRule="auto"/>
              <w:jc w:val="center"/>
              <w:rPr>
                <w:rFonts w:hint="eastAsia" w:ascii="宋体" w:hAnsi="宋体" w:cs="宋体"/>
                <w:b/>
                <w:bCs/>
                <w:color w:val="auto"/>
                <w:sz w:val="24"/>
                <w:highlight w:val="none"/>
              </w:rPr>
            </w:pPr>
            <w:r>
              <w:rPr>
                <w:rFonts w:hint="eastAsia" w:ascii="宋体" w:hAnsi="宋体" w:cs="宋体"/>
                <w:b/>
                <w:bCs/>
                <w:color w:val="auto"/>
                <w:sz w:val="24"/>
                <w:highlight w:val="none"/>
              </w:rPr>
              <w:t>相互关系</w:t>
            </w:r>
          </w:p>
        </w:tc>
      </w:tr>
      <w:tr w14:paraId="576F08AA">
        <w:tblPrEx>
          <w:tblCellMar>
            <w:top w:w="120" w:type="dxa"/>
            <w:left w:w="120" w:type="dxa"/>
            <w:bottom w:w="120" w:type="dxa"/>
            <w:right w:w="12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B8C15CB">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1</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1ADB240">
            <w:pPr>
              <w:spacing w:line="360" w:lineRule="auto"/>
              <w:jc w:val="center"/>
              <w:rPr>
                <w:rFonts w:hint="eastAsia" w:ascii="宋体" w:hAnsi="宋体" w:cs="宋体"/>
                <w:color w:val="auto"/>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B4FDD54">
            <w:pPr>
              <w:spacing w:line="360" w:lineRule="auto"/>
              <w:jc w:val="center"/>
              <w:rPr>
                <w:rFonts w:hint="eastAsia" w:ascii="宋体" w:hAnsi="宋体" w:cs="宋体"/>
                <w:color w:val="auto"/>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0FEB4A">
            <w:pPr>
              <w:spacing w:line="360" w:lineRule="auto"/>
              <w:jc w:val="center"/>
              <w:rPr>
                <w:rFonts w:hint="eastAsia" w:ascii="宋体" w:hAnsi="宋体" w:cs="宋体"/>
                <w:color w:val="auto"/>
                <w:sz w:val="24"/>
                <w:highlight w:val="none"/>
              </w:rPr>
            </w:pPr>
          </w:p>
        </w:tc>
      </w:tr>
      <w:tr w14:paraId="4A5925AA">
        <w:tblPrEx>
          <w:tblCellMar>
            <w:top w:w="120" w:type="dxa"/>
            <w:left w:w="120" w:type="dxa"/>
            <w:bottom w:w="120" w:type="dxa"/>
            <w:right w:w="12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E29D48">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2</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433FC0A">
            <w:pPr>
              <w:spacing w:line="360" w:lineRule="auto"/>
              <w:jc w:val="center"/>
              <w:rPr>
                <w:rFonts w:hint="eastAsia" w:ascii="宋体" w:hAnsi="宋体" w:cs="宋体"/>
                <w:color w:val="auto"/>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D70AB60">
            <w:pPr>
              <w:spacing w:line="360" w:lineRule="auto"/>
              <w:jc w:val="center"/>
              <w:rPr>
                <w:rFonts w:hint="eastAsia" w:ascii="宋体" w:hAnsi="宋体" w:cs="宋体"/>
                <w:color w:val="auto"/>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89042E">
            <w:pPr>
              <w:spacing w:line="360" w:lineRule="auto"/>
              <w:jc w:val="center"/>
              <w:rPr>
                <w:rFonts w:hint="eastAsia" w:ascii="宋体" w:hAnsi="宋体" w:cs="宋体"/>
                <w:color w:val="auto"/>
                <w:sz w:val="24"/>
                <w:highlight w:val="none"/>
              </w:rPr>
            </w:pPr>
          </w:p>
        </w:tc>
      </w:tr>
      <w:tr w14:paraId="2E087329">
        <w:tblPrEx>
          <w:tblCellMar>
            <w:top w:w="120" w:type="dxa"/>
            <w:left w:w="120" w:type="dxa"/>
            <w:bottom w:w="120" w:type="dxa"/>
            <w:right w:w="12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3B1D45E">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3</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B25874D">
            <w:pPr>
              <w:spacing w:line="360" w:lineRule="auto"/>
              <w:jc w:val="center"/>
              <w:rPr>
                <w:rFonts w:hint="eastAsia" w:ascii="宋体" w:hAnsi="宋体" w:cs="宋体"/>
                <w:color w:val="auto"/>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A8D480">
            <w:pPr>
              <w:spacing w:line="360" w:lineRule="auto"/>
              <w:jc w:val="center"/>
              <w:rPr>
                <w:rFonts w:hint="eastAsia" w:ascii="宋体" w:hAnsi="宋体" w:cs="宋体"/>
                <w:color w:val="auto"/>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349ABFA">
            <w:pPr>
              <w:spacing w:line="360" w:lineRule="auto"/>
              <w:jc w:val="center"/>
              <w:rPr>
                <w:rFonts w:hint="eastAsia" w:ascii="宋体" w:hAnsi="宋体" w:cs="宋体"/>
                <w:color w:val="auto"/>
                <w:sz w:val="24"/>
                <w:highlight w:val="none"/>
              </w:rPr>
            </w:pPr>
          </w:p>
        </w:tc>
      </w:tr>
      <w:tr w14:paraId="21D666A2">
        <w:tblPrEx>
          <w:tblCellMar>
            <w:top w:w="120" w:type="dxa"/>
            <w:left w:w="120" w:type="dxa"/>
            <w:bottom w:w="120" w:type="dxa"/>
            <w:right w:w="12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57CAE16">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2ABBCD6">
            <w:pPr>
              <w:spacing w:line="360" w:lineRule="auto"/>
              <w:jc w:val="center"/>
              <w:rPr>
                <w:rFonts w:hint="eastAsia" w:ascii="宋体" w:hAnsi="宋体" w:cs="宋体"/>
                <w:color w:val="auto"/>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073609">
            <w:pPr>
              <w:spacing w:line="360" w:lineRule="auto"/>
              <w:jc w:val="center"/>
              <w:rPr>
                <w:rFonts w:hint="eastAsia" w:ascii="宋体" w:hAnsi="宋体" w:cs="宋体"/>
                <w:color w:val="auto"/>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F0BFBBF">
            <w:pPr>
              <w:spacing w:line="360" w:lineRule="auto"/>
              <w:jc w:val="center"/>
              <w:rPr>
                <w:rFonts w:hint="eastAsia" w:ascii="宋体" w:hAnsi="宋体" w:cs="宋体"/>
                <w:color w:val="auto"/>
                <w:sz w:val="24"/>
                <w:highlight w:val="none"/>
              </w:rPr>
            </w:pPr>
          </w:p>
        </w:tc>
      </w:tr>
    </w:tbl>
    <w:p w14:paraId="4B446372">
      <w:pPr>
        <w:spacing w:line="360" w:lineRule="auto"/>
        <w:jc w:val="left"/>
        <w:rPr>
          <w:rFonts w:hint="eastAsia" w:ascii="宋体" w:hAnsi="宋体" w:cs="宋体"/>
          <w:color w:val="auto"/>
          <w:sz w:val="24"/>
          <w:highlight w:val="none"/>
        </w:rPr>
      </w:pPr>
      <w:r>
        <w:rPr>
          <w:rFonts w:hint="eastAsia" w:ascii="宋体" w:hAnsi="宋体" w:cs="宋体"/>
          <w:color w:val="auto"/>
          <w:sz w:val="24"/>
          <w:highlight w:val="none"/>
        </w:rPr>
        <w:t>注：</w:t>
      </w:r>
    </w:p>
    <w:p w14:paraId="3BDD850D">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1.管理关系：是指不具有出资持股关系的其他单位之间存在的管理与被管理关系，如一些上下级关系的事业单位和团体组织。</w:t>
      </w:r>
    </w:p>
    <w:p w14:paraId="2B8E1677">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2.</w:t>
      </w:r>
      <w:r>
        <w:rPr>
          <w:rFonts w:hint="eastAsia" w:ascii="宋体" w:hAnsi="宋体" w:cs="宋体"/>
          <w:color w:val="auto"/>
          <w:spacing w:val="-6"/>
          <w:sz w:val="24"/>
          <w:highlight w:val="none"/>
        </w:rPr>
        <w:t>本表所指的管理关系仅限于直接管理关系，不包括间接的管理关系。</w:t>
      </w:r>
    </w:p>
    <w:p w14:paraId="16223887">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3.供应商不存在直接管理关系的，则在“</w:t>
      </w:r>
      <w:r>
        <w:rPr>
          <w:rFonts w:hint="eastAsia" w:ascii="宋体" w:hAnsi="宋体" w:cs="宋体"/>
          <w:b/>
          <w:bCs/>
          <w:color w:val="auto"/>
          <w:sz w:val="24"/>
          <w:highlight w:val="none"/>
        </w:rPr>
        <w:t>直接管理关系单位名称</w:t>
      </w:r>
      <w:r>
        <w:rPr>
          <w:rFonts w:hint="eastAsia" w:ascii="宋体" w:hAnsi="宋体" w:cs="宋体"/>
          <w:color w:val="auto"/>
          <w:sz w:val="24"/>
          <w:highlight w:val="none"/>
        </w:rPr>
        <w:t>”中填“无”。</w:t>
      </w:r>
    </w:p>
    <w:p w14:paraId="0EAC4CEF">
      <w:pPr>
        <w:spacing w:line="360" w:lineRule="auto"/>
        <w:ind w:firstLine="480"/>
        <w:jc w:val="left"/>
        <w:rPr>
          <w:rFonts w:hint="eastAsia" w:ascii="宋体" w:hAnsi="宋体" w:cs="宋体"/>
          <w:color w:val="auto"/>
          <w:sz w:val="24"/>
          <w:highlight w:val="none"/>
        </w:rPr>
      </w:pPr>
    </w:p>
    <w:p w14:paraId="1B83AAB7">
      <w:pPr>
        <w:spacing w:line="360" w:lineRule="auto"/>
        <w:jc w:val="left"/>
        <w:rPr>
          <w:rFonts w:hint="eastAsia" w:ascii="宋体" w:hAnsi="宋体" w:cs="宋体"/>
          <w:color w:val="auto"/>
          <w:sz w:val="24"/>
          <w:highlight w:val="none"/>
        </w:rPr>
      </w:pPr>
    </w:p>
    <w:p w14:paraId="0CAD6A94">
      <w:pPr>
        <w:spacing w:line="360" w:lineRule="auto"/>
        <w:jc w:val="left"/>
        <w:rPr>
          <w:rFonts w:hint="eastAsia" w:ascii="宋体" w:hAnsi="宋体" w:cs="宋体"/>
          <w:color w:val="auto"/>
          <w:sz w:val="24"/>
          <w:highlight w:val="none"/>
        </w:rPr>
      </w:pPr>
    </w:p>
    <w:p w14:paraId="7E948166">
      <w:pPr>
        <w:spacing w:line="360" w:lineRule="auto"/>
        <w:jc w:val="left"/>
        <w:rPr>
          <w:rFonts w:hint="eastAsia" w:ascii="宋体" w:hAnsi="宋体" w:cs="宋体"/>
          <w:color w:val="auto"/>
          <w:sz w:val="24"/>
          <w:highlight w:val="none"/>
        </w:rPr>
      </w:pPr>
    </w:p>
    <w:p w14:paraId="5E441816">
      <w:pPr>
        <w:spacing w:line="360" w:lineRule="auto"/>
        <w:jc w:val="left"/>
        <w:rPr>
          <w:rFonts w:hint="eastAsia" w:ascii="宋体" w:hAnsi="宋体" w:cs="宋体"/>
          <w:color w:val="auto"/>
          <w:sz w:val="24"/>
          <w:highlight w:val="none"/>
        </w:rPr>
      </w:pPr>
    </w:p>
    <w:p w14:paraId="1E44658E">
      <w:pPr>
        <w:spacing w:line="360" w:lineRule="auto"/>
        <w:jc w:val="left"/>
        <w:rPr>
          <w:rFonts w:hint="eastAsia" w:ascii="宋体" w:hAnsi="宋体" w:cs="宋体"/>
          <w:color w:val="auto"/>
          <w:sz w:val="24"/>
          <w:highlight w:val="none"/>
        </w:rPr>
      </w:pPr>
    </w:p>
    <w:p w14:paraId="1BC1F9ED">
      <w:pPr>
        <w:spacing w:line="360" w:lineRule="auto"/>
        <w:jc w:val="left"/>
        <w:rPr>
          <w:rFonts w:hint="eastAsia" w:ascii="宋体" w:hAnsi="宋体" w:cs="宋体"/>
          <w:color w:val="auto"/>
          <w:sz w:val="24"/>
          <w:highlight w:val="none"/>
        </w:rPr>
      </w:pPr>
    </w:p>
    <w:p w14:paraId="5DE7505D">
      <w:pPr>
        <w:spacing w:line="360" w:lineRule="auto"/>
        <w:jc w:val="left"/>
        <w:rPr>
          <w:rFonts w:hint="eastAsia" w:ascii="宋体" w:hAnsi="宋体" w:cs="宋体"/>
          <w:color w:val="auto"/>
          <w:sz w:val="24"/>
          <w:highlight w:val="none"/>
        </w:rPr>
      </w:pPr>
    </w:p>
    <w:p w14:paraId="41AD3C36">
      <w:pPr>
        <w:spacing w:line="360" w:lineRule="auto"/>
        <w:ind w:left="-2" w:right="-817" w:firstLine="1920"/>
        <w:rPr>
          <w:rFonts w:hint="eastAsia" w:ascii="宋体" w:hAnsi="宋体" w:cs="宋体"/>
          <w:color w:val="auto"/>
          <w:sz w:val="24"/>
          <w:highlight w:val="none"/>
        </w:rPr>
      </w:pPr>
      <w:r>
        <w:rPr>
          <w:rFonts w:hint="eastAsia" w:ascii="宋体" w:hAnsi="宋体" w:cs="宋体"/>
          <w:color w:val="auto"/>
          <w:sz w:val="24"/>
          <w:highlight w:val="none"/>
        </w:rPr>
        <w:t xml:space="preserve">法定代表人（或负责人）或者委托代理人（签字或者电子签名）： </w:t>
      </w:r>
    </w:p>
    <w:p w14:paraId="75E2325F">
      <w:pPr>
        <w:spacing w:line="360" w:lineRule="auto"/>
        <w:ind w:left="-3" w:right="-817" w:hanging="28"/>
        <w:rPr>
          <w:rFonts w:hint="eastAsia" w:ascii="宋体" w:hAnsi="宋体" w:cs="宋体"/>
          <w:color w:val="auto"/>
          <w:sz w:val="24"/>
          <w:highlight w:val="none"/>
        </w:rPr>
      </w:pPr>
      <w:r>
        <w:rPr>
          <w:rFonts w:hint="eastAsia" w:ascii="宋体" w:hAnsi="宋体" w:cs="宋体"/>
          <w:color w:val="auto"/>
          <w:sz w:val="24"/>
          <w:highlight w:val="none"/>
        </w:rPr>
        <w:t xml:space="preserve">                                  投标人名称（电子签章）：</w:t>
      </w:r>
    </w:p>
    <w:p w14:paraId="792D659D">
      <w:pPr>
        <w:spacing w:line="360" w:lineRule="auto"/>
        <w:ind w:right="480" w:firstLine="240"/>
        <w:jc w:val="left"/>
        <w:rPr>
          <w:rFonts w:hint="eastAsia" w:ascii="宋体" w:hAnsi="宋体" w:cs="宋体"/>
          <w:color w:val="auto"/>
          <w:szCs w:val="21"/>
          <w:highlight w:val="none"/>
        </w:rPr>
      </w:pPr>
      <w:r>
        <w:rPr>
          <w:rFonts w:hint="eastAsia" w:ascii="宋体" w:hAnsi="宋体" w:cs="宋体"/>
          <w:color w:val="auto"/>
          <w:sz w:val="24"/>
          <w:highlight w:val="none"/>
        </w:rPr>
        <w:t xml:space="preserve">                                日期：    年   月   日</w:t>
      </w:r>
    </w:p>
    <w:p w14:paraId="26A861C3">
      <w:pPr>
        <w:spacing w:before="120" w:after="50" w:line="360" w:lineRule="auto"/>
        <w:ind w:right="480" w:firstLine="240"/>
        <w:jc w:val="right"/>
        <w:rPr>
          <w:rFonts w:hint="eastAsia" w:ascii="宋体" w:hAnsi="宋体" w:cs="宋体"/>
          <w:color w:val="auto"/>
          <w:sz w:val="24"/>
          <w:highlight w:val="none"/>
        </w:rPr>
      </w:pPr>
    </w:p>
    <w:p w14:paraId="45750271">
      <w:pPr>
        <w:spacing w:before="50" w:after="120"/>
        <w:jc w:val="left"/>
        <w:rPr>
          <w:rFonts w:hint="eastAsia" w:ascii="宋体" w:hAnsi="宋体" w:cs="宋体"/>
          <w:color w:val="auto"/>
          <w:szCs w:val="21"/>
          <w:highlight w:val="none"/>
        </w:rPr>
      </w:pPr>
    </w:p>
    <w:p w14:paraId="7865A39D">
      <w:pPr>
        <w:spacing w:before="120" w:after="50"/>
        <w:jc w:val="left"/>
        <w:rPr>
          <w:rFonts w:hint="eastAsia" w:ascii="宋体" w:hAnsi="宋体" w:cs="宋体"/>
          <w:b/>
          <w:color w:val="auto"/>
          <w:sz w:val="24"/>
          <w:szCs w:val="20"/>
          <w:highlight w:val="none"/>
        </w:rPr>
      </w:pPr>
    </w:p>
    <w:p w14:paraId="29FB19C6">
      <w:pPr>
        <w:numPr>
          <w:ilvl w:val="2"/>
          <w:numId w:val="10"/>
        </w:numPr>
        <w:spacing w:before="120" w:after="50"/>
        <w:ind w:left="0" w:firstLine="0"/>
        <w:jc w:val="left"/>
        <w:rPr>
          <w:rFonts w:hint="eastAsia" w:ascii="宋体" w:hAnsi="宋体" w:cs="宋体"/>
          <w:b/>
          <w:color w:val="auto"/>
          <w:sz w:val="24"/>
          <w:szCs w:val="20"/>
          <w:highlight w:val="none"/>
        </w:rPr>
      </w:pPr>
      <w:r>
        <w:rPr>
          <w:rFonts w:hint="eastAsia" w:ascii="宋体" w:hAnsi="宋体" w:cs="宋体"/>
          <w:b/>
          <w:color w:val="auto"/>
          <w:sz w:val="24"/>
          <w:highlight w:val="none"/>
        </w:rPr>
        <w:t>投标声明</w:t>
      </w:r>
    </w:p>
    <w:p w14:paraId="715BA864">
      <w:pPr>
        <w:spacing w:before="50" w:after="120"/>
        <w:jc w:val="left"/>
        <w:rPr>
          <w:rFonts w:hint="eastAsia" w:ascii="宋体" w:hAnsi="宋体" w:cs="宋体"/>
          <w:color w:val="auto"/>
          <w:highlight w:val="none"/>
        </w:rPr>
      </w:pPr>
    </w:p>
    <w:p w14:paraId="388463CD">
      <w:pPr>
        <w:spacing w:before="50" w:after="120"/>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投标声明</w:t>
      </w:r>
    </w:p>
    <w:p w14:paraId="65207C4C">
      <w:pPr>
        <w:spacing w:line="400" w:lineRule="exact"/>
        <w:contextualSpacing/>
        <w:jc w:val="left"/>
        <w:rPr>
          <w:rFonts w:hint="eastAsia" w:ascii="宋体" w:hAnsi="宋体" w:cs="宋体"/>
          <w:color w:val="auto"/>
          <w:sz w:val="24"/>
          <w:highlight w:val="none"/>
        </w:rPr>
      </w:pPr>
      <w:r>
        <w:rPr>
          <w:rFonts w:hint="eastAsia" w:ascii="宋体" w:hAnsi="宋体" w:cs="宋体"/>
          <w:color w:val="auto"/>
          <w:sz w:val="24"/>
          <w:highlight w:val="none"/>
        </w:rPr>
        <w:t>（采购人名称）：</w:t>
      </w:r>
    </w:p>
    <w:p w14:paraId="14336382">
      <w:pPr>
        <w:spacing w:line="400" w:lineRule="exact"/>
        <w:ind w:firstLine="523"/>
        <w:contextualSpacing/>
        <w:jc w:val="left"/>
        <w:rPr>
          <w:rFonts w:hint="eastAsia" w:ascii="宋体" w:hAnsi="宋体" w:cs="宋体"/>
          <w:color w:val="auto"/>
          <w:sz w:val="24"/>
          <w:highlight w:val="none"/>
        </w:rPr>
      </w:pPr>
      <w:r>
        <w:rPr>
          <w:rFonts w:hint="eastAsia" w:ascii="宋体" w:hAnsi="宋体" w:cs="宋体"/>
          <w:color w:val="auto"/>
          <w:sz w:val="24"/>
          <w:highlight w:val="none"/>
        </w:rPr>
        <w:t>我方参加贵单位组织</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项目（项目编号：</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）的政府采购活动。我方在此郑重声明：</w:t>
      </w:r>
    </w:p>
    <w:p w14:paraId="35A6D147">
      <w:pPr>
        <w:spacing w:line="400" w:lineRule="exact"/>
        <w:ind w:firstLine="480"/>
        <w:contextualSpacing/>
        <w:jc w:val="left"/>
        <w:rPr>
          <w:rFonts w:hint="eastAsia" w:ascii="宋体" w:hAnsi="宋体" w:cs="宋体"/>
          <w:color w:val="auto"/>
          <w:sz w:val="24"/>
          <w:highlight w:val="none"/>
        </w:rPr>
      </w:pPr>
      <w:r>
        <w:rPr>
          <w:rFonts w:hint="eastAsia" w:ascii="宋体" w:hAnsi="宋体" w:cs="宋体"/>
          <w:color w:val="auto"/>
          <w:sz w:val="24"/>
          <w:highlight w:val="none"/>
        </w:rPr>
        <w:t>1.我方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5B5CE6CD">
      <w:pPr>
        <w:spacing w:line="400" w:lineRule="exact"/>
        <w:ind w:firstLine="480"/>
        <w:contextualSpacing/>
        <w:jc w:val="left"/>
        <w:rPr>
          <w:rFonts w:hint="eastAsia" w:ascii="宋体" w:hAnsi="宋体" w:cs="宋体"/>
          <w:color w:val="auto"/>
          <w:sz w:val="24"/>
          <w:highlight w:val="none"/>
        </w:rPr>
      </w:pPr>
      <w:r>
        <w:rPr>
          <w:rFonts w:hint="eastAsia" w:ascii="宋体" w:hAnsi="宋体" w:cs="宋体"/>
          <w:color w:val="auto"/>
          <w:sz w:val="24"/>
          <w:highlight w:val="none"/>
        </w:rPr>
        <w:t>2.我方不是为本次采购项目提供整体设计、规范编制或者项目管理、监理、检测等服务的供应商。</w:t>
      </w:r>
    </w:p>
    <w:p w14:paraId="57433279">
      <w:pPr>
        <w:spacing w:line="400" w:lineRule="exact"/>
        <w:ind w:firstLine="480"/>
        <w:contextualSpacing/>
        <w:jc w:val="left"/>
        <w:rPr>
          <w:rFonts w:hint="eastAsia" w:ascii="宋体" w:hAnsi="宋体" w:cs="宋体"/>
          <w:color w:val="auto"/>
          <w:sz w:val="24"/>
          <w:highlight w:val="none"/>
        </w:rPr>
      </w:pPr>
      <w:r>
        <w:rPr>
          <w:rFonts w:hint="eastAsia" w:ascii="宋体" w:hAnsi="宋体" w:cs="宋体"/>
          <w:color w:val="auto"/>
          <w:sz w:val="24"/>
          <w:highlight w:val="none"/>
        </w:rPr>
        <w:t>3. 我方承诺符合《中华人民共和国政府采购法》第二十二条规定：</w:t>
      </w:r>
    </w:p>
    <w:p w14:paraId="1683AA9F">
      <w:pPr>
        <w:spacing w:line="400" w:lineRule="exact"/>
        <w:ind w:firstLine="480"/>
        <w:contextualSpacing/>
        <w:jc w:val="left"/>
        <w:rPr>
          <w:rFonts w:hint="eastAsia" w:ascii="宋体" w:hAnsi="宋体" w:cs="宋体"/>
          <w:color w:val="auto"/>
          <w:sz w:val="24"/>
          <w:highlight w:val="none"/>
        </w:rPr>
      </w:pPr>
      <w:r>
        <w:rPr>
          <w:rFonts w:hint="eastAsia" w:ascii="宋体" w:hAnsi="宋体" w:cs="宋体"/>
          <w:color w:val="auto"/>
          <w:sz w:val="24"/>
          <w:highlight w:val="none"/>
        </w:rPr>
        <w:t>（一）具有独立承担民事责任的能力；</w:t>
      </w:r>
    </w:p>
    <w:p w14:paraId="6AA0465A">
      <w:pPr>
        <w:spacing w:line="400" w:lineRule="exact"/>
        <w:ind w:firstLine="480"/>
        <w:contextualSpacing/>
        <w:jc w:val="left"/>
        <w:rPr>
          <w:rFonts w:hint="eastAsia" w:ascii="宋体" w:hAnsi="宋体" w:cs="宋体"/>
          <w:color w:val="auto"/>
          <w:sz w:val="24"/>
          <w:highlight w:val="none"/>
        </w:rPr>
      </w:pPr>
      <w:r>
        <w:rPr>
          <w:rFonts w:hint="eastAsia" w:ascii="宋体" w:hAnsi="宋体" w:cs="宋体"/>
          <w:color w:val="auto"/>
          <w:sz w:val="24"/>
          <w:highlight w:val="none"/>
        </w:rPr>
        <w:t>（二）具有良好的商业信誉和健全的财务会计制度；</w:t>
      </w:r>
    </w:p>
    <w:p w14:paraId="59A60451">
      <w:pPr>
        <w:spacing w:line="400" w:lineRule="exact"/>
        <w:ind w:firstLine="480"/>
        <w:contextualSpacing/>
        <w:jc w:val="left"/>
        <w:rPr>
          <w:rFonts w:hint="eastAsia" w:ascii="宋体" w:hAnsi="宋体" w:cs="宋体"/>
          <w:color w:val="auto"/>
          <w:sz w:val="24"/>
          <w:highlight w:val="none"/>
        </w:rPr>
      </w:pPr>
      <w:r>
        <w:rPr>
          <w:rFonts w:hint="eastAsia" w:ascii="宋体" w:hAnsi="宋体" w:cs="宋体"/>
          <w:color w:val="auto"/>
          <w:sz w:val="24"/>
          <w:highlight w:val="none"/>
        </w:rPr>
        <w:t>（三）具有履行合同所必需的设备和专业技术能力；</w:t>
      </w:r>
    </w:p>
    <w:p w14:paraId="452B592D">
      <w:pPr>
        <w:spacing w:line="400" w:lineRule="exact"/>
        <w:ind w:firstLine="480"/>
        <w:contextualSpacing/>
        <w:jc w:val="left"/>
        <w:rPr>
          <w:rFonts w:hint="eastAsia" w:ascii="宋体" w:hAnsi="宋体" w:cs="宋体"/>
          <w:color w:val="auto"/>
          <w:sz w:val="24"/>
          <w:highlight w:val="none"/>
        </w:rPr>
      </w:pPr>
      <w:r>
        <w:rPr>
          <w:rFonts w:hint="eastAsia" w:ascii="宋体" w:hAnsi="宋体" w:cs="宋体"/>
          <w:color w:val="auto"/>
          <w:sz w:val="24"/>
          <w:highlight w:val="none"/>
        </w:rPr>
        <w:t>（四）有依法缴纳税收和社会保障资金的良好记录；</w:t>
      </w:r>
    </w:p>
    <w:p w14:paraId="34D4CC5F">
      <w:pPr>
        <w:spacing w:line="400" w:lineRule="exact"/>
        <w:ind w:firstLine="480"/>
        <w:contextualSpacing/>
        <w:jc w:val="left"/>
        <w:rPr>
          <w:rFonts w:hint="eastAsia" w:ascii="宋体" w:hAnsi="宋体" w:cs="宋体"/>
          <w:color w:val="auto"/>
          <w:sz w:val="24"/>
          <w:highlight w:val="none"/>
        </w:rPr>
      </w:pPr>
      <w:r>
        <w:rPr>
          <w:rFonts w:hint="eastAsia" w:ascii="宋体" w:hAnsi="宋体" w:cs="宋体"/>
          <w:color w:val="auto"/>
          <w:sz w:val="24"/>
          <w:highlight w:val="none"/>
        </w:rPr>
        <w:t>（五）参加政府采购活动前三年内，在经营活动中没有重大违法记录；</w:t>
      </w:r>
    </w:p>
    <w:p w14:paraId="4E6D9442">
      <w:pPr>
        <w:spacing w:line="400" w:lineRule="exact"/>
        <w:ind w:firstLine="480"/>
        <w:contextualSpacing/>
        <w:jc w:val="left"/>
        <w:rPr>
          <w:rFonts w:hint="eastAsia" w:ascii="宋体" w:hAnsi="宋体" w:cs="宋体"/>
          <w:color w:val="auto"/>
          <w:sz w:val="24"/>
          <w:highlight w:val="none"/>
        </w:rPr>
      </w:pPr>
      <w:r>
        <w:rPr>
          <w:rFonts w:hint="eastAsia" w:ascii="宋体" w:hAnsi="宋体" w:cs="宋体"/>
          <w:color w:val="auto"/>
          <w:sz w:val="24"/>
          <w:highlight w:val="none"/>
        </w:rPr>
        <w:t>（六）法律、行政法规规定的其他条件。</w:t>
      </w:r>
    </w:p>
    <w:p w14:paraId="23E3C1C3">
      <w:pPr>
        <w:spacing w:line="400" w:lineRule="exact"/>
        <w:ind w:firstLine="480"/>
        <w:contextualSpacing/>
        <w:jc w:val="left"/>
        <w:rPr>
          <w:rFonts w:hint="eastAsia" w:ascii="宋体" w:hAnsi="宋体" w:cs="宋体"/>
          <w:color w:val="auto"/>
          <w:sz w:val="24"/>
          <w:highlight w:val="none"/>
        </w:rPr>
      </w:pPr>
      <w:r>
        <w:rPr>
          <w:rFonts w:hint="eastAsia" w:ascii="宋体" w:hAnsi="宋体" w:cs="宋体"/>
          <w:color w:val="auto"/>
          <w:sz w:val="24"/>
          <w:highlight w:val="none"/>
        </w:rPr>
        <w:t>4.以上事项如有虚假或者隐瞒，我方愿意承担一切后果，并不再寻求任何旨在减轻或者免除法律责任的辩解。</w:t>
      </w:r>
    </w:p>
    <w:p w14:paraId="50D39258">
      <w:pPr>
        <w:spacing w:line="400" w:lineRule="exact"/>
        <w:contextualSpacing/>
        <w:jc w:val="left"/>
        <w:rPr>
          <w:rFonts w:hint="eastAsia" w:ascii="宋体" w:hAnsi="宋体" w:cs="宋体"/>
          <w:color w:val="auto"/>
          <w:sz w:val="24"/>
          <w:highlight w:val="none"/>
        </w:rPr>
      </w:pPr>
      <w:r>
        <w:rPr>
          <w:rFonts w:hint="eastAsia" w:ascii="宋体" w:hAnsi="宋体" w:cs="宋体"/>
          <w:color w:val="auto"/>
          <w:sz w:val="24"/>
          <w:highlight w:val="none"/>
        </w:rPr>
        <w:t xml:space="preserve">    特此承诺。</w:t>
      </w:r>
    </w:p>
    <w:p w14:paraId="628CE8A7">
      <w:pPr>
        <w:spacing w:line="400" w:lineRule="exact"/>
        <w:contextualSpacing/>
        <w:jc w:val="left"/>
        <w:rPr>
          <w:rFonts w:hint="eastAsia" w:ascii="宋体" w:hAnsi="宋体" w:cs="宋体"/>
          <w:color w:val="auto"/>
          <w:sz w:val="24"/>
          <w:highlight w:val="none"/>
        </w:rPr>
      </w:pPr>
      <w:r>
        <w:rPr>
          <w:rFonts w:hint="eastAsia" w:ascii="宋体" w:hAnsi="宋体" w:cs="宋体"/>
          <w:b/>
          <w:color w:val="auto"/>
          <w:sz w:val="24"/>
          <w:highlight w:val="none"/>
        </w:rPr>
        <w:t xml:space="preserve">                  </w:t>
      </w:r>
      <w:r>
        <w:rPr>
          <w:rFonts w:hint="eastAsia" w:ascii="宋体" w:hAnsi="宋体" w:cs="宋体"/>
          <w:color w:val="auto"/>
          <w:sz w:val="24"/>
          <w:highlight w:val="none"/>
        </w:rPr>
        <w:t>法定代表人（或负责人）（签字或者盖章或者电子签名）：</w:t>
      </w:r>
      <w:r>
        <w:rPr>
          <w:rFonts w:hint="eastAsia" w:ascii="宋体" w:hAnsi="宋体" w:cs="宋体"/>
          <w:color w:val="auto"/>
          <w:sz w:val="24"/>
          <w:highlight w:val="none"/>
          <w:u w:val="single"/>
        </w:rPr>
        <w:t xml:space="preserve">             </w:t>
      </w:r>
    </w:p>
    <w:p w14:paraId="22F9DD9B">
      <w:pPr>
        <w:spacing w:line="400" w:lineRule="exact"/>
        <w:contextualSpacing/>
        <w:jc w:val="left"/>
        <w:rPr>
          <w:rFonts w:hint="eastAsia" w:ascii="宋体" w:hAnsi="宋体" w:cs="宋体"/>
          <w:color w:val="auto"/>
          <w:sz w:val="24"/>
          <w:highlight w:val="none"/>
        </w:rPr>
      </w:pPr>
      <w:r>
        <w:rPr>
          <w:rFonts w:hint="eastAsia" w:ascii="宋体" w:hAnsi="宋体" w:cs="宋体"/>
          <w:color w:val="auto"/>
          <w:sz w:val="24"/>
          <w:highlight w:val="none"/>
        </w:rPr>
        <w:t xml:space="preserve">                             投标人名称（电子签章）：</w:t>
      </w:r>
      <w:r>
        <w:rPr>
          <w:rFonts w:hint="eastAsia" w:ascii="宋体" w:hAnsi="宋体" w:cs="宋体"/>
          <w:color w:val="auto"/>
          <w:sz w:val="24"/>
          <w:highlight w:val="none"/>
          <w:u w:val="single"/>
        </w:rPr>
        <w:t xml:space="preserve">                 </w:t>
      </w:r>
    </w:p>
    <w:p w14:paraId="1492DAFB">
      <w:pPr>
        <w:spacing w:line="400" w:lineRule="exact"/>
        <w:contextualSpacing/>
        <w:jc w:val="left"/>
        <w:rPr>
          <w:rFonts w:hint="eastAsia" w:ascii="宋体" w:hAnsi="宋体" w:cs="宋体"/>
          <w:color w:val="auto"/>
          <w:highlight w:val="none"/>
        </w:rPr>
      </w:pPr>
      <w:r>
        <w:rPr>
          <w:rFonts w:hint="eastAsia" w:ascii="宋体" w:hAnsi="宋体" w:cs="宋体"/>
          <w:color w:val="auto"/>
          <w:sz w:val="24"/>
          <w:highlight w:val="none"/>
        </w:rPr>
        <w:t xml:space="preserve">                                                  年    月    日</w:t>
      </w:r>
    </w:p>
    <w:p w14:paraId="36677BBD">
      <w:pPr>
        <w:spacing w:line="440" w:lineRule="exact"/>
        <w:contextualSpacing/>
        <w:rPr>
          <w:rFonts w:hint="eastAsia" w:ascii="宋体" w:hAnsi="宋体" w:cs="宋体"/>
          <w:b/>
          <w:color w:val="auto"/>
          <w:sz w:val="24"/>
          <w:highlight w:val="none"/>
        </w:rPr>
      </w:pPr>
      <w:r>
        <w:rPr>
          <w:rFonts w:hint="eastAsia" w:ascii="宋体" w:hAnsi="宋体" w:cs="宋体"/>
          <w:b/>
          <w:color w:val="auto"/>
          <w:sz w:val="24"/>
          <w:highlight w:val="none"/>
        </w:rPr>
        <w:t>注：如为联合体投标，盖章处须加盖联合体牵头人电子签章并由联合体牵头人法定代表人（或负责人）分别签字或者盖章或者电子签名，否则投标无效。</w:t>
      </w:r>
    </w:p>
    <w:p w14:paraId="5A6BCA03">
      <w:pPr>
        <w:spacing w:line="400" w:lineRule="exact"/>
        <w:contextualSpacing/>
        <w:jc w:val="left"/>
        <w:rPr>
          <w:rFonts w:hint="eastAsia" w:ascii="宋体" w:hAnsi="宋体" w:cs="宋体"/>
          <w:color w:val="auto"/>
          <w:sz w:val="24"/>
          <w:highlight w:val="none"/>
        </w:rPr>
      </w:pPr>
    </w:p>
    <w:p w14:paraId="556AED70">
      <w:pPr>
        <w:spacing w:line="400" w:lineRule="exact"/>
        <w:contextualSpacing/>
        <w:jc w:val="left"/>
        <w:rPr>
          <w:rFonts w:hint="eastAsia" w:ascii="宋体" w:hAnsi="宋体" w:cs="宋体"/>
          <w:color w:val="auto"/>
          <w:sz w:val="24"/>
          <w:highlight w:val="none"/>
        </w:rPr>
      </w:pPr>
    </w:p>
    <w:p w14:paraId="5FBBCC3A">
      <w:pPr>
        <w:spacing w:line="400" w:lineRule="exact"/>
        <w:contextualSpacing/>
        <w:jc w:val="left"/>
        <w:rPr>
          <w:rFonts w:hint="eastAsia" w:ascii="宋体" w:hAnsi="宋体" w:cs="宋体"/>
          <w:color w:val="auto"/>
          <w:sz w:val="24"/>
          <w:highlight w:val="none"/>
        </w:rPr>
      </w:pPr>
    </w:p>
    <w:p w14:paraId="20F4A94C">
      <w:pPr>
        <w:pStyle w:val="222"/>
        <w:rPr>
          <w:rFonts w:hint="eastAsia" w:ascii="宋体" w:hAnsi="宋体" w:cs="宋体"/>
          <w:color w:val="auto"/>
          <w:highlight w:val="none"/>
        </w:rPr>
      </w:pPr>
    </w:p>
    <w:p w14:paraId="1F37510A">
      <w:pPr>
        <w:pStyle w:val="222"/>
        <w:rPr>
          <w:rFonts w:hint="eastAsia" w:ascii="宋体" w:hAnsi="宋体" w:cs="宋体"/>
          <w:color w:val="auto"/>
          <w:highlight w:val="none"/>
        </w:rPr>
      </w:pPr>
    </w:p>
    <w:p w14:paraId="010B28E6">
      <w:pPr>
        <w:rPr>
          <w:rFonts w:hint="eastAsia" w:ascii="宋体" w:hAnsi="宋体" w:cs="宋体"/>
          <w:b/>
          <w:color w:val="auto"/>
          <w:sz w:val="28"/>
          <w:szCs w:val="28"/>
          <w:highlight w:val="none"/>
        </w:rPr>
      </w:pPr>
      <w:r>
        <w:rPr>
          <w:rFonts w:hint="eastAsia" w:ascii="宋体" w:hAnsi="宋体" w:cs="宋体"/>
          <w:b/>
          <w:color w:val="auto"/>
          <w:sz w:val="28"/>
          <w:szCs w:val="28"/>
          <w:highlight w:val="none"/>
        </w:rPr>
        <w:t>三、商务文件格式</w:t>
      </w:r>
    </w:p>
    <w:p w14:paraId="53FAD41C">
      <w:pPr>
        <w:spacing w:before="120" w:after="50" w:line="360" w:lineRule="auto"/>
        <w:jc w:val="left"/>
        <w:rPr>
          <w:rFonts w:hint="eastAsia" w:ascii="宋体" w:hAnsi="宋体" w:cs="宋体"/>
          <w:b/>
          <w:color w:val="auto"/>
          <w:sz w:val="24"/>
          <w:highlight w:val="none"/>
        </w:rPr>
      </w:pPr>
      <w:r>
        <w:rPr>
          <w:rFonts w:hint="eastAsia" w:ascii="宋体" w:hAnsi="宋体" w:cs="宋体"/>
          <w:b/>
          <w:color w:val="auto"/>
          <w:sz w:val="24"/>
          <w:highlight w:val="none"/>
        </w:rPr>
        <w:t xml:space="preserve">1.商务文件封面格式： </w:t>
      </w:r>
    </w:p>
    <w:p w14:paraId="50FFBBCA">
      <w:pPr>
        <w:spacing w:before="120" w:after="50"/>
        <w:jc w:val="center"/>
        <w:rPr>
          <w:rFonts w:hint="eastAsia" w:ascii="宋体" w:hAnsi="宋体" w:cs="宋体"/>
          <w:color w:val="auto"/>
          <w:sz w:val="24"/>
          <w:highlight w:val="none"/>
        </w:rPr>
      </w:pPr>
      <w:r>
        <w:rPr>
          <w:rFonts w:hint="eastAsia" w:ascii="宋体" w:hAnsi="宋体" w:cs="宋体"/>
          <w:bCs/>
          <w:color w:val="auto"/>
          <w:sz w:val="48"/>
          <w:szCs w:val="48"/>
          <w:highlight w:val="none"/>
        </w:rPr>
        <w:t>电子投标文件</w:t>
      </w:r>
    </w:p>
    <w:p w14:paraId="68C03889">
      <w:pPr>
        <w:spacing w:before="120" w:after="50"/>
        <w:rPr>
          <w:rFonts w:hint="eastAsia" w:ascii="宋体" w:hAnsi="宋体" w:cs="宋体"/>
          <w:color w:val="auto"/>
          <w:sz w:val="24"/>
          <w:szCs w:val="20"/>
          <w:highlight w:val="none"/>
        </w:rPr>
      </w:pPr>
      <w:r>
        <w:rPr>
          <w:rFonts w:hint="eastAsia" w:ascii="宋体" w:hAnsi="宋体" w:cs="宋体"/>
          <w:color w:val="auto"/>
          <w:sz w:val="24"/>
          <w:highlight w:val="none"/>
        </w:rPr>
        <w:t xml:space="preserve">                </w:t>
      </w:r>
    </w:p>
    <w:p w14:paraId="68F61CE7">
      <w:pPr>
        <w:spacing w:before="120" w:after="50"/>
        <w:jc w:val="center"/>
        <w:rPr>
          <w:rFonts w:hint="eastAsia" w:ascii="宋体" w:hAnsi="宋体" w:cs="宋体"/>
          <w:b/>
          <w:color w:val="auto"/>
          <w:sz w:val="24"/>
          <w:szCs w:val="20"/>
          <w:highlight w:val="none"/>
        </w:rPr>
      </w:pPr>
      <w:r>
        <w:rPr>
          <w:rFonts w:hint="eastAsia" w:ascii="宋体" w:hAnsi="宋体" w:cs="宋体"/>
          <w:b/>
          <w:color w:val="auto"/>
          <w:sz w:val="32"/>
          <w:szCs w:val="32"/>
          <w:highlight w:val="none"/>
        </w:rPr>
        <w:t>商务文件</w:t>
      </w:r>
    </w:p>
    <w:p w14:paraId="297B3B8D">
      <w:pPr>
        <w:spacing w:before="120" w:after="50"/>
        <w:rPr>
          <w:rFonts w:hint="eastAsia" w:ascii="宋体" w:hAnsi="宋体" w:cs="宋体"/>
          <w:bCs/>
          <w:color w:val="auto"/>
          <w:sz w:val="24"/>
          <w:szCs w:val="20"/>
          <w:highlight w:val="none"/>
        </w:rPr>
      </w:pPr>
    </w:p>
    <w:p w14:paraId="5F15A12B">
      <w:pPr>
        <w:spacing w:before="120" w:after="50"/>
        <w:ind w:firstLine="540"/>
        <w:rPr>
          <w:rFonts w:hint="eastAsia" w:ascii="宋体" w:hAnsi="宋体" w:cs="宋体"/>
          <w:bCs/>
          <w:color w:val="auto"/>
          <w:sz w:val="24"/>
          <w:highlight w:val="none"/>
        </w:rPr>
      </w:pPr>
      <w:r>
        <w:rPr>
          <w:rFonts w:hint="eastAsia" w:ascii="宋体" w:hAnsi="宋体" w:cs="宋体"/>
          <w:bCs/>
          <w:color w:val="auto"/>
          <w:sz w:val="24"/>
          <w:highlight w:val="none"/>
        </w:rPr>
        <w:t>项目名称：</w:t>
      </w:r>
    </w:p>
    <w:p w14:paraId="37012DDD">
      <w:pPr>
        <w:spacing w:before="120" w:after="50"/>
        <w:ind w:firstLine="540"/>
        <w:rPr>
          <w:rFonts w:hint="eastAsia" w:ascii="宋体" w:hAnsi="宋体" w:cs="宋体"/>
          <w:bCs/>
          <w:color w:val="auto"/>
          <w:sz w:val="24"/>
          <w:szCs w:val="20"/>
          <w:highlight w:val="none"/>
        </w:rPr>
      </w:pPr>
    </w:p>
    <w:p w14:paraId="5FA0F094">
      <w:pPr>
        <w:spacing w:before="120" w:after="50"/>
        <w:ind w:firstLine="540"/>
        <w:rPr>
          <w:rFonts w:hint="eastAsia" w:ascii="宋体" w:hAnsi="宋体" w:cs="宋体"/>
          <w:bCs/>
          <w:color w:val="auto"/>
          <w:sz w:val="24"/>
          <w:highlight w:val="none"/>
        </w:rPr>
      </w:pPr>
      <w:r>
        <w:rPr>
          <w:rFonts w:hint="eastAsia" w:ascii="宋体" w:hAnsi="宋体" w:cs="宋体"/>
          <w:bCs/>
          <w:color w:val="auto"/>
          <w:sz w:val="24"/>
          <w:highlight w:val="none"/>
        </w:rPr>
        <w:t>项目编号：</w:t>
      </w:r>
    </w:p>
    <w:p w14:paraId="486173B2">
      <w:pPr>
        <w:spacing w:before="120" w:after="50"/>
        <w:ind w:firstLine="540"/>
        <w:rPr>
          <w:rFonts w:hint="eastAsia" w:ascii="宋体" w:hAnsi="宋体" w:cs="宋体"/>
          <w:bCs/>
          <w:color w:val="auto"/>
          <w:sz w:val="24"/>
          <w:szCs w:val="20"/>
          <w:highlight w:val="none"/>
        </w:rPr>
      </w:pPr>
    </w:p>
    <w:p w14:paraId="2CB47E0A">
      <w:pPr>
        <w:pStyle w:val="198"/>
        <w:rPr>
          <w:rFonts w:hint="eastAsia" w:ascii="宋体" w:hAnsi="宋体" w:eastAsia="宋体" w:cs="宋体"/>
          <w:color w:val="auto"/>
          <w:highlight w:val="none"/>
        </w:rPr>
      </w:pPr>
    </w:p>
    <w:p w14:paraId="3B2C4224">
      <w:pPr>
        <w:pStyle w:val="200"/>
        <w:spacing w:before="50" w:after="50"/>
        <w:ind w:firstLine="540"/>
        <w:rPr>
          <w:rFonts w:hint="eastAsia" w:ascii="宋体" w:hAnsi="宋体" w:cs="宋体"/>
          <w:bCs/>
          <w:color w:val="auto"/>
          <w:sz w:val="24"/>
          <w:szCs w:val="24"/>
          <w:highlight w:val="none"/>
        </w:rPr>
      </w:pPr>
      <w:r>
        <w:rPr>
          <w:rFonts w:hint="eastAsia" w:ascii="宋体" w:hAnsi="宋体" w:cs="宋体"/>
          <w:bCs/>
          <w:color w:val="auto"/>
          <w:sz w:val="24"/>
          <w:szCs w:val="24"/>
          <w:highlight w:val="none"/>
        </w:rPr>
        <w:t>投标人名称：</w:t>
      </w:r>
    </w:p>
    <w:p w14:paraId="23E6AAB6">
      <w:pPr>
        <w:pStyle w:val="200"/>
        <w:spacing w:before="50" w:after="50"/>
        <w:ind w:firstLine="540"/>
        <w:rPr>
          <w:rFonts w:hint="eastAsia" w:ascii="宋体" w:hAnsi="宋体" w:cs="宋体"/>
          <w:bCs/>
          <w:color w:val="auto"/>
          <w:sz w:val="24"/>
          <w:szCs w:val="24"/>
          <w:highlight w:val="none"/>
        </w:rPr>
      </w:pPr>
    </w:p>
    <w:p w14:paraId="4ADBEFAC">
      <w:pPr>
        <w:pStyle w:val="200"/>
        <w:spacing w:before="50" w:after="50"/>
        <w:ind w:firstLine="540"/>
        <w:rPr>
          <w:rFonts w:hint="eastAsia" w:ascii="宋体" w:hAnsi="宋体" w:cs="宋体"/>
          <w:bCs/>
          <w:color w:val="auto"/>
          <w:sz w:val="24"/>
          <w:szCs w:val="24"/>
          <w:highlight w:val="none"/>
        </w:rPr>
      </w:pPr>
      <w:r>
        <w:rPr>
          <w:rFonts w:hint="eastAsia" w:ascii="宋体" w:hAnsi="宋体" w:cs="宋体"/>
          <w:bCs/>
          <w:color w:val="auto"/>
          <w:sz w:val="24"/>
          <w:szCs w:val="24"/>
          <w:highlight w:val="none"/>
        </w:rPr>
        <w:t>投标人地址：</w:t>
      </w:r>
    </w:p>
    <w:p w14:paraId="746602E8">
      <w:pPr>
        <w:pStyle w:val="200"/>
        <w:spacing w:before="50" w:after="50"/>
        <w:ind w:firstLine="960"/>
        <w:rPr>
          <w:rFonts w:hint="eastAsia" w:ascii="宋体" w:hAnsi="宋体" w:cs="宋体"/>
          <w:bCs/>
          <w:color w:val="auto"/>
          <w:sz w:val="24"/>
          <w:szCs w:val="24"/>
          <w:highlight w:val="none"/>
        </w:rPr>
      </w:pPr>
    </w:p>
    <w:p w14:paraId="3872E8BB">
      <w:pPr>
        <w:spacing w:before="120" w:after="50"/>
        <w:ind w:firstLine="645"/>
        <w:rPr>
          <w:rFonts w:hint="eastAsia" w:ascii="宋体" w:hAnsi="宋体" w:cs="宋体"/>
          <w:color w:val="auto"/>
          <w:sz w:val="24"/>
          <w:highlight w:val="none"/>
        </w:rPr>
      </w:pPr>
      <w:r>
        <w:rPr>
          <w:rFonts w:hint="eastAsia" w:ascii="宋体" w:hAnsi="宋体" w:cs="宋体"/>
          <w:color w:val="auto"/>
          <w:sz w:val="24"/>
          <w:highlight w:val="none"/>
        </w:rPr>
        <w:t xml:space="preserve">                        年  月  日</w:t>
      </w:r>
    </w:p>
    <w:p w14:paraId="4EA4CE45">
      <w:pPr>
        <w:spacing w:before="120" w:after="50"/>
        <w:rPr>
          <w:rFonts w:hint="eastAsia" w:ascii="宋体" w:hAnsi="宋体" w:cs="宋体"/>
          <w:color w:val="auto"/>
          <w:sz w:val="24"/>
          <w:szCs w:val="20"/>
          <w:highlight w:val="none"/>
        </w:rPr>
      </w:pPr>
      <w:r>
        <w:rPr>
          <w:rFonts w:hint="eastAsia" w:ascii="宋体" w:hAnsi="宋体" w:cs="宋体"/>
          <w:color w:val="auto"/>
          <w:sz w:val="24"/>
          <w:szCs w:val="20"/>
          <w:highlight w:val="none"/>
        </w:rPr>
        <w:t xml:space="preserve"> </w:t>
      </w:r>
    </w:p>
    <w:p w14:paraId="69DEB480">
      <w:pPr>
        <w:spacing w:line="360" w:lineRule="auto"/>
        <w:jc w:val="left"/>
        <w:rPr>
          <w:rFonts w:hint="eastAsia" w:ascii="宋体" w:hAnsi="宋体" w:cs="宋体"/>
          <w:b/>
          <w:bCs/>
          <w:color w:val="auto"/>
          <w:sz w:val="28"/>
          <w:szCs w:val="28"/>
          <w:highlight w:val="none"/>
        </w:rPr>
      </w:pPr>
      <w:r>
        <w:rPr>
          <w:rFonts w:hint="eastAsia" w:ascii="宋体" w:hAnsi="宋体" w:cs="宋体"/>
          <w:color w:val="auto"/>
          <w:sz w:val="24"/>
          <w:szCs w:val="20"/>
          <w:highlight w:val="none"/>
        </w:rPr>
        <w:br w:type="page" w:clear="all"/>
      </w:r>
      <w:r>
        <w:rPr>
          <w:rFonts w:hint="eastAsia" w:ascii="宋体" w:hAnsi="宋体" w:cs="宋体"/>
          <w:b/>
          <w:bCs/>
          <w:color w:val="auto"/>
          <w:sz w:val="28"/>
          <w:szCs w:val="28"/>
          <w:highlight w:val="none"/>
        </w:rPr>
        <w:t>2.商务文件目录</w:t>
      </w:r>
    </w:p>
    <w:p w14:paraId="2C92983C">
      <w:pPr>
        <w:spacing w:before="50" w:after="120" w:line="360" w:lineRule="auto"/>
        <w:jc w:val="left"/>
        <w:rPr>
          <w:rFonts w:hint="eastAsia" w:ascii="宋体" w:hAnsi="宋体" w:cs="宋体"/>
          <w:b/>
          <w:bCs/>
          <w:color w:val="auto"/>
          <w:sz w:val="24"/>
          <w:highlight w:val="none"/>
        </w:rPr>
      </w:pPr>
      <w:r>
        <w:rPr>
          <w:rFonts w:hint="eastAsia" w:ascii="宋体" w:hAnsi="宋体" w:cs="宋体"/>
          <w:color w:val="auto"/>
          <w:szCs w:val="21"/>
          <w:highlight w:val="none"/>
        </w:rPr>
        <w:t>根据招标文件规定及投标人提供的材料自行编写目录。</w:t>
      </w:r>
    </w:p>
    <w:p w14:paraId="6A666AC8">
      <w:pPr>
        <w:spacing w:before="50" w:after="120"/>
        <w:jc w:val="left"/>
        <w:rPr>
          <w:rFonts w:hint="eastAsia" w:ascii="宋体" w:hAnsi="宋体" w:cs="宋体"/>
          <w:color w:val="auto"/>
          <w:highlight w:val="none"/>
        </w:rPr>
      </w:pPr>
    </w:p>
    <w:p w14:paraId="24D41977">
      <w:pPr>
        <w:spacing w:before="120" w:after="50"/>
        <w:jc w:val="left"/>
        <w:rPr>
          <w:rFonts w:hint="eastAsia" w:ascii="宋体" w:hAnsi="宋体" w:cs="宋体"/>
          <w:b/>
          <w:color w:val="auto"/>
          <w:sz w:val="24"/>
          <w:highlight w:val="none"/>
        </w:rPr>
      </w:pPr>
      <w:r>
        <w:rPr>
          <w:rFonts w:hint="eastAsia" w:ascii="宋体" w:hAnsi="宋体" w:cs="宋体"/>
          <w:b/>
          <w:color w:val="auto"/>
          <w:sz w:val="24"/>
          <w:highlight w:val="none"/>
        </w:rPr>
        <w:br w:type="page" w:clear="all"/>
      </w:r>
      <w:r>
        <w:rPr>
          <w:rFonts w:hint="eastAsia" w:ascii="宋体" w:hAnsi="宋体" w:cs="宋体"/>
          <w:b/>
          <w:color w:val="auto"/>
          <w:sz w:val="24"/>
          <w:highlight w:val="none"/>
        </w:rPr>
        <w:t>3.投标人参加本项目无围标串标行为的承诺</w:t>
      </w:r>
    </w:p>
    <w:p w14:paraId="506F089F">
      <w:pPr>
        <w:spacing w:before="120" w:after="50"/>
        <w:jc w:val="left"/>
        <w:rPr>
          <w:rFonts w:hint="eastAsia" w:ascii="宋体" w:hAnsi="宋体" w:cs="宋体"/>
          <w:b/>
          <w:color w:val="auto"/>
          <w:sz w:val="24"/>
          <w:highlight w:val="none"/>
        </w:rPr>
      </w:pPr>
    </w:p>
    <w:p w14:paraId="381E65A2">
      <w:pPr>
        <w:spacing w:before="120" w:after="50"/>
        <w:ind w:left="420"/>
        <w:jc w:val="center"/>
        <w:rPr>
          <w:rFonts w:hint="eastAsia" w:ascii="宋体" w:hAnsi="宋体" w:cs="宋体"/>
          <w:b/>
          <w:color w:val="auto"/>
          <w:spacing w:val="-17"/>
          <w:sz w:val="32"/>
          <w:szCs w:val="32"/>
          <w:highlight w:val="none"/>
        </w:rPr>
      </w:pPr>
      <w:r>
        <w:rPr>
          <w:rFonts w:hint="eastAsia" w:ascii="宋体" w:hAnsi="宋体" w:cs="宋体"/>
          <w:bCs/>
          <w:color w:val="auto"/>
          <w:spacing w:val="-17"/>
          <w:sz w:val="44"/>
          <w:szCs w:val="44"/>
          <w:highlight w:val="none"/>
        </w:rPr>
        <w:t>投标人参加本项目无围标串标行为的承诺函</w:t>
      </w:r>
    </w:p>
    <w:p w14:paraId="76BF3747">
      <w:pPr>
        <w:spacing w:before="120" w:after="50"/>
        <w:rPr>
          <w:rFonts w:hint="eastAsia" w:ascii="宋体" w:hAnsi="宋体" w:cs="宋体"/>
          <w:b/>
          <w:color w:val="auto"/>
          <w:sz w:val="24"/>
          <w:highlight w:val="none"/>
        </w:rPr>
      </w:pPr>
    </w:p>
    <w:p w14:paraId="6BE4A0BF">
      <w:pPr>
        <w:spacing w:line="400" w:lineRule="exact"/>
        <w:contextualSpacing/>
        <w:jc w:val="left"/>
        <w:rPr>
          <w:rFonts w:hint="eastAsia" w:ascii="宋体" w:hAnsi="宋体" w:cs="宋体"/>
          <w:b/>
          <w:color w:val="auto"/>
          <w:sz w:val="24"/>
          <w:highlight w:val="none"/>
        </w:rPr>
      </w:pPr>
      <w:r>
        <w:rPr>
          <w:rFonts w:hint="eastAsia" w:ascii="宋体" w:hAnsi="宋体" w:cs="宋体"/>
          <w:b/>
          <w:color w:val="auto"/>
          <w:sz w:val="24"/>
          <w:highlight w:val="none"/>
        </w:rPr>
        <w:t>一、我方承诺无下列相互串通投标的情形：</w:t>
      </w:r>
    </w:p>
    <w:p w14:paraId="598447BA">
      <w:pPr>
        <w:spacing w:line="400" w:lineRule="exact"/>
        <w:ind w:firstLine="470"/>
        <w:contextualSpacing/>
        <w:jc w:val="left"/>
        <w:rPr>
          <w:rFonts w:hint="eastAsia" w:ascii="宋体" w:hAnsi="宋体" w:cs="宋体"/>
          <w:color w:val="auto"/>
          <w:sz w:val="24"/>
          <w:highlight w:val="none"/>
        </w:rPr>
      </w:pPr>
      <w:r>
        <w:rPr>
          <w:rFonts w:hint="eastAsia" w:ascii="宋体" w:hAnsi="宋体" w:cs="宋体"/>
          <w:color w:val="auto"/>
          <w:sz w:val="24"/>
          <w:highlight w:val="none"/>
        </w:rPr>
        <w:t xml:space="preserve">1.不同投标人的投标文件由同一单位或者个人编制； </w:t>
      </w:r>
    </w:p>
    <w:p w14:paraId="509623C2">
      <w:pPr>
        <w:spacing w:line="400" w:lineRule="exact"/>
        <w:ind w:firstLine="470"/>
        <w:contextualSpacing/>
        <w:jc w:val="left"/>
        <w:rPr>
          <w:rFonts w:hint="eastAsia" w:ascii="宋体" w:hAnsi="宋体" w:cs="宋体"/>
          <w:color w:val="auto"/>
          <w:sz w:val="24"/>
          <w:highlight w:val="none"/>
        </w:rPr>
      </w:pPr>
      <w:r>
        <w:rPr>
          <w:rFonts w:hint="eastAsia" w:ascii="宋体" w:hAnsi="宋体" w:cs="宋体"/>
          <w:color w:val="auto"/>
          <w:sz w:val="24"/>
          <w:highlight w:val="none"/>
        </w:rPr>
        <w:t>2.不同投标人委托同一单位或者个人办理投标事宜；</w:t>
      </w:r>
    </w:p>
    <w:p w14:paraId="1209B586">
      <w:pPr>
        <w:spacing w:line="400" w:lineRule="exact"/>
        <w:ind w:firstLine="470"/>
        <w:contextualSpacing/>
        <w:jc w:val="left"/>
        <w:rPr>
          <w:rFonts w:hint="eastAsia" w:ascii="宋体" w:hAnsi="宋体" w:cs="宋体"/>
          <w:color w:val="auto"/>
          <w:sz w:val="24"/>
          <w:highlight w:val="none"/>
        </w:rPr>
      </w:pPr>
      <w:r>
        <w:rPr>
          <w:rFonts w:hint="eastAsia" w:ascii="宋体" w:hAnsi="宋体" w:cs="宋体"/>
          <w:color w:val="auto"/>
          <w:sz w:val="24"/>
          <w:highlight w:val="none"/>
        </w:rPr>
        <w:t>3.不同的投标人的投标文件载明的项目管理员为同一个人；</w:t>
      </w:r>
    </w:p>
    <w:p w14:paraId="7B6B7717">
      <w:pPr>
        <w:spacing w:line="400" w:lineRule="exact"/>
        <w:ind w:firstLine="470"/>
        <w:contextualSpacing/>
        <w:jc w:val="left"/>
        <w:rPr>
          <w:rFonts w:hint="eastAsia" w:ascii="宋体" w:hAnsi="宋体" w:cs="宋体"/>
          <w:color w:val="auto"/>
          <w:sz w:val="24"/>
          <w:highlight w:val="none"/>
        </w:rPr>
      </w:pPr>
      <w:r>
        <w:rPr>
          <w:rFonts w:hint="eastAsia" w:ascii="宋体" w:hAnsi="宋体" w:cs="宋体"/>
          <w:color w:val="auto"/>
          <w:sz w:val="24"/>
          <w:highlight w:val="none"/>
        </w:rPr>
        <w:t>4.不同投标人的投标文件异常一致或者投标报价呈规律性差异；</w:t>
      </w:r>
    </w:p>
    <w:p w14:paraId="4C8C1004">
      <w:pPr>
        <w:spacing w:line="400" w:lineRule="exact"/>
        <w:ind w:firstLine="470"/>
        <w:contextualSpacing/>
        <w:jc w:val="left"/>
        <w:rPr>
          <w:rFonts w:hint="eastAsia" w:ascii="宋体" w:hAnsi="宋体" w:cs="宋体"/>
          <w:color w:val="auto"/>
          <w:sz w:val="24"/>
          <w:highlight w:val="none"/>
        </w:rPr>
      </w:pPr>
      <w:r>
        <w:rPr>
          <w:rFonts w:hint="eastAsia" w:ascii="宋体" w:hAnsi="宋体" w:cs="宋体"/>
          <w:color w:val="auto"/>
          <w:sz w:val="24"/>
          <w:highlight w:val="none"/>
        </w:rPr>
        <w:t>5.不同投标人的投标文件相互混装；</w:t>
      </w:r>
    </w:p>
    <w:p w14:paraId="30705A80">
      <w:pPr>
        <w:spacing w:line="400" w:lineRule="exact"/>
        <w:contextualSpacing/>
        <w:jc w:val="left"/>
        <w:rPr>
          <w:rFonts w:hint="eastAsia" w:ascii="宋体" w:hAnsi="宋体" w:cs="宋体"/>
          <w:color w:val="auto"/>
          <w:sz w:val="24"/>
          <w:highlight w:val="none"/>
        </w:rPr>
      </w:pPr>
      <w:r>
        <w:rPr>
          <w:rFonts w:hint="eastAsia" w:ascii="宋体" w:hAnsi="宋体" w:cs="宋体"/>
          <w:b/>
          <w:color w:val="auto"/>
          <w:sz w:val="24"/>
          <w:highlight w:val="none"/>
        </w:rPr>
        <w:t>二、我方承诺无下列恶意串通的情形：</w:t>
      </w:r>
    </w:p>
    <w:p w14:paraId="65EB4C0B">
      <w:pPr>
        <w:spacing w:line="400" w:lineRule="exact"/>
        <w:ind w:firstLine="470"/>
        <w:contextualSpacing/>
        <w:jc w:val="left"/>
        <w:rPr>
          <w:rFonts w:hint="eastAsia" w:ascii="宋体" w:hAnsi="宋体" w:cs="宋体"/>
          <w:color w:val="auto"/>
          <w:sz w:val="24"/>
          <w:highlight w:val="none"/>
        </w:rPr>
      </w:pPr>
      <w:r>
        <w:rPr>
          <w:rFonts w:hint="eastAsia" w:ascii="宋体" w:hAnsi="宋体" w:cs="宋体"/>
          <w:color w:val="auto"/>
          <w:sz w:val="24"/>
          <w:highlight w:val="none"/>
        </w:rPr>
        <w:t>1.投标人直接或者间接从采购人或者采购代理机构处获得其他投标人的相关信息并修改其投标文件或者投标文件；</w:t>
      </w:r>
    </w:p>
    <w:p w14:paraId="57B87A24">
      <w:pPr>
        <w:spacing w:line="400" w:lineRule="exact"/>
        <w:ind w:firstLine="470"/>
        <w:contextualSpacing/>
        <w:jc w:val="left"/>
        <w:rPr>
          <w:rFonts w:hint="eastAsia" w:ascii="宋体" w:hAnsi="宋体" w:cs="宋体"/>
          <w:color w:val="auto"/>
          <w:sz w:val="24"/>
          <w:highlight w:val="none"/>
        </w:rPr>
      </w:pPr>
      <w:r>
        <w:rPr>
          <w:rFonts w:hint="eastAsia" w:ascii="宋体" w:hAnsi="宋体" w:cs="宋体"/>
          <w:color w:val="auto"/>
          <w:sz w:val="24"/>
          <w:highlight w:val="none"/>
        </w:rPr>
        <w:t>2.投标人按照采购人或者采购代理机构的授意撤换、修改投标文件或者投标文件；</w:t>
      </w:r>
    </w:p>
    <w:p w14:paraId="1D5140DF">
      <w:pPr>
        <w:spacing w:line="400" w:lineRule="exact"/>
        <w:ind w:firstLine="470"/>
        <w:contextualSpacing/>
        <w:jc w:val="left"/>
        <w:rPr>
          <w:rFonts w:hint="eastAsia" w:ascii="宋体" w:hAnsi="宋体" w:cs="宋体"/>
          <w:color w:val="auto"/>
          <w:sz w:val="24"/>
          <w:highlight w:val="none"/>
        </w:rPr>
      </w:pPr>
      <w:r>
        <w:rPr>
          <w:rFonts w:hint="eastAsia" w:ascii="宋体" w:hAnsi="宋体" w:cs="宋体"/>
          <w:color w:val="auto"/>
          <w:sz w:val="24"/>
          <w:highlight w:val="none"/>
        </w:rPr>
        <w:t>3.投标人之间协商报价、技术方案等投标文件或者投标文件的实质性内容；</w:t>
      </w:r>
    </w:p>
    <w:p w14:paraId="5931DAA9">
      <w:pPr>
        <w:spacing w:line="400" w:lineRule="exact"/>
        <w:ind w:firstLine="470"/>
        <w:contextualSpacing/>
        <w:jc w:val="left"/>
        <w:rPr>
          <w:rFonts w:hint="eastAsia" w:ascii="宋体" w:hAnsi="宋体" w:cs="宋体"/>
          <w:color w:val="auto"/>
          <w:sz w:val="24"/>
          <w:highlight w:val="none"/>
        </w:rPr>
      </w:pPr>
      <w:r>
        <w:rPr>
          <w:rFonts w:hint="eastAsia" w:ascii="宋体" w:hAnsi="宋体" w:cs="宋体"/>
          <w:color w:val="auto"/>
          <w:sz w:val="24"/>
          <w:highlight w:val="none"/>
        </w:rPr>
        <w:t>4.属于同一集团、协会、商会等组织成员的投标人按照该组织要求协同参加政府采购活动；</w:t>
      </w:r>
    </w:p>
    <w:p w14:paraId="56D9F5C4">
      <w:pPr>
        <w:spacing w:line="400" w:lineRule="exact"/>
        <w:ind w:firstLine="470"/>
        <w:contextualSpacing/>
        <w:jc w:val="left"/>
        <w:rPr>
          <w:rFonts w:hint="eastAsia" w:ascii="宋体" w:hAnsi="宋体" w:cs="宋体"/>
          <w:color w:val="auto"/>
          <w:sz w:val="24"/>
          <w:highlight w:val="none"/>
        </w:rPr>
      </w:pPr>
      <w:r>
        <w:rPr>
          <w:rFonts w:hint="eastAsia" w:ascii="宋体" w:hAnsi="宋体" w:cs="宋体"/>
          <w:color w:val="auto"/>
          <w:sz w:val="24"/>
          <w:highlight w:val="none"/>
        </w:rPr>
        <w:t>5.投标人之间事先约定一致抬高或者压低投标报价，或者在招标项目中事先约定轮流以高价位或者低价位中标，或者事先约定由某一特定投标人中标，然后再参加投标；</w:t>
      </w:r>
    </w:p>
    <w:p w14:paraId="2ACD98DF">
      <w:pPr>
        <w:spacing w:line="400" w:lineRule="exact"/>
        <w:ind w:firstLine="470"/>
        <w:contextualSpacing/>
        <w:jc w:val="left"/>
        <w:rPr>
          <w:rFonts w:hint="eastAsia" w:ascii="宋体" w:hAnsi="宋体" w:cs="宋体"/>
          <w:color w:val="auto"/>
          <w:sz w:val="24"/>
          <w:highlight w:val="none"/>
        </w:rPr>
      </w:pPr>
      <w:r>
        <w:rPr>
          <w:rFonts w:hint="eastAsia" w:ascii="宋体" w:hAnsi="宋体" w:cs="宋体"/>
          <w:color w:val="auto"/>
          <w:sz w:val="24"/>
          <w:highlight w:val="none"/>
        </w:rPr>
        <w:t>6.投标人之间商定部分投标人放弃参加政府采购活动或者放弃中标；</w:t>
      </w:r>
    </w:p>
    <w:p w14:paraId="705390C8">
      <w:pPr>
        <w:spacing w:line="400" w:lineRule="exact"/>
        <w:ind w:firstLine="470"/>
        <w:contextualSpacing/>
        <w:jc w:val="left"/>
        <w:rPr>
          <w:rFonts w:hint="eastAsia" w:ascii="宋体" w:hAnsi="宋体" w:cs="宋体"/>
          <w:color w:val="auto"/>
          <w:sz w:val="24"/>
          <w:highlight w:val="none"/>
        </w:rPr>
      </w:pPr>
      <w:r>
        <w:rPr>
          <w:rFonts w:hint="eastAsia" w:ascii="宋体" w:hAnsi="宋体" w:cs="宋体"/>
          <w:color w:val="auto"/>
          <w:sz w:val="24"/>
          <w:highlight w:val="none"/>
        </w:rPr>
        <w:t>7.投标人与采购人或者采购代理机构之间、投标人相互之间，为谋求特定投标人中标或者排斥其他投标人的其他串通行为。</w:t>
      </w:r>
    </w:p>
    <w:p w14:paraId="1F1A0E3A">
      <w:pPr>
        <w:spacing w:line="400" w:lineRule="exact"/>
        <w:ind w:firstLine="472"/>
        <w:contextualSpacing/>
        <w:jc w:val="left"/>
        <w:rPr>
          <w:rFonts w:hint="eastAsia" w:ascii="宋体" w:hAnsi="宋体" w:cs="宋体"/>
          <w:b/>
          <w:color w:val="auto"/>
          <w:sz w:val="24"/>
          <w:highlight w:val="none"/>
        </w:rPr>
      </w:pPr>
      <w:r>
        <w:rPr>
          <w:rFonts w:hint="eastAsia" w:ascii="宋体" w:hAnsi="宋体" w:cs="宋体"/>
          <w:b/>
          <w:color w:val="auto"/>
          <w:sz w:val="24"/>
          <w:highlight w:val="none"/>
        </w:rPr>
        <w:t>以上情形一经核查属实，我方愿意承担一切后果，并不再寻求任何旨在减轻或者免除法律责任的辩解。</w:t>
      </w:r>
    </w:p>
    <w:p w14:paraId="7F66866F">
      <w:pPr>
        <w:pStyle w:val="230"/>
        <w:spacing w:line="400" w:lineRule="exact"/>
        <w:ind w:firstLine="6840"/>
        <w:contextualSpacing/>
        <w:rPr>
          <w:rFonts w:hint="eastAsia" w:hAnsi="宋体" w:cs="宋体"/>
          <w:color w:val="auto"/>
          <w:sz w:val="24"/>
          <w:szCs w:val="24"/>
          <w:highlight w:val="none"/>
        </w:rPr>
      </w:pPr>
    </w:p>
    <w:p w14:paraId="37D4DF51">
      <w:pPr>
        <w:pStyle w:val="230"/>
        <w:spacing w:line="400" w:lineRule="exact"/>
        <w:contextualSpacing/>
        <w:jc w:val="center"/>
        <w:rPr>
          <w:rFonts w:hint="eastAsia" w:hAnsi="宋体" w:cs="宋体"/>
          <w:color w:val="auto"/>
          <w:sz w:val="24"/>
          <w:szCs w:val="24"/>
          <w:highlight w:val="none"/>
        </w:rPr>
      </w:pPr>
      <w:r>
        <w:rPr>
          <w:rFonts w:hint="eastAsia" w:hAnsi="宋体" w:cs="宋体"/>
          <w:color w:val="auto"/>
          <w:sz w:val="24"/>
          <w:szCs w:val="24"/>
          <w:highlight w:val="none"/>
        </w:rPr>
        <w:t xml:space="preserve">                                    投标人名称（电子签章）</w:t>
      </w:r>
    </w:p>
    <w:p w14:paraId="583D0E22">
      <w:pPr>
        <w:pStyle w:val="230"/>
        <w:spacing w:line="400" w:lineRule="exact"/>
        <w:contextualSpacing/>
        <w:rPr>
          <w:rFonts w:hint="eastAsia" w:hAnsi="宋体" w:cs="宋体"/>
          <w:color w:val="auto"/>
          <w:sz w:val="24"/>
          <w:highlight w:val="none"/>
        </w:rPr>
      </w:pPr>
      <w:r>
        <w:rPr>
          <w:rFonts w:hint="eastAsia" w:hAnsi="宋体" w:cs="宋体"/>
          <w:color w:val="auto"/>
          <w:sz w:val="24"/>
          <w:highlight w:val="none"/>
        </w:rPr>
        <w:t xml:space="preserve">                                                </w:t>
      </w:r>
      <w:r>
        <w:rPr>
          <w:rFonts w:hint="eastAsia" w:hAnsi="宋体" w:cs="宋体"/>
          <w:color w:val="auto"/>
          <w:sz w:val="24"/>
          <w:highlight w:val="none"/>
          <w:u w:val="single"/>
        </w:rPr>
        <w:t xml:space="preserve">      </w:t>
      </w:r>
      <w:r>
        <w:rPr>
          <w:rFonts w:hint="eastAsia" w:hAnsi="宋体" w:cs="宋体"/>
          <w:color w:val="auto"/>
          <w:sz w:val="24"/>
          <w:highlight w:val="none"/>
        </w:rPr>
        <w:t>年</w:t>
      </w:r>
      <w:r>
        <w:rPr>
          <w:rFonts w:hint="eastAsia" w:hAnsi="宋体" w:cs="宋体"/>
          <w:color w:val="auto"/>
          <w:sz w:val="24"/>
          <w:highlight w:val="none"/>
          <w:u w:val="single"/>
        </w:rPr>
        <w:t xml:space="preserve">    </w:t>
      </w:r>
      <w:r>
        <w:rPr>
          <w:rFonts w:hint="eastAsia" w:hAnsi="宋体" w:cs="宋体"/>
          <w:color w:val="auto"/>
          <w:sz w:val="24"/>
          <w:highlight w:val="none"/>
        </w:rPr>
        <w:t>月</w:t>
      </w:r>
      <w:r>
        <w:rPr>
          <w:rFonts w:hint="eastAsia" w:hAnsi="宋体" w:cs="宋体"/>
          <w:color w:val="auto"/>
          <w:sz w:val="24"/>
          <w:highlight w:val="none"/>
          <w:u w:val="single"/>
        </w:rPr>
        <w:t xml:space="preserve">     </w:t>
      </w:r>
      <w:r>
        <w:rPr>
          <w:rFonts w:hint="eastAsia" w:hAnsi="宋体" w:cs="宋体"/>
          <w:color w:val="auto"/>
          <w:sz w:val="24"/>
          <w:highlight w:val="none"/>
        </w:rPr>
        <w:t>日</w:t>
      </w:r>
    </w:p>
    <w:p w14:paraId="7C15040A">
      <w:pPr>
        <w:spacing w:before="120" w:after="50"/>
        <w:ind w:firstLine="472"/>
        <w:jc w:val="left"/>
        <w:rPr>
          <w:rFonts w:hint="eastAsia" w:ascii="宋体" w:hAnsi="宋体" w:cs="宋体"/>
          <w:b/>
          <w:color w:val="auto"/>
          <w:sz w:val="24"/>
          <w:szCs w:val="20"/>
          <w:highlight w:val="none"/>
        </w:rPr>
      </w:pPr>
      <w:r>
        <w:rPr>
          <w:rFonts w:hint="eastAsia" w:ascii="宋体" w:hAnsi="宋体" w:cs="宋体"/>
          <w:b/>
          <w:color w:val="auto"/>
          <w:sz w:val="24"/>
          <w:highlight w:val="none"/>
        </w:rPr>
        <w:br w:type="page" w:clear="all"/>
      </w:r>
      <w:r>
        <w:rPr>
          <w:rFonts w:hint="eastAsia" w:ascii="宋体" w:hAnsi="宋体" w:cs="宋体"/>
          <w:b/>
          <w:color w:val="auto"/>
          <w:sz w:val="24"/>
          <w:highlight w:val="none"/>
        </w:rPr>
        <w:t>4.法定代表人（或负责人）身份证明</w:t>
      </w:r>
    </w:p>
    <w:p w14:paraId="54E6A8CD">
      <w:pPr>
        <w:spacing w:before="240" w:after="120"/>
        <w:ind w:left="540"/>
        <w:jc w:val="center"/>
        <w:rPr>
          <w:rFonts w:hint="eastAsia" w:ascii="宋体" w:hAnsi="宋体" w:cs="宋体"/>
          <w:b/>
          <w:color w:val="auto"/>
          <w:sz w:val="32"/>
          <w:szCs w:val="32"/>
          <w:highlight w:val="none"/>
        </w:rPr>
      </w:pPr>
    </w:p>
    <w:p w14:paraId="7347B483">
      <w:pPr>
        <w:spacing w:before="240" w:after="120"/>
        <w:ind w:left="540"/>
        <w:jc w:val="center"/>
        <w:rPr>
          <w:rFonts w:hint="eastAsia" w:ascii="宋体" w:hAnsi="宋体" w:cs="宋体"/>
          <w:bCs/>
          <w:color w:val="auto"/>
          <w:sz w:val="44"/>
          <w:szCs w:val="44"/>
          <w:highlight w:val="none"/>
        </w:rPr>
      </w:pPr>
      <w:r>
        <w:rPr>
          <w:rFonts w:hint="eastAsia" w:ascii="宋体" w:hAnsi="宋体" w:cs="宋体"/>
          <w:bCs/>
          <w:color w:val="auto"/>
          <w:sz w:val="44"/>
          <w:szCs w:val="44"/>
          <w:highlight w:val="none"/>
        </w:rPr>
        <w:t>法定代表人（或负责人）身份证明</w:t>
      </w:r>
    </w:p>
    <w:p w14:paraId="26954A93">
      <w:pPr>
        <w:spacing w:line="500" w:lineRule="exact"/>
        <w:ind w:left="540"/>
        <w:rPr>
          <w:rFonts w:hint="eastAsia" w:ascii="宋体" w:hAnsi="宋体" w:cs="宋体"/>
          <w:color w:val="auto"/>
          <w:sz w:val="24"/>
          <w:highlight w:val="none"/>
        </w:rPr>
      </w:pPr>
      <w:r>
        <w:rPr>
          <w:rFonts w:hint="eastAsia" w:ascii="宋体" w:hAnsi="宋体" w:cs="宋体"/>
          <w:color w:val="auto"/>
          <w:sz w:val="24"/>
          <w:highlight w:val="none"/>
        </w:rPr>
        <w:t>投 标 人：</w:t>
      </w:r>
      <w:r>
        <w:rPr>
          <w:rFonts w:hint="eastAsia" w:ascii="宋体" w:hAnsi="宋体" w:cs="宋体"/>
          <w:color w:val="auto"/>
          <w:sz w:val="24"/>
          <w:highlight w:val="none"/>
          <w:u w:val="single"/>
        </w:rPr>
        <w:t xml:space="preserve">                                                        </w:t>
      </w:r>
    </w:p>
    <w:p w14:paraId="2551C087">
      <w:pPr>
        <w:spacing w:line="500" w:lineRule="exact"/>
        <w:ind w:left="540"/>
        <w:rPr>
          <w:rFonts w:hint="eastAsia" w:ascii="宋体" w:hAnsi="宋体" w:cs="宋体"/>
          <w:color w:val="auto"/>
          <w:sz w:val="24"/>
          <w:highlight w:val="none"/>
        </w:rPr>
      </w:pPr>
      <w:r>
        <w:rPr>
          <w:rFonts w:hint="eastAsia" w:ascii="宋体" w:hAnsi="宋体" w:cs="宋体"/>
          <w:color w:val="auto"/>
          <w:sz w:val="24"/>
          <w:highlight w:val="none"/>
        </w:rPr>
        <w:t>地    址：</w:t>
      </w:r>
      <w:r>
        <w:rPr>
          <w:rFonts w:hint="eastAsia" w:ascii="宋体" w:hAnsi="宋体" w:cs="宋体"/>
          <w:color w:val="auto"/>
          <w:sz w:val="24"/>
          <w:highlight w:val="none"/>
          <w:u w:val="single"/>
        </w:rPr>
        <w:t xml:space="preserve">                                                        </w:t>
      </w:r>
    </w:p>
    <w:p w14:paraId="7FA771DB">
      <w:pPr>
        <w:spacing w:line="500" w:lineRule="exact"/>
        <w:ind w:left="540"/>
        <w:rPr>
          <w:rFonts w:hint="eastAsia" w:ascii="宋体" w:hAnsi="宋体" w:cs="宋体"/>
          <w:color w:val="auto"/>
          <w:sz w:val="24"/>
          <w:highlight w:val="none"/>
        </w:rPr>
      </w:pPr>
      <w:r>
        <w:rPr>
          <w:rFonts w:hint="eastAsia" w:ascii="宋体" w:hAnsi="宋体" w:cs="宋体"/>
          <w:color w:val="auto"/>
          <w:sz w:val="24"/>
          <w:highlight w:val="none"/>
        </w:rPr>
        <w:t>姓    名：</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性      别：</w:t>
      </w:r>
      <w:r>
        <w:rPr>
          <w:rFonts w:hint="eastAsia" w:ascii="宋体" w:hAnsi="宋体" w:cs="宋体"/>
          <w:color w:val="auto"/>
          <w:sz w:val="24"/>
          <w:highlight w:val="none"/>
          <w:u w:val="single"/>
        </w:rPr>
        <w:t xml:space="preserve">                </w:t>
      </w:r>
    </w:p>
    <w:p w14:paraId="09EA16B9">
      <w:pPr>
        <w:spacing w:line="500" w:lineRule="exact"/>
        <w:ind w:left="540"/>
        <w:rPr>
          <w:rFonts w:hint="eastAsia" w:ascii="宋体" w:hAnsi="宋体" w:cs="宋体"/>
          <w:color w:val="auto"/>
          <w:sz w:val="24"/>
          <w:highlight w:val="none"/>
          <w:u w:val="single"/>
        </w:rPr>
      </w:pPr>
      <w:r>
        <w:rPr>
          <w:rFonts w:hint="eastAsia" w:ascii="宋体" w:hAnsi="宋体" w:cs="宋体"/>
          <w:color w:val="auto"/>
          <w:sz w:val="24"/>
          <w:highlight w:val="none"/>
        </w:rPr>
        <w:t>年    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职      务：</w:t>
      </w:r>
      <w:r>
        <w:rPr>
          <w:rFonts w:hint="eastAsia" w:ascii="宋体" w:hAnsi="宋体" w:cs="宋体"/>
          <w:color w:val="auto"/>
          <w:sz w:val="24"/>
          <w:highlight w:val="none"/>
          <w:u w:val="single"/>
        </w:rPr>
        <w:t xml:space="preserve">                </w:t>
      </w:r>
    </w:p>
    <w:p w14:paraId="31000806">
      <w:pPr>
        <w:spacing w:line="500" w:lineRule="exact"/>
        <w:ind w:left="540"/>
        <w:rPr>
          <w:rFonts w:hint="eastAsia" w:ascii="宋体" w:hAnsi="宋体" w:cs="宋体"/>
          <w:color w:val="auto"/>
          <w:sz w:val="24"/>
          <w:highlight w:val="none"/>
        </w:rPr>
      </w:pPr>
      <w:r>
        <w:rPr>
          <w:rFonts w:hint="eastAsia" w:ascii="宋体" w:hAnsi="宋体" w:cs="宋体"/>
          <w:color w:val="auto"/>
          <w:sz w:val="24"/>
          <w:highlight w:val="none"/>
        </w:rPr>
        <w:t>身份证号码：</w:t>
      </w:r>
      <w:r>
        <w:rPr>
          <w:rFonts w:hint="eastAsia" w:ascii="宋体" w:hAnsi="宋体" w:cs="宋体"/>
          <w:color w:val="auto"/>
          <w:sz w:val="24"/>
          <w:highlight w:val="none"/>
          <w:u w:val="single"/>
        </w:rPr>
        <w:t xml:space="preserve">                                 </w:t>
      </w:r>
    </w:p>
    <w:p w14:paraId="7F6A8B06">
      <w:pPr>
        <w:spacing w:line="500" w:lineRule="exact"/>
        <w:ind w:left="540"/>
        <w:rPr>
          <w:rFonts w:hint="eastAsia" w:ascii="宋体" w:hAnsi="宋体" w:cs="宋体"/>
          <w:color w:val="auto"/>
          <w:sz w:val="24"/>
          <w:highlight w:val="none"/>
        </w:rPr>
      </w:pPr>
      <w:r>
        <w:rPr>
          <w:rFonts w:hint="eastAsia" w:ascii="宋体" w:hAnsi="宋体" w:cs="宋体"/>
          <w:color w:val="auto"/>
          <w:sz w:val="24"/>
          <w:highlight w:val="none"/>
        </w:rPr>
        <w:t>系</w:t>
      </w:r>
      <w:r>
        <w:rPr>
          <w:rFonts w:hint="eastAsia" w:ascii="宋体" w:hAnsi="宋体" w:cs="宋体"/>
          <w:color w:val="auto"/>
          <w:sz w:val="24"/>
          <w:highlight w:val="none"/>
          <w:u w:val="single"/>
        </w:rPr>
        <w:t xml:space="preserve">            （投标人名称）              </w:t>
      </w:r>
      <w:r>
        <w:rPr>
          <w:rFonts w:hint="eastAsia" w:ascii="宋体" w:hAnsi="宋体" w:cs="宋体"/>
          <w:color w:val="auto"/>
          <w:sz w:val="24"/>
          <w:highlight w:val="none"/>
        </w:rPr>
        <w:t>的法定代表人（或负责人）。</w:t>
      </w:r>
    </w:p>
    <w:p w14:paraId="402D5D44">
      <w:pPr>
        <w:spacing w:line="500" w:lineRule="exact"/>
        <w:ind w:left="540"/>
        <w:rPr>
          <w:rFonts w:hint="eastAsia" w:ascii="宋体" w:hAnsi="宋体" w:cs="宋体"/>
          <w:color w:val="auto"/>
          <w:sz w:val="24"/>
          <w:highlight w:val="none"/>
        </w:rPr>
      </w:pPr>
      <w:r>
        <w:rPr>
          <w:rFonts w:hint="eastAsia" w:ascii="宋体" w:hAnsi="宋体" w:cs="宋体"/>
          <w:color w:val="auto"/>
          <w:sz w:val="24"/>
          <w:highlight w:val="none"/>
        </w:rPr>
        <w:t>特此证明。</w:t>
      </w:r>
    </w:p>
    <w:p w14:paraId="2C4B3AD1">
      <w:pPr>
        <w:spacing w:line="500" w:lineRule="exact"/>
        <w:ind w:left="540"/>
        <w:rPr>
          <w:rFonts w:hint="eastAsia" w:ascii="宋体" w:hAnsi="宋体" w:cs="宋体"/>
          <w:color w:val="auto"/>
          <w:sz w:val="24"/>
          <w:highlight w:val="none"/>
        </w:rPr>
      </w:pPr>
    </w:p>
    <w:p w14:paraId="5762E400">
      <w:pPr>
        <w:spacing w:line="500" w:lineRule="exact"/>
        <w:ind w:left="540"/>
        <w:rPr>
          <w:rFonts w:hint="eastAsia" w:ascii="宋体" w:hAnsi="宋体" w:cs="宋体"/>
          <w:color w:val="auto"/>
          <w:sz w:val="24"/>
          <w:highlight w:val="none"/>
        </w:rPr>
      </w:pPr>
    </w:p>
    <w:p w14:paraId="40D8D2E4">
      <w:pPr>
        <w:spacing w:line="500" w:lineRule="exact"/>
        <w:ind w:left="540"/>
        <w:rPr>
          <w:rFonts w:hint="eastAsia" w:ascii="宋体" w:hAnsi="宋体" w:eastAsia="宋体" w:cs="宋体"/>
          <w:color w:val="auto"/>
          <w:sz w:val="24"/>
          <w:highlight w:val="none"/>
          <w:lang w:eastAsia="zh-CN"/>
        </w:rPr>
      </w:pPr>
      <w:r>
        <w:rPr>
          <w:rFonts w:hint="eastAsia" w:ascii="宋体" w:hAnsi="宋体" w:cs="宋体"/>
          <w:color w:val="auto"/>
          <w:sz w:val="24"/>
          <w:highlight w:val="none"/>
        </w:rPr>
        <w:t>附件：法定代表人（或负责人）有效身份证正反面</w:t>
      </w:r>
      <w:r>
        <w:rPr>
          <w:rFonts w:hint="eastAsia" w:ascii="宋体" w:hAnsi="宋体" w:cs="宋体"/>
          <w:color w:val="auto"/>
          <w:sz w:val="24"/>
          <w:highlight w:val="none"/>
          <w:lang w:eastAsia="zh-CN"/>
        </w:rPr>
        <w:t>复印件（或扫描件）</w:t>
      </w:r>
    </w:p>
    <w:p w14:paraId="62115D79">
      <w:pPr>
        <w:spacing w:line="500" w:lineRule="exact"/>
        <w:ind w:left="540"/>
        <w:rPr>
          <w:rFonts w:hint="eastAsia" w:ascii="宋体" w:hAnsi="宋体" w:cs="宋体"/>
          <w:color w:val="auto"/>
          <w:sz w:val="24"/>
          <w:highlight w:val="none"/>
        </w:rPr>
      </w:pPr>
    </w:p>
    <w:p w14:paraId="6D50271D">
      <w:pPr>
        <w:spacing w:line="500" w:lineRule="exact"/>
        <w:ind w:left="540"/>
        <w:jc w:val="right"/>
        <w:rPr>
          <w:rFonts w:hint="eastAsia" w:ascii="宋体" w:hAnsi="宋体" w:cs="宋体"/>
          <w:color w:val="auto"/>
          <w:sz w:val="24"/>
          <w:highlight w:val="none"/>
        </w:rPr>
      </w:pPr>
      <w:r>
        <w:rPr>
          <w:rFonts w:hint="eastAsia" w:ascii="宋体" w:hAnsi="宋体" w:cs="宋体"/>
          <w:color w:val="auto"/>
          <w:sz w:val="24"/>
          <w:highlight w:val="none"/>
        </w:rPr>
        <w:t>投标人名称（电子签章）</w:t>
      </w:r>
    </w:p>
    <w:p w14:paraId="1825D687">
      <w:pPr>
        <w:spacing w:before="120" w:after="50"/>
        <w:ind w:left="540"/>
        <w:jc w:val="right"/>
        <w:rPr>
          <w:rFonts w:hint="eastAsia"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p>
    <w:p w14:paraId="60BC8B6B">
      <w:pPr>
        <w:spacing w:before="120" w:after="50"/>
        <w:jc w:val="center"/>
        <w:rPr>
          <w:rFonts w:hint="eastAsia" w:ascii="宋体" w:hAnsi="宋体" w:cs="宋体"/>
          <w:b/>
          <w:color w:val="auto"/>
          <w:sz w:val="24"/>
          <w:highlight w:val="none"/>
        </w:rPr>
      </w:pPr>
    </w:p>
    <w:p w14:paraId="7F7DAD9C">
      <w:pPr>
        <w:spacing w:before="120" w:after="50"/>
        <w:jc w:val="left"/>
        <w:rPr>
          <w:rFonts w:hint="eastAsia" w:ascii="宋体" w:hAnsi="宋体" w:cs="宋体"/>
          <w:b/>
          <w:color w:val="auto"/>
          <w:sz w:val="24"/>
          <w:szCs w:val="20"/>
          <w:highlight w:val="none"/>
        </w:rPr>
      </w:pPr>
      <w:r>
        <w:rPr>
          <w:rFonts w:hint="eastAsia" w:ascii="宋体" w:hAnsi="宋体" w:cs="宋体"/>
          <w:color w:val="auto"/>
          <w:sz w:val="24"/>
          <w:highlight w:val="none"/>
        </w:rPr>
        <w:t>注：自然人投标的无需提供</w:t>
      </w:r>
    </w:p>
    <w:p w14:paraId="41E9CF09">
      <w:pPr>
        <w:spacing w:before="120" w:after="50"/>
        <w:jc w:val="left"/>
        <w:rPr>
          <w:rFonts w:hint="eastAsia" w:ascii="宋体" w:hAnsi="宋体" w:cs="宋体"/>
          <w:b/>
          <w:color w:val="auto"/>
          <w:sz w:val="24"/>
          <w:szCs w:val="20"/>
          <w:highlight w:val="none"/>
        </w:rPr>
      </w:pPr>
      <w:r>
        <w:rPr>
          <w:rFonts w:hint="eastAsia" w:ascii="宋体" w:hAnsi="宋体" w:cs="宋体"/>
          <w:b/>
          <w:color w:val="auto"/>
          <w:sz w:val="24"/>
          <w:highlight w:val="none"/>
        </w:rPr>
        <w:br w:type="page" w:clear="all"/>
      </w:r>
      <w:r>
        <w:rPr>
          <w:rFonts w:hint="eastAsia" w:ascii="宋体" w:hAnsi="宋体" w:cs="宋体"/>
          <w:b/>
          <w:color w:val="auto"/>
          <w:sz w:val="24"/>
          <w:highlight w:val="none"/>
        </w:rPr>
        <w:t>5.授权委托书格式</w:t>
      </w:r>
    </w:p>
    <w:p w14:paraId="2068B92B">
      <w:pPr>
        <w:spacing w:before="120" w:after="50"/>
        <w:jc w:val="center"/>
        <w:rPr>
          <w:rFonts w:hint="eastAsia" w:ascii="宋体" w:hAnsi="宋体" w:cs="宋体"/>
          <w:b/>
          <w:color w:val="auto"/>
          <w:sz w:val="44"/>
          <w:szCs w:val="44"/>
          <w:highlight w:val="none"/>
        </w:rPr>
      </w:pPr>
    </w:p>
    <w:p w14:paraId="3CFB463E">
      <w:pPr>
        <w:spacing w:before="120" w:after="50"/>
        <w:jc w:val="center"/>
        <w:rPr>
          <w:rFonts w:hint="eastAsia" w:ascii="宋体" w:hAnsi="宋体" w:cs="宋体"/>
          <w:bCs/>
          <w:color w:val="auto"/>
          <w:sz w:val="44"/>
          <w:szCs w:val="44"/>
          <w:highlight w:val="none"/>
        </w:rPr>
      </w:pPr>
      <w:r>
        <w:rPr>
          <w:rFonts w:hint="eastAsia" w:ascii="宋体" w:hAnsi="宋体" w:cs="宋体"/>
          <w:bCs/>
          <w:color w:val="auto"/>
          <w:sz w:val="44"/>
          <w:szCs w:val="44"/>
          <w:highlight w:val="none"/>
        </w:rPr>
        <w:t>授权委托书</w:t>
      </w:r>
    </w:p>
    <w:p w14:paraId="33303D12">
      <w:pPr>
        <w:spacing w:before="120" w:after="50"/>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（非联合体投标格式）</w:t>
      </w:r>
    </w:p>
    <w:p w14:paraId="4C911B56">
      <w:pPr>
        <w:spacing w:before="120" w:after="50"/>
        <w:jc w:val="center"/>
        <w:rPr>
          <w:rFonts w:hint="eastAsia" w:ascii="宋体" w:hAnsi="宋体" w:cs="宋体"/>
          <w:b/>
          <w:color w:val="auto"/>
          <w:sz w:val="24"/>
          <w:highlight w:val="none"/>
        </w:rPr>
      </w:pPr>
      <w:r>
        <w:rPr>
          <w:rFonts w:hint="eastAsia" w:ascii="宋体" w:hAnsi="宋体" w:cs="宋体"/>
          <w:b/>
          <w:color w:val="auto"/>
          <w:sz w:val="32"/>
          <w:szCs w:val="32"/>
          <w:highlight w:val="none"/>
        </w:rPr>
        <w:t>（如有委托时）</w:t>
      </w:r>
    </w:p>
    <w:p w14:paraId="69D3B073">
      <w:pPr>
        <w:spacing w:before="120" w:after="50"/>
        <w:jc w:val="center"/>
        <w:rPr>
          <w:rFonts w:hint="eastAsia" w:ascii="宋体" w:hAnsi="宋体" w:cs="宋体"/>
          <w:b/>
          <w:color w:val="auto"/>
          <w:sz w:val="24"/>
          <w:highlight w:val="none"/>
        </w:rPr>
      </w:pPr>
    </w:p>
    <w:p w14:paraId="1BD695DF">
      <w:pPr>
        <w:spacing w:line="360" w:lineRule="auto"/>
        <w:contextualSpacing/>
        <w:rPr>
          <w:rFonts w:hint="eastAsia" w:ascii="宋体" w:hAnsi="宋体" w:cs="宋体"/>
          <w:b/>
          <w:bCs/>
          <w:color w:val="auto"/>
          <w:sz w:val="24"/>
          <w:highlight w:val="none"/>
        </w:rPr>
      </w:pPr>
      <w:r>
        <w:rPr>
          <w:rFonts w:hint="eastAsia" w:ascii="宋体" w:hAnsi="宋体" w:cs="宋体"/>
          <w:bCs/>
          <w:color w:val="auto"/>
          <w:sz w:val="24"/>
          <w:highlight w:val="none"/>
        </w:rPr>
        <w:t>致：</w:t>
      </w:r>
      <w:r>
        <w:rPr>
          <w:rFonts w:hint="eastAsia" w:ascii="宋体" w:hAnsi="宋体" w:cs="宋体"/>
          <w:color w:val="auto"/>
          <w:sz w:val="24"/>
          <w:highlight w:val="none"/>
          <w:u w:val="single"/>
        </w:rPr>
        <w:t>采购人名称</w:t>
      </w:r>
      <w:r>
        <w:rPr>
          <w:rFonts w:hint="eastAsia" w:ascii="宋体" w:hAnsi="宋体" w:cs="宋体"/>
          <w:color w:val="auto"/>
          <w:sz w:val="24"/>
          <w:highlight w:val="none"/>
        </w:rPr>
        <w:t>：</w:t>
      </w:r>
    </w:p>
    <w:p w14:paraId="69258FEF">
      <w:pPr>
        <w:spacing w:line="360" w:lineRule="auto"/>
        <w:ind w:firstLine="566"/>
        <w:contextualSpacing/>
        <w:rPr>
          <w:rFonts w:hint="eastAsia" w:ascii="宋体" w:hAnsi="宋体" w:cs="宋体"/>
          <w:color w:val="auto"/>
          <w:sz w:val="24"/>
          <w:highlight w:val="none"/>
        </w:rPr>
      </w:pPr>
      <w:r>
        <w:rPr>
          <w:rFonts w:hint="eastAsia" w:ascii="宋体" w:hAnsi="宋体" w:cs="宋体"/>
          <w:color w:val="auto"/>
          <w:sz w:val="24"/>
          <w:highlight w:val="none"/>
        </w:rPr>
        <w:t>我</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（姓名）系</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（投标人名称）的法定代表人（或负责人），现授权委托</w:t>
      </w:r>
      <w:r>
        <w:rPr>
          <w:rFonts w:hint="eastAsia" w:ascii="宋体" w:hAnsi="宋体" w:cs="宋体"/>
          <w:color w:val="auto"/>
          <w:sz w:val="24"/>
          <w:highlight w:val="none"/>
          <w:u w:val="single"/>
        </w:rPr>
        <w:t xml:space="preserve">              （姓名）</w:t>
      </w:r>
      <w:r>
        <w:rPr>
          <w:rFonts w:hint="eastAsia" w:ascii="宋体" w:hAnsi="宋体" w:cs="宋体"/>
          <w:color w:val="auto"/>
          <w:sz w:val="24"/>
          <w:highlight w:val="none"/>
        </w:rPr>
        <w:t>以我方的名义参加</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项目的投标活动，并代表我方全权办理针对上述项目的所有采购程序和环节的具体事务和签署相关文件。</w:t>
      </w:r>
    </w:p>
    <w:p w14:paraId="74753773">
      <w:pPr>
        <w:spacing w:line="360" w:lineRule="auto"/>
        <w:contextualSpacing/>
        <w:rPr>
          <w:rFonts w:hint="eastAsia" w:ascii="宋体" w:hAnsi="宋体" w:cs="宋体"/>
          <w:color w:val="auto"/>
          <w:sz w:val="24"/>
          <w:highlight w:val="none"/>
        </w:rPr>
      </w:pPr>
      <w:r>
        <w:rPr>
          <w:rFonts w:hint="eastAsia" w:ascii="宋体" w:hAnsi="宋体" w:cs="宋体"/>
          <w:color w:val="auto"/>
          <w:sz w:val="24"/>
          <w:highlight w:val="none"/>
        </w:rPr>
        <w:t xml:space="preserve">    我方对委托代理人的签字或者电子签名事项负全部责任。</w:t>
      </w:r>
    </w:p>
    <w:p w14:paraId="2564E927">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u w:val="single"/>
        </w:rPr>
        <w:t>本授权书自签署之日起生效，在撤销授权的书面通知以前，本授权书一直有效。委托代理人在授权书有效期内签署的所有文件不因授权的撤销而失效。</w:t>
      </w:r>
    </w:p>
    <w:p w14:paraId="2F47B7AF">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委托代理人无转委托权，特此委托。</w:t>
      </w:r>
    </w:p>
    <w:p w14:paraId="78FFA6A5">
      <w:pPr>
        <w:spacing w:line="360" w:lineRule="auto"/>
        <w:ind w:firstLine="480"/>
        <w:contextualSpacing/>
        <w:rPr>
          <w:rFonts w:hint="eastAsia" w:ascii="宋体" w:hAnsi="宋体" w:eastAsia="宋体" w:cs="宋体"/>
          <w:color w:val="auto"/>
          <w:sz w:val="24"/>
          <w:highlight w:val="none"/>
          <w:lang w:eastAsia="zh-CN"/>
        </w:rPr>
      </w:pPr>
      <w:r>
        <w:rPr>
          <w:rFonts w:hint="eastAsia" w:ascii="宋体" w:hAnsi="宋体" w:cs="宋体"/>
          <w:color w:val="auto"/>
          <w:sz w:val="24"/>
          <w:highlight w:val="none"/>
        </w:rPr>
        <w:t>附：法定代表人（或负责人）身份证明及委托代理人有效身份证正反面</w:t>
      </w:r>
      <w:r>
        <w:rPr>
          <w:rFonts w:hint="eastAsia" w:ascii="宋体" w:hAnsi="宋体" w:cs="宋体"/>
          <w:color w:val="auto"/>
          <w:sz w:val="24"/>
          <w:highlight w:val="none"/>
          <w:lang w:eastAsia="zh-CN"/>
        </w:rPr>
        <w:t>复印件（或扫描件）</w:t>
      </w:r>
    </w:p>
    <w:p w14:paraId="65C0A658">
      <w:pPr>
        <w:spacing w:line="360" w:lineRule="auto"/>
        <w:contextualSpacing/>
        <w:rPr>
          <w:rFonts w:hint="eastAsia" w:ascii="宋体" w:hAnsi="宋体" w:cs="宋体"/>
          <w:color w:val="auto"/>
          <w:sz w:val="24"/>
          <w:highlight w:val="none"/>
        </w:rPr>
      </w:pPr>
    </w:p>
    <w:p w14:paraId="005C2D51">
      <w:pPr>
        <w:spacing w:line="440" w:lineRule="exact"/>
        <w:contextualSpacing/>
        <w:rPr>
          <w:rFonts w:hint="eastAsia" w:ascii="宋体" w:hAnsi="宋体" w:cs="宋体"/>
          <w:color w:val="auto"/>
          <w:sz w:val="24"/>
          <w:highlight w:val="none"/>
        </w:rPr>
      </w:pPr>
      <w:r>
        <w:rPr>
          <w:rFonts w:hint="eastAsia" w:ascii="宋体" w:hAnsi="宋体" w:cs="宋体"/>
          <w:color w:val="auto"/>
          <w:sz w:val="24"/>
          <w:highlight w:val="none"/>
        </w:rPr>
        <w:t>委托代理人（签字或者电子签名）：</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5350A8AD">
      <w:pPr>
        <w:spacing w:line="440" w:lineRule="exact"/>
        <w:contextualSpacing/>
        <w:rPr>
          <w:rFonts w:hint="eastAsia" w:ascii="宋体" w:hAnsi="宋体" w:cs="宋体"/>
          <w:color w:val="auto"/>
          <w:sz w:val="24"/>
          <w:highlight w:val="none"/>
          <w:u w:val="single"/>
        </w:rPr>
      </w:pPr>
      <w:r>
        <w:rPr>
          <w:rFonts w:hint="eastAsia" w:ascii="宋体" w:hAnsi="宋体" w:cs="宋体"/>
          <w:color w:val="auto"/>
          <w:sz w:val="24"/>
          <w:highlight w:val="none"/>
        </w:rPr>
        <w:t>委托代理人身份证号码：</w:t>
      </w:r>
      <w:r>
        <w:rPr>
          <w:rFonts w:hint="eastAsia" w:ascii="宋体" w:hAnsi="宋体" w:cs="宋体"/>
          <w:color w:val="auto"/>
          <w:sz w:val="24"/>
          <w:highlight w:val="none"/>
          <w:u w:val="single"/>
        </w:rPr>
        <w:t xml:space="preserve">                             </w:t>
      </w:r>
    </w:p>
    <w:p w14:paraId="2499D029">
      <w:pPr>
        <w:spacing w:line="440" w:lineRule="exact"/>
        <w:contextualSpacing/>
        <w:rPr>
          <w:rFonts w:hint="eastAsia" w:ascii="宋体" w:hAnsi="宋体" w:cs="宋体"/>
          <w:color w:val="auto"/>
          <w:sz w:val="24"/>
          <w:highlight w:val="none"/>
          <w:u w:val="single"/>
        </w:rPr>
      </w:pPr>
      <w:r>
        <w:rPr>
          <w:rFonts w:hint="eastAsia" w:ascii="宋体" w:hAnsi="宋体" w:cs="宋体"/>
          <w:color w:val="auto"/>
          <w:sz w:val="24"/>
          <w:highlight w:val="none"/>
        </w:rPr>
        <w:t>法定代表人（或负责人）（签字或者盖章或者电子签名）：</w:t>
      </w:r>
      <w:r>
        <w:rPr>
          <w:rFonts w:hint="eastAsia" w:ascii="宋体" w:hAnsi="宋体" w:cs="宋体"/>
          <w:color w:val="auto"/>
          <w:sz w:val="24"/>
          <w:highlight w:val="none"/>
          <w:u w:val="single"/>
        </w:rPr>
        <w:t xml:space="preserve">              </w:t>
      </w:r>
    </w:p>
    <w:p w14:paraId="130418EE">
      <w:pPr>
        <w:spacing w:line="440" w:lineRule="exact"/>
        <w:contextualSpacing/>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18502254">
      <w:pPr>
        <w:spacing w:line="440" w:lineRule="exact"/>
        <w:contextualSpacing/>
        <w:jc w:val="center"/>
        <w:rPr>
          <w:rFonts w:hint="eastAsia" w:ascii="宋体" w:hAnsi="宋体" w:cs="宋体"/>
          <w:color w:val="auto"/>
          <w:sz w:val="24"/>
          <w:highlight w:val="none"/>
        </w:rPr>
      </w:pPr>
      <w:r>
        <w:rPr>
          <w:rFonts w:hint="eastAsia" w:ascii="宋体" w:hAnsi="宋体" w:cs="宋体"/>
          <w:color w:val="auto"/>
          <w:sz w:val="24"/>
          <w:highlight w:val="none"/>
        </w:rPr>
        <w:t xml:space="preserve">                                                投标人名称（电子签章）：</w:t>
      </w:r>
    </w:p>
    <w:p w14:paraId="0E76EBEB">
      <w:pPr>
        <w:spacing w:line="440" w:lineRule="exact"/>
        <w:contextualSpacing/>
        <w:jc w:val="center"/>
        <w:rPr>
          <w:rFonts w:hint="eastAsia" w:ascii="宋体" w:hAnsi="宋体" w:cs="宋体"/>
          <w:color w:val="auto"/>
          <w:sz w:val="24"/>
          <w:highlight w:val="none"/>
        </w:rPr>
      </w:pPr>
      <w:r>
        <w:rPr>
          <w:rFonts w:hint="eastAsia" w:ascii="宋体" w:hAnsi="宋体" w:cs="宋体"/>
          <w:color w:val="auto"/>
          <w:sz w:val="24"/>
          <w:highlight w:val="none"/>
        </w:rPr>
        <w:t xml:space="preserve">                                              年    月    日</w:t>
      </w:r>
    </w:p>
    <w:p w14:paraId="08811FED">
      <w:pPr>
        <w:spacing w:line="440" w:lineRule="exact"/>
        <w:contextualSpacing/>
        <w:rPr>
          <w:rFonts w:hint="eastAsia" w:ascii="宋体" w:hAnsi="宋体" w:cs="宋体"/>
          <w:color w:val="auto"/>
          <w:sz w:val="24"/>
          <w:highlight w:val="none"/>
        </w:rPr>
      </w:pPr>
      <w:r>
        <w:rPr>
          <w:rFonts w:hint="eastAsia" w:ascii="宋体" w:hAnsi="宋体" w:cs="宋体"/>
          <w:color w:val="auto"/>
          <w:sz w:val="24"/>
          <w:highlight w:val="none"/>
        </w:rPr>
        <w:t>注：1.法定代表人（或负责人）必须在授权委托书上签字或者盖章或者电子签名，委托代理人必须在授权委托书上签字或者电子签名，</w:t>
      </w:r>
      <w:r>
        <w:rPr>
          <w:rFonts w:hint="eastAsia" w:ascii="宋体" w:hAnsi="宋体" w:cs="宋体"/>
          <w:b/>
          <w:bCs/>
          <w:color w:val="auto"/>
          <w:sz w:val="24"/>
          <w:highlight w:val="none"/>
        </w:rPr>
        <w:t>否则按无效投标处理</w:t>
      </w:r>
      <w:r>
        <w:rPr>
          <w:rFonts w:hint="eastAsia" w:ascii="宋体" w:hAnsi="宋体" w:cs="宋体"/>
          <w:color w:val="auto"/>
          <w:sz w:val="24"/>
          <w:highlight w:val="none"/>
        </w:rPr>
        <w:t>；</w:t>
      </w:r>
    </w:p>
    <w:p w14:paraId="52D30967">
      <w:pPr>
        <w:spacing w:line="440" w:lineRule="exact"/>
        <w:ind w:firstLine="480"/>
        <w:contextualSpacing/>
        <w:jc w:val="left"/>
        <w:rPr>
          <w:rFonts w:hint="eastAsia" w:ascii="宋体" w:hAnsi="宋体" w:cs="宋体"/>
          <w:color w:val="auto"/>
          <w:sz w:val="24"/>
          <w:highlight w:val="none"/>
        </w:rPr>
      </w:pPr>
      <w:r>
        <w:rPr>
          <w:rFonts w:hint="eastAsia" w:ascii="宋体" w:hAnsi="宋体" w:cs="宋体"/>
          <w:color w:val="auto"/>
          <w:sz w:val="24"/>
          <w:highlight w:val="none"/>
        </w:rPr>
        <w:t>2.法人、其他组织投标时“我方”是指“我单位”，自然人投标时“我方”是指“本人”。</w:t>
      </w:r>
    </w:p>
    <w:p w14:paraId="263D463A">
      <w:pPr>
        <w:pStyle w:val="198"/>
        <w:rPr>
          <w:rFonts w:hint="eastAsia" w:ascii="宋体" w:hAnsi="宋体" w:eastAsia="宋体" w:cs="宋体"/>
          <w:color w:val="auto"/>
          <w:highlight w:val="none"/>
        </w:rPr>
      </w:pPr>
    </w:p>
    <w:p w14:paraId="1453CE87">
      <w:pPr>
        <w:rPr>
          <w:rFonts w:hint="eastAsia" w:ascii="宋体" w:hAnsi="宋体" w:cs="宋体"/>
          <w:color w:val="auto"/>
          <w:highlight w:val="none"/>
        </w:rPr>
      </w:pPr>
    </w:p>
    <w:p w14:paraId="653BDCF7">
      <w:pPr>
        <w:rPr>
          <w:rFonts w:hint="eastAsia" w:ascii="宋体" w:hAnsi="宋体" w:cs="宋体"/>
          <w:color w:val="auto"/>
          <w:sz w:val="24"/>
          <w:highlight w:val="none"/>
        </w:rPr>
      </w:pPr>
      <w:r>
        <w:rPr>
          <w:rFonts w:hint="eastAsia" w:ascii="宋体" w:hAnsi="宋体" w:cs="宋体"/>
          <w:b/>
          <w:color w:val="auto"/>
          <w:sz w:val="24"/>
          <w:highlight w:val="none"/>
        </w:rPr>
        <w:t>6.</w:t>
      </w:r>
      <w:r>
        <w:rPr>
          <w:rFonts w:hint="eastAsia" w:ascii="宋体" w:hAnsi="宋体"/>
          <w:b/>
          <w:color w:val="auto"/>
          <w:sz w:val="24"/>
          <w:highlight w:val="none"/>
        </w:rPr>
        <w:t>商务要求偏离表格式(注：按项目需求表具体项目修改)</w:t>
      </w:r>
    </w:p>
    <w:p w14:paraId="245CF3A0">
      <w:pPr>
        <w:pStyle w:val="230"/>
        <w:rPr>
          <w:rFonts w:hint="eastAsia" w:hAnsi="宋体" w:cs="宋体"/>
          <w:color w:val="auto"/>
          <w:sz w:val="24"/>
          <w:szCs w:val="24"/>
          <w:highlight w:val="none"/>
        </w:rPr>
      </w:pPr>
    </w:p>
    <w:p w14:paraId="4C5EFDD8">
      <w:pPr>
        <w:spacing w:before="50"/>
        <w:jc w:val="left"/>
        <w:rPr>
          <w:rFonts w:hint="eastAsia" w:ascii="宋体" w:hAnsi="宋体" w:cs="宋体"/>
          <w:color w:val="auto"/>
          <w:sz w:val="24"/>
          <w:highlight w:val="none"/>
          <w:u w:val="single"/>
        </w:rPr>
      </w:pPr>
    </w:p>
    <w:tbl>
      <w:tblPr>
        <w:tblStyle w:val="33"/>
        <w:tblW w:w="0" w:type="auto"/>
        <w:tblInd w:w="-227"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510"/>
        <w:gridCol w:w="3336"/>
        <w:gridCol w:w="1144"/>
        <w:gridCol w:w="2651"/>
      </w:tblGrid>
      <w:tr w14:paraId="1D0910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1510" w:type="dxa"/>
            <w:tcBorders>
              <w:top w:val="single" w:color="auto" w:sz="4" w:space="0"/>
              <w:left w:val="single" w:color="auto" w:sz="4" w:space="0"/>
              <w:bottom w:val="single" w:color="auto" w:sz="4" w:space="0"/>
              <w:right w:val="single" w:color="auto" w:sz="4" w:space="0"/>
            </w:tcBorders>
            <w:noWrap w:val="0"/>
            <w:vAlign w:val="top"/>
          </w:tcPr>
          <w:p w14:paraId="5187BA48">
            <w:pPr>
              <w:spacing w:before="120"/>
              <w:jc w:val="center"/>
              <w:rPr>
                <w:rFonts w:hint="eastAsia" w:ascii="宋体" w:hAnsi="宋体"/>
                <w:color w:val="auto"/>
                <w:sz w:val="24"/>
                <w:highlight w:val="none"/>
              </w:rPr>
            </w:pPr>
            <w:r>
              <w:rPr>
                <w:rFonts w:hint="eastAsia" w:ascii="宋体" w:hAnsi="宋体"/>
                <w:color w:val="auto"/>
                <w:sz w:val="24"/>
                <w:highlight w:val="none"/>
              </w:rPr>
              <w:t>项目</w:t>
            </w:r>
          </w:p>
        </w:tc>
        <w:tc>
          <w:tcPr>
            <w:tcW w:w="3336" w:type="dxa"/>
            <w:tcBorders>
              <w:top w:val="single" w:color="auto" w:sz="4" w:space="0"/>
              <w:left w:val="single" w:color="auto" w:sz="4" w:space="0"/>
              <w:bottom w:val="single" w:color="auto" w:sz="4" w:space="0"/>
              <w:right w:val="single" w:color="auto" w:sz="4" w:space="0"/>
            </w:tcBorders>
            <w:noWrap w:val="0"/>
            <w:vAlign w:val="top"/>
          </w:tcPr>
          <w:p w14:paraId="556C7DA8">
            <w:pPr>
              <w:spacing w:before="120"/>
              <w:jc w:val="center"/>
              <w:rPr>
                <w:rFonts w:hint="eastAsia" w:ascii="宋体" w:hAnsi="宋体"/>
                <w:color w:val="auto"/>
                <w:sz w:val="24"/>
                <w:highlight w:val="none"/>
              </w:rPr>
            </w:pPr>
            <w:r>
              <w:rPr>
                <w:rFonts w:hint="eastAsia" w:ascii="宋体" w:hAnsi="宋体"/>
                <w:color w:val="auto"/>
                <w:sz w:val="24"/>
                <w:highlight w:val="none"/>
              </w:rPr>
              <w:t>招标文件商务条款要求</w:t>
            </w:r>
          </w:p>
        </w:tc>
        <w:tc>
          <w:tcPr>
            <w:tcW w:w="1144" w:type="dxa"/>
            <w:tcBorders>
              <w:top w:val="single" w:color="auto" w:sz="4" w:space="0"/>
              <w:left w:val="single" w:color="auto" w:sz="4" w:space="0"/>
              <w:bottom w:val="single" w:color="auto" w:sz="4" w:space="0"/>
              <w:right w:val="single" w:color="auto" w:sz="4" w:space="0"/>
            </w:tcBorders>
            <w:noWrap w:val="0"/>
            <w:vAlign w:val="top"/>
          </w:tcPr>
          <w:p w14:paraId="4FFFAFE1">
            <w:pPr>
              <w:spacing w:before="120"/>
              <w:jc w:val="center"/>
              <w:rPr>
                <w:rFonts w:hint="eastAsia" w:ascii="宋体" w:hAnsi="宋体"/>
                <w:color w:val="auto"/>
                <w:sz w:val="24"/>
                <w:highlight w:val="none"/>
              </w:rPr>
            </w:pPr>
            <w:r>
              <w:rPr>
                <w:rFonts w:hint="eastAsia" w:ascii="宋体" w:hAnsi="宋体"/>
                <w:color w:val="auto"/>
                <w:sz w:val="24"/>
                <w:highlight w:val="none"/>
              </w:rPr>
              <w:t>是否偏离</w:t>
            </w:r>
          </w:p>
        </w:tc>
        <w:tc>
          <w:tcPr>
            <w:tcW w:w="2651" w:type="dxa"/>
            <w:tcBorders>
              <w:top w:val="single" w:color="auto" w:sz="4" w:space="0"/>
              <w:left w:val="single" w:color="auto" w:sz="4" w:space="0"/>
              <w:bottom w:val="single" w:color="auto" w:sz="4" w:space="0"/>
              <w:right w:val="single" w:color="auto" w:sz="4" w:space="0"/>
            </w:tcBorders>
            <w:noWrap w:val="0"/>
            <w:vAlign w:val="top"/>
          </w:tcPr>
          <w:p w14:paraId="3DB5D492">
            <w:pPr>
              <w:spacing w:before="120"/>
              <w:jc w:val="center"/>
              <w:rPr>
                <w:rFonts w:hint="eastAsia" w:ascii="宋体" w:hAnsi="宋体"/>
                <w:color w:val="auto"/>
                <w:sz w:val="24"/>
                <w:highlight w:val="none"/>
              </w:rPr>
            </w:pPr>
            <w:r>
              <w:rPr>
                <w:rFonts w:hint="eastAsia" w:ascii="宋体" w:hAnsi="宋体"/>
                <w:color w:val="auto"/>
                <w:sz w:val="24"/>
                <w:highlight w:val="none"/>
              </w:rPr>
              <w:t>投标人的承诺或说明</w:t>
            </w:r>
          </w:p>
        </w:tc>
      </w:tr>
      <w:tr w14:paraId="1AD4F7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1510" w:type="dxa"/>
            <w:tcBorders>
              <w:top w:val="single" w:color="auto" w:sz="4" w:space="0"/>
              <w:left w:val="single" w:color="auto" w:sz="4" w:space="0"/>
              <w:bottom w:val="single" w:color="auto" w:sz="4" w:space="0"/>
              <w:right w:val="single" w:color="auto" w:sz="4" w:space="0"/>
            </w:tcBorders>
            <w:noWrap w:val="0"/>
            <w:vAlign w:val="center"/>
          </w:tcPr>
          <w:p w14:paraId="4307FC69">
            <w:pPr>
              <w:rPr>
                <w:rFonts w:hint="eastAsia" w:ascii="宋体" w:hAnsi="宋体"/>
                <w:color w:val="auto"/>
                <w:sz w:val="24"/>
                <w:highlight w:val="none"/>
              </w:rPr>
            </w:pPr>
          </w:p>
          <w:p w14:paraId="6E5DA6A2">
            <w:pPr>
              <w:rPr>
                <w:rFonts w:hint="eastAsia" w:ascii="宋体" w:hAnsi="宋体"/>
                <w:color w:val="auto"/>
                <w:sz w:val="24"/>
                <w:highlight w:val="none"/>
              </w:rPr>
            </w:pPr>
          </w:p>
        </w:tc>
        <w:tc>
          <w:tcPr>
            <w:tcW w:w="3336" w:type="dxa"/>
            <w:tcBorders>
              <w:top w:val="single" w:color="auto" w:sz="4" w:space="0"/>
              <w:left w:val="single" w:color="auto" w:sz="4" w:space="0"/>
              <w:bottom w:val="single" w:color="auto" w:sz="4" w:space="0"/>
              <w:right w:val="single" w:color="auto" w:sz="4" w:space="0"/>
            </w:tcBorders>
            <w:noWrap w:val="0"/>
            <w:vAlign w:val="top"/>
          </w:tcPr>
          <w:p w14:paraId="25F88F94">
            <w:pPr>
              <w:spacing w:before="120"/>
              <w:jc w:val="center"/>
              <w:rPr>
                <w:rFonts w:hint="eastAsia" w:ascii="宋体" w:hAnsi="宋体"/>
                <w:color w:val="auto"/>
                <w:sz w:val="24"/>
                <w:highlight w:val="none"/>
              </w:rPr>
            </w:pPr>
          </w:p>
        </w:tc>
        <w:tc>
          <w:tcPr>
            <w:tcW w:w="1144" w:type="dxa"/>
            <w:tcBorders>
              <w:top w:val="single" w:color="auto" w:sz="4" w:space="0"/>
              <w:left w:val="single" w:color="auto" w:sz="4" w:space="0"/>
              <w:bottom w:val="single" w:color="auto" w:sz="4" w:space="0"/>
              <w:right w:val="single" w:color="auto" w:sz="4" w:space="0"/>
            </w:tcBorders>
            <w:noWrap w:val="0"/>
            <w:vAlign w:val="top"/>
          </w:tcPr>
          <w:p w14:paraId="6C26E574">
            <w:pPr>
              <w:spacing w:before="120"/>
              <w:jc w:val="center"/>
              <w:rPr>
                <w:rFonts w:hint="eastAsia" w:ascii="宋体" w:hAnsi="宋体"/>
                <w:color w:val="auto"/>
                <w:sz w:val="24"/>
                <w:highlight w:val="none"/>
              </w:rPr>
            </w:pPr>
          </w:p>
        </w:tc>
        <w:tc>
          <w:tcPr>
            <w:tcW w:w="2651" w:type="dxa"/>
            <w:tcBorders>
              <w:top w:val="single" w:color="auto" w:sz="4" w:space="0"/>
              <w:left w:val="single" w:color="auto" w:sz="4" w:space="0"/>
              <w:bottom w:val="single" w:color="auto" w:sz="4" w:space="0"/>
              <w:right w:val="single" w:color="auto" w:sz="4" w:space="0"/>
            </w:tcBorders>
            <w:noWrap w:val="0"/>
            <w:vAlign w:val="top"/>
          </w:tcPr>
          <w:p w14:paraId="0C692B19">
            <w:pPr>
              <w:spacing w:before="120"/>
              <w:jc w:val="center"/>
              <w:rPr>
                <w:rFonts w:hint="eastAsia" w:ascii="宋体" w:hAnsi="宋体"/>
                <w:color w:val="auto"/>
                <w:sz w:val="24"/>
                <w:highlight w:val="none"/>
              </w:rPr>
            </w:pPr>
          </w:p>
        </w:tc>
      </w:tr>
      <w:tr w14:paraId="75FC04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trPr>
        <w:tc>
          <w:tcPr>
            <w:tcW w:w="1510" w:type="dxa"/>
            <w:tcBorders>
              <w:top w:val="single" w:color="auto" w:sz="4" w:space="0"/>
              <w:left w:val="single" w:color="auto" w:sz="4" w:space="0"/>
              <w:bottom w:val="single" w:color="auto" w:sz="4" w:space="0"/>
              <w:right w:val="single" w:color="auto" w:sz="4" w:space="0"/>
            </w:tcBorders>
            <w:noWrap w:val="0"/>
            <w:vAlign w:val="center"/>
          </w:tcPr>
          <w:p w14:paraId="3893E1AB">
            <w:pPr>
              <w:rPr>
                <w:rFonts w:hint="eastAsia" w:ascii="宋体" w:hAnsi="宋体"/>
                <w:color w:val="auto"/>
                <w:sz w:val="24"/>
                <w:highlight w:val="none"/>
              </w:rPr>
            </w:pPr>
          </w:p>
        </w:tc>
        <w:tc>
          <w:tcPr>
            <w:tcW w:w="3336" w:type="dxa"/>
            <w:tcBorders>
              <w:top w:val="single" w:color="auto" w:sz="4" w:space="0"/>
              <w:left w:val="single" w:color="auto" w:sz="4" w:space="0"/>
              <w:bottom w:val="single" w:color="auto" w:sz="4" w:space="0"/>
              <w:right w:val="single" w:color="auto" w:sz="4" w:space="0"/>
            </w:tcBorders>
            <w:noWrap w:val="0"/>
            <w:vAlign w:val="top"/>
          </w:tcPr>
          <w:p w14:paraId="0A8788ED">
            <w:pPr>
              <w:spacing w:before="120"/>
              <w:rPr>
                <w:rFonts w:hint="eastAsia" w:ascii="宋体" w:hAnsi="宋体"/>
                <w:color w:val="auto"/>
                <w:sz w:val="24"/>
                <w:highlight w:val="none"/>
                <w:u w:val="single"/>
              </w:rPr>
            </w:pPr>
          </w:p>
        </w:tc>
        <w:tc>
          <w:tcPr>
            <w:tcW w:w="1144" w:type="dxa"/>
            <w:tcBorders>
              <w:top w:val="single" w:color="auto" w:sz="4" w:space="0"/>
              <w:left w:val="single" w:color="auto" w:sz="4" w:space="0"/>
              <w:bottom w:val="single" w:color="auto" w:sz="4" w:space="0"/>
              <w:right w:val="single" w:color="auto" w:sz="4" w:space="0"/>
            </w:tcBorders>
            <w:noWrap w:val="0"/>
            <w:vAlign w:val="top"/>
          </w:tcPr>
          <w:p w14:paraId="3BD8B27D">
            <w:pPr>
              <w:spacing w:before="120"/>
              <w:ind w:left="43"/>
              <w:jc w:val="center"/>
              <w:rPr>
                <w:rFonts w:hint="eastAsia" w:ascii="宋体" w:hAnsi="宋体"/>
                <w:color w:val="auto"/>
                <w:sz w:val="24"/>
                <w:highlight w:val="none"/>
              </w:rPr>
            </w:pPr>
          </w:p>
        </w:tc>
        <w:tc>
          <w:tcPr>
            <w:tcW w:w="2651" w:type="dxa"/>
            <w:tcBorders>
              <w:top w:val="single" w:color="auto" w:sz="4" w:space="0"/>
              <w:left w:val="single" w:color="auto" w:sz="4" w:space="0"/>
              <w:bottom w:val="single" w:color="auto" w:sz="4" w:space="0"/>
              <w:right w:val="single" w:color="auto" w:sz="4" w:space="0"/>
            </w:tcBorders>
            <w:noWrap w:val="0"/>
            <w:vAlign w:val="top"/>
          </w:tcPr>
          <w:p w14:paraId="0543E3B4">
            <w:pPr>
              <w:spacing w:before="120"/>
              <w:ind w:left="43"/>
              <w:jc w:val="center"/>
              <w:rPr>
                <w:rFonts w:hint="eastAsia" w:ascii="宋体" w:hAnsi="宋体"/>
                <w:color w:val="auto"/>
                <w:sz w:val="24"/>
                <w:highlight w:val="none"/>
              </w:rPr>
            </w:pPr>
          </w:p>
        </w:tc>
      </w:tr>
      <w:tr w14:paraId="4710F1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1510" w:type="dxa"/>
            <w:tcBorders>
              <w:top w:val="single" w:color="auto" w:sz="4" w:space="0"/>
              <w:left w:val="single" w:color="auto" w:sz="4" w:space="0"/>
              <w:bottom w:val="single" w:color="auto" w:sz="4" w:space="0"/>
              <w:right w:val="single" w:color="auto" w:sz="4" w:space="0"/>
            </w:tcBorders>
            <w:noWrap w:val="0"/>
            <w:vAlign w:val="center"/>
          </w:tcPr>
          <w:p w14:paraId="05183E64">
            <w:pPr>
              <w:rPr>
                <w:rFonts w:hint="eastAsia" w:ascii="宋体" w:hAnsi="宋体"/>
                <w:color w:val="auto"/>
                <w:sz w:val="24"/>
                <w:highlight w:val="none"/>
              </w:rPr>
            </w:pPr>
          </w:p>
        </w:tc>
        <w:tc>
          <w:tcPr>
            <w:tcW w:w="3336" w:type="dxa"/>
            <w:tcBorders>
              <w:top w:val="single" w:color="auto" w:sz="4" w:space="0"/>
              <w:left w:val="single" w:color="auto" w:sz="4" w:space="0"/>
              <w:bottom w:val="single" w:color="auto" w:sz="4" w:space="0"/>
              <w:right w:val="single" w:color="auto" w:sz="4" w:space="0"/>
            </w:tcBorders>
            <w:noWrap w:val="0"/>
            <w:vAlign w:val="top"/>
          </w:tcPr>
          <w:p w14:paraId="019EFBB4">
            <w:pPr>
              <w:spacing w:before="120"/>
              <w:rPr>
                <w:rFonts w:hint="eastAsia" w:ascii="宋体" w:hAnsi="宋体"/>
                <w:color w:val="auto"/>
                <w:sz w:val="24"/>
                <w:highlight w:val="none"/>
              </w:rPr>
            </w:pPr>
          </w:p>
        </w:tc>
        <w:tc>
          <w:tcPr>
            <w:tcW w:w="1144" w:type="dxa"/>
            <w:tcBorders>
              <w:top w:val="single" w:color="auto" w:sz="4" w:space="0"/>
              <w:left w:val="single" w:color="auto" w:sz="4" w:space="0"/>
              <w:bottom w:val="single" w:color="auto" w:sz="4" w:space="0"/>
              <w:right w:val="single" w:color="auto" w:sz="4" w:space="0"/>
            </w:tcBorders>
            <w:noWrap w:val="0"/>
            <w:vAlign w:val="top"/>
          </w:tcPr>
          <w:p w14:paraId="34310AF7">
            <w:pPr>
              <w:spacing w:before="120"/>
              <w:jc w:val="center"/>
              <w:rPr>
                <w:rFonts w:hint="eastAsia" w:ascii="宋体" w:hAnsi="宋体"/>
                <w:color w:val="auto"/>
                <w:sz w:val="24"/>
                <w:highlight w:val="none"/>
              </w:rPr>
            </w:pPr>
          </w:p>
        </w:tc>
        <w:tc>
          <w:tcPr>
            <w:tcW w:w="2651" w:type="dxa"/>
            <w:tcBorders>
              <w:top w:val="single" w:color="auto" w:sz="4" w:space="0"/>
              <w:left w:val="single" w:color="auto" w:sz="4" w:space="0"/>
              <w:bottom w:val="single" w:color="auto" w:sz="4" w:space="0"/>
              <w:right w:val="single" w:color="auto" w:sz="4" w:space="0"/>
            </w:tcBorders>
            <w:noWrap w:val="0"/>
            <w:vAlign w:val="top"/>
          </w:tcPr>
          <w:p w14:paraId="59B30B5E">
            <w:pPr>
              <w:spacing w:before="120"/>
              <w:jc w:val="center"/>
              <w:rPr>
                <w:rFonts w:hint="eastAsia" w:ascii="宋体" w:hAnsi="宋体"/>
                <w:color w:val="auto"/>
                <w:sz w:val="24"/>
                <w:highlight w:val="none"/>
              </w:rPr>
            </w:pPr>
          </w:p>
        </w:tc>
      </w:tr>
      <w:tr w14:paraId="503DDA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1510" w:type="dxa"/>
            <w:tcBorders>
              <w:top w:val="single" w:color="auto" w:sz="4" w:space="0"/>
              <w:left w:val="single" w:color="auto" w:sz="4" w:space="0"/>
              <w:bottom w:val="single" w:color="auto" w:sz="4" w:space="0"/>
              <w:right w:val="single" w:color="auto" w:sz="4" w:space="0"/>
            </w:tcBorders>
            <w:noWrap w:val="0"/>
            <w:vAlign w:val="center"/>
          </w:tcPr>
          <w:p w14:paraId="48F09E7C">
            <w:pPr>
              <w:rPr>
                <w:rFonts w:hint="eastAsia" w:ascii="宋体" w:hAnsi="宋体"/>
                <w:color w:val="auto"/>
                <w:sz w:val="24"/>
                <w:highlight w:val="none"/>
              </w:rPr>
            </w:pPr>
          </w:p>
        </w:tc>
        <w:tc>
          <w:tcPr>
            <w:tcW w:w="3336" w:type="dxa"/>
            <w:tcBorders>
              <w:top w:val="single" w:color="auto" w:sz="4" w:space="0"/>
              <w:left w:val="single" w:color="auto" w:sz="4" w:space="0"/>
              <w:bottom w:val="single" w:color="auto" w:sz="4" w:space="0"/>
              <w:right w:val="single" w:color="auto" w:sz="4" w:space="0"/>
            </w:tcBorders>
            <w:noWrap w:val="0"/>
            <w:vAlign w:val="top"/>
          </w:tcPr>
          <w:p w14:paraId="0003E0DC">
            <w:pPr>
              <w:spacing w:before="120"/>
              <w:rPr>
                <w:rFonts w:hint="eastAsia" w:ascii="宋体" w:hAnsi="宋体"/>
                <w:color w:val="auto"/>
                <w:sz w:val="24"/>
                <w:highlight w:val="none"/>
              </w:rPr>
            </w:pPr>
          </w:p>
        </w:tc>
        <w:tc>
          <w:tcPr>
            <w:tcW w:w="1144" w:type="dxa"/>
            <w:tcBorders>
              <w:top w:val="single" w:color="auto" w:sz="4" w:space="0"/>
              <w:left w:val="single" w:color="auto" w:sz="4" w:space="0"/>
              <w:bottom w:val="single" w:color="auto" w:sz="4" w:space="0"/>
              <w:right w:val="single" w:color="auto" w:sz="4" w:space="0"/>
            </w:tcBorders>
            <w:noWrap w:val="0"/>
            <w:vAlign w:val="top"/>
          </w:tcPr>
          <w:p w14:paraId="05FE8759">
            <w:pPr>
              <w:spacing w:before="120"/>
              <w:jc w:val="center"/>
              <w:rPr>
                <w:rFonts w:hint="eastAsia" w:ascii="宋体" w:hAnsi="宋体"/>
                <w:color w:val="auto"/>
                <w:sz w:val="24"/>
                <w:highlight w:val="none"/>
              </w:rPr>
            </w:pPr>
          </w:p>
        </w:tc>
        <w:tc>
          <w:tcPr>
            <w:tcW w:w="2651" w:type="dxa"/>
            <w:tcBorders>
              <w:top w:val="single" w:color="auto" w:sz="4" w:space="0"/>
              <w:left w:val="single" w:color="auto" w:sz="4" w:space="0"/>
              <w:bottom w:val="single" w:color="auto" w:sz="4" w:space="0"/>
              <w:right w:val="single" w:color="auto" w:sz="4" w:space="0"/>
            </w:tcBorders>
            <w:noWrap w:val="0"/>
            <w:vAlign w:val="top"/>
          </w:tcPr>
          <w:p w14:paraId="174004ED">
            <w:pPr>
              <w:spacing w:before="120"/>
              <w:jc w:val="center"/>
              <w:rPr>
                <w:rFonts w:hint="eastAsia" w:ascii="宋体" w:hAnsi="宋体"/>
                <w:color w:val="auto"/>
                <w:sz w:val="24"/>
                <w:highlight w:val="none"/>
              </w:rPr>
            </w:pPr>
          </w:p>
        </w:tc>
      </w:tr>
      <w:tr w14:paraId="2A0B32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1510" w:type="dxa"/>
            <w:tcBorders>
              <w:top w:val="single" w:color="auto" w:sz="4" w:space="0"/>
              <w:left w:val="single" w:color="auto" w:sz="4" w:space="0"/>
              <w:bottom w:val="single" w:color="auto" w:sz="4" w:space="0"/>
              <w:right w:val="single" w:color="auto" w:sz="4" w:space="0"/>
            </w:tcBorders>
            <w:noWrap w:val="0"/>
            <w:vAlign w:val="center"/>
          </w:tcPr>
          <w:p w14:paraId="5B708321">
            <w:pPr>
              <w:rPr>
                <w:rFonts w:hint="eastAsia" w:ascii="宋体" w:hAnsi="宋体"/>
                <w:color w:val="auto"/>
                <w:sz w:val="24"/>
                <w:highlight w:val="none"/>
              </w:rPr>
            </w:pPr>
          </w:p>
        </w:tc>
        <w:tc>
          <w:tcPr>
            <w:tcW w:w="3336" w:type="dxa"/>
            <w:tcBorders>
              <w:top w:val="single" w:color="auto" w:sz="4" w:space="0"/>
              <w:left w:val="single" w:color="auto" w:sz="4" w:space="0"/>
              <w:bottom w:val="single" w:color="auto" w:sz="4" w:space="0"/>
              <w:right w:val="single" w:color="auto" w:sz="4" w:space="0"/>
            </w:tcBorders>
            <w:noWrap w:val="0"/>
            <w:vAlign w:val="top"/>
          </w:tcPr>
          <w:p w14:paraId="1607D4BC">
            <w:pPr>
              <w:spacing w:before="120"/>
              <w:rPr>
                <w:rFonts w:hint="eastAsia" w:ascii="宋体" w:hAnsi="宋体"/>
                <w:color w:val="auto"/>
                <w:sz w:val="24"/>
                <w:highlight w:val="none"/>
              </w:rPr>
            </w:pPr>
          </w:p>
        </w:tc>
        <w:tc>
          <w:tcPr>
            <w:tcW w:w="1144" w:type="dxa"/>
            <w:tcBorders>
              <w:top w:val="single" w:color="auto" w:sz="4" w:space="0"/>
              <w:left w:val="single" w:color="auto" w:sz="4" w:space="0"/>
              <w:bottom w:val="single" w:color="auto" w:sz="4" w:space="0"/>
              <w:right w:val="single" w:color="auto" w:sz="4" w:space="0"/>
            </w:tcBorders>
            <w:noWrap w:val="0"/>
            <w:vAlign w:val="top"/>
          </w:tcPr>
          <w:p w14:paraId="0D0E8752">
            <w:pPr>
              <w:spacing w:before="120"/>
              <w:jc w:val="center"/>
              <w:rPr>
                <w:rFonts w:hint="eastAsia" w:ascii="宋体" w:hAnsi="宋体"/>
                <w:color w:val="auto"/>
                <w:sz w:val="24"/>
                <w:highlight w:val="none"/>
              </w:rPr>
            </w:pPr>
          </w:p>
        </w:tc>
        <w:tc>
          <w:tcPr>
            <w:tcW w:w="2651" w:type="dxa"/>
            <w:tcBorders>
              <w:top w:val="single" w:color="auto" w:sz="4" w:space="0"/>
              <w:left w:val="single" w:color="auto" w:sz="4" w:space="0"/>
              <w:bottom w:val="single" w:color="auto" w:sz="4" w:space="0"/>
              <w:right w:val="single" w:color="auto" w:sz="4" w:space="0"/>
            </w:tcBorders>
            <w:noWrap w:val="0"/>
            <w:vAlign w:val="top"/>
          </w:tcPr>
          <w:p w14:paraId="30B84BDB">
            <w:pPr>
              <w:spacing w:before="120"/>
              <w:jc w:val="center"/>
              <w:rPr>
                <w:rFonts w:hint="eastAsia" w:ascii="宋体" w:hAnsi="宋体"/>
                <w:color w:val="auto"/>
                <w:sz w:val="24"/>
                <w:highlight w:val="none"/>
              </w:rPr>
            </w:pPr>
          </w:p>
        </w:tc>
      </w:tr>
      <w:tr w14:paraId="675FB4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510" w:type="dxa"/>
            <w:tcBorders>
              <w:top w:val="single" w:color="auto" w:sz="4" w:space="0"/>
              <w:left w:val="single" w:color="auto" w:sz="4" w:space="0"/>
              <w:bottom w:val="single" w:color="auto" w:sz="4" w:space="0"/>
              <w:right w:val="single" w:color="auto" w:sz="4" w:space="0"/>
            </w:tcBorders>
            <w:noWrap w:val="0"/>
            <w:vAlign w:val="top"/>
          </w:tcPr>
          <w:p w14:paraId="7E38965D">
            <w:pPr>
              <w:spacing w:before="120"/>
              <w:jc w:val="center"/>
              <w:rPr>
                <w:rFonts w:hint="eastAsia" w:ascii="宋体" w:hAnsi="宋体"/>
                <w:color w:val="auto"/>
                <w:sz w:val="24"/>
                <w:highlight w:val="none"/>
              </w:rPr>
            </w:pPr>
            <w:r>
              <w:rPr>
                <w:rFonts w:hint="eastAsia" w:ascii="宋体" w:hAnsi="宋体"/>
                <w:color w:val="auto"/>
                <w:sz w:val="24"/>
                <w:highlight w:val="none"/>
              </w:rPr>
              <w:t>…</w:t>
            </w:r>
          </w:p>
        </w:tc>
        <w:tc>
          <w:tcPr>
            <w:tcW w:w="3336" w:type="dxa"/>
            <w:tcBorders>
              <w:top w:val="single" w:color="auto" w:sz="4" w:space="0"/>
              <w:left w:val="single" w:color="auto" w:sz="4" w:space="0"/>
              <w:bottom w:val="single" w:color="auto" w:sz="4" w:space="0"/>
              <w:right w:val="single" w:color="auto" w:sz="4" w:space="0"/>
            </w:tcBorders>
            <w:noWrap w:val="0"/>
            <w:vAlign w:val="top"/>
          </w:tcPr>
          <w:p w14:paraId="3949417C">
            <w:pPr>
              <w:spacing w:before="120"/>
              <w:jc w:val="center"/>
              <w:rPr>
                <w:rFonts w:hint="eastAsia" w:ascii="宋体" w:hAnsi="宋体"/>
                <w:color w:val="auto"/>
                <w:sz w:val="24"/>
                <w:highlight w:val="none"/>
              </w:rPr>
            </w:pPr>
          </w:p>
        </w:tc>
        <w:tc>
          <w:tcPr>
            <w:tcW w:w="1144" w:type="dxa"/>
            <w:tcBorders>
              <w:top w:val="single" w:color="auto" w:sz="4" w:space="0"/>
              <w:left w:val="single" w:color="auto" w:sz="4" w:space="0"/>
              <w:bottom w:val="single" w:color="auto" w:sz="4" w:space="0"/>
              <w:right w:val="single" w:color="auto" w:sz="4" w:space="0"/>
            </w:tcBorders>
            <w:noWrap w:val="0"/>
            <w:vAlign w:val="top"/>
          </w:tcPr>
          <w:p w14:paraId="4BEDE825">
            <w:pPr>
              <w:spacing w:before="120"/>
              <w:jc w:val="center"/>
              <w:rPr>
                <w:rFonts w:hint="eastAsia" w:ascii="宋体" w:hAnsi="宋体"/>
                <w:color w:val="auto"/>
                <w:sz w:val="24"/>
                <w:highlight w:val="none"/>
              </w:rPr>
            </w:pPr>
          </w:p>
        </w:tc>
        <w:tc>
          <w:tcPr>
            <w:tcW w:w="2651" w:type="dxa"/>
            <w:tcBorders>
              <w:top w:val="single" w:color="auto" w:sz="4" w:space="0"/>
              <w:left w:val="single" w:color="auto" w:sz="4" w:space="0"/>
              <w:bottom w:val="single" w:color="auto" w:sz="4" w:space="0"/>
              <w:right w:val="single" w:color="auto" w:sz="4" w:space="0"/>
            </w:tcBorders>
            <w:noWrap w:val="0"/>
            <w:vAlign w:val="top"/>
          </w:tcPr>
          <w:p w14:paraId="739A75CB">
            <w:pPr>
              <w:spacing w:before="120"/>
              <w:jc w:val="center"/>
              <w:rPr>
                <w:rFonts w:hint="eastAsia" w:ascii="宋体" w:hAnsi="宋体"/>
                <w:color w:val="auto"/>
                <w:sz w:val="24"/>
                <w:highlight w:val="none"/>
              </w:rPr>
            </w:pPr>
          </w:p>
        </w:tc>
      </w:tr>
    </w:tbl>
    <w:p w14:paraId="4D5CDCC1">
      <w:pPr>
        <w:pStyle w:val="220"/>
        <w:rPr>
          <w:rFonts w:hint="eastAsia" w:ascii="宋体" w:hAnsi="宋体" w:cs="宋体"/>
          <w:color w:val="auto"/>
          <w:highlight w:val="none"/>
        </w:rPr>
      </w:pPr>
      <w:r>
        <w:rPr>
          <w:rFonts w:hint="eastAsia" w:ascii="宋体" w:hAnsi="宋体" w:cs="宋体"/>
          <w:color w:val="auto"/>
          <w:highlight w:val="none"/>
        </w:rPr>
        <w:t>注：</w:t>
      </w:r>
    </w:p>
    <w:p w14:paraId="0C1A9E15">
      <w:pPr>
        <w:pStyle w:val="224"/>
        <w:spacing w:line="520" w:lineRule="exact"/>
        <w:ind w:firstLine="0"/>
        <w:rPr>
          <w:rFonts w:hint="eastAsia" w:ascii="宋体" w:hAnsi="宋体" w:eastAsia="宋体" w:cs="宋体"/>
          <w:color w:val="auto"/>
          <w:szCs w:val="32"/>
          <w:highlight w:val="none"/>
        </w:rPr>
      </w:pPr>
      <w:r>
        <w:rPr>
          <w:rFonts w:hint="eastAsia" w:ascii="宋体" w:hAnsi="宋体" w:eastAsia="宋体" w:cs="宋体"/>
          <w:color w:val="auto"/>
          <w:sz w:val="24"/>
          <w:szCs w:val="24"/>
          <w:highlight w:val="none"/>
        </w:rPr>
        <w:t>1. 说明：应对照招标文件“第二章 采购需求”中的商务要求逐条作明确的投标响应，并作出偏离说明。</w:t>
      </w:r>
    </w:p>
    <w:p w14:paraId="49049043">
      <w:pPr>
        <w:pStyle w:val="220"/>
        <w:rPr>
          <w:rFonts w:hint="eastAsia" w:ascii="宋体" w:hAnsi="宋体" w:cs="宋体"/>
          <w:b w:val="0"/>
          <w:bCs w:val="0"/>
          <w:color w:val="auto"/>
          <w:highlight w:val="none"/>
        </w:rPr>
      </w:pPr>
      <w:r>
        <w:rPr>
          <w:rFonts w:hint="eastAsia" w:ascii="宋体" w:hAnsi="宋体" w:cs="宋体"/>
          <w:b w:val="0"/>
          <w:bCs w:val="0"/>
          <w:color w:val="auto"/>
          <w:highlight w:val="none"/>
        </w:rPr>
        <w:t>2.投标人应根据自身的承诺，对照招标文件要求在“偏离说明”中注明“</w:t>
      </w:r>
      <w:r>
        <w:rPr>
          <w:rFonts w:hint="eastAsia" w:ascii="宋体" w:hAnsi="宋体" w:cs="宋体"/>
          <w:color w:val="auto"/>
          <w:highlight w:val="none"/>
        </w:rPr>
        <w:t>正偏离</w:t>
      </w:r>
      <w:r>
        <w:rPr>
          <w:rFonts w:hint="eastAsia" w:ascii="宋体" w:hAnsi="宋体" w:cs="宋体"/>
          <w:b w:val="0"/>
          <w:bCs w:val="0"/>
          <w:color w:val="auto"/>
          <w:highlight w:val="none"/>
        </w:rPr>
        <w:t>”、“</w:t>
      </w:r>
      <w:r>
        <w:rPr>
          <w:rFonts w:hint="eastAsia" w:ascii="宋体" w:hAnsi="宋体" w:cs="宋体"/>
          <w:color w:val="auto"/>
          <w:highlight w:val="none"/>
        </w:rPr>
        <w:t>负偏离</w:t>
      </w:r>
      <w:r>
        <w:rPr>
          <w:rFonts w:hint="eastAsia" w:ascii="宋体" w:hAnsi="宋体" w:cs="宋体"/>
          <w:b w:val="0"/>
          <w:bCs w:val="0"/>
          <w:color w:val="auto"/>
          <w:highlight w:val="none"/>
        </w:rPr>
        <w:t>”或者“</w:t>
      </w:r>
      <w:r>
        <w:rPr>
          <w:rFonts w:hint="eastAsia" w:ascii="宋体" w:hAnsi="宋体" w:cs="宋体"/>
          <w:color w:val="auto"/>
          <w:highlight w:val="none"/>
        </w:rPr>
        <w:t>无偏离</w:t>
      </w:r>
      <w:r>
        <w:rPr>
          <w:rFonts w:hint="eastAsia" w:ascii="宋体" w:hAnsi="宋体" w:cs="宋体"/>
          <w:b w:val="0"/>
          <w:bCs w:val="0"/>
          <w:color w:val="auto"/>
          <w:highlight w:val="none"/>
        </w:rPr>
        <w:t>”。既不属于“</w:t>
      </w:r>
      <w:r>
        <w:rPr>
          <w:rFonts w:hint="eastAsia" w:ascii="宋体" w:hAnsi="宋体" w:cs="宋体"/>
          <w:color w:val="auto"/>
          <w:highlight w:val="none"/>
        </w:rPr>
        <w:t>正偏离</w:t>
      </w:r>
      <w:r>
        <w:rPr>
          <w:rFonts w:hint="eastAsia" w:ascii="宋体" w:hAnsi="宋体" w:cs="宋体"/>
          <w:b w:val="0"/>
          <w:bCs w:val="0"/>
          <w:color w:val="auto"/>
          <w:highlight w:val="none"/>
        </w:rPr>
        <w:t>”也不属于“</w:t>
      </w:r>
      <w:r>
        <w:rPr>
          <w:rFonts w:hint="eastAsia" w:ascii="宋体" w:hAnsi="宋体" w:cs="宋体"/>
          <w:color w:val="auto"/>
          <w:highlight w:val="none"/>
        </w:rPr>
        <w:t>负偏离</w:t>
      </w:r>
      <w:r>
        <w:rPr>
          <w:rFonts w:hint="eastAsia" w:ascii="宋体" w:hAnsi="宋体" w:cs="宋体"/>
          <w:b w:val="0"/>
          <w:bCs w:val="0"/>
          <w:color w:val="auto"/>
          <w:highlight w:val="none"/>
        </w:rPr>
        <w:t>”即为“</w:t>
      </w:r>
      <w:r>
        <w:rPr>
          <w:rFonts w:hint="eastAsia" w:ascii="宋体" w:hAnsi="宋体" w:cs="宋体"/>
          <w:color w:val="auto"/>
          <w:highlight w:val="none"/>
        </w:rPr>
        <w:t>无偏离</w:t>
      </w:r>
      <w:r>
        <w:rPr>
          <w:rFonts w:hint="eastAsia" w:ascii="宋体" w:hAnsi="宋体" w:cs="宋体"/>
          <w:b w:val="0"/>
          <w:bCs w:val="0"/>
          <w:color w:val="auto"/>
          <w:highlight w:val="none"/>
        </w:rPr>
        <w:t>”。</w:t>
      </w:r>
    </w:p>
    <w:p w14:paraId="5CC956D9">
      <w:pPr>
        <w:spacing w:before="50" w:after="50"/>
        <w:rPr>
          <w:rFonts w:hint="eastAsia" w:ascii="宋体" w:hAnsi="宋体" w:cs="宋体"/>
          <w:color w:val="auto"/>
          <w:sz w:val="24"/>
          <w:highlight w:val="none"/>
        </w:rPr>
      </w:pPr>
    </w:p>
    <w:p w14:paraId="13B25862">
      <w:pPr>
        <w:spacing w:before="50" w:after="50"/>
        <w:rPr>
          <w:rFonts w:hint="eastAsia" w:ascii="宋体" w:hAnsi="宋体" w:cs="宋体"/>
          <w:color w:val="auto"/>
          <w:sz w:val="24"/>
          <w:highlight w:val="none"/>
        </w:rPr>
      </w:pPr>
    </w:p>
    <w:p w14:paraId="7F70CA24">
      <w:pPr>
        <w:spacing w:before="50" w:after="50"/>
        <w:rPr>
          <w:rFonts w:hint="eastAsia" w:ascii="宋体" w:hAnsi="宋体" w:cs="宋体"/>
          <w:color w:val="auto"/>
          <w:spacing w:val="20"/>
          <w:sz w:val="24"/>
          <w:highlight w:val="none"/>
          <w:u w:val="single"/>
        </w:rPr>
      </w:pPr>
      <w:r>
        <w:rPr>
          <w:rFonts w:hint="eastAsia" w:ascii="宋体" w:hAnsi="宋体" w:cs="宋体"/>
          <w:color w:val="auto"/>
          <w:sz w:val="24"/>
          <w:highlight w:val="none"/>
        </w:rPr>
        <w:t>法定代表人（或负责人）或者委托代理人</w:t>
      </w:r>
      <w:r>
        <w:rPr>
          <w:rFonts w:hint="eastAsia" w:ascii="宋体" w:hAnsi="宋体" w:cs="宋体"/>
          <w:color w:val="auto"/>
          <w:spacing w:val="20"/>
          <w:sz w:val="24"/>
          <w:highlight w:val="none"/>
        </w:rPr>
        <w:t>（签字或者电子签名）：</w:t>
      </w:r>
      <w:r>
        <w:rPr>
          <w:rFonts w:hint="eastAsia" w:ascii="宋体" w:hAnsi="宋体" w:cs="宋体"/>
          <w:color w:val="auto"/>
          <w:spacing w:val="20"/>
          <w:sz w:val="24"/>
          <w:highlight w:val="none"/>
          <w:u w:val="single"/>
        </w:rPr>
        <w:t xml:space="preserve">        </w:t>
      </w:r>
    </w:p>
    <w:p w14:paraId="588DBBFA">
      <w:pPr>
        <w:spacing w:before="120"/>
        <w:rPr>
          <w:rFonts w:hint="eastAsia" w:ascii="宋体" w:hAnsi="宋体" w:cs="宋体"/>
          <w:color w:val="auto"/>
          <w:spacing w:val="20"/>
          <w:sz w:val="24"/>
          <w:highlight w:val="none"/>
        </w:rPr>
      </w:pPr>
      <w:r>
        <w:rPr>
          <w:rFonts w:hint="eastAsia" w:ascii="宋体" w:hAnsi="宋体" w:cs="宋体"/>
          <w:color w:val="auto"/>
          <w:spacing w:val="20"/>
          <w:sz w:val="24"/>
          <w:highlight w:val="none"/>
        </w:rPr>
        <w:t>投标人名称（电子签章）：</w:t>
      </w:r>
      <w:r>
        <w:rPr>
          <w:rFonts w:hint="eastAsia" w:ascii="宋体" w:hAnsi="宋体" w:cs="宋体"/>
          <w:color w:val="auto"/>
          <w:spacing w:val="20"/>
          <w:sz w:val="24"/>
          <w:highlight w:val="none"/>
          <w:u w:val="single"/>
        </w:rPr>
        <w:t xml:space="preserve">            </w:t>
      </w:r>
      <w:r>
        <w:rPr>
          <w:rFonts w:hint="eastAsia" w:ascii="宋体" w:hAnsi="宋体" w:cs="宋体"/>
          <w:color w:val="auto"/>
          <w:spacing w:val="20"/>
          <w:sz w:val="24"/>
          <w:highlight w:val="none"/>
        </w:rPr>
        <w:t xml:space="preserve">   </w:t>
      </w:r>
    </w:p>
    <w:p w14:paraId="4AAE8FF6">
      <w:pPr>
        <w:spacing w:before="120"/>
        <w:rPr>
          <w:rFonts w:hint="eastAsia" w:ascii="宋体" w:hAnsi="宋体" w:cs="宋体"/>
          <w:color w:val="auto"/>
          <w:sz w:val="24"/>
          <w:szCs w:val="20"/>
          <w:highlight w:val="none"/>
        </w:rPr>
      </w:pPr>
      <w:r>
        <w:rPr>
          <w:rFonts w:hint="eastAsia" w:ascii="宋体" w:hAnsi="宋体" w:cs="宋体"/>
          <w:color w:val="auto"/>
          <w:spacing w:val="20"/>
          <w:sz w:val="24"/>
          <w:highlight w:val="none"/>
        </w:rPr>
        <w:t>日  期：</w:t>
      </w:r>
      <w:r>
        <w:rPr>
          <w:rFonts w:hint="eastAsia" w:ascii="宋体" w:hAnsi="宋体" w:cs="宋体"/>
          <w:color w:val="auto"/>
          <w:spacing w:val="20"/>
          <w:sz w:val="24"/>
          <w:highlight w:val="none"/>
          <w:u w:val="single"/>
        </w:rPr>
        <w:t xml:space="preserve">         </w:t>
      </w:r>
    </w:p>
    <w:p w14:paraId="4645CA4B">
      <w:pPr>
        <w:spacing w:before="120"/>
        <w:rPr>
          <w:rFonts w:hint="eastAsia" w:ascii="宋体" w:hAnsi="宋体" w:cs="宋体"/>
          <w:color w:val="auto"/>
          <w:sz w:val="24"/>
          <w:szCs w:val="20"/>
          <w:highlight w:val="none"/>
        </w:rPr>
      </w:pPr>
    </w:p>
    <w:p w14:paraId="0B599E22">
      <w:pPr>
        <w:spacing w:before="120" w:after="50"/>
        <w:jc w:val="left"/>
        <w:rPr>
          <w:rFonts w:hint="eastAsia" w:ascii="宋体" w:hAnsi="宋体" w:cs="宋体"/>
          <w:color w:val="auto"/>
          <w:sz w:val="24"/>
          <w:szCs w:val="20"/>
          <w:highlight w:val="none"/>
        </w:rPr>
        <w:sectPr>
          <w:footerReference r:id="rId11" w:type="default"/>
          <w:pgSz w:w="11906" w:h="16838"/>
          <w:pgMar w:top="1440" w:right="1797" w:bottom="1440" w:left="1797" w:header="851" w:footer="992" w:gutter="0"/>
          <w:pgNumType w:fmt="decimal"/>
          <w:cols w:space="1701" w:num="1"/>
        </w:sectPr>
      </w:pPr>
    </w:p>
    <w:p w14:paraId="25415519">
      <w:pPr>
        <w:rPr>
          <w:rFonts w:hint="eastAsia" w:ascii="宋体" w:hAnsi="宋体" w:cs="宋体"/>
          <w:b/>
          <w:color w:val="auto"/>
          <w:sz w:val="28"/>
          <w:szCs w:val="28"/>
          <w:highlight w:val="none"/>
        </w:rPr>
      </w:pPr>
      <w:r>
        <w:rPr>
          <w:rFonts w:hint="eastAsia" w:ascii="宋体" w:hAnsi="宋体" w:cs="宋体"/>
          <w:b/>
          <w:color w:val="auto"/>
          <w:sz w:val="28"/>
          <w:szCs w:val="28"/>
          <w:highlight w:val="none"/>
        </w:rPr>
        <w:t>四、技术文件格式</w:t>
      </w:r>
    </w:p>
    <w:p w14:paraId="79CEDCB1">
      <w:pPr>
        <w:spacing w:before="120" w:after="50"/>
        <w:ind w:left="142"/>
        <w:jc w:val="left"/>
        <w:rPr>
          <w:rFonts w:hint="eastAsia" w:ascii="宋体" w:hAnsi="宋体" w:cs="宋体"/>
          <w:b/>
          <w:color w:val="auto"/>
          <w:sz w:val="24"/>
          <w:highlight w:val="none"/>
        </w:rPr>
      </w:pPr>
      <w:r>
        <w:rPr>
          <w:rFonts w:hint="eastAsia" w:ascii="宋体" w:hAnsi="宋体" w:cs="宋体"/>
          <w:b/>
          <w:color w:val="auto"/>
          <w:sz w:val="24"/>
          <w:highlight w:val="none"/>
        </w:rPr>
        <w:t xml:space="preserve">1. 技术文件封面格式： </w:t>
      </w:r>
    </w:p>
    <w:p w14:paraId="5B700D69">
      <w:pPr>
        <w:spacing w:before="120" w:after="50" w:line="360" w:lineRule="auto"/>
        <w:ind w:left="142"/>
        <w:jc w:val="center"/>
        <w:rPr>
          <w:rFonts w:hint="eastAsia" w:ascii="宋体" w:hAnsi="宋体" w:cs="宋体"/>
          <w:bCs/>
          <w:color w:val="auto"/>
          <w:sz w:val="48"/>
          <w:szCs w:val="48"/>
          <w:highlight w:val="none"/>
        </w:rPr>
      </w:pPr>
      <w:r>
        <w:rPr>
          <w:rFonts w:hint="eastAsia" w:ascii="宋体" w:hAnsi="宋体" w:cs="宋体"/>
          <w:bCs/>
          <w:color w:val="auto"/>
          <w:sz w:val="48"/>
          <w:szCs w:val="48"/>
          <w:highlight w:val="none"/>
        </w:rPr>
        <w:t>电子投标文件</w:t>
      </w:r>
    </w:p>
    <w:p w14:paraId="68356757">
      <w:pPr>
        <w:spacing w:before="120" w:after="50"/>
        <w:jc w:val="cente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技术文件</w:t>
      </w:r>
    </w:p>
    <w:p w14:paraId="3F06C15F">
      <w:pPr>
        <w:spacing w:before="120" w:after="50"/>
        <w:rPr>
          <w:rFonts w:hint="eastAsia" w:ascii="宋体" w:hAnsi="宋体" w:cs="宋体"/>
          <w:bCs/>
          <w:color w:val="auto"/>
          <w:sz w:val="24"/>
          <w:szCs w:val="20"/>
          <w:highlight w:val="none"/>
        </w:rPr>
      </w:pPr>
    </w:p>
    <w:p w14:paraId="56B1DE51">
      <w:pPr>
        <w:spacing w:before="120" w:after="50" w:line="400" w:lineRule="exact"/>
        <w:ind w:firstLine="360"/>
        <w:rPr>
          <w:rFonts w:hint="eastAsia" w:ascii="宋体" w:hAnsi="宋体" w:cs="宋体"/>
          <w:bCs/>
          <w:color w:val="auto"/>
          <w:sz w:val="24"/>
          <w:szCs w:val="20"/>
          <w:highlight w:val="none"/>
        </w:rPr>
      </w:pPr>
      <w:r>
        <w:rPr>
          <w:rFonts w:hint="eastAsia" w:ascii="宋体" w:hAnsi="宋体" w:cs="宋体"/>
          <w:bCs/>
          <w:color w:val="auto"/>
          <w:sz w:val="24"/>
          <w:highlight w:val="none"/>
        </w:rPr>
        <w:t xml:space="preserve">项目名称： </w:t>
      </w:r>
    </w:p>
    <w:p w14:paraId="1A7332F5">
      <w:pPr>
        <w:spacing w:before="120" w:after="50" w:line="400" w:lineRule="exact"/>
        <w:ind w:firstLine="360"/>
        <w:rPr>
          <w:rFonts w:hint="eastAsia" w:ascii="宋体" w:hAnsi="宋体" w:cs="宋体"/>
          <w:bCs/>
          <w:color w:val="auto"/>
          <w:sz w:val="24"/>
          <w:highlight w:val="none"/>
        </w:rPr>
      </w:pPr>
      <w:r>
        <w:rPr>
          <w:rFonts w:hint="eastAsia" w:ascii="宋体" w:hAnsi="宋体" w:cs="宋体"/>
          <w:bCs/>
          <w:color w:val="auto"/>
          <w:sz w:val="24"/>
          <w:highlight w:val="none"/>
        </w:rPr>
        <w:t>项目编号：</w:t>
      </w:r>
    </w:p>
    <w:p w14:paraId="4EFE65A6">
      <w:pPr>
        <w:spacing w:before="120" w:after="50" w:line="400" w:lineRule="exact"/>
        <w:ind w:firstLine="360"/>
        <w:rPr>
          <w:rFonts w:hint="eastAsia" w:ascii="宋体" w:hAnsi="宋体" w:cs="宋体"/>
          <w:bCs/>
          <w:color w:val="auto"/>
          <w:sz w:val="24"/>
          <w:highlight w:val="none"/>
        </w:rPr>
      </w:pPr>
      <w:r>
        <w:rPr>
          <w:rFonts w:hint="eastAsia" w:ascii="宋体" w:hAnsi="宋体" w:cs="宋体"/>
          <w:bCs/>
          <w:color w:val="auto"/>
          <w:sz w:val="24"/>
          <w:highlight w:val="none"/>
        </w:rPr>
        <w:t>投标人名称：</w:t>
      </w:r>
    </w:p>
    <w:p w14:paraId="6608BD34">
      <w:pPr>
        <w:spacing w:before="120" w:after="50" w:line="400" w:lineRule="exact"/>
        <w:ind w:firstLine="360"/>
        <w:rPr>
          <w:rFonts w:hint="eastAsia" w:ascii="宋体" w:hAnsi="宋体" w:cs="宋体"/>
          <w:bCs/>
          <w:color w:val="auto"/>
          <w:sz w:val="24"/>
          <w:highlight w:val="none"/>
        </w:rPr>
      </w:pPr>
      <w:r>
        <w:rPr>
          <w:rFonts w:hint="eastAsia" w:ascii="宋体" w:hAnsi="宋体" w:cs="宋体"/>
          <w:bCs/>
          <w:color w:val="auto"/>
          <w:sz w:val="24"/>
          <w:highlight w:val="none"/>
        </w:rPr>
        <w:t>投标人地址：</w:t>
      </w:r>
    </w:p>
    <w:p w14:paraId="65D9395F">
      <w:pPr>
        <w:spacing w:before="120" w:after="50"/>
        <w:ind w:firstLine="645"/>
        <w:jc w:val="center"/>
        <w:rPr>
          <w:rFonts w:hint="eastAsia" w:ascii="宋体" w:hAnsi="宋体" w:cs="宋体"/>
          <w:color w:val="auto"/>
          <w:sz w:val="24"/>
          <w:highlight w:val="none"/>
        </w:rPr>
      </w:pPr>
      <w:r>
        <w:rPr>
          <w:rFonts w:hint="eastAsia" w:ascii="宋体" w:hAnsi="宋体" w:cs="宋体"/>
          <w:color w:val="auto"/>
          <w:sz w:val="24"/>
          <w:highlight w:val="none"/>
        </w:rPr>
        <w:t xml:space="preserve">                        年    月    日</w:t>
      </w:r>
    </w:p>
    <w:p w14:paraId="2CB0C7CE">
      <w:pPr>
        <w:spacing w:before="120" w:after="50"/>
        <w:ind w:firstLine="645"/>
        <w:jc w:val="center"/>
        <w:rPr>
          <w:rFonts w:hint="eastAsia" w:ascii="宋体" w:hAnsi="宋体" w:cs="宋体"/>
          <w:color w:val="auto"/>
          <w:sz w:val="24"/>
          <w:szCs w:val="20"/>
          <w:highlight w:val="none"/>
        </w:rPr>
      </w:pPr>
    </w:p>
    <w:p w14:paraId="22175D90">
      <w:pPr>
        <w:spacing w:before="120" w:after="50"/>
        <w:ind w:left="142"/>
        <w:jc w:val="left"/>
        <w:rPr>
          <w:rFonts w:hint="eastAsia" w:ascii="宋体" w:hAnsi="宋体" w:cs="宋体"/>
          <w:b/>
          <w:bCs/>
          <w:color w:val="auto"/>
          <w:sz w:val="24"/>
          <w:highlight w:val="none"/>
        </w:rPr>
      </w:pPr>
      <w:r>
        <w:rPr>
          <w:rFonts w:hint="eastAsia" w:ascii="宋体" w:hAnsi="宋体" w:cs="宋体"/>
          <w:b/>
          <w:bCs/>
          <w:color w:val="auto"/>
          <w:sz w:val="24"/>
          <w:highlight w:val="none"/>
        </w:rPr>
        <w:br w:type="page" w:clear="all"/>
      </w:r>
      <w:r>
        <w:rPr>
          <w:rFonts w:hint="eastAsia" w:ascii="宋体" w:hAnsi="宋体" w:cs="宋体"/>
          <w:b/>
          <w:bCs/>
          <w:color w:val="auto"/>
          <w:sz w:val="24"/>
          <w:highlight w:val="none"/>
        </w:rPr>
        <w:t>2.技术文件目录</w:t>
      </w:r>
    </w:p>
    <w:p w14:paraId="084858B3">
      <w:pPr>
        <w:spacing w:before="50" w:after="120" w:line="280" w:lineRule="exact"/>
        <w:ind w:left="283"/>
        <w:jc w:val="left"/>
        <w:rPr>
          <w:rFonts w:hint="eastAsia" w:ascii="宋体" w:hAnsi="宋体" w:cs="宋体"/>
          <w:color w:val="auto"/>
          <w:sz w:val="24"/>
          <w:szCs w:val="20"/>
          <w:highlight w:val="none"/>
        </w:rPr>
      </w:pPr>
      <w:r>
        <w:rPr>
          <w:rFonts w:hint="eastAsia" w:ascii="宋体" w:hAnsi="宋体" w:cs="宋体"/>
          <w:color w:val="auto"/>
          <w:szCs w:val="21"/>
          <w:highlight w:val="none"/>
        </w:rPr>
        <w:t>根据招标文件规定及投标人提供的材料自行编写目录。</w:t>
      </w:r>
    </w:p>
    <w:p w14:paraId="5AAAC63E">
      <w:pPr>
        <w:spacing w:before="120" w:after="50"/>
        <w:jc w:val="left"/>
        <w:rPr>
          <w:rFonts w:hint="eastAsia" w:ascii="宋体" w:hAnsi="宋体" w:cs="宋体"/>
          <w:b/>
          <w:color w:val="auto"/>
          <w:sz w:val="24"/>
          <w:highlight w:val="none"/>
        </w:rPr>
      </w:pPr>
    </w:p>
    <w:p w14:paraId="447AC5E1">
      <w:pPr>
        <w:rPr>
          <w:rFonts w:ascii="宋体" w:hAnsi="宋体"/>
          <w:color w:val="auto"/>
          <w:sz w:val="24"/>
          <w:highlight w:val="none"/>
        </w:rPr>
      </w:pPr>
      <w:r>
        <w:rPr>
          <w:rFonts w:hint="eastAsia" w:ascii="宋体" w:hAnsi="宋体" w:cs="宋体"/>
          <w:b/>
          <w:bCs/>
          <w:color w:val="auto"/>
          <w:sz w:val="24"/>
          <w:highlight w:val="none"/>
        </w:rPr>
        <w:br w:type="page" w:clear="all"/>
      </w:r>
      <w:r>
        <w:rPr>
          <w:rFonts w:hint="eastAsia" w:ascii="宋体" w:hAnsi="宋体"/>
          <w:b/>
          <w:color w:val="auto"/>
          <w:sz w:val="24"/>
          <w:highlight w:val="none"/>
        </w:rPr>
        <w:t>3. 技术要求偏离表格式（注：按项目需求表具体项目修改）</w:t>
      </w:r>
    </w:p>
    <w:p w14:paraId="2196A5A4">
      <w:pPr>
        <w:pStyle w:val="230"/>
        <w:rPr>
          <w:rFonts w:hAnsi="宋体"/>
          <w:color w:val="auto"/>
          <w:sz w:val="24"/>
          <w:szCs w:val="24"/>
          <w:highlight w:val="none"/>
        </w:rPr>
      </w:pPr>
    </w:p>
    <w:p w14:paraId="71096F14">
      <w:pPr>
        <w:spacing w:before="50"/>
        <w:jc w:val="left"/>
        <w:rPr>
          <w:rFonts w:ascii="宋体" w:hAnsi="宋体"/>
          <w:color w:val="auto"/>
          <w:sz w:val="24"/>
          <w:highlight w:val="none"/>
          <w:u w:val="single"/>
        </w:rPr>
      </w:pPr>
    </w:p>
    <w:tbl>
      <w:tblPr>
        <w:tblStyle w:val="33"/>
        <w:tblW w:w="0" w:type="auto"/>
        <w:tblInd w:w="-227"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510"/>
        <w:gridCol w:w="3336"/>
        <w:gridCol w:w="1760"/>
        <w:gridCol w:w="2035"/>
      </w:tblGrid>
      <w:tr w14:paraId="16F193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1510" w:type="dxa"/>
            <w:tcBorders>
              <w:top w:val="single" w:color="auto" w:sz="4" w:space="0"/>
              <w:left w:val="single" w:color="auto" w:sz="4" w:space="0"/>
              <w:bottom w:val="single" w:color="auto" w:sz="4" w:space="0"/>
              <w:right w:val="single" w:color="auto" w:sz="4" w:space="0"/>
            </w:tcBorders>
            <w:noWrap/>
            <w:vAlign w:val="top"/>
          </w:tcPr>
          <w:p w14:paraId="7755AD14">
            <w:pPr>
              <w:spacing w:before="120"/>
              <w:jc w:val="center"/>
              <w:rPr>
                <w:rFonts w:ascii="宋体" w:hAnsi="宋体"/>
                <w:color w:val="auto"/>
                <w:sz w:val="24"/>
                <w:highlight w:val="none"/>
              </w:rPr>
            </w:pPr>
            <w:r>
              <w:rPr>
                <w:rFonts w:hint="eastAsia" w:ascii="宋体" w:hAnsi="宋体"/>
                <w:color w:val="auto"/>
                <w:sz w:val="24"/>
                <w:highlight w:val="none"/>
              </w:rPr>
              <w:t>项目</w:t>
            </w:r>
          </w:p>
        </w:tc>
        <w:tc>
          <w:tcPr>
            <w:tcW w:w="3336" w:type="dxa"/>
            <w:tcBorders>
              <w:top w:val="single" w:color="auto" w:sz="4" w:space="0"/>
              <w:left w:val="single" w:color="auto" w:sz="4" w:space="0"/>
              <w:bottom w:val="single" w:color="auto" w:sz="4" w:space="0"/>
              <w:right w:val="single" w:color="auto" w:sz="4" w:space="0"/>
            </w:tcBorders>
            <w:noWrap/>
            <w:vAlign w:val="top"/>
          </w:tcPr>
          <w:p w14:paraId="06FA4BD4">
            <w:pPr>
              <w:spacing w:before="120"/>
              <w:jc w:val="center"/>
              <w:rPr>
                <w:rFonts w:ascii="宋体" w:hAnsi="宋体"/>
                <w:color w:val="auto"/>
                <w:sz w:val="24"/>
                <w:highlight w:val="none"/>
              </w:rPr>
            </w:pPr>
            <w:r>
              <w:rPr>
                <w:rFonts w:hint="eastAsia" w:ascii="宋体" w:hAnsi="宋体"/>
                <w:color w:val="auto"/>
                <w:sz w:val="24"/>
                <w:highlight w:val="none"/>
              </w:rPr>
              <w:t>招标文件技术要求</w:t>
            </w:r>
          </w:p>
        </w:tc>
        <w:tc>
          <w:tcPr>
            <w:tcW w:w="1760" w:type="dxa"/>
            <w:tcBorders>
              <w:top w:val="single" w:color="auto" w:sz="4" w:space="0"/>
              <w:left w:val="single" w:color="auto" w:sz="4" w:space="0"/>
              <w:bottom w:val="single" w:color="auto" w:sz="4" w:space="0"/>
              <w:right w:val="single" w:color="auto" w:sz="4" w:space="0"/>
            </w:tcBorders>
            <w:noWrap/>
            <w:vAlign w:val="top"/>
          </w:tcPr>
          <w:p w14:paraId="37A9EC50">
            <w:pPr>
              <w:spacing w:before="120"/>
              <w:jc w:val="center"/>
              <w:rPr>
                <w:rFonts w:ascii="宋体" w:hAnsi="宋体"/>
                <w:color w:val="auto"/>
                <w:sz w:val="24"/>
                <w:highlight w:val="none"/>
              </w:rPr>
            </w:pPr>
            <w:r>
              <w:rPr>
                <w:rFonts w:hint="eastAsia" w:ascii="宋体" w:hAnsi="宋体"/>
                <w:color w:val="auto"/>
                <w:sz w:val="24"/>
                <w:highlight w:val="none"/>
              </w:rPr>
              <w:t>投标人的承诺</w:t>
            </w:r>
          </w:p>
        </w:tc>
        <w:tc>
          <w:tcPr>
            <w:tcW w:w="2035" w:type="dxa"/>
            <w:tcBorders>
              <w:top w:val="single" w:color="auto" w:sz="4" w:space="0"/>
              <w:left w:val="single" w:color="auto" w:sz="4" w:space="0"/>
              <w:bottom w:val="single" w:color="auto" w:sz="4" w:space="0"/>
              <w:right w:val="single" w:color="auto" w:sz="4" w:space="0"/>
            </w:tcBorders>
            <w:noWrap/>
            <w:vAlign w:val="top"/>
          </w:tcPr>
          <w:p w14:paraId="404042FC">
            <w:pPr>
              <w:spacing w:before="120"/>
              <w:jc w:val="center"/>
              <w:rPr>
                <w:rFonts w:ascii="宋体" w:hAnsi="宋体"/>
                <w:color w:val="auto"/>
                <w:sz w:val="24"/>
                <w:highlight w:val="none"/>
              </w:rPr>
            </w:pPr>
            <w:r>
              <w:rPr>
                <w:rFonts w:hint="eastAsia" w:ascii="宋体" w:hAnsi="宋体"/>
                <w:color w:val="auto"/>
                <w:sz w:val="24"/>
                <w:highlight w:val="none"/>
              </w:rPr>
              <w:t>偏离说明</w:t>
            </w:r>
          </w:p>
        </w:tc>
      </w:tr>
      <w:tr w14:paraId="1BBB67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trPr>
        <w:tc>
          <w:tcPr>
            <w:tcW w:w="1510" w:type="dxa"/>
            <w:tcBorders>
              <w:top w:val="single" w:color="auto" w:sz="4" w:space="0"/>
              <w:left w:val="single" w:color="auto" w:sz="4" w:space="0"/>
              <w:bottom w:val="single" w:color="auto" w:sz="4" w:space="0"/>
              <w:right w:val="single" w:color="auto" w:sz="4" w:space="0"/>
            </w:tcBorders>
            <w:noWrap/>
            <w:vAlign w:val="center"/>
          </w:tcPr>
          <w:p w14:paraId="05A66878">
            <w:pPr>
              <w:jc w:val="center"/>
              <w:rPr>
                <w:rFonts w:ascii="宋体" w:hAnsi="宋体"/>
                <w:color w:val="auto"/>
                <w:sz w:val="24"/>
                <w:highlight w:val="none"/>
              </w:rPr>
            </w:pPr>
          </w:p>
        </w:tc>
        <w:tc>
          <w:tcPr>
            <w:tcW w:w="3336" w:type="dxa"/>
            <w:tcBorders>
              <w:top w:val="single" w:color="auto" w:sz="4" w:space="0"/>
              <w:left w:val="single" w:color="auto" w:sz="4" w:space="0"/>
              <w:bottom w:val="single" w:color="auto" w:sz="4" w:space="0"/>
              <w:right w:val="single" w:color="auto" w:sz="4" w:space="0"/>
            </w:tcBorders>
            <w:noWrap/>
            <w:vAlign w:val="center"/>
          </w:tcPr>
          <w:p w14:paraId="7213AFA9">
            <w:pPr>
              <w:jc w:val="left"/>
              <w:rPr>
                <w:rFonts w:ascii="宋体" w:hAnsi="宋体"/>
                <w:color w:val="auto"/>
                <w:sz w:val="24"/>
                <w:highlight w:val="none"/>
              </w:rPr>
            </w:pPr>
          </w:p>
        </w:tc>
        <w:tc>
          <w:tcPr>
            <w:tcW w:w="1760" w:type="dxa"/>
            <w:tcBorders>
              <w:top w:val="single" w:color="auto" w:sz="4" w:space="0"/>
              <w:left w:val="single" w:color="auto" w:sz="4" w:space="0"/>
              <w:bottom w:val="single" w:color="auto" w:sz="4" w:space="0"/>
              <w:right w:val="single" w:color="auto" w:sz="4" w:space="0"/>
            </w:tcBorders>
            <w:noWrap/>
            <w:vAlign w:val="top"/>
          </w:tcPr>
          <w:p w14:paraId="3C59F982">
            <w:pPr>
              <w:spacing w:before="120"/>
              <w:jc w:val="center"/>
              <w:rPr>
                <w:rFonts w:ascii="宋体" w:hAnsi="宋体"/>
                <w:color w:val="auto"/>
                <w:sz w:val="24"/>
                <w:highlight w:val="none"/>
              </w:rPr>
            </w:pPr>
          </w:p>
        </w:tc>
        <w:tc>
          <w:tcPr>
            <w:tcW w:w="2035" w:type="dxa"/>
            <w:tcBorders>
              <w:top w:val="single" w:color="auto" w:sz="4" w:space="0"/>
              <w:left w:val="single" w:color="auto" w:sz="4" w:space="0"/>
              <w:bottom w:val="single" w:color="auto" w:sz="4" w:space="0"/>
              <w:right w:val="single" w:color="auto" w:sz="4" w:space="0"/>
            </w:tcBorders>
            <w:noWrap/>
            <w:vAlign w:val="top"/>
          </w:tcPr>
          <w:p w14:paraId="29A8C32C">
            <w:pPr>
              <w:spacing w:before="120"/>
              <w:jc w:val="center"/>
              <w:rPr>
                <w:rFonts w:ascii="宋体" w:hAnsi="宋体"/>
                <w:color w:val="auto"/>
                <w:sz w:val="24"/>
                <w:highlight w:val="none"/>
              </w:rPr>
            </w:pPr>
          </w:p>
        </w:tc>
      </w:tr>
      <w:tr w14:paraId="4D7274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trPr>
        <w:tc>
          <w:tcPr>
            <w:tcW w:w="1510" w:type="dxa"/>
            <w:tcBorders>
              <w:top w:val="single" w:color="auto" w:sz="4" w:space="0"/>
              <w:left w:val="single" w:color="auto" w:sz="4" w:space="0"/>
              <w:bottom w:val="single" w:color="auto" w:sz="4" w:space="0"/>
              <w:right w:val="single" w:color="auto" w:sz="4" w:space="0"/>
            </w:tcBorders>
            <w:noWrap/>
            <w:vAlign w:val="center"/>
          </w:tcPr>
          <w:p w14:paraId="41A88781">
            <w:pPr>
              <w:jc w:val="center"/>
              <w:rPr>
                <w:rFonts w:ascii="宋体" w:hAnsi="宋体"/>
                <w:color w:val="auto"/>
                <w:sz w:val="24"/>
                <w:highlight w:val="none"/>
              </w:rPr>
            </w:pPr>
          </w:p>
        </w:tc>
        <w:tc>
          <w:tcPr>
            <w:tcW w:w="3336" w:type="dxa"/>
            <w:tcBorders>
              <w:top w:val="single" w:color="auto" w:sz="4" w:space="0"/>
              <w:left w:val="single" w:color="auto" w:sz="4" w:space="0"/>
              <w:bottom w:val="single" w:color="auto" w:sz="4" w:space="0"/>
              <w:right w:val="single" w:color="auto" w:sz="4" w:space="0"/>
            </w:tcBorders>
            <w:noWrap/>
            <w:vAlign w:val="center"/>
          </w:tcPr>
          <w:p w14:paraId="168B3923">
            <w:pPr>
              <w:jc w:val="left"/>
              <w:rPr>
                <w:rFonts w:ascii="宋体" w:hAnsi="宋体"/>
                <w:color w:val="auto"/>
                <w:sz w:val="24"/>
                <w:highlight w:val="none"/>
              </w:rPr>
            </w:pPr>
          </w:p>
        </w:tc>
        <w:tc>
          <w:tcPr>
            <w:tcW w:w="1760" w:type="dxa"/>
            <w:tcBorders>
              <w:top w:val="single" w:color="auto" w:sz="4" w:space="0"/>
              <w:left w:val="single" w:color="auto" w:sz="4" w:space="0"/>
              <w:bottom w:val="single" w:color="auto" w:sz="4" w:space="0"/>
              <w:right w:val="single" w:color="auto" w:sz="4" w:space="0"/>
            </w:tcBorders>
            <w:noWrap/>
            <w:vAlign w:val="top"/>
          </w:tcPr>
          <w:p w14:paraId="703FD21A">
            <w:pPr>
              <w:spacing w:before="120"/>
              <w:ind w:left="43"/>
              <w:jc w:val="center"/>
              <w:rPr>
                <w:rFonts w:ascii="宋体" w:hAnsi="宋体"/>
                <w:color w:val="auto"/>
                <w:sz w:val="24"/>
                <w:highlight w:val="none"/>
              </w:rPr>
            </w:pPr>
          </w:p>
        </w:tc>
        <w:tc>
          <w:tcPr>
            <w:tcW w:w="2035" w:type="dxa"/>
            <w:tcBorders>
              <w:top w:val="single" w:color="auto" w:sz="4" w:space="0"/>
              <w:left w:val="single" w:color="auto" w:sz="4" w:space="0"/>
              <w:bottom w:val="single" w:color="auto" w:sz="4" w:space="0"/>
              <w:right w:val="single" w:color="auto" w:sz="4" w:space="0"/>
            </w:tcBorders>
            <w:noWrap/>
            <w:vAlign w:val="top"/>
          </w:tcPr>
          <w:p w14:paraId="7D61F025">
            <w:pPr>
              <w:spacing w:before="120"/>
              <w:ind w:left="43"/>
              <w:jc w:val="center"/>
              <w:rPr>
                <w:rFonts w:ascii="宋体" w:hAnsi="宋体"/>
                <w:color w:val="auto"/>
                <w:sz w:val="24"/>
                <w:highlight w:val="none"/>
              </w:rPr>
            </w:pPr>
          </w:p>
        </w:tc>
      </w:tr>
      <w:tr w14:paraId="77B5F1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510" w:type="dxa"/>
            <w:tcBorders>
              <w:top w:val="single" w:color="auto" w:sz="4" w:space="0"/>
              <w:left w:val="single" w:color="auto" w:sz="4" w:space="0"/>
              <w:bottom w:val="single" w:color="auto" w:sz="4" w:space="0"/>
              <w:right w:val="single" w:color="auto" w:sz="4" w:space="0"/>
            </w:tcBorders>
            <w:noWrap/>
            <w:vAlign w:val="top"/>
          </w:tcPr>
          <w:p w14:paraId="019907C8">
            <w:pPr>
              <w:spacing w:before="120"/>
              <w:jc w:val="center"/>
              <w:rPr>
                <w:rFonts w:ascii="宋体" w:hAnsi="宋体"/>
                <w:color w:val="auto"/>
                <w:sz w:val="24"/>
                <w:highlight w:val="none"/>
              </w:rPr>
            </w:pPr>
            <w:r>
              <w:rPr>
                <w:rFonts w:hint="eastAsia" w:ascii="宋体" w:hAnsi="宋体"/>
                <w:color w:val="auto"/>
                <w:sz w:val="24"/>
                <w:highlight w:val="none"/>
              </w:rPr>
              <w:t>…</w:t>
            </w:r>
          </w:p>
        </w:tc>
        <w:tc>
          <w:tcPr>
            <w:tcW w:w="3336" w:type="dxa"/>
            <w:tcBorders>
              <w:top w:val="single" w:color="auto" w:sz="4" w:space="0"/>
              <w:left w:val="single" w:color="auto" w:sz="4" w:space="0"/>
              <w:bottom w:val="single" w:color="auto" w:sz="4" w:space="0"/>
              <w:right w:val="single" w:color="auto" w:sz="4" w:space="0"/>
            </w:tcBorders>
            <w:noWrap/>
            <w:vAlign w:val="top"/>
          </w:tcPr>
          <w:p w14:paraId="3AB9B6B7">
            <w:pPr>
              <w:spacing w:before="120"/>
              <w:jc w:val="center"/>
              <w:rPr>
                <w:rFonts w:ascii="宋体" w:hAnsi="宋体"/>
                <w:color w:val="auto"/>
                <w:sz w:val="24"/>
                <w:highlight w:val="none"/>
              </w:rPr>
            </w:pPr>
          </w:p>
        </w:tc>
        <w:tc>
          <w:tcPr>
            <w:tcW w:w="1760" w:type="dxa"/>
            <w:tcBorders>
              <w:top w:val="single" w:color="auto" w:sz="4" w:space="0"/>
              <w:left w:val="single" w:color="auto" w:sz="4" w:space="0"/>
              <w:bottom w:val="single" w:color="auto" w:sz="4" w:space="0"/>
              <w:right w:val="single" w:color="auto" w:sz="4" w:space="0"/>
            </w:tcBorders>
            <w:noWrap/>
            <w:vAlign w:val="top"/>
          </w:tcPr>
          <w:p w14:paraId="2A267A23">
            <w:pPr>
              <w:spacing w:before="120"/>
              <w:jc w:val="center"/>
              <w:rPr>
                <w:rFonts w:ascii="宋体" w:hAnsi="宋体"/>
                <w:color w:val="auto"/>
                <w:sz w:val="24"/>
                <w:highlight w:val="none"/>
              </w:rPr>
            </w:pPr>
          </w:p>
        </w:tc>
        <w:tc>
          <w:tcPr>
            <w:tcW w:w="2035" w:type="dxa"/>
            <w:tcBorders>
              <w:top w:val="single" w:color="auto" w:sz="4" w:space="0"/>
              <w:left w:val="single" w:color="auto" w:sz="4" w:space="0"/>
              <w:bottom w:val="single" w:color="auto" w:sz="4" w:space="0"/>
              <w:right w:val="single" w:color="auto" w:sz="4" w:space="0"/>
            </w:tcBorders>
            <w:noWrap/>
            <w:vAlign w:val="top"/>
          </w:tcPr>
          <w:p w14:paraId="66E77D27">
            <w:pPr>
              <w:spacing w:before="120"/>
              <w:jc w:val="center"/>
              <w:rPr>
                <w:rFonts w:ascii="宋体" w:hAnsi="宋体"/>
                <w:color w:val="auto"/>
                <w:sz w:val="24"/>
                <w:highlight w:val="none"/>
              </w:rPr>
            </w:pPr>
          </w:p>
        </w:tc>
      </w:tr>
    </w:tbl>
    <w:p w14:paraId="7B92D368">
      <w:pPr>
        <w:pStyle w:val="220"/>
        <w:rPr>
          <w:rFonts w:ascii="宋体" w:hAnsi="宋体"/>
          <w:color w:val="auto"/>
          <w:highlight w:val="none"/>
        </w:rPr>
      </w:pPr>
      <w:r>
        <w:rPr>
          <w:rFonts w:hint="eastAsia" w:ascii="宋体" w:hAnsi="宋体"/>
          <w:color w:val="auto"/>
          <w:highlight w:val="none"/>
        </w:rPr>
        <w:t>注：</w:t>
      </w:r>
    </w:p>
    <w:p w14:paraId="1FB7E49A">
      <w:pPr>
        <w:pStyle w:val="224"/>
        <w:spacing w:line="520" w:lineRule="exact"/>
        <w:ind w:firstLine="0"/>
        <w:rPr>
          <w:rFonts w:hAnsi="仿宋_GB2312" w:cs="仿宋_GB2312"/>
          <w:color w:val="auto"/>
          <w:szCs w:val="32"/>
          <w:highlight w:val="none"/>
        </w:rPr>
      </w:pPr>
      <w:r>
        <w:rPr>
          <w:rFonts w:hint="eastAsia" w:ascii="宋体" w:hAnsi="宋体" w:eastAsia="宋体"/>
          <w:color w:val="auto"/>
          <w:sz w:val="24"/>
          <w:szCs w:val="24"/>
          <w:highlight w:val="none"/>
        </w:rPr>
        <w:t>1. 说明：应对照招标文件“第二章 采购需求”中的服务内容及技术要求逐条作明确的投标响应，并作出偏离说明。</w:t>
      </w:r>
    </w:p>
    <w:p w14:paraId="4FE6B249">
      <w:pPr>
        <w:pStyle w:val="220"/>
        <w:rPr>
          <w:rFonts w:ascii="宋体" w:hAnsi="宋体"/>
          <w:b w:val="0"/>
          <w:bCs w:val="0"/>
          <w:color w:val="auto"/>
          <w:highlight w:val="none"/>
        </w:rPr>
      </w:pPr>
      <w:r>
        <w:rPr>
          <w:rFonts w:ascii="宋体" w:hAnsi="宋体"/>
          <w:b w:val="0"/>
          <w:bCs w:val="0"/>
          <w:color w:val="auto"/>
          <w:highlight w:val="none"/>
        </w:rPr>
        <w:t>2.</w:t>
      </w:r>
      <w:r>
        <w:rPr>
          <w:rFonts w:hint="eastAsia" w:ascii="宋体" w:hAnsi="宋体"/>
          <w:b w:val="0"/>
          <w:bCs w:val="0"/>
          <w:color w:val="auto"/>
          <w:highlight w:val="none"/>
        </w:rPr>
        <w:t>投标人应根据自身的承诺，对照招标文件要求在“偏离说明”中注明“</w:t>
      </w:r>
      <w:r>
        <w:rPr>
          <w:rFonts w:hint="eastAsia" w:ascii="宋体" w:hAnsi="宋体"/>
          <w:color w:val="auto"/>
          <w:highlight w:val="none"/>
        </w:rPr>
        <w:t>正偏离</w:t>
      </w:r>
      <w:r>
        <w:rPr>
          <w:rFonts w:hint="eastAsia" w:ascii="宋体" w:hAnsi="宋体"/>
          <w:b w:val="0"/>
          <w:bCs w:val="0"/>
          <w:color w:val="auto"/>
          <w:highlight w:val="none"/>
        </w:rPr>
        <w:t>”、“</w:t>
      </w:r>
      <w:r>
        <w:rPr>
          <w:rFonts w:hint="eastAsia" w:ascii="宋体" w:hAnsi="宋体"/>
          <w:color w:val="auto"/>
          <w:highlight w:val="none"/>
        </w:rPr>
        <w:t>负偏离</w:t>
      </w:r>
      <w:r>
        <w:rPr>
          <w:rFonts w:hint="eastAsia" w:ascii="宋体" w:hAnsi="宋体"/>
          <w:b w:val="0"/>
          <w:bCs w:val="0"/>
          <w:color w:val="auto"/>
          <w:highlight w:val="none"/>
        </w:rPr>
        <w:t>”或者“</w:t>
      </w:r>
      <w:r>
        <w:rPr>
          <w:rFonts w:hint="eastAsia" w:ascii="宋体" w:hAnsi="宋体"/>
          <w:color w:val="auto"/>
          <w:highlight w:val="none"/>
        </w:rPr>
        <w:t>无偏离</w:t>
      </w:r>
      <w:r>
        <w:rPr>
          <w:rFonts w:hint="eastAsia" w:ascii="宋体" w:hAnsi="宋体"/>
          <w:b w:val="0"/>
          <w:bCs w:val="0"/>
          <w:color w:val="auto"/>
          <w:highlight w:val="none"/>
        </w:rPr>
        <w:t>”。既不属于“</w:t>
      </w:r>
      <w:r>
        <w:rPr>
          <w:rFonts w:hint="eastAsia" w:ascii="宋体" w:hAnsi="宋体"/>
          <w:color w:val="auto"/>
          <w:highlight w:val="none"/>
        </w:rPr>
        <w:t>正偏离</w:t>
      </w:r>
      <w:r>
        <w:rPr>
          <w:rFonts w:hint="eastAsia" w:ascii="宋体" w:hAnsi="宋体"/>
          <w:b w:val="0"/>
          <w:bCs w:val="0"/>
          <w:color w:val="auto"/>
          <w:highlight w:val="none"/>
        </w:rPr>
        <w:t>”也不属于“</w:t>
      </w:r>
      <w:r>
        <w:rPr>
          <w:rFonts w:hint="eastAsia" w:ascii="宋体" w:hAnsi="宋体"/>
          <w:color w:val="auto"/>
          <w:highlight w:val="none"/>
        </w:rPr>
        <w:t>负偏离</w:t>
      </w:r>
      <w:r>
        <w:rPr>
          <w:rFonts w:hint="eastAsia" w:ascii="宋体" w:hAnsi="宋体"/>
          <w:b w:val="0"/>
          <w:bCs w:val="0"/>
          <w:color w:val="auto"/>
          <w:highlight w:val="none"/>
        </w:rPr>
        <w:t>”即为“</w:t>
      </w:r>
      <w:r>
        <w:rPr>
          <w:rFonts w:hint="eastAsia" w:ascii="宋体" w:hAnsi="宋体"/>
          <w:color w:val="auto"/>
          <w:highlight w:val="none"/>
        </w:rPr>
        <w:t>无偏离</w:t>
      </w:r>
      <w:r>
        <w:rPr>
          <w:rFonts w:hint="eastAsia" w:ascii="宋体" w:hAnsi="宋体"/>
          <w:b w:val="0"/>
          <w:bCs w:val="0"/>
          <w:color w:val="auto"/>
          <w:highlight w:val="none"/>
        </w:rPr>
        <w:t>”。</w:t>
      </w:r>
    </w:p>
    <w:p w14:paraId="56AFD6C2">
      <w:pPr>
        <w:spacing w:before="50" w:after="50"/>
        <w:rPr>
          <w:rFonts w:ascii="宋体" w:hAnsi="宋体"/>
          <w:color w:val="auto"/>
          <w:sz w:val="24"/>
          <w:highlight w:val="none"/>
        </w:rPr>
      </w:pPr>
    </w:p>
    <w:p w14:paraId="632F2AA9">
      <w:pPr>
        <w:spacing w:before="50" w:after="50"/>
        <w:rPr>
          <w:rFonts w:ascii="宋体" w:hAnsi="宋体"/>
          <w:color w:val="auto"/>
          <w:sz w:val="24"/>
          <w:highlight w:val="none"/>
        </w:rPr>
      </w:pPr>
    </w:p>
    <w:p w14:paraId="7C816361">
      <w:pPr>
        <w:spacing w:before="120"/>
        <w:rPr>
          <w:rFonts w:ascii="宋体" w:hAnsi="宋体"/>
          <w:color w:val="auto"/>
          <w:sz w:val="24"/>
          <w:szCs w:val="20"/>
          <w:highlight w:val="none"/>
        </w:rPr>
      </w:pPr>
    </w:p>
    <w:p w14:paraId="38C5F393">
      <w:pPr>
        <w:spacing w:before="50" w:after="120"/>
        <w:jc w:val="left"/>
        <w:rPr>
          <w:rFonts w:hint="eastAsia" w:ascii="宋体" w:hAnsi="宋体"/>
          <w:color w:val="auto"/>
          <w:sz w:val="24"/>
          <w:szCs w:val="20"/>
          <w:highlight w:val="none"/>
        </w:rPr>
      </w:pPr>
    </w:p>
    <w:p w14:paraId="5C4AC767">
      <w:pPr>
        <w:spacing w:before="50" w:after="50"/>
        <w:rPr>
          <w:rFonts w:hint="eastAsia" w:ascii="宋体" w:hAnsi="宋体"/>
          <w:color w:val="auto"/>
          <w:spacing w:val="20"/>
          <w:sz w:val="24"/>
          <w:szCs w:val="20"/>
          <w:highlight w:val="none"/>
          <w:u w:val="single"/>
        </w:rPr>
      </w:pPr>
      <w:r>
        <w:rPr>
          <w:rFonts w:hint="eastAsia" w:ascii="宋体" w:hAnsi="宋体"/>
          <w:color w:val="auto"/>
          <w:sz w:val="24"/>
          <w:highlight w:val="none"/>
        </w:rPr>
        <w:t>法定代表人(负责人)或委托代理人（</w:t>
      </w:r>
      <w:r>
        <w:rPr>
          <w:rFonts w:hint="eastAsia" w:ascii="宋体" w:hAnsi="宋体"/>
          <w:color w:val="auto"/>
          <w:spacing w:val="20"/>
          <w:sz w:val="24"/>
          <w:highlight w:val="none"/>
        </w:rPr>
        <w:t>签字或者电子签名）：</w:t>
      </w:r>
      <w:r>
        <w:rPr>
          <w:rFonts w:hint="eastAsia" w:ascii="宋体" w:hAnsi="宋体"/>
          <w:color w:val="auto"/>
          <w:spacing w:val="20"/>
          <w:sz w:val="24"/>
          <w:highlight w:val="none"/>
          <w:u w:val="single"/>
        </w:rPr>
        <w:t xml:space="preserve">        </w:t>
      </w:r>
    </w:p>
    <w:p w14:paraId="3535D135">
      <w:pPr>
        <w:spacing w:before="50" w:after="120"/>
        <w:jc w:val="left"/>
        <w:rPr>
          <w:rFonts w:hint="eastAsia" w:ascii="宋体" w:hAnsi="宋体"/>
          <w:color w:val="auto"/>
          <w:sz w:val="24"/>
          <w:szCs w:val="20"/>
          <w:highlight w:val="none"/>
        </w:rPr>
      </w:pPr>
      <w:r>
        <w:rPr>
          <w:rFonts w:hint="eastAsia" w:ascii="宋体" w:hAnsi="宋体"/>
          <w:color w:val="auto"/>
          <w:spacing w:val="20"/>
          <w:sz w:val="24"/>
          <w:highlight w:val="none"/>
        </w:rPr>
        <w:t>投标人盖公章：</w:t>
      </w:r>
      <w:r>
        <w:rPr>
          <w:rFonts w:hint="eastAsia" w:ascii="宋体" w:hAnsi="宋体"/>
          <w:color w:val="auto"/>
          <w:spacing w:val="20"/>
          <w:sz w:val="24"/>
          <w:highlight w:val="none"/>
          <w:u w:val="single"/>
        </w:rPr>
        <w:t xml:space="preserve">            </w:t>
      </w:r>
      <w:r>
        <w:rPr>
          <w:rFonts w:hint="eastAsia" w:ascii="宋体" w:hAnsi="宋体"/>
          <w:color w:val="auto"/>
          <w:spacing w:val="20"/>
          <w:sz w:val="24"/>
          <w:highlight w:val="none"/>
        </w:rPr>
        <w:t xml:space="preserve">              日 期：</w:t>
      </w:r>
      <w:r>
        <w:rPr>
          <w:rFonts w:hint="eastAsia" w:ascii="宋体" w:hAnsi="宋体"/>
          <w:color w:val="auto"/>
          <w:spacing w:val="20"/>
          <w:sz w:val="24"/>
          <w:highlight w:val="none"/>
          <w:u w:val="single"/>
        </w:rPr>
        <w:t xml:space="preserve">         </w:t>
      </w:r>
    </w:p>
    <w:p w14:paraId="4069F80C">
      <w:pPr>
        <w:spacing w:before="50" w:after="120"/>
        <w:jc w:val="left"/>
        <w:rPr>
          <w:rFonts w:hint="eastAsia" w:ascii="宋体" w:hAnsi="宋体"/>
          <w:color w:val="auto"/>
          <w:sz w:val="24"/>
          <w:szCs w:val="20"/>
          <w:highlight w:val="none"/>
        </w:rPr>
      </w:pPr>
    </w:p>
    <w:p w14:paraId="25040BC4">
      <w:pPr>
        <w:spacing w:before="50" w:after="120"/>
        <w:jc w:val="left"/>
        <w:rPr>
          <w:rFonts w:hint="eastAsia" w:ascii="宋体" w:hAnsi="宋体" w:cs="宋体"/>
          <w:b/>
          <w:color w:val="auto"/>
          <w:sz w:val="28"/>
          <w:szCs w:val="28"/>
          <w:highlight w:val="none"/>
        </w:rPr>
      </w:pPr>
    </w:p>
    <w:p w14:paraId="5A5D580D">
      <w:pPr>
        <w:spacing w:before="50" w:after="120"/>
        <w:jc w:val="left"/>
        <w:rPr>
          <w:rFonts w:hint="eastAsia" w:ascii="宋体" w:hAnsi="宋体" w:cs="宋体"/>
          <w:b/>
          <w:color w:val="auto"/>
          <w:sz w:val="28"/>
          <w:szCs w:val="28"/>
          <w:highlight w:val="none"/>
        </w:rPr>
      </w:pPr>
    </w:p>
    <w:p w14:paraId="65BB182C">
      <w:pPr>
        <w:spacing w:before="50" w:after="120"/>
        <w:jc w:val="left"/>
        <w:rPr>
          <w:rFonts w:hint="eastAsia" w:ascii="宋体" w:hAnsi="宋体" w:cs="宋体"/>
          <w:b/>
          <w:color w:val="auto"/>
          <w:sz w:val="28"/>
          <w:szCs w:val="28"/>
          <w:highlight w:val="none"/>
        </w:rPr>
      </w:pPr>
    </w:p>
    <w:p w14:paraId="77C4BE34">
      <w:pPr>
        <w:spacing w:before="50" w:after="120"/>
        <w:jc w:val="left"/>
        <w:rPr>
          <w:rFonts w:hint="eastAsia" w:ascii="宋体" w:hAnsi="宋体" w:cs="宋体"/>
          <w:b/>
          <w:color w:val="auto"/>
          <w:sz w:val="28"/>
          <w:szCs w:val="28"/>
          <w:highlight w:val="none"/>
        </w:rPr>
      </w:pPr>
    </w:p>
    <w:p w14:paraId="06039AEA">
      <w:pPr>
        <w:spacing w:before="50" w:after="120"/>
        <w:jc w:val="left"/>
        <w:rPr>
          <w:rFonts w:hint="eastAsia" w:ascii="宋体" w:hAnsi="宋体" w:cs="宋体"/>
          <w:b/>
          <w:color w:val="auto"/>
          <w:sz w:val="28"/>
          <w:szCs w:val="28"/>
          <w:highlight w:val="none"/>
        </w:rPr>
      </w:pPr>
    </w:p>
    <w:p w14:paraId="2E9BCB4C">
      <w:pPr>
        <w:spacing w:before="50" w:after="120"/>
        <w:jc w:val="left"/>
        <w:rPr>
          <w:rFonts w:hint="eastAsia" w:ascii="宋体" w:hAnsi="宋体" w:cs="宋体"/>
          <w:b/>
          <w:color w:val="auto"/>
          <w:sz w:val="28"/>
          <w:szCs w:val="28"/>
          <w:highlight w:val="none"/>
        </w:rPr>
      </w:pPr>
    </w:p>
    <w:p w14:paraId="4FD9E1B0">
      <w:pPr>
        <w:spacing w:before="50" w:after="120"/>
        <w:jc w:val="left"/>
        <w:rPr>
          <w:rFonts w:hint="eastAsia" w:ascii="宋体" w:hAnsi="宋体" w:cs="宋体"/>
          <w:b/>
          <w:color w:val="auto"/>
          <w:sz w:val="28"/>
          <w:szCs w:val="28"/>
          <w:highlight w:val="none"/>
        </w:rPr>
      </w:pPr>
    </w:p>
    <w:p w14:paraId="1309445E">
      <w:pPr>
        <w:spacing w:before="50" w:after="120"/>
        <w:jc w:val="left"/>
        <w:rPr>
          <w:rFonts w:hint="eastAsia" w:ascii="宋体" w:hAnsi="宋体" w:cs="宋体"/>
          <w:b/>
          <w:color w:val="auto"/>
          <w:sz w:val="28"/>
          <w:szCs w:val="28"/>
          <w:highlight w:val="none"/>
        </w:rPr>
      </w:pPr>
    </w:p>
    <w:p w14:paraId="200DFB72">
      <w:pPr>
        <w:spacing w:before="50" w:after="120"/>
        <w:jc w:val="left"/>
        <w:rPr>
          <w:rFonts w:hint="eastAsia" w:ascii="宋体" w:hAnsi="宋体" w:cs="宋体"/>
          <w:b/>
          <w:color w:val="auto"/>
          <w:sz w:val="28"/>
          <w:szCs w:val="28"/>
          <w:highlight w:val="none"/>
        </w:rPr>
      </w:pPr>
    </w:p>
    <w:p w14:paraId="14B96706">
      <w:pPr>
        <w:spacing w:before="50" w:after="120"/>
        <w:jc w:val="left"/>
        <w:rPr>
          <w:rFonts w:hint="eastAsia" w:ascii="宋体" w:hAnsi="宋体" w:cs="宋体"/>
          <w:b/>
          <w:color w:val="auto"/>
          <w:sz w:val="28"/>
          <w:szCs w:val="28"/>
          <w:highlight w:val="none"/>
        </w:rPr>
      </w:pPr>
    </w:p>
    <w:p w14:paraId="42FE18FA">
      <w:pPr>
        <w:spacing w:before="50" w:after="120"/>
        <w:jc w:val="left"/>
        <w:rPr>
          <w:rFonts w:hint="eastAsia" w:ascii="宋体" w:hAnsi="宋体" w:cs="宋体"/>
          <w:b/>
          <w:color w:val="auto"/>
          <w:sz w:val="28"/>
          <w:szCs w:val="28"/>
          <w:highlight w:val="none"/>
        </w:rPr>
      </w:pPr>
      <w:r>
        <w:rPr>
          <w:rFonts w:hint="eastAsia" w:ascii="宋体" w:hAnsi="宋体" w:cs="宋体"/>
          <w:b/>
          <w:color w:val="auto"/>
          <w:sz w:val="28"/>
          <w:szCs w:val="28"/>
          <w:highlight w:val="none"/>
        </w:rPr>
        <w:t>五、其他文书、文件格式</w:t>
      </w:r>
    </w:p>
    <w:p w14:paraId="1A4B39C7">
      <w:pPr>
        <w:spacing w:before="120" w:after="120" w:line="400" w:lineRule="exact"/>
        <w:rPr>
          <w:rFonts w:hint="eastAsia" w:ascii="宋体" w:hAnsi="宋体" w:cs="宋体"/>
          <w:color w:val="auto"/>
          <w:sz w:val="24"/>
          <w:highlight w:val="none"/>
        </w:rPr>
      </w:pPr>
    </w:p>
    <w:p w14:paraId="4640B396">
      <w:pPr>
        <w:spacing w:before="120" w:after="50"/>
        <w:jc w:val="left"/>
        <w:rPr>
          <w:rFonts w:hint="eastAsia" w:ascii="宋体" w:hAnsi="宋体" w:cs="宋体"/>
          <w:b/>
          <w:color w:val="auto"/>
          <w:spacing w:val="20"/>
          <w:sz w:val="24"/>
          <w:highlight w:val="none"/>
        </w:rPr>
      </w:pPr>
      <w:r>
        <w:rPr>
          <w:rFonts w:hint="eastAsia" w:ascii="宋体" w:hAnsi="宋体" w:cs="宋体"/>
          <w:b/>
          <w:color w:val="auto"/>
          <w:spacing w:val="20"/>
          <w:sz w:val="24"/>
          <w:highlight w:val="none"/>
        </w:rPr>
        <w:t>1.</w:t>
      </w:r>
      <w:r>
        <w:rPr>
          <w:rFonts w:hint="eastAsia" w:ascii="宋体" w:hAnsi="宋体" w:cs="宋体"/>
          <w:b/>
          <w:color w:val="auto"/>
          <w:spacing w:val="20"/>
          <w:sz w:val="24"/>
          <w:highlight w:val="none"/>
          <w:lang w:eastAsia="zh-CN"/>
        </w:rPr>
        <w:t>贵港</w:t>
      </w:r>
      <w:r>
        <w:rPr>
          <w:rFonts w:hint="eastAsia" w:ascii="宋体" w:hAnsi="宋体" w:cs="宋体"/>
          <w:b/>
          <w:color w:val="auto"/>
          <w:spacing w:val="20"/>
          <w:sz w:val="24"/>
          <w:highlight w:val="none"/>
        </w:rPr>
        <w:t>市政府采购项目投标资格承诺函</w:t>
      </w:r>
    </w:p>
    <w:p w14:paraId="1CA46E5F">
      <w:pPr>
        <w:pStyle w:val="222"/>
        <w:rPr>
          <w:rFonts w:hint="eastAsia" w:ascii="宋体" w:hAnsi="宋体" w:cs="宋体"/>
          <w:color w:val="auto"/>
          <w:highlight w:val="none"/>
        </w:rPr>
      </w:pPr>
    </w:p>
    <w:p w14:paraId="3A9C5435">
      <w:pPr>
        <w:widowControl/>
        <w:jc w:val="center"/>
        <w:rPr>
          <w:rFonts w:hint="eastAsia" w:ascii="宋体" w:hAnsi="宋体" w:cs="宋体"/>
          <w:color w:val="auto"/>
          <w:highlight w:val="none"/>
        </w:rPr>
      </w:pPr>
      <w:r>
        <w:rPr>
          <w:rFonts w:hint="eastAsia" w:ascii="宋体" w:hAnsi="宋体" w:cs="宋体"/>
          <w:b/>
          <w:color w:val="auto"/>
          <w:sz w:val="32"/>
          <w:szCs w:val="32"/>
          <w:highlight w:val="none"/>
          <w:lang w:eastAsia="zh-CN"/>
        </w:rPr>
        <w:t>贵港</w:t>
      </w:r>
      <w:r>
        <w:rPr>
          <w:rFonts w:hint="eastAsia" w:ascii="宋体" w:hAnsi="宋体" w:cs="宋体"/>
          <w:b/>
          <w:color w:val="auto"/>
          <w:sz w:val="32"/>
          <w:szCs w:val="32"/>
          <w:highlight w:val="none"/>
        </w:rPr>
        <w:t>市政府采购项目投标资格承诺函</w:t>
      </w:r>
    </w:p>
    <w:p w14:paraId="7CACA330">
      <w:pPr>
        <w:widowControl/>
        <w:spacing w:line="360" w:lineRule="auto"/>
        <w:ind w:firstLine="420"/>
        <w:jc w:val="left"/>
        <w:rPr>
          <w:rFonts w:hint="eastAsia" w:ascii="宋体" w:hAnsi="宋体" w:cs="宋体"/>
          <w:color w:val="auto"/>
          <w:szCs w:val="21"/>
          <w:highlight w:val="none"/>
          <w:lang w:bidi="ar"/>
        </w:rPr>
      </w:pPr>
    </w:p>
    <w:p w14:paraId="282C2056">
      <w:pPr>
        <w:widowControl/>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lang w:bidi="ar"/>
        </w:rPr>
        <w:t xml:space="preserve">本公司郑重承诺，根据《中华人民共和国政府采购法》第二十二条的规定，本公司为参加政府采购活动的合格供应商。即本公司同时满足以下条件： </w:t>
      </w:r>
    </w:p>
    <w:p w14:paraId="4D976B5C">
      <w:pPr>
        <w:widowControl/>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lang w:bidi="ar"/>
        </w:rPr>
        <w:t xml:space="preserve">1.具有独立承担民事责任的能力。 </w:t>
      </w:r>
    </w:p>
    <w:p w14:paraId="1BE488B4">
      <w:pPr>
        <w:widowControl/>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lang w:bidi="ar"/>
        </w:rPr>
        <w:t xml:space="preserve">2.具有良好的商业信誉和健全的财务会计制度。 </w:t>
      </w:r>
    </w:p>
    <w:p w14:paraId="1FB7E258">
      <w:pPr>
        <w:widowControl/>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lang w:bidi="ar"/>
        </w:rPr>
        <w:t xml:space="preserve">3.具有履行合同所必需的设备和专业技术能力。 </w:t>
      </w:r>
    </w:p>
    <w:p w14:paraId="1D87D407">
      <w:pPr>
        <w:widowControl/>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lang w:bidi="ar"/>
        </w:rPr>
        <w:t xml:space="preserve">4.有依法缴纳税收和社会保障资金的良好记录。 </w:t>
      </w:r>
    </w:p>
    <w:p w14:paraId="2C7CDA85">
      <w:pPr>
        <w:widowControl/>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lang w:bidi="ar"/>
        </w:rPr>
        <w:t xml:space="preserve">5. 提交投标文件截止日期前三年内，在经营活动中没有重大 </w:t>
      </w:r>
    </w:p>
    <w:p w14:paraId="02538C39">
      <w:pPr>
        <w:widowControl/>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lang w:bidi="ar"/>
        </w:rPr>
        <w:t xml:space="preserve">违法记录。 </w:t>
      </w:r>
    </w:p>
    <w:p w14:paraId="569D795E">
      <w:pPr>
        <w:widowControl/>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lang w:bidi="ar"/>
        </w:rPr>
        <w:t xml:space="preserve">本公司对上述承诺的真实性负责，并接受政府采购、税务、社会保障等监督管理部门、采购文件规定的资格审查机构、社会公众的监督和检查。如有虚假，将依法承担相应责任。 </w:t>
      </w:r>
    </w:p>
    <w:p w14:paraId="29A868DB">
      <w:pPr>
        <w:widowControl/>
        <w:spacing w:line="360" w:lineRule="auto"/>
        <w:jc w:val="right"/>
        <w:rPr>
          <w:rFonts w:hint="eastAsia" w:ascii="宋体" w:hAnsi="宋体" w:cs="宋体"/>
          <w:color w:val="auto"/>
          <w:szCs w:val="21"/>
          <w:highlight w:val="none"/>
          <w:lang w:bidi="ar"/>
        </w:rPr>
      </w:pPr>
    </w:p>
    <w:p w14:paraId="1E441402">
      <w:pPr>
        <w:widowControl/>
        <w:spacing w:line="360" w:lineRule="auto"/>
        <w:jc w:val="right"/>
        <w:rPr>
          <w:rFonts w:hint="eastAsia" w:ascii="宋体" w:hAnsi="宋体" w:cs="宋体"/>
          <w:color w:val="auto"/>
          <w:szCs w:val="21"/>
          <w:highlight w:val="none"/>
          <w:lang w:bidi="ar"/>
        </w:rPr>
      </w:pPr>
    </w:p>
    <w:p w14:paraId="5E5AA186">
      <w:pPr>
        <w:widowControl/>
        <w:spacing w:line="360" w:lineRule="auto"/>
        <w:jc w:val="right"/>
        <w:rPr>
          <w:rFonts w:hint="eastAsia" w:ascii="宋体" w:hAnsi="宋体" w:cs="宋体"/>
          <w:color w:val="auto"/>
          <w:szCs w:val="21"/>
          <w:highlight w:val="none"/>
          <w:lang w:bidi="ar"/>
        </w:rPr>
      </w:pPr>
    </w:p>
    <w:p w14:paraId="6AA282B0">
      <w:pPr>
        <w:widowControl/>
        <w:spacing w:line="360" w:lineRule="auto"/>
        <w:jc w:val="right"/>
        <w:rPr>
          <w:rFonts w:hint="eastAsia" w:ascii="宋体" w:hAnsi="宋体" w:cs="宋体"/>
          <w:color w:val="auto"/>
          <w:szCs w:val="21"/>
          <w:highlight w:val="none"/>
          <w:lang w:bidi="ar"/>
        </w:rPr>
      </w:pPr>
    </w:p>
    <w:p w14:paraId="2696AE9D">
      <w:pPr>
        <w:widowControl/>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lang w:bidi="ar"/>
        </w:rPr>
        <w:t xml:space="preserve">                                                          企业名称（盖公章或电子章）： </w:t>
      </w:r>
    </w:p>
    <w:p w14:paraId="57E7A147">
      <w:pPr>
        <w:widowControl/>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lang w:bidi="ar"/>
        </w:rPr>
        <w:t xml:space="preserve">                                              法定代表人（或负责人）（签字或者盖章或者电子签名）： </w:t>
      </w:r>
    </w:p>
    <w:p w14:paraId="79B0C734">
      <w:pPr>
        <w:widowControl/>
        <w:spacing w:line="360" w:lineRule="auto"/>
        <w:jc w:val="right"/>
        <w:rPr>
          <w:rFonts w:hint="eastAsia" w:ascii="宋体" w:hAnsi="宋体" w:cs="宋体"/>
          <w:color w:val="auto"/>
          <w:szCs w:val="21"/>
          <w:highlight w:val="none"/>
        </w:rPr>
      </w:pPr>
      <w:r>
        <w:rPr>
          <w:rFonts w:hint="eastAsia" w:ascii="宋体" w:hAnsi="宋体" w:cs="宋体"/>
          <w:color w:val="auto"/>
          <w:szCs w:val="21"/>
          <w:highlight w:val="none"/>
          <w:lang w:bidi="ar"/>
        </w:rPr>
        <w:t xml:space="preserve">日期： 年 月 日 </w:t>
      </w:r>
    </w:p>
    <w:p w14:paraId="16C215D3">
      <w:pPr>
        <w:pStyle w:val="222"/>
        <w:rPr>
          <w:rFonts w:hint="eastAsia" w:ascii="宋体" w:hAnsi="宋体" w:cs="宋体"/>
          <w:color w:val="auto"/>
          <w:highlight w:val="none"/>
        </w:rPr>
      </w:pPr>
    </w:p>
    <w:p w14:paraId="28A13B0A">
      <w:pPr>
        <w:spacing w:before="120" w:after="50"/>
        <w:jc w:val="left"/>
        <w:rPr>
          <w:rFonts w:hint="eastAsia" w:ascii="宋体" w:hAnsi="宋体" w:cs="宋体"/>
          <w:b/>
          <w:color w:val="auto"/>
          <w:sz w:val="24"/>
          <w:highlight w:val="none"/>
        </w:rPr>
      </w:pPr>
    </w:p>
    <w:p w14:paraId="7640329F">
      <w:pPr>
        <w:spacing w:before="120" w:after="50"/>
        <w:jc w:val="left"/>
        <w:rPr>
          <w:rFonts w:hint="eastAsia" w:ascii="宋体" w:hAnsi="宋体" w:cs="宋体"/>
          <w:b/>
          <w:color w:val="auto"/>
          <w:sz w:val="24"/>
          <w:highlight w:val="none"/>
        </w:rPr>
      </w:pPr>
    </w:p>
    <w:p w14:paraId="350C7C90">
      <w:pPr>
        <w:spacing w:before="120" w:after="50"/>
        <w:jc w:val="left"/>
        <w:rPr>
          <w:rFonts w:hint="eastAsia" w:ascii="宋体" w:hAnsi="宋体" w:cs="宋体"/>
          <w:b/>
          <w:color w:val="auto"/>
          <w:sz w:val="24"/>
          <w:highlight w:val="none"/>
        </w:rPr>
      </w:pPr>
    </w:p>
    <w:p w14:paraId="607AEE8C">
      <w:pPr>
        <w:spacing w:before="120" w:after="50"/>
        <w:jc w:val="left"/>
        <w:rPr>
          <w:rFonts w:hint="eastAsia" w:ascii="宋体" w:hAnsi="宋体" w:cs="宋体"/>
          <w:b/>
          <w:color w:val="auto"/>
          <w:sz w:val="24"/>
          <w:highlight w:val="none"/>
        </w:rPr>
      </w:pPr>
    </w:p>
    <w:p w14:paraId="004268A4">
      <w:pPr>
        <w:spacing w:before="120" w:after="50"/>
        <w:jc w:val="left"/>
        <w:rPr>
          <w:rFonts w:hint="eastAsia" w:ascii="宋体" w:hAnsi="宋体" w:cs="宋体"/>
          <w:b/>
          <w:color w:val="auto"/>
          <w:sz w:val="24"/>
          <w:highlight w:val="none"/>
        </w:rPr>
      </w:pPr>
    </w:p>
    <w:p w14:paraId="30D7C70D">
      <w:pPr>
        <w:spacing w:before="120" w:after="50"/>
        <w:jc w:val="left"/>
        <w:rPr>
          <w:rFonts w:hint="eastAsia" w:ascii="宋体" w:hAnsi="宋体" w:cs="宋体"/>
          <w:b/>
          <w:color w:val="auto"/>
          <w:sz w:val="24"/>
          <w:highlight w:val="none"/>
        </w:rPr>
      </w:pPr>
    </w:p>
    <w:p w14:paraId="04F91C9A">
      <w:pPr>
        <w:spacing w:before="120" w:after="50"/>
        <w:jc w:val="left"/>
        <w:rPr>
          <w:rFonts w:hint="eastAsia" w:ascii="宋体" w:hAnsi="宋体" w:cs="宋体"/>
          <w:b/>
          <w:color w:val="auto"/>
          <w:sz w:val="24"/>
          <w:highlight w:val="none"/>
        </w:rPr>
      </w:pPr>
    </w:p>
    <w:p w14:paraId="14FD8774">
      <w:pPr>
        <w:spacing w:before="120" w:after="50"/>
        <w:jc w:val="left"/>
        <w:rPr>
          <w:rFonts w:hint="eastAsia" w:ascii="宋体" w:hAnsi="宋体" w:cs="宋体"/>
          <w:b/>
          <w:color w:val="auto"/>
          <w:sz w:val="24"/>
          <w:highlight w:val="none"/>
        </w:rPr>
      </w:pPr>
    </w:p>
    <w:p w14:paraId="76B2EE22">
      <w:pPr>
        <w:spacing w:before="120" w:after="50"/>
        <w:jc w:val="left"/>
        <w:rPr>
          <w:rFonts w:hint="eastAsia" w:ascii="宋体" w:hAnsi="宋体" w:cs="宋体"/>
          <w:b/>
          <w:color w:val="auto"/>
          <w:sz w:val="24"/>
          <w:highlight w:val="none"/>
        </w:rPr>
      </w:pPr>
    </w:p>
    <w:p w14:paraId="2B3BF271">
      <w:pPr>
        <w:spacing w:before="120" w:after="50"/>
        <w:jc w:val="left"/>
        <w:rPr>
          <w:rFonts w:hint="eastAsia" w:ascii="宋体" w:hAnsi="宋体" w:cs="宋体"/>
          <w:color w:val="auto"/>
          <w:highlight w:val="none"/>
        </w:rPr>
      </w:pPr>
      <w:r>
        <w:rPr>
          <w:rFonts w:hint="eastAsia" w:ascii="宋体" w:hAnsi="宋体" w:cs="宋体"/>
          <w:b/>
          <w:color w:val="auto"/>
          <w:sz w:val="24"/>
          <w:highlight w:val="none"/>
        </w:rPr>
        <w:t>2.中小企业声明函格式</w:t>
      </w:r>
    </w:p>
    <w:p w14:paraId="1EAB8965">
      <w:pPr>
        <w:rPr>
          <w:rFonts w:hint="eastAsia" w:ascii="宋体" w:hAnsi="宋体" w:cs="宋体"/>
          <w:color w:val="auto"/>
          <w:highlight w:val="none"/>
        </w:rPr>
      </w:pPr>
    </w:p>
    <w:p w14:paraId="10133E9B">
      <w:pPr>
        <w:jc w:val="center"/>
        <w:rPr>
          <w:rFonts w:hint="eastAsia" w:ascii="宋体" w:hAnsi="宋体" w:cs="宋体"/>
          <w:color w:val="auto"/>
          <w:sz w:val="44"/>
          <w:szCs w:val="44"/>
          <w:highlight w:val="none"/>
        </w:rPr>
      </w:pPr>
      <w:r>
        <w:rPr>
          <w:rFonts w:hint="eastAsia" w:ascii="宋体" w:hAnsi="宋体" w:cs="宋体"/>
          <w:color w:val="auto"/>
          <w:sz w:val="44"/>
          <w:szCs w:val="44"/>
          <w:highlight w:val="none"/>
        </w:rPr>
        <w:t>中小企业声明函（服务）</w:t>
      </w:r>
    </w:p>
    <w:p w14:paraId="2AC10A69">
      <w:pPr>
        <w:spacing w:before="2" w:line="500" w:lineRule="exact"/>
        <w:rPr>
          <w:rFonts w:hint="eastAsia" w:ascii="宋体" w:hAnsi="宋体" w:cs="宋体"/>
          <w:b/>
          <w:bCs/>
          <w:color w:val="auto"/>
          <w:sz w:val="24"/>
          <w:highlight w:val="none"/>
        </w:rPr>
      </w:pPr>
    </w:p>
    <w:p w14:paraId="2E1FD55D">
      <w:pPr>
        <w:pStyle w:val="222"/>
        <w:spacing w:line="500" w:lineRule="exact"/>
        <w:ind w:right="142" w:firstLine="480"/>
        <w:rPr>
          <w:rFonts w:hint="eastAsia" w:ascii="宋体" w:hAnsi="宋体" w:cs="宋体"/>
          <w:color w:val="auto"/>
          <w:highlight w:val="none"/>
        </w:rPr>
      </w:pPr>
      <w:r>
        <w:rPr>
          <w:rFonts w:hint="eastAsia" w:ascii="宋体" w:hAnsi="宋体" w:cs="宋体"/>
          <w:color w:val="auto"/>
          <w:highlight w:val="none"/>
        </w:rPr>
        <w:t>本公司（联合体）郑重声明，根据《政府采购促进中小企业发展管理办法》（财库﹝2020﹞46号）的规定，本公司（联合体）参加</w:t>
      </w:r>
      <w:r>
        <w:rPr>
          <w:rFonts w:hint="eastAsia" w:ascii="宋体" w:hAnsi="宋体" w:cs="宋体"/>
          <w:color w:val="auto"/>
          <w:highlight w:val="none"/>
          <w:u w:val="single"/>
        </w:rPr>
        <w:t>（单位名称）</w:t>
      </w:r>
      <w:r>
        <w:rPr>
          <w:rFonts w:hint="eastAsia" w:ascii="宋体" w:hAnsi="宋体" w:cs="宋体"/>
          <w:color w:val="auto"/>
          <w:highlight w:val="none"/>
        </w:rPr>
        <w:t>的</w:t>
      </w:r>
      <w:r>
        <w:rPr>
          <w:rFonts w:hint="eastAsia" w:ascii="宋体" w:hAnsi="宋体" w:cs="宋体"/>
          <w:color w:val="auto"/>
          <w:highlight w:val="none"/>
          <w:u w:val="single"/>
        </w:rPr>
        <w:t>（项目名称）</w:t>
      </w:r>
      <w:r>
        <w:rPr>
          <w:rFonts w:hint="eastAsia" w:ascii="宋体" w:hAnsi="宋体" w:cs="宋体"/>
          <w:color w:val="auto"/>
          <w:highlight w:val="none"/>
        </w:rPr>
        <w:t>采购活动，服务全部由符合政策要求的中小企业承接。相关企业（含联合体中的中小企业、签订分包意向协议的中小企业）的具体情况如下：</w:t>
      </w:r>
    </w:p>
    <w:p w14:paraId="3BC01BFA">
      <w:pPr>
        <w:tabs>
          <w:tab w:val="left" w:pos="1384"/>
          <w:tab w:val="left" w:pos="4562"/>
          <w:tab w:val="left" w:pos="6803"/>
        </w:tabs>
        <w:spacing w:before="13" w:line="500" w:lineRule="exact"/>
        <w:ind w:right="142" w:firstLine="686"/>
        <w:rPr>
          <w:rFonts w:hint="eastAsia"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u w:val="single"/>
          <w:lang w:eastAsia="zh-CN"/>
        </w:rPr>
        <w:t>贵港市城市监控联网系统（二期）项目供电及网络服务</w:t>
      </w:r>
      <w:r>
        <w:rPr>
          <w:rFonts w:hint="eastAsia" w:ascii="宋体" w:hAnsi="宋体" w:cs="宋体"/>
          <w:color w:val="auto"/>
          <w:sz w:val="24"/>
          <w:highlight w:val="none"/>
        </w:rPr>
        <w:t>，属于</w:t>
      </w:r>
      <w:r>
        <w:rPr>
          <w:rFonts w:hint="eastAsia" w:ascii="宋体" w:hAnsi="宋体" w:cs="宋体"/>
          <w:color w:val="auto"/>
          <w:sz w:val="24"/>
          <w:highlight w:val="none"/>
          <w:u w:val="single"/>
        </w:rPr>
        <w:t>租赁和商务服务业</w:t>
      </w:r>
      <w:r>
        <w:rPr>
          <w:rFonts w:hint="eastAsia" w:ascii="宋体" w:hAnsi="宋体" w:cs="宋体"/>
          <w:color w:val="auto"/>
          <w:sz w:val="24"/>
          <w:highlight w:val="none"/>
        </w:rPr>
        <w:t>；承接企业为</w:t>
      </w:r>
      <w:r>
        <w:rPr>
          <w:rFonts w:hint="eastAsia" w:ascii="宋体" w:hAnsi="宋体" w:cs="宋体"/>
          <w:color w:val="auto"/>
          <w:sz w:val="24"/>
          <w:highlight w:val="none"/>
          <w:u w:val="single"/>
        </w:rPr>
        <w:t>（企业名称）</w:t>
      </w:r>
      <w:r>
        <w:rPr>
          <w:rFonts w:hint="eastAsia" w:ascii="宋体" w:hAnsi="宋体" w:cs="宋体"/>
          <w:color w:val="auto"/>
          <w:sz w:val="24"/>
          <w:highlight w:val="none"/>
        </w:rPr>
        <w:t>，从业人员</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人，营业收入为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万元，资产总额为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万元，属于</w:t>
      </w:r>
      <w:r>
        <w:rPr>
          <w:rFonts w:hint="eastAsia" w:ascii="宋体" w:hAnsi="宋体" w:cs="宋体"/>
          <w:color w:val="auto"/>
          <w:sz w:val="24"/>
          <w:highlight w:val="none"/>
          <w:u w:val="single"/>
        </w:rPr>
        <w:t>（中型企业、小型企业、微型企业）</w:t>
      </w:r>
      <w:r>
        <w:rPr>
          <w:rFonts w:hint="eastAsia" w:ascii="宋体" w:hAnsi="宋体" w:cs="宋体"/>
          <w:color w:val="auto"/>
          <w:sz w:val="24"/>
          <w:highlight w:val="none"/>
        </w:rPr>
        <w:t>；</w:t>
      </w:r>
    </w:p>
    <w:p w14:paraId="10CD738E">
      <w:pPr>
        <w:numPr>
          <w:ilvl w:val="0"/>
          <w:numId w:val="11"/>
        </w:numPr>
        <w:tabs>
          <w:tab w:val="left" w:pos="1065"/>
          <w:tab w:val="left" w:pos="4262"/>
          <w:tab w:val="left" w:pos="6477"/>
        </w:tabs>
        <w:spacing w:before="20" w:line="500" w:lineRule="exact"/>
        <w:ind w:right="84" w:firstLine="686"/>
        <w:rPr>
          <w:rFonts w:hint="eastAsia" w:ascii="宋体" w:hAnsi="宋体" w:cs="宋体"/>
          <w:color w:val="auto"/>
          <w:sz w:val="24"/>
          <w:highlight w:val="none"/>
          <w:u w:val="single"/>
        </w:rPr>
      </w:pP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，属于</w:t>
      </w:r>
      <w:r>
        <w:rPr>
          <w:rFonts w:hint="eastAsia" w:ascii="宋体" w:hAnsi="宋体" w:cs="宋体"/>
          <w:color w:val="auto"/>
          <w:sz w:val="24"/>
          <w:highlight w:val="none"/>
          <w:u w:val="single"/>
          <w:lang w:eastAsia="zh-CN"/>
        </w:rPr>
        <w:t>其他未列明</w:t>
      </w:r>
      <w:r>
        <w:rPr>
          <w:rFonts w:hint="eastAsia" w:ascii="宋体" w:hAnsi="宋体" w:cs="宋体"/>
          <w:color w:val="auto"/>
          <w:sz w:val="24"/>
          <w:highlight w:val="none"/>
          <w:u w:val="single"/>
        </w:rPr>
        <w:t>行业</w:t>
      </w:r>
      <w:r>
        <w:rPr>
          <w:rFonts w:hint="eastAsia" w:ascii="宋体" w:hAnsi="宋体" w:cs="宋体"/>
          <w:color w:val="auto"/>
          <w:sz w:val="24"/>
          <w:highlight w:val="none"/>
        </w:rPr>
        <w:t>；承接企业为</w:t>
      </w:r>
      <w:r>
        <w:rPr>
          <w:rFonts w:hint="eastAsia" w:ascii="宋体" w:hAnsi="宋体" w:cs="宋体"/>
          <w:color w:val="auto"/>
          <w:sz w:val="24"/>
          <w:highlight w:val="none"/>
          <w:u w:val="single"/>
        </w:rPr>
        <w:t>（企业名称）</w:t>
      </w:r>
      <w:r>
        <w:rPr>
          <w:rFonts w:hint="eastAsia" w:ascii="宋体" w:hAnsi="宋体" w:cs="宋体"/>
          <w:color w:val="auto"/>
          <w:sz w:val="24"/>
          <w:highlight w:val="none"/>
        </w:rPr>
        <w:t>，从业人员</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人，营业收入为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万元，资产总额为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万元，属于</w:t>
      </w:r>
      <w:r>
        <w:rPr>
          <w:rFonts w:hint="eastAsia" w:ascii="宋体" w:hAnsi="宋体" w:cs="宋体"/>
          <w:color w:val="auto"/>
          <w:sz w:val="24"/>
          <w:highlight w:val="none"/>
          <w:u w:val="single"/>
        </w:rPr>
        <w:t>（中型企业、小型企业、微型企业）</w:t>
      </w:r>
      <w:r>
        <w:rPr>
          <w:rFonts w:hint="eastAsia" w:ascii="宋体" w:hAnsi="宋体" w:cs="宋体"/>
          <w:color w:val="auto"/>
          <w:sz w:val="24"/>
          <w:highlight w:val="none"/>
        </w:rPr>
        <w:t>；</w:t>
      </w:r>
    </w:p>
    <w:p w14:paraId="0FC6CB66">
      <w:pPr>
        <w:pStyle w:val="222"/>
        <w:spacing w:before="34" w:line="500" w:lineRule="exact"/>
        <w:ind w:left="765" w:right="142" w:hanging="5"/>
        <w:rPr>
          <w:rFonts w:hint="eastAsia" w:ascii="宋体" w:hAnsi="宋体" w:cs="宋体"/>
          <w:color w:val="auto"/>
          <w:highlight w:val="none"/>
        </w:rPr>
      </w:pPr>
      <w:r>
        <w:rPr>
          <w:rFonts w:hint="eastAsia" w:ascii="宋体" w:hAnsi="宋体" w:cs="宋体"/>
          <w:color w:val="auto"/>
          <w:highlight w:val="none"/>
        </w:rPr>
        <w:t xml:space="preserve">…… </w:t>
      </w:r>
    </w:p>
    <w:p w14:paraId="1527DF7B">
      <w:pPr>
        <w:pStyle w:val="222"/>
        <w:spacing w:before="34" w:line="500" w:lineRule="exact"/>
        <w:ind w:right="142" w:firstLine="480"/>
        <w:rPr>
          <w:rFonts w:hint="eastAsia" w:ascii="宋体" w:hAnsi="宋体" w:cs="宋体"/>
          <w:color w:val="auto"/>
          <w:highlight w:val="none"/>
        </w:rPr>
      </w:pPr>
      <w:r>
        <w:rPr>
          <w:rFonts w:hint="eastAsia" w:ascii="宋体" w:hAnsi="宋体" w:cs="宋体"/>
          <w:color w:val="auto"/>
          <w:highlight w:val="none"/>
        </w:rPr>
        <w:t>以上企业，不属于大企业的分支机构，不存在控股股东为大企业的情形，也不存在与大企业的负责人为同一人的情形。</w:t>
      </w:r>
    </w:p>
    <w:p w14:paraId="6189DE07">
      <w:pPr>
        <w:pStyle w:val="222"/>
        <w:spacing w:before="34" w:line="500" w:lineRule="exact"/>
        <w:ind w:right="142" w:firstLine="480"/>
        <w:rPr>
          <w:rFonts w:hint="eastAsia" w:ascii="宋体" w:hAnsi="宋体" w:cs="宋体"/>
          <w:color w:val="auto"/>
          <w:highlight w:val="none"/>
        </w:rPr>
      </w:pPr>
      <w:r>
        <w:rPr>
          <w:rFonts w:hint="eastAsia" w:ascii="宋体" w:hAnsi="宋体" w:cs="宋体"/>
          <w:color w:val="auto"/>
          <w:highlight w:val="none"/>
        </w:rPr>
        <w:t>本企业对上述声明内容的真实性负责。如有虚假，将依法承担相应责任。</w:t>
      </w:r>
    </w:p>
    <w:p w14:paraId="3FB490E1">
      <w:pPr>
        <w:pStyle w:val="222"/>
        <w:spacing w:before="56" w:line="500" w:lineRule="exact"/>
        <w:ind w:left="3960" w:right="1808"/>
        <w:rPr>
          <w:rFonts w:hint="eastAsia" w:ascii="宋体" w:hAnsi="宋体" w:cs="宋体"/>
          <w:color w:val="auto"/>
          <w:highlight w:val="none"/>
        </w:rPr>
      </w:pPr>
      <w:r>
        <w:rPr>
          <w:rFonts w:hint="eastAsia" w:ascii="宋体" w:hAnsi="宋体" w:cs="宋体"/>
          <w:color w:val="auto"/>
          <w:highlight w:val="none"/>
        </w:rPr>
        <w:t xml:space="preserve">企业名称（电子签章）： </w:t>
      </w:r>
    </w:p>
    <w:p w14:paraId="08DDD597">
      <w:pPr>
        <w:pStyle w:val="222"/>
        <w:spacing w:before="56" w:line="500" w:lineRule="exact"/>
        <w:ind w:left="3960" w:right="1808"/>
        <w:rPr>
          <w:rFonts w:hint="eastAsia" w:ascii="宋体" w:hAnsi="宋体" w:cs="宋体"/>
          <w:color w:val="auto"/>
          <w:highlight w:val="none"/>
        </w:rPr>
      </w:pPr>
      <w:r>
        <w:rPr>
          <w:rFonts w:hint="eastAsia" w:ascii="宋体" w:hAnsi="宋体" w:cs="宋体"/>
          <w:color w:val="auto"/>
          <w:highlight w:val="none"/>
        </w:rPr>
        <w:t>日 期：</w:t>
      </w:r>
    </w:p>
    <w:p w14:paraId="70722256">
      <w:pPr>
        <w:rPr>
          <w:rFonts w:hint="eastAsia" w:ascii="宋体" w:hAnsi="宋体" w:cs="宋体"/>
          <w:color w:val="auto"/>
          <w:sz w:val="24"/>
          <w:highlight w:val="none"/>
        </w:rPr>
      </w:pPr>
      <w:r>
        <w:rPr>
          <w:rFonts w:hint="eastAsia" w:ascii="宋体" w:hAnsi="宋体" w:cs="宋体"/>
          <w:color w:val="auto"/>
          <w:spacing w:val="6"/>
          <w:sz w:val="24"/>
          <w:highlight w:val="none"/>
        </w:rPr>
        <w:t xml:space="preserve"> </w:t>
      </w:r>
    </w:p>
    <w:p w14:paraId="1AE7C7B7">
      <w:pPr>
        <w:rPr>
          <w:rFonts w:hint="eastAsia" w:ascii="宋体" w:hAnsi="宋体" w:cs="宋体"/>
          <w:color w:val="auto"/>
          <w:sz w:val="24"/>
          <w:highlight w:val="none"/>
        </w:rPr>
      </w:pPr>
      <w:r>
        <w:rPr>
          <w:rFonts w:hint="eastAsia" w:ascii="宋体" w:hAnsi="宋体" w:cs="宋体"/>
          <w:color w:val="auto"/>
          <w:sz w:val="24"/>
          <w:highlight w:val="none"/>
        </w:rPr>
        <w:t>注：享受《政府采购促进中小企业发展管理办法》（财库〔2020〕46号）规定的中小企业扶持政策的，采购人、采购代理机构应当随中标结果公开中标供应商的《中小企业声明函》。从业人员、营业收入、资产总额填报上一年度数据，无上一年度数据的新成立企业可不填报。</w:t>
      </w:r>
    </w:p>
    <w:p w14:paraId="7AA776E3">
      <w:pPr>
        <w:rPr>
          <w:rFonts w:hint="eastAsia" w:ascii="宋体" w:hAnsi="宋体" w:cs="宋体"/>
          <w:b/>
          <w:color w:val="auto"/>
          <w:sz w:val="24"/>
          <w:highlight w:val="none"/>
        </w:rPr>
      </w:pPr>
      <w:r>
        <w:rPr>
          <w:rFonts w:hint="eastAsia" w:ascii="宋体" w:hAnsi="宋体" w:cs="宋体"/>
          <w:color w:val="auto"/>
          <w:highlight w:val="none"/>
        </w:rPr>
        <w:br w:type="page" w:clear="all"/>
      </w:r>
      <w:r>
        <w:rPr>
          <w:rFonts w:hint="eastAsia" w:ascii="宋体" w:hAnsi="宋体" w:cs="宋体"/>
          <w:b/>
          <w:color w:val="auto"/>
          <w:sz w:val="24"/>
          <w:highlight w:val="none"/>
        </w:rPr>
        <w:t>3.残疾人福利性单位声明函格式</w:t>
      </w:r>
    </w:p>
    <w:p w14:paraId="119BABB9">
      <w:pPr>
        <w:spacing w:line="588" w:lineRule="exact"/>
        <w:jc w:val="center"/>
        <w:rPr>
          <w:rFonts w:hint="eastAsia" w:ascii="宋体" w:hAnsi="宋体" w:cs="宋体"/>
          <w:b/>
          <w:color w:val="auto"/>
          <w:spacing w:val="6"/>
          <w:sz w:val="32"/>
          <w:szCs w:val="32"/>
          <w:highlight w:val="none"/>
        </w:rPr>
      </w:pPr>
    </w:p>
    <w:p w14:paraId="2F554A35">
      <w:pPr>
        <w:spacing w:line="588" w:lineRule="exact"/>
        <w:jc w:val="center"/>
        <w:rPr>
          <w:rFonts w:hint="eastAsia" w:ascii="宋体" w:hAnsi="宋体" w:cs="宋体"/>
          <w:bCs/>
          <w:color w:val="auto"/>
          <w:spacing w:val="6"/>
          <w:sz w:val="44"/>
          <w:szCs w:val="44"/>
          <w:highlight w:val="none"/>
        </w:rPr>
      </w:pPr>
      <w:r>
        <w:rPr>
          <w:rFonts w:hint="eastAsia" w:ascii="宋体" w:hAnsi="宋体" w:cs="宋体"/>
          <w:bCs/>
          <w:color w:val="auto"/>
          <w:spacing w:val="6"/>
          <w:sz w:val="44"/>
          <w:szCs w:val="44"/>
          <w:highlight w:val="none"/>
        </w:rPr>
        <w:t>残疾人福利性单位声明函</w:t>
      </w:r>
    </w:p>
    <w:p w14:paraId="32F444E0">
      <w:pPr>
        <w:spacing w:line="588" w:lineRule="exact"/>
        <w:rPr>
          <w:rFonts w:hint="eastAsia" w:ascii="宋体" w:hAnsi="宋体" w:cs="宋体"/>
          <w:b/>
          <w:color w:val="auto"/>
          <w:spacing w:val="6"/>
          <w:sz w:val="30"/>
          <w:szCs w:val="30"/>
          <w:highlight w:val="none"/>
        </w:rPr>
      </w:pPr>
    </w:p>
    <w:p w14:paraId="08601D2C">
      <w:pPr>
        <w:spacing w:line="360" w:lineRule="auto"/>
        <w:ind w:firstLine="504"/>
        <w:contextualSpacing/>
        <w:rPr>
          <w:rFonts w:hint="eastAsia" w:ascii="宋体" w:hAnsi="宋体" w:cs="宋体"/>
          <w:color w:val="auto"/>
          <w:spacing w:val="6"/>
          <w:sz w:val="24"/>
          <w:highlight w:val="none"/>
        </w:rPr>
      </w:pPr>
      <w:r>
        <w:rPr>
          <w:rFonts w:hint="eastAsia" w:ascii="宋体" w:hAnsi="宋体" w:cs="宋体"/>
          <w:color w:val="auto"/>
          <w:spacing w:val="6"/>
          <w:sz w:val="24"/>
          <w:highlight w:val="none"/>
        </w:rPr>
        <w:t>本单位郑重声明，根据《财政部 民政部 中国残疾人联合会关于促进残疾人就业政府采购政策的通知》（财库</w:t>
      </w:r>
      <w:r>
        <w:rPr>
          <w:rFonts w:hint="eastAsia" w:ascii="宋体" w:hAnsi="宋体" w:cs="宋体"/>
          <w:color w:val="auto"/>
          <w:sz w:val="24"/>
          <w:highlight w:val="none"/>
        </w:rPr>
        <w:t>〔2017〕 141</w:t>
      </w:r>
      <w:r>
        <w:rPr>
          <w:rFonts w:hint="eastAsia" w:ascii="宋体" w:hAnsi="宋体" w:cs="宋体"/>
          <w:color w:val="auto"/>
          <w:spacing w:val="6"/>
          <w:sz w:val="24"/>
          <w:highlight w:val="none"/>
        </w:rPr>
        <w:t>号）的规定，本单位为符合条件的残疾人福利性单位，且本单位参加______单位的______项目采购活动提供本单位制造的货物（由本单位承担工程/提供服务），或者提供其他残</w:t>
      </w:r>
      <w:r>
        <w:rPr>
          <w:rFonts w:hint="eastAsia" w:ascii="宋体" w:hAnsi="宋体" w:cs="宋体"/>
          <w:color w:val="auto"/>
          <w:spacing w:val="-6"/>
          <w:sz w:val="24"/>
          <w:highlight w:val="none"/>
        </w:rPr>
        <w:t>疾人福利性单位制造的货物（不包括使用非残疾人福利性单位注册商标的货物）。</w:t>
      </w:r>
    </w:p>
    <w:p w14:paraId="7460DDBC">
      <w:pPr>
        <w:spacing w:line="360" w:lineRule="auto"/>
        <w:ind w:firstLine="504"/>
        <w:contextualSpacing/>
        <w:rPr>
          <w:rFonts w:hint="eastAsia" w:ascii="宋体" w:hAnsi="宋体" w:cs="宋体"/>
          <w:color w:val="auto"/>
          <w:spacing w:val="6"/>
          <w:sz w:val="24"/>
          <w:highlight w:val="none"/>
        </w:rPr>
      </w:pPr>
      <w:r>
        <w:rPr>
          <w:rFonts w:hint="eastAsia" w:ascii="宋体" w:hAnsi="宋体" w:cs="宋体"/>
          <w:color w:val="auto"/>
          <w:spacing w:val="6"/>
          <w:sz w:val="24"/>
          <w:highlight w:val="none"/>
        </w:rPr>
        <w:t>本单位对上述声明的真实性负责。如有虚假，将依法承担相应责任。</w:t>
      </w:r>
    </w:p>
    <w:p w14:paraId="1948989F">
      <w:pPr>
        <w:spacing w:line="360" w:lineRule="auto"/>
        <w:ind w:firstLine="504"/>
        <w:contextualSpacing/>
        <w:rPr>
          <w:rFonts w:hint="eastAsia" w:ascii="宋体" w:hAnsi="宋体" w:cs="宋体"/>
          <w:color w:val="auto"/>
          <w:spacing w:val="6"/>
          <w:sz w:val="24"/>
          <w:highlight w:val="none"/>
        </w:rPr>
      </w:pPr>
    </w:p>
    <w:p w14:paraId="495C0896">
      <w:pPr>
        <w:spacing w:line="360" w:lineRule="auto"/>
        <w:ind w:firstLine="504"/>
        <w:contextualSpacing/>
        <w:rPr>
          <w:rFonts w:hint="eastAsia" w:ascii="宋体" w:hAnsi="宋体" w:cs="宋体"/>
          <w:color w:val="auto"/>
          <w:spacing w:val="6"/>
          <w:sz w:val="24"/>
          <w:highlight w:val="none"/>
        </w:rPr>
      </w:pPr>
    </w:p>
    <w:p w14:paraId="667AC195">
      <w:pPr>
        <w:tabs>
          <w:tab w:val="left" w:pos="4860"/>
        </w:tabs>
        <w:spacing w:line="360" w:lineRule="auto"/>
        <w:ind w:right="1560" w:firstLine="504"/>
        <w:contextualSpacing/>
        <w:jc w:val="center"/>
        <w:rPr>
          <w:rFonts w:hint="eastAsia" w:ascii="宋体" w:hAnsi="宋体" w:cs="宋体"/>
          <w:color w:val="auto"/>
          <w:spacing w:val="6"/>
          <w:sz w:val="24"/>
          <w:highlight w:val="none"/>
        </w:rPr>
      </w:pPr>
      <w:r>
        <w:rPr>
          <w:rFonts w:hint="eastAsia" w:ascii="宋体" w:hAnsi="宋体" w:cs="宋体"/>
          <w:color w:val="auto"/>
          <w:spacing w:val="6"/>
          <w:sz w:val="24"/>
          <w:highlight w:val="none"/>
        </w:rPr>
        <w:t>单位名称（电子签章）：</w:t>
      </w:r>
    </w:p>
    <w:p w14:paraId="388068E0">
      <w:pPr>
        <w:tabs>
          <w:tab w:val="left" w:pos="4860"/>
        </w:tabs>
        <w:spacing w:line="360" w:lineRule="auto"/>
        <w:ind w:right="1560" w:firstLine="504"/>
        <w:contextualSpacing/>
        <w:jc w:val="center"/>
        <w:rPr>
          <w:rFonts w:hint="eastAsia" w:ascii="宋体" w:hAnsi="宋体" w:cs="宋体"/>
          <w:color w:val="auto"/>
          <w:spacing w:val="6"/>
          <w:sz w:val="24"/>
          <w:highlight w:val="none"/>
        </w:rPr>
      </w:pPr>
      <w:r>
        <w:rPr>
          <w:rFonts w:hint="eastAsia" w:ascii="宋体" w:hAnsi="宋体" w:cs="宋体"/>
          <w:color w:val="auto"/>
          <w:spacing w:val="6"/>
          <w:sz w:val="24"/>
          <w:highlight w:val="none"/>
        </w:rPr>
        <w:t>日  期：</w:t>
      </w:r>
    </w:p>
    <w:p w14:paraId="4413F353">
      <w:pPr>
        <w:spacing w:line="360" w:lineRule="auto"/>
        <w:contextualSpacing/>
        <w:rPr>
          <w:rFonts w:hint="eastAsia" w:ascii="宋体" w:hAnsi="宋体" w:cs="宋体"/>
          <w:color w:val="auto"/>
          <w:sz w:val="24"/>
          <w:highlight w:val="none"/>
        </w:rPr>
      </w:pPr>
    </w:p>
    <w:p w14:paraId="46272CEA">
      <w:pPr>
        <w:spacing w:line="360" w:lineRule="auto"/>
        <w:contextualSpacing/>
        <w:rPr>
          <w:rFonts w:hint="eastAsia" w:ascii="宋体" w:hAnsi="宋体" w:cs="宋体"/>
          <w:color w:val="auto"/>
          <w:sz w:val="24"/>
          <w:highlight w:val="none"/>
        </w:rPr>
      </w:pPr>
    </w:p>
    <w:p w14:paraId="3D1369F8">
      <w:pPr>
        <w:spacing w:line="360" w:lineRule="auto"/>
        <w:contextualSpacing/>
        <w:rPr>
          <w:rFonts w:hint="eastAsia" w:ascii="宋体" w:hAnsi="宋体" w:cs="宋体"/>
          <w:color w:val="auto"/>
          <w:sz w:val="24"/>
          <w:highlight w:val="none"/>
        </w:rPr>
      </w:pPr>
    </w:p>
    <w:p w14:paraId="3973C07D">
      <w:pPr>
        <w:spacing w:line="360" w:lineRule="auto"/>
        <w:contextualSpacing/>
        <w:rPr>
          <w:rFonts w:hint="eastAsia" w:ascii="宋体" w:hAnsi="宋体" w:cs="宋体"/>
          <w:color w:val="auto"/>
          <w:sz w:val="24"/>
          <w:highlight w:val="none"/>
        </w:rPr>
      </w:pPr>
      <w:r>
        <w:rPr>
          <w:rFonts w:hint="eastAsia" w:ascii="宋体" w:hAnsi="宋体" w:cs="宋体"/>
          <w:color w:val="auto"/>
          <w:sz w:val="24"/>
          <w:highlight w:val="none"/>
        </w:rPr>
        <w:t>注：请根据自己的真实情况出具《残疾人福利性单位声明函》。依法享受中小企业优惠政策的，采购人或者采购代理机构在公告中标结果时，同时公告其《残疾人福利性单位声明函》，接受社会监督。</w:t>
      </w:r>
    </w:p>
    <w:p w14:paraId="6C3AB5F0">
      <w:pPr>
        <w:spacing w:line="360" w:lineRule="auto"/>
        <w:jc w:val="left"/>
        <w:rPr>
          <w:rFonts w:hint="eastAsia" w:ascii="宋体" w:hAnsi="宋体" w:cs="宋体"/>
          <w:b/>
          <w:bCs/>
          <w:color w:val="auto"/>
          <w:sz w:val="32"/>
          <w:szCs w:val="32"/>
          <w:highlight w:val="none"/>
        </w:rPr>
      </w:pPr>
      <w:r>
        <w:rPr>
          <w:rFonts w:hint="eastAsia" w:ascii="宋体" w:hAnsi="宋体" w:cs="宋体"/>
          <w:color w:val="auto"/>
          <w:sz w:val="24"/>
          <w:highlight w:val="none"/>
        </w:rPr>
        <w:br w:type="page" w:clear="all"/>
      </w:r>
      <w:r>
        <w:rPr>
          <w:rFonts w:hint="eastAsia" w:ascii="宋体" w:hAnsi="宋体" w:cs="宋体"/>
          <w:b/>
          <w:color w:val="auto"/>
          <w:sz w:val="24"/>
          <w:highlight w:val="none"/>
        </w:rPr>
        <w:t>4.质疑函（格式）</w:t>
      </w:r>
    </w:p>
    <w:p w14:paraId="2384C91A">
      <w:pPr>
        <w:spacing w:line="360" w:lineRule="auto"/>
        <w:jc w:val="center"/>
        <w:rPr>
          <w:rFonts w:hint="eastAsia" w:ascii="宋体" w:hAnsi="宋体" w:cs="宋体"/>
          <w:color w:val="auto"/>
          <w:sz w:val="44"/>
          <w:szCs w:val="44"/>
          <w:highlight w:val="none"/>
        </w:rPr>
      </w:pPr>
      <w:r>
        <w:rPr>
          <w:rFonts w:hint="eastAsia" w:ascii="宋体" w:hAnsi="宋体" w:cs="宋体"/>
          <w:color w:val="auto"/>
          <w:sz w:val="44"/>
          <w:szCs w:val="44"/>
          <w:highlight w:val="none"/>
        </w:rPr>
        <w:t>质疑函（格式）</w:t>
      </w:r>
    </w:p>
    <w:p w14:paraId="165D5AF4">
      <w:pPr>
        <w:pStyle w:val="230"/>
        <w:spacing w:line="360" w:lineRule="auto"/>
        <w:ind w:firstLine="482"/>
        <w:rPr>
          <w:rFonts w:hint="eastAsia" w:hAnsi="宋体" w:cs="宋体"/>
          <w:b/>
          <w:bCs/>
          <w:color w:val="auto"/>
          <w:sz w:val="24"/>
          <w:szCs w:val="24"/>
          <w:highlight w:val="none"/>
        </w:rPr>
      </w:pPr>
      <w:r>
        <w:rPr>
          <w:rFonts w:hint="eastAsia" w:hAnsi="宋体" w:cs="宋体"/>
          <w:b/>
          <w:bCs/>
          <w:color w:val="auto"/>
          <w:sz w:val="24"/>
          <w:szCs w:val="24"/>
          <w:highlight w:val="none"/>
        </w:rPr>
        <w:t>一、质疑供应商基本信息：</w:t>
      </w:r>
    </w:p>
    <w:p w14:paraId="3002EAAD">
      <w:pPr>
        <w:pStyle w:val="230"/>
        <w:spacing w:line="360" w:lineRule="auto"/>
        <w:ind w:firstLine="480"/>
        <w:rPr>
          <w:rFonts w:hint="eastAsia" w:hAnsi="宋体" w:cs="宋体"/>
          <w:bCs/>
          <w:color w:val="auto"/>
          <w:sz w:val="24"/>
          <w:szCs w:val="24"/>
          <w:highlight w:val="none"/>
          <w:u w:val="single"/>
        </w:rPr>
      </w:pPr>
      <w:r>
        <w:rPr>
          <w:rFonts w:hint="eastAsia" w:hAnsi="宋体" w:cs="宋体"/>
          <w:bCs/>
          <w:color w:val="auto"/>
          <w:sz w:val="24"/>
          <w:szCs w:val="24"/>
          <w:highlight w:val="none"/>
        </w:rPr>
        <w:t>质疑供应商：</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5B0BFC9C">
      <w:pPr>
        <w:pStyle w:val="230"/>
        <w:spacing w:line="360" w:lineRule="auto"/>
        <w:ind w:firstLine="480"/>
        <w:rPr>
          <w:rFonts w:hint="eastAsia" w:hAnsi="宋体" w:cs="宋体"/>
          <w:bCs/>
          <w:color w:val="auto"/>
          <w:sz w:val="24"/>
          <w:szCs w:val="24"/>
          <w:highlight w:val="non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邮编：</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5CD412B5">
      <w:pPr>
        <w:pStyle w:val="230"/>
        <w:spacing w:line="360" w:lineRule="auto"/>
        <w:ind w:firstLine="480"/>
        <w:rPr>
          <w:rFonts w:hint="eastAsia" w:hAnsi="宋体" w:cs="宋体"/>
          <w:bCs/>
          <w:color w:val="auto"/>
          <w:sz w:val="24"/>
          <w:szCs w:val="24"/>
          <w:highlight w:val="none"/>
        </w:rPr>
      </w:pPr>
      <w:r>
        <w:rPr>
          <w:rFonts w:hint="eastAsia" w:hAnsi="宋体" w:cs="宋体"/>
          <w:bCs/>
          <w:color w:val="auto"/>
          <w:sz w:val="24"/>
          <w:szCs w:val="24"/>
          <w:highlight w:val="none"/>
        </w:rPr>
        <w:t>联系人：</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联系电话：</w:t>
      </w:r>
      <w:r>
        <w:rPr>
          <w:rFonts w:hint="eastAsia" w:hAnsi="宋体" w:cs="宋体"/>
          <w:bCs/>
          <w:color w:val="auto"/>
          <w:sz w:val="24"/>
          <w:szCs w:val="24"/>
          <w:highlight w:val="none"/>
          <w:u w:val="single"/>
        </w:rPr>
        <w:t xml:space="preserve">                 </w:t>
      </w:r>
    </w:p>
    <w:p w14:paraId="02C9A364">
      <w:pPr>
        <w:pStyle w:val="230"/>
        <w:spacing w:line="360" w:lineRule="auto"/>
        <w:ind w:firstLine="480"/>
        <w:rPr>
          <w:rFonts w:hint="eastAsia" w:hAnsi="宋体" w:cs="宋体"/>
          <w:bCs/>
          <w:color w:val="auto"/>
          <w:sz w:val="24"/>
          <w:szCs w:val="24"/>
          <w:highlight w:val="none"/>
        </w:rPr>
      </w:pPr>
      <w:r>
        <w:rPr>
          <w:rFonts w:hint="eastAsia" w:hAnsi="宋体" w:cs="宋体"/>
          <w:bCs/>
          <w:color w:val="auto"/>
          <w:sz w:val="24"/>
          <w:szCs w:val="24"/>
          <w:highlight w:val="none"/>
        </w:rPr>
        <w:t>授权代表：</w:t>
      </w:r>
      <w:r>
        <w:rPr>
          <w:rFonts w:hint="eastAsia" w:hAnsi="宋体" w:cs="宋体"/>
          <w:bCs/>
          <w:color w:val="auto"/>
          <w:sz w:val="24"/>
          <w:szCs w:val="24"/>
          <w:highlight w:val="none"/>
          <w:u w:val="single"/>
        </w:rPr>
        <w:t xml:space="preserve">                      </w:t>
      </w:r>
    </w:p>
    <w:p w14:paraId="715C7D5E">
      <w:pPr>
        <w:pStyle w:val="230"/>
        <w:spacing w:line="360" w:lineRule="auto"/>
        <w:ind w:firstLine="480"/>
        <w:rPr>
          <w:rFonts w:hint="eastAsia" w:hAnsi="宋体" w:cs="宋体"/>
          <w:bCs/>
          <w:color w:val="auto"/>
          <w:sz w:val="24"/>
          <w:szCs w:val="24"/>
          <w:highlight w:val="none"/>
          <w:u w:val="single"/>
        </w:rPr>
      </w:pPr>
      <w:r>
        <w:rPr>
          <w:rFonts w:hint="eastAsia" w:hAnsi="宋体" w:cs="宋体"/>
          <w:bCs/>
          <w:color w:val="auto"/>
          <w:sz w:val="24"/>
          <w:szCs w:val="24"/>
          <w:highlight w:val="none"/>
        </w:rPr>
        <w:t>联系电话：</w:t>
      </w:r>
      <w:r>
        <w:rPr>
          <w:rFonts w:hint="eastAsia" w:hAnsi="宋体" w:cs="宋体"/>
          <w:bCs/>
          <w:color w:val="auto"/>
          <w:sz w:val="24"/>
          <w:szCs w:val="24"/>
          <w:highlight w:val="none"/>
          <w:u w:val="single"/>
        </w:rPr>
        <w:t xml:space="preserve">                      </w:t>
      </w:r>
    </w:p>
    <w:p w14:paraId="18980525">
      <w:pPr>
        <w:pStyle w:val="230"/>
        <w:spacing w:line="360" w:lineRule="auto"/>
        <w:ind w:firstLine="480"/>
        <w:rPr>
          <w:rFonts w:hint="eastAsia" w:hAnsi="宋体" w:cs="宋体"/>
          <w:bCs/>
          <w:color w:val="auto"/>
          <w:sz w:val="24"/>
          <w:szCs w:val="24"/>
          <w:highlight w:val="non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邮编：</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574729E4">
      <w:pPr>
        <w:pStyle w:val="230"/>
        <w:spacing w:line="360" w:lineRule="auto"/>
        <w:ind w:firstLine="482"/>
        <w:rPr>
          <w:rFonts w:hint="eastAsia" w:hAnsi="宋体" w:cs="宋体"/>
          <w:b/>
          <w:bCs/>
          <w:color w:val="auto"/>
          <w:sz w:val="24"/>
          <w:szCs w:val="24"/>
          <w:highlight w:val="none"/>
        </w:rPr>
      </w:pPr>
      <w:r>
        <w:rPr>
          <w:rFonts w:hint="eastAsia" w:hAnsi="宋体" w:cs="宋体"/>
          <w:b/>
          <w:bCs/>
          <w:color w:val="auto"/>
          <w:sz w:val="24"/>
          <w:szCs w:val="24"/>
          <w:highlight w:val="none"/>
        </w:rPr>
        <w:t>二、质疑项目基本情况：</w:t>
      </w:r>
    </w:p>
    <w:p w14:paraId="4A6E0214">
      <w:pPr>
        <w:pStyle w:val="230"/>
        <w:spacing w:line="360" w:lineRule="auto"/>
        <w:ind w:left="25" w:firstLine="472"/>
        <w:rPr>
          <w:rFonts w:hint="eastAsia" w:hAnsi="宋体" w:cs="宋体"/>
          <w:color w:val="auto"/>
          <w:sz w:val="24"/>
          <w:szCs w:val="24"/>
          <w:highlight w:val="none"/>
        </w:rPr>
      </w:pPr>
      <w:r>
        <w:rPr>
          <w:rFonts w:hint="eastAsia" w:hAnsi="宋体" w:cs="宋体"/>
          <w:bCs/>
          <w:color w:val="auto"/>
          <w:sz w:val="24"/>
          <w:szCs w:val="24"/>
          <w:highlight w:val="none"/>
        </w:rPr>
        <w:t>质疑</w:t>
      </w:r>
      <w:r>
        <w:rPr>
          <w:rFonts w:hint="eastAsia" w:hAnsi="宋体" w:cs="宋体"/>
          <w:color w:val="auto"/>
          <w:sz w:val="24"/>
          <w:szCs w:val="24"/>
          <w:highlight w:val="none"/>
        </w:rPr>
        <w:t>项目的名称：</w:t>
      </w:r>
      <w:r>
        <w:rPr>
          <w:rFonts w:hint="eastAsia" w:hAnsi="宋体" w:cs="宋体"/>
          <w:bCs/>
          <w:color w:val="auto"/>
          <w:sz w:val="24"/>
          <w:szCs w:val="24"/>
          <w:highlight w:val="none"/>
          <w:u w:val="single"/>
        </w:rPr>
        <w:t xml:space="preserve">                                     </w:t>
      </w:r>
    </w:p>
    <w:p w14:paraId="79DA14BF">
      <w:pPr>
        <w:pStyle w:val="230"/>
        <w:spacing w:line="360" w:lineRule="auto"/>
        <w:ind w:left="25" w:firstLine="472"/>
        <w:rPr>
          <w:rFonts w:hint="eastAsia" w:hAnsi="宋体" w:cs="宋体"/>
          <w:color w:val="auto"/>
          <w:sz w:val="24"/>
          <w:szCs w:val="24"/>
          <w:highlight w:val="none"/>
        </w:rPr>
      </w:pPr>
      <w:r>
        <w:rPr>
          <w:rFonts w:hint="eastAsia" w:hAnsi="宋体" w:cs="宋体"/>
          <w:bCs/>
          <w:color w:val="auto"/>
          <w:sz w:val="24"/>
          <w:szCs w:val="24"/>
          <w:highlight w:val="none"/>
        </w:rPr>
        <w:t>质疑</w:t>
      </w:r>
      <w:r>
        <w:rPr>
          <w:rFonts w:hint="eastAsia" w:hAnsi="宋体" w:cs="宋体"/>
          <w:color w:val="auto"/>
          <w:sz w:val="24"/>
          <w:szCs w:val="24"/>
          <w:highlight w:val="none"/>
        </w:rPr>
        <w:t>项目的编号：</w:t>
      </w:r>
      <w:r>
        <w:rPr>
          <w:rFonts w:hint="eastAsia" w:hAnsi="宋体" w:cs="宋体"/>
          <w:bCs/>
          <w:color w:val="auto"/>
          <w:sz w:val="24"/>
          <w:szCs w:val="24"/>
          <w:highlight w:val="none"/>
          <w:u w:val="single"/>
        </w:rPr>
        <w:t xml:space="preserve">                                     </w:t>
      </w:r>
    </w:p>
    <w:p w14:paraId="28B4710C">
      <w:pPr>
        <w:pStyle w:val="230"/>
        <w:spacing w:line="360" w:lineRule="auto"/>
        <w:ind w:left="25" w:firstLine="472"/>
        <w:rPr>
          <w:rFonts w:hint="eastAsia" w:hAnsi="宋体" w:cs="宋体"/>
          <w:color w:val="auto"/>
          <w:sz w:val="24"/>
          <w:szCs w:val="24"/>
          <w:highlight w:val="none"/>
        </w:rPr>
      </w:pPr>
      <w:r>
        <w:rPr>
          <w:rFonts w:hint="eastAsia" w:hAnsi="宋体" w:cs="宋体"/>
          <w:color w:val="auto"/>
          <w:sz w:val="24"/>
          <w:szCs w:val="24"/>
          <w:highlight w:val="none"/>
        </w:rPr>
        <w:t>采购人名称：</w:t>
      </w:r>
      <w:r>
        <w:rPr>
          <w:rFonts w:hint="eastAsia" w:hAnsi="宋体" w:cs="宋体"/>
          <w:bCs/>
          <w:color w:val="auto"/>
          <w:sz w:val="24"/>
          <w:szCs w:val="24"/>
          <w:highlight w:val="none"/>
          <w:u w:val="single"/>
        </w:rPr>
        <w:t xml:space="preserve">                                         </w:t>
      </w:r>
    </w:p>
    <w:p w14:paraId="15AAFA91">
      <w:pPr>
        <w:pStyle w:val="230"/>
        <w:spacing w:line="360" w:lineRule="auto"/>
        <w:ind w:left="25" w:firstLine="472"/>
        <w:rPr>
          <w:rFonts w:hint="eastAsia" w:hAnsi="宋体" w:cs="宋体"/>
          <w:color w:val="auto"/>
          <w:sz w:val="24"/>
          <w:szCs w:val="24"/>
          <w:highlight w:val="none"/>
        </w:rPr>
      </w:pPr>
      <w:r>
        <w:rPr>
          <w:rFonts w:hint="eastAsia" w:hAnsi="宋体" w:cs="宋体"/>
          <w:color w:val="auto"/>
          <w:sz w:val="24"/>
          <w:szCs w:val="24"/>
          <w:highlight w:val="none"/>
        </w:rPr>
        <w:t>质疑事项：</w:t>
      </w:r>
    </w:p>
    <w:p w14:paraId="5079CAE6">
      <w:pPr>
        <w:pStyle w:val="230"/>
        <w:spacing w:line="360" w:lineRule="auto"/>
        <w:ind w:left="25" w:firstLine="352"/>
        <w:rPr>
          <w:rFonts w:hint="eastAsia" w:hAnsi="宋体" w:cs="宋体"/>
          <w:color w:val="auto"/>
          <w:sz w:val="24"/>
          <w:szCs w:val="24"/>
          <w:highlight w:val="none"/>
        </w:rPr>
      </w:pPr>
      <w:r>
        <w:rPr>
          <w:rFonts w:hint="eastAsia" w:hAnsi="宋体" w:cs="宋体"/>
          <w:color w:val="auto"/>
          <w:sz w:val="24"/>
          <w:szCs w:val="24"/>
          <w:highlight w:val="none"/>
        </w:rPr>
        <w:t>□采购文件   采购文件获取日期：</w:t>
      </w:r>
      <w:r>
        <w:rPr>
          <w:rFonts w:hint="eastAsia" w:hAnsi="宋体" w:cs="宋体"/>
          <w:bCs/>
          <w:color w:val="auto"/>
          <w:sz w:val="24"/>
          <w:szCs w:val="24"/>
          <w:highlight w:val="none"/>
          <w:u w:val="single"/>
        </w:rPr>
        <w:t xml:space="preserve">                                   </w:t>
      </w:r>
    </w:p>
    <w:p w14:paraId="15017C7D">
      <w:pPr>
        <w:pStyle w:val="230"/>
        <w:spacing w:line="360" w:lineRule="auto"/>
        <w:ind w:left="25" w:firstLine="352"/>
        <w:rPr>
          <w:rFonts w:hint="eastAsia" w:hAnsi="宋体" w:cs="宋体"/>
          <w:color w:val="auto"/>
          <w:sz w:val="24"/>
          <w:szCs w:val="24"/>
          <w:highlight w:val="none"/>
        </w:rPr>
      </w:pPr>
      <w:r>
        <w:rPr>
          <w:rFonts w:hint="eastAsia" w:hAnsi="宋体" w:cs="宋体"/>
          <w:color w:val="auto"/>
          <w:sz w:val="24"/>
          <w:szCs w:val="24"/>
          <w:highlight w:val="none"/>
        </w:rPr>
        <w:t xml:space="preserve">□采购过程   </w:t>
      </w:r>
    </w:p>
    <w:p w14:paraId="7486E170">
      <w:pPr>
        <w:pStyle w:val="230"/>
        <w:spacing w:line="360" w:lineRule="auto"/>
        <w:ind w:left="25" w:firstLine="352"/>
        <w:rPr>
          <w:rFonts w:hint="eastAsia" w:hAnsi="宋体" w:cs="宋体"/>
          <w:bCs/>
          <w:color w:val="auto"/>
          <w:sz w:val="24"/>
          <w:szCs w:val="24"/>
          <w:highlight w:val="none"/>
          <w:u w:val="single"/>
        </w:rPr>
      </w:pPr>
      <w:r>
        <w:rPr>
          <w:rFonts w:hint="eastAsia" w:hAnsi="宋体" w:cs="宋体"/>
          <w:color w:val="auto"/>
          <w:sz w:val="24"/>
          <w:szCs w:val="24"/>
          <w:highlight w:val="none"/>
        </w:rPr>
        <w:t xml:space="preserve">□采购结果   </w:t>
      </w:r>
    </w:p>
    <w:p w14:paraId="32A3683D">
      <w:pPr>
        <w:pStyle w:val="230"/>
        <w:spacing w:line="360" w:lineRule="auto"/>
        <w:ind w:left="25" w:firstLine="472"/>
        <w:rPr>
          <w:rFonts w:hint="eastAsia" w:hAnsi="宋体" w:cs="宋体"/>
          <w:b/>
          <w:color w:val="auto"/>
          <w:sz w:val="24"/>
          <w:szCs w:val="24"/>
          <w:highlight w:val="none"/>
        </w:rPr>
      </w:pPr>
      <w:r>
        <w:rPr>
          <w:rFonts w:hint="eastAsia" w:hAnsi="宋体" w:cs="宋体"/>
          <w:b/>
          <w:color w:val="auto"/>
          <w:sz w:val="24"/>
          <w:szCs w:val="24"/>
          <w:highlight w:val="none"/>
        </w:rPr>
        <w:t>三、质疑事项具体内容</w:t>
      </w:r>
    </w:p>
    <w:p w14:paraId="392B0854">
      <w:pPr>
        <w:pStyle w:val="230"/>
        <w:spacing w:line="360" w:lineRule="auto"/>
        <w:ind w:left="25" w:firstLine="472"/>
        <w:rPr>
          <w:rFonts w:hint="eastAsia" w:hAnsi="宋体" w:cs="宋体"/>
          <w:color w:val="auto"/>
          <w:sz w:val="24"/>
          <w:szCs w:val="24"/>
          <w:highlight w:val="none"/>
        </w:rPr>
      </w:pPr>
      <w:r>
        <w:rPr>
          <w:rFonts w:hint="eastAsia" w:hAnsi="宋体" w:cs="宋体"/>
          <w:color w:val="auto"/>
          <w:sz w:val="24"/>
          <w:szCs w:val="24"/>
          <w:highlight w:val="none"/>
        </w:rPr>
        <w:t>质疑事项1：</w:t>
      </w:r>
      <w:r>
        <w:rPr>
          <w:rFonts w:hint="eastAsia" w:hAnsi="宋体" w:cs="宋体"/>
          <w:bCs/>
          <w:color w:val="auto"/>
          <w:sz w:val="24"/>
          <w:szCs w:val="24"/>
          <w:highlight w:val="none"/>
          <w:u w:val="single"/>
        </w:rPr>
        <w:t xml:space="preserve">                                                                    </w:t>
      </w:r>
    </w:p>
    <w:p w14:paraId="3AFE1618">
      <w:pPr>
        <w:pStyle w:val="230"/>
        <w:spacing w:line="360" w:lineRule="auto"/>
        <w:ind w:left="25" w:firstLine="472"/>
        <w:rPr>
          <w:rFonts w:hint="eastAsia" w:hAnsi="宋体" w:cs="宋体"/>
          <w:color w:val="auto"/>
          <w:sz w:val="24"/>
          <w:szCs w:val="24"/>
          <w:highlight w:val="none"/>
        </w:rPr>
      </w:pPr>
      <w:r>
        <w:rPr>
          <w:rFonts w:hint="eastAsia" w:hAnsi="宋体" w:cs="宋体"/>
          <w:color w:val="auto"/>
          <w:sz w:val="24"/>
          <w:szCs w:val="24"/>
          <w:highlight w:val="none"/>
        </w:rPr>
        <w:t>事实依据：</w:t>
      </w:r>
      <w:r>
        <w:rPr>
          <w:rFonts w:hint="eastAsia" w:hAnsi="宋体" w:cs="宋体"/>
          <w:bCs/>
          <w:color w:val="auto"/>
          <w:sz w:val="24"/>
          <w:szCs w:val="24"/>
          <w:highlight w:val="none"/>
          <w:u w:val="single"/>
        </w:rPr>
        <w:t xml:space="preserve">                                                                      </w:t>
      </w:r>
    </w:p>
    <w:p w14:paraId="4B3DD360">
      <w:pPr>
        <w:pStyle w:val="230"/>
        <w:spacing w:line="360" w:lineRule="auto"/>
        <w:ind w:left="25" w:firstLine="472"/>
        <w:rPr>
          <w:rFonts w:hint="eastAsia" w:hAnsi="宋体" w:cs="宋体"/>
          <w:color w:val="auto"/>
          <w:sz w:val="24"/>
          <w:szCs w:val="24"/>
          <w:highlight w:val="none"/>
        </w:rPr>
      </w:pPr>
      <w:r>
        <w:rPr>
          <w:rFonts w:hint="eastAsia" w:hAnsi="宋体" w:cs="宋体"/>
          <w:color w:val="auto"/>
          <w:sz w:val="24"/>
          <w:szCs w:val="24"/>
          <w:highlight w:val="none"/>
        </w:rPr>
        <w:t>法律依据：</w:t>
      </w:r>
      <w:r>
        <w:rPr>
          <w:rFonts w:hint="eastAsia" w:hAnsi="宋体" w:cs="宋体"/>
          <w:color w:val="auto"/>
          <w:sz w:val="24"/>
          <w:szCs w:val="24"/>
          <w:highlight w:val="none"/>
          <w:u w:val="single"/>
        </w:rPr>
        <w:t xml:space="preserve">                                                        </w:t>
      </w:r>
      <w:r>
        <w:rPr>
          <w:rFonts w:hint="eastAsia" w:hAnsi="宋体" w:cs="宋体"/>
          <w:bCs/>
          <w:color w:val="auto"/>
          <w:sz w:val="24"/>
          <w:szCs w:val="24"/>
          <w:highlight w:val="none"/>
          <w:u w:val="single"/>
        </w:rPr>
        <w:t xml:space="preserve">               </w:t>
      </w:r>
    </w:p>
    <w:p w14:paraId="15ADA41B">
      <w:pPr>
        <w:pStyle w:val="230"/>
        <w:spacing w:line="360" w:lineRule="auto"/>
        <w:ind w:left="25" w:firstLine="472"/>
        <w:rPr>
          <w:rFonts w:hint="eastAsia" w:hAnsi="宋体" w:cs="宋体"/>
          <w:color w:val="auto"/>
          <w:sz w:val="24"/>
          <w:szCs w:val="24"/>
          <w:highlight w:val="none"/>
        </w:rPr>
      </w:pPr>
      <w:r>
        <w:rPr>
          <w:rFonts w:hint="eastAsia" w:hAnsi="宋体" w:cs="宋体"/>
          <w:color w:val="auto"/>
          <w:sz w:val="24"/>
          <w:szCs w:val="24"/>
          <w:highlight w:val="none"/>
        </w:rPr>
        <w:t>质疑事项2</w:t>
      </w:r>
    </w:p>
    <w:p w14:paraId="2A19BE8E">
      <w:pPr>
        <w:pStyle w:val="230"/>
        <w:spacing w:line="360" w:lineRule="auto"/>
        <w:ind w:left="25" w:firstLine="472"/>
        <w:rPr>
          <w:rFonts w:hint="eastAsia" w:hAnsi="宋体" w:cs="宋体"/>
          <w:color w:val="auto"/>
          <w:sz w:val="24"/>
          <w:szCs w:val="24"/>
          <w:highlight w:val="none"/>
        </w:rPr>
      </w:pPr>
      <w:r>
        <w:rPr>
          <w:rFonts w:hint="eastAsia" w:hAnsi="宋体" w:cs="宋体"/>
          <w:color w:val="auto"/>
          <w:sz w:val="24"/>
          <w:szCs w:val="24"/>
          <w:highlight w:val="none"/>
        </w:rPr>
        <w:t>……</w:t>
      </w:r>
    </w:p>
    <w:p w14:paraId="16C9E79E">
      <w:pPr>
        <w:pStyle w:val="230"/>
        <w:spacing w:line="360" w:lineRule="auto"/>
        <w:ind w:left="25" w:firstLine="472"/>
        <w:rPr>
          <w:rFonts w:hint="eastAsia" w:hAnsi="宋体" w:cs="宋体"/>
          <w:color w:val="auto"/>
          <w:sz w:val="24"/>
          <w:szCs w:val="24"/>
          <w:highlight w:val="none"/>
        </w:rPr>
      </w:pPr>
      <w:r>
        <w:rPr>
          <w:rFonts w:hint="eastAsia" w:hAnsi="宋体" w:cs="宋体"/>
          <w:color w:val="auto"/>
          <w:sz w:val="24"/>
          <w:szCs w:val="24"/>
          <w:highlight w:val="none"/>
        </w:rPr>
        <w:t>四、与质疑事项相关的质疑请求：</w:t>
      </w:r>
    </w:p>
    <w:p w14:paraId="428CE814">
      <w:pPr>
        <w:pStyle w:val="230"/>
        <w:spacing w:line="360" w:lineRule="auto"/>
        <w:ind w:left="25" w:firstLine="472"/>
        <w:rPr>
          <w:rFonts w:hint="eastAsia" w:hAnsi="宋体" w:cs="宋体"/>
          <w:color w:val="auto"/>
          <w:sz w:val="24"/>
          <w:szCs w:val="24"/>
          <w:highlight w:val="none"/>
        </w:rPr>
      </w:pPr>
      <w:r>
        <w:rPr>
          <w:rFonts w:hint="eastAsia" w:hAnsi="宋体" w:cs="宋体"/>
          <w:color w:val="auto"/>
          <w:sz w:val="24"/>
          <w:szCs w:val="24"/>
          <w:highlight w:val="none"/>
        </w:rPr>
        <w:t>请求：</w:t>
      </w:r>
      <w:r>
        <w:rPr>
          <w:rFonts w:hint="eastAsia" w:hAnsi="宋体" w:cs="宋体"/>
          <w:bCs/>
          <w:color w:val="auto"/>
          <w:sz w:val="24"/>
          <w:szCs w:val="24"/>
          <w:highlight w:val="none"/>
          <w:u w:val="single"/>
        </w:rPr>
        <w:t xml:space="preserve">                                                                </w:t>
      </w:r>
    </w:p>
    <w:p w14:paraId="64E1772B">
      <w:pPr>
        <w:pStyle w:val="230"/>
        <w:spacing w:line="360" w:lineRule="auto"/>
        <w:ind w:left="25" w:firstLine="352"/>
        <w:rPr>
          <w:rFonts w:hint="eastAsia" w:hAnsi="宋体" w:cs="宋体"/>
          <w:color w:val="auto"/>
          <w:sz w:val="24"/>
          <w:szCs w:val="24"/>
          <w:highlight w:val="none"/>
        </w:rPr>
      </w:pPr>
    </w:p>
    <w:p w14:paraId="450DE8FB">
      <w:pPr>
        <w:pStyle w:val="230"/>
        <w:spacing w:line="360" w:lineRule="auto"/>
        <w:ind w:left="25" w:firstLine="472"/>
        <w:rPr>
          <w:rFonts w:hint="eastAsia" w:hAnsi="宋体" w:cs="宋体"/>
          <w:color w:val="auto"/>
          <w:sz w:val="24"/>
          <w:szCs w:val="24"/>
          <w:highlight w:val="none"/>
        </w:rPr>
      </w:pPr>
      <w:r>
        <w:rPr>
          <w:rFonts w:hint="eastAsia" w:hAnsi="宋体" w:cs="宋体"/>
          <w:color w:val="auto"/>
          <w:sz w:val="24"/>
          <w:szCs w:val="24"/>
          <w:highlight w:val="none"/>
        </w:rPr>
        <w:t>签字（签章）：                                       公章：</w:t>
      </w:r>
    </w:p>
    <w:p w14:paraId="65CAB033">
      <w:pPr>
        <w:pStyle w:val="230"/>
        <w:spacing w:line="360" w:lineRule="auto"/>
        <w:ind w:left="25" w:firstLine="352"/>
        <w:rPr>
          <w:rFonts w:hint="eastAsia" w:hAnsi="宋体" w:cs="宋体"/>
          <w:color w:val="auto"/>
          <w:sz w:val="24"/>
          <w:szCs w:val="24"/>
          <w:highlight w:val="none"/>
        </w:rPr>
      </w:pPr>
    </w:p>
    <w:p w14:paraId="0E94F953">
      <w:pPr>
        <w:pStyle w:val="230"/>
        <w:spacing w:line="360" w:lineRule="auto"/>
        <w:ind w:left="25" w:firstLine="472"/>
        <w:rPr>
          <w:rFonts w:hint="eastAsia" w:hAnsi="宋体" w:cs="宋体"/>
          <w:color w:val="auto"/>
          <w:sz w:val="24"/>
          <w:szCs w:val="24"/>
          <w:highlight w:val="none"/>
        </w:rPr>
      </w:pPr>
      <w:r>
        <w:rPr>
          <w:rFonts w:hint="eastAsia" w:hAnsi="宋体" w:cs="宋体"/>
          <w:color w:val="auto"/>
          <w:sz w:val="24"/>
          <w:szCs w:val="24"/>
          <w:highlight w:val="none"/>
        </w:rPr>
        <w:t>日期：</w:t>
      </w:r>
    </w:p>
    <w:p w14:paraId="3F1EC4BC">
      <w:pPr>
        <w:pStyle w:val="230"/>
        <w:spacing w:line="360" w:lineRule="auto"/>
        <w:rPr>
          <w:rFonts w:hint="eastAsia" w:hAnsi="宋体" w:cs="宋体"/>
          <w:b/>
          <w:color w:val="auto"/>
          <w:sz w:val="24"/>
          <w:szCs w:val="24"/>
          <w:highlight w:val="none"/>
        </w:rPr>
      </w:pPr>
    </w:p>
    <w:p w14:paraId="5D4C0850">
      <w:pPr>
        <w:pStyle w:val="230"/>
        <w:spacing w:line="360" w:lineRule="auto"/>
        <w:rPr>
          <w:rFonts w:hint="eastAsia" w:hAnsi="宋体" w:cs="宋体"/>
          <w:b/>
          <w:color w:val="auto"/>
          <w:sz w:val="24"/>
          <w:szCs w:val="24"/>
          <w:highlight w:val="none"/>
        </w:rPr>
      </w:pPr>
      <w:r>
        <w:rPr>
          <w:rFonts w:hint="eastAsia" w:hAnsi="宋体" w:cs="宋体"/>
          <w:b/>
          <w:color w:val="auto"/>
          <w:sz w:val="24"/>
          <w:szCs w:val="24"/>
          <w:highlight w:val="none"/>
        </w:rPr>
        <w:t>说明：</w:t>
      </w:r>
    </w:p>
    <w:p w14:paraId="60E07C21">
      <w:pPr>
        <w:pStyle w:val="230"/>
        <w:spacing w:line="360" w:lineRule="auto"/>
        <w:ind w:left="25" w:firstLine="354"/>
        <w:rPr>
          <w:rFonts w:hint="eastAsia" w:hAnsi="宋体" w:cs="宋体"/>
          <w:b/>
          <w:bCs/>
          <w:color w:val="auto"/>
          <w:sz w:val="24"/>
          <w:szCs w:val="24"/>
          <w:highlight w:val="none"/>
        </w:rPr>
      </w:pPr>
      <w:r>
        <w:rPr>
          <w:rFonts w:hint="eastAsia" w:hAnsi="宋体" w:cs="宋体"/>
          <w:b/>
          <w:color w:val="auto"/>
          <w:sz w:val="24"/>
          <w:szCs w:val="24"/>
          <w:highlight w:val="none"/>
        </w:rPr>
        <w:t>1.供应商提出质疑时，应提交质疑函和必要的证明材料</w:t>
      </w:r>
      <w:r>
        <w:rPr>
          <w:rFonts w:hint="eastAsia" w:hAnsi="宋体" w:cs="宋体"/>
          <w:b/>
          <w:bCs/>
          <w:color w:val="auto"/>
          <w:sz w:val="24"/>
          <w:szCs w:val="24"/>
          <w:highlight w:val="none"/>
        </w:rPr>
        <w:t>。</w:t>
      </w:r>
    </w:p>
    <w:p w14:paraId="6764CF66">
      <w:pPr>
        <w:pStyle w:val="230"/>
        <w:spacing w:line="360" w:lineRule="auto"/>
        <w:ind w:left="25" w:firstLine="354"/>
        <w:rPr>
          <w:rFonts w:hint="eastAsia" w:hAnsi="宋体" w:cs="宋体"/>
          <w:b/>
          <w:color w:val="auto"/>
          <w:sz w:val="24"/>
          <w:szCs w:val="24"/>
          <w:highlight w:val="none"/>
        </w:rPr>
      </w:pPr>
      <w:r>
        <w:rPr>
          <w:rFonts w:hint="eastAsia" w:hAnsi="宋体" w:cs="宋体"/>
          <w:b/>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5DB845CE">
      <w:pPr>
        <w:pStyle w:val="230"/>
        <w:spacing w:line="360" w:lineRule="auto"/>
        <w:ind w:left="25" w:firstLine="354"/>
        <w:rPr>
          <w:rFonts w:hint="eastAsia" w:hAnsi="宋体" w:cs="宋体"/>
          <w:b/>
          <w:color w:val="auto"/>
          <w:sz w:val="24"/>
          <w:szCs w:val="24"/>
          <w:highlight w:val="none"/>
        </w:rPr>
      </w:pPr>
      <w:r>
        <w:rPr>
          <w:rFonts w:hint="eastAsia" w:hAnsi="宋体" w:cs="宋体"/>
          <w:b/>
          <w:color w:val="auto"/>
          <w:sz w:val="24"/>
          <w:szCs w:val="24"/>
          <w:highlight w:val="none"/>
        </w:rPr>
        <w:t>3.质疑函的质疑事项应具体、明确，并有必要的事实依据和法律依据。</w:t>
      </w:r>
    </w:p>
    <w:p w14:paraId="29363C53">
      <w:pPr>
        <w:pStyle w:val="230"/>
        <w:spacing w:line="360" w:lineRule="auto"/>
        <w:ind w:left="25" w:firstLine="354"/>
        <w:rPr>
          <w:rFonts w:hint="eastAsia" w:hAnsi="宋体" w:cs="宋体"/>
          <w:b/>
          <w:color w:val="auto"/>
          <w:sz w:val="24"/>
          <w:szCs w:val="24"/>
          <w:highlight w:val="none"/>
        </w:rPr>
      </w:pPr>
      <w:r>
        <w:rPr>
          <w:rFonts w:hint="eastAsia" w:hAnsi="宋体" w:cs="宋体"/>
          <w:b/>
          <w:color w:val="auto"/>
          <w:sz w:val="24"/>
          <w:szCs w:val="24"/>
          <w:highlight w:val="none"/>
        </w:rPr>
        <w:t>4.质疑函的质疑请求应与质疑事项相关。</w:t>
      </w:r>
    </w:p>
    <w:p w14:paraId="7CF2DDEC">
      <w:pPr>
        <w:pStyle w:val="230"/>
        <w:spacing w:line="360" w:lineRule="auto"/>
        <w:ind w:left="25" w:firstLine="354"/>
        <w:rPr>
          <w:rFonts w:hint="eastAsia" w:hAnsi="宋体" w:cs="宋体"/>
          <w:b/>
          <w:color w:val="auto"/>
          <w:highlight w:val="none"/>
        </w:rPr>
      </w:pPr>
      <w:r>
        <w:rPr>
          <w:rFonts w:hint="eastAsia" w:hAnsi="宋体" w:cs="宋体"/>
          <w:b/>
          <w:color w:val="auto"/>
          <w:sz w:val="24"/>
          <w:szCs w:val="24"/>
          <w:highlight w:val="none"/>
        </w:rPr>
        <w:t>5.质疑供应商为法人或者其他组织的，质疑函应由法定代表人、主要负责人，或者其授权代表签字或者盖章，并加盖公章。</w:t>
      </w:r>
    </w:p>
    <w:p w14:paraId="7B984B6C">
      <w:pPr>
        <w:spacing w:line="460" w:lineRule="exact"/>
        <w:rPr>
          <w:rFonts w:hint="eastAsia" w:ascii="宋体" w:hAnsi="宋体" w:cs="宋体"/>
          <w:color w:val="auto"/>
          <w:sz w:val="44"/>
          <w:highlight w:val="none"/>
        </w:rPr>
      </w:pPr>
    </w:p>
    <w:p w14:paraId="7CD51292">
      <w:pPr>
        <w:spacing w:line="360" w:lineRule="auto"/>
        <w:jc w:val="left"/>
        <w:rPr>
          <w:rFonts w:hint="eastAsia" w:ascii="宋体" w:hAnsi="宋体" w:cs="宋体"/>
          <w:b/>
          <w:color w:val="auto"/>
          <w:sz w:val="24"/>
          <w:highlight w:val="none"/>
        </w:rPr>
      </w:pPr>
      <w:r>
        <w:rPr>
          <w:rFonts w:hint="eastAsia" w:ascii="宋体" w:hAnsi="宋体" w:cs="宋体"/>
          <w:b/>
          <w:color w:val="auto"/>
          <w:sz w:val="24"/>
          <w:highlight w:val="none"/>
        </w:rPr>
        <w:br w:type="page" w:clear="all"/>
      </w:r>
      <w:r>
        <w:rPr>
          <w:rFonts w:hint="eastAsia" w:ascii="宋体" w:hAnsi="宋体" w:cs="宋体"/>
          <w:b/>
          <w:color w:val="auto"/>
          <w:sz w:val="24"/>
          <w:highlight w:val="none"/>
        </w:rPr>
        <w:t>5.投诉书（格式）</w:t>
      </w:r>
    </w:p>
    <w:p w14:paraId="39B0B5B2">
      <w:pPr>
        <w:spacing w:line="360" w:lineRule="auto"/>
        <w:jc w:val="center"/>
        <w:rPr>
          <w:rFonts w:hint="eastAsia" w:ascii="宋体" w:hAnsi="宋体" w:cs="宋体"/>
          <w:color w:val="auto"/>
          <w:sz w:val="44"/>
          <w:szCs w:val="44"/>
          <w:highlight w:val="none"/>
        </w:rPr>
      </w:pPr>
      <w:r>
        <w:rPr>
          <w:rFonts w:hint="eastAsia" w:ascii="宋体" w:hAnsi="宋体" w:cs="宋体"/>
          <w:color w:val="auto"/>
          <w:sz w:val="44"/>
          <w:szCs w:val="44"/>
          <w:highlight w:val="none"/>
        </w:rPr>
        <w:t>投诉书（格式）</w:t>
      </w:r>
    </w:p>
    <w:p w14:paraId="07B08F85">
      <w:pPr>
        <w:pStyle w:val="230"/>
        <w:spacing w:line="360" w:lineRule="auto"/>
        <w:ind w:firstLine="482"/>
        <w:rPr>
          <w:rFonts w:hint="eastAsia" w:hAnsi="宋体" w:cs="宋体"/>
          <w:b/>
          <w:bCs/>
          <w:color w:val="auto"/>
          <w:sz w:val="24"/>
          <w:szCs w:val="24"/>
          <w:highlight w:val="none"/>
        </w:rPr>
      </w:pPr>
      <w:r>
        <w:rPr>
          <w:rFonts w:hint="eastAsia" w:hAnsi="宋体" w:cs="宋体"/>
          <w:b/>
          <w:bCs/>
          <w:color w:val="auto"/>
          <w:sz w:val="24"/>
          <w:szCs w:val="24"/>
          <w:highlight w:val="none"/>
        </w:rPr>
        <w:t>一、投诉相关主体基本情况：</w:t>
      </w:r>
    </w:p>
    <w:p w14:paraId="6FABCDEF">
      <w:pPr>
        <w:pStyle w:val="230"/>
        <w:spacing w:line="360" w:lineRule="auto"/>
        <w:ind w:firstLine="480"/>
        <w:jc w:val="left"/>
        <w:rPr>
          <w:rFonts w:hint="eastAsia" w:hAnsi="宋体" w:cs="宋体"/>
          <w:bCs/>
          <w:color w:val="auto"/>
          <w:sz w:val="24"/>
          <w:szCs w:val="24"/>
          <w:highlight w:val="none"/>
          <w:u w:val="single"/>
        </w:rPr>
      </w:pPr>
      <w:r>
        <w:rPr>
          <w:rFonts w:hint="eastAsia" w:hAnsi="宋体" w:cs="宋体"/>
          <w:bCs/>
          <w:color w:val="auto"/>
          <w:sz w:val="24"/>
          <w:szCs w:val="24"/>
          <w:highlight w:val="none"/>
        </w:rPr>
        <w:t>投标人：</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40CA8561">
      <w:pPr>
        <w:pStyle w:val="230"/>
        <w:spacing w:line="360" w:lineRule="auto"/>
        <w:ind w:firstLine="480"/>
        <w:jc w:val="left"/>
        <w:rPr>
          <w:rFonts w:hint="eastAsia" w:hAnsi="宋体" w:cs="宋体"/>
          <w:bCs/>
          <w:color w:val="auto"/>
          <w:sz w:val="24"/>
          <w:szCs w:val="24"/>
          <w:highlight w:val="non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邮编：</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613EBF5B">
      <w:pPr>
        <w:pStyle w:val="230"/>
        <w:spacing w:line="360" w:lineRule="auto"/>
        <w:ind w:firstLine="480"/>
        <w:jc w:val="left"/>
        <w:rPr>
          <w:rFonts w:hint="eastAsia" w:hAnsi="宋体" w:cs="宋体"/>
          <w:bCs/>
          <w:color w:val="auto"/>
          <w:sz w:val="24"/>
          <w:szCs w:val="24"/>
          <w:highlight w:val="none"/>
          <w:u w:val="single"/>
        </w:rPr>
      </w:pPr>
      <w:r>
        <w:rPr>
          <w:rFonts w:hint="eastAsia" w:hAnsi="宋体" w:cs="宋体"/>
          <w:bCs/>
          <w:color w:val="auto"/>
          <w:sz w:val="24"/>
          <w:szCs w:val="24"/>
          <w:highlight w:val="none"/>
        </w:rPr>
        <w:t>法定代表人/主要负责人：</w:t>
      </w:r>
      <w:r>
        <w:rPr>
          <w:rFonts w:hint="eastAsia" w:hAnsi="宋体" w:cs="宋体"/>
          <w:bCs/>
          <w:color w:val="auto"/>
          <w:sz w:val="24"/>
          <w:szCs w:val="24"/>
          <w:highlight w:val="none"/>
          <w:u w:val="single"/>
        </w:rPr>
        <w:t xml:space="preserve">                                                         </w:t>
      </w:r>
    </w:p>
    <w:p w14:paraId="5B075377">
      <w:pPr>
        <w:pStyle w:val="230"/>
        <w:spacing w:line="360" w:lineRule="auto"/>
        <w:ind w:firstLine="480"/>
        <w:jc w:val="left"/>
        <w:rPr>
          <w:rFonts w:hint="eastAsia" w:hAnsi="宋体" w:cs="宋体"/>
          <w:bCs/>
          <w:color w:val="auto"/>
          <w:sz w:val="24"/>
          <w:szCs w:val="24"/>
          <w:highlight w:val="none"/>
        </w:rPr>
      </w:pPr>
      <w:r>
        <w:rPr>
          <w:rFonts w:hint="eastAsia" w:hAnsi="宋体" w:cs="宋体"/>
          <w:bCs/>
          <w:color w:val="auto"/>
          <w:sz w:val="24"/>
          <w:szCs w:val="24"/>
          <w:highlight w:val="none"/>
        </w:rPr>
        <w:t>联系电话：</w:t>
      </w:r>
      <w:r>
        <w:rPr>
          <w:rFonts w:hint="eastAsia" w:hAnsi="宋体" w:cs="宋体"/>
          <w:bCs/>
          <w:color w:val="auto"/>
          <w:sz w:val="24"/>
          <w:szCs w:val="24"/>
          <w:highlight w:val="none"/>
          <w:u w:val="single"/>
        </w:rPr>
        <w:t xml:space="preserve">                                         </w:t>
      </w:r>
    </w:p>
    <w:p w14:paraId="5F948786">
      <w:pPr>
        <w:pStyle w:val="230"/>
        <w:spacing w:line="360" w:lineRule="auto"/>
        <w:ind w:firstLine="480"/>
        <w:jc w:val="left"/>
        <w:rPr>
          <w:rFonts w:hint="eastAsia" w:hAnsi="宋体" w:cs="宋体"/>
          <w:bCs/>
          <w:color w:val="auto"/>
          <w:sz w:val="24"/>
          <w:szCs w:val="24"/>
          <w:highlight w:val="none"/>
          <w:u w:val="single"/>
        </w:rPr>
      </w:pPr>
      <w:r>
        <w:rPr>
          <w:rFonts w:hint="eastAsia" w:hAnsi="宋体" w:cs="宋体"/>
          <w:bCs/>
          <w:color w:val="auto"/>
          <w:sz w:val="24"/>
          <w:szCs w:val="24"/>
          <w:highlight w:val="none"/>
        </w:rPr>
        <w:t>授权代表：</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联系电话：</w:t>
      </w:r>
      <w:r>
        <w:rPr>
          <w:rFonts w:hint="eastAsia" w:hAnsi="宋体" w:cs="宋体"/>
          <w:bCs/>
          <w:color w:val="auto"/>
          <w:sz w:val="24"/>
          <w:szCs w:val="24"/>
          <w:highlight w:val="none"/>
          <w:u w:val="single"/>
        </w:rPr>
        <w:t xml:space="preserve">                   </w:t>
      </w:r>
    </w:p>
    <w:p w14:paraId="5D4AD967">
      <w:pPr>
        <w:pStyle w:val="230"/>
        <w:spacing w:line="360" w:lineRule="auto"/>
        <w:ind w:firstLine="480"/>
        <w:jc w:val="left"/>
        <w:rPr>
          <w:rFonts w:hint="eastAsia" w:hAnsi="宋体" w:cs="宋体"/>
          <w:bCs/>
          <w:color w:val="auto"/>
          <w:sz w:val="24"/>
          <w:szCs w:val="24"/>
          <w:highlight w:val="none"/>
          <w:u w:val="singl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p>
    <w:p w14:paraId="1E42E849">
      <w:pPr>
        <w:pStyle w:val="230"/>
        <w:spacing w:line="360" w:lineRule="auto"/>
        <w:ind w:firstLine="480"/>
        <w:jc w:val="left"/>
        <w:rPr>
          <w:rFonts w:hint="eastAsia" w:hAnsi="宋体" w:cs="宋体"/>
          <w:bCs/>
          <w:color w:val="auto"/>
          <w:sz w:val="24"/>
          <w:szCs w:val="24"/>
          <w:highlight w:val="none"/>
        </w:rPr>
      </w:pPr>
      <w:r>
        <w:rPr>
          <w:rFonts w:hint="eastAsia" w:hAnsi="宋体" w:cs="宋体"/>
          <w:bCs/>
          <w:color w:val="auto"/>
          <w:sz w:val="24"/>
          <w:szCs w:val="24"/>
          <w:highlight w:val="none"/>
        </w:rPr>
        <w:t>邮编：</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5E1CE488">
      <w:pPr>
        <w:pStyle w:val="230"/>
        <w:spacing w:line="360" w:lineRule="auto"/>
        <w:ind w:firstLine="480"/>
        <w:jc w:val="left"/>
        <w:rPr>
          <w:rFonts w:hint="eastAsia" w:hAnsi="宋体" w:cs="宋体"/>
          <w:bCs/>
          <w:color w:val="auto"/>
          <w:sz w:val="24"/>
          <w:szCs w:val="24"/>
          <w:highlight w:val="none"/>
        </w:rPr>
      </w:pPr>
      <w:r>
        <w:rPr>
          <w:rFonts w:hint="eastAsia" w:hAnsi="宋体" w:cs="宋体"/>
          <w:bCs/>
          <w:color w:val="auto"/>
          <w:sz w:val="24"/>
          <w:szCs w:val="24"/>
          <w:highlight w:val="none"/>
        </w:rPr>
        <w:t>被投诉人1：</w:t>
      </w:r>
    </w:p>
    <w:p w14:paraId="7D7EC8F3">
      <w:pPr>
        <w:pStyle w:val="230"/>
        <w:spacing w:line="360" w:lineRule="auto"/>
        <w:ind w:firstLine="480"/>
        <w:jc w:val="left"/>
        <w:rPr>
          <w:rFonts w:hint="eastAsia" w:hAnsi="宋体" w:cs="宋体"/>
          <w:bCs/>
          <w:color w:val="auto"/>
          <w:sz w:val="24"/>
          <w:szCs w:val="24"/>
          <w:highlight w:val="none"/>
          <w:u w:val="singl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p>
    <w:p w14:paraId="7D78D8F3">
      <w:pPr>
        <w:pStyle w:val="230"/>
        <w:spacing w:line="360" w:lineRule="auto"/>
        <w:ind w:firstLine="480"/>
        <w:jc w:val="left"/>
        <w:rPr>
          <w:rFonts w:hint="eastAsia" w:hAnsi="宋体" w:cs="宋体"/>
          <w:bCs/>
          <w:color w:val="auto"/>
          <w:sz w:val="24"/>
          <w:szCs w:val="24"/>
          <w:highlight w:val="none"/>
        </w:rPr>
      </w:pPr>
      <w:r>
        <w:rPr>
          <w:rFonts w:hint="eastAsia" w:hAnsi="宋体" w:cs="宋体"/>
          <w:bCs/>
          <w:color w:val="auto"/>
          <w:sz w:val="24"/>
          <w:szCs w:val="24"/>
          <w:highlight w:val="none"/>
        </w:rPr>
        <w:t>邮编：</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7749F352">
      <w:pPr>
        <w:pStyle w:val="230"/>
        <w:spacing w:line="360" w:lineRule="auto"/>
        <w:ind w:firstLine="480"/>
        <w:jc w:val="left"/>
        <w:rPr>
          <w:rFonts w:hint="eastAsia" w:hAnsi="宋体" w:cs="宋体"/>
          <w:bCs/>
          <w:color w:val="auto"/>
          <w:sz w:val="24"/>
          <w:szCs w:val="24"/>
          <w:highlight w:val="none"/>
          <w:u w:val="single"/>
        </w:rPr>
      </w:pPr>
      <w:r>
        <w:rPr>
          <w:rFonts w:hint="eastAsia" w:hAnsi="宋体" w:cs="宋体"/>
          <w:bCs/>
          <w:color w:val="auto"/>
          <w:sz w:val="24"/>
          <w:szCs w:val="24"/>
          <w:highlight w:val="none"/>
        </w:rPr>
        <w:t>联系人：</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联系电话：</w:t>
      </w:r>
      <w:r>
        <w:rPr>
          <w:rFonts w:hint="eastAsia" w:hAnsi="宋体" w:cs="宋体"/>
          <w:bCs/>
          <w:color w:val="auto"/>
          <w:sz w:val="24"/>
          <w:szCs w:val="24"/>
          <w:highlight w:val="none"/>
          <w:u w:val="single"/>
        </w:rPr>
        <w:t xml:space="preserve">                </w:t>
      </w:r>
    </w:p>
    <w:p w14:paraId="6325E29D">
      <w:pPr>
        <w:pStyle w:val="230"/>
        <w:spacing w:line="360" w:lineRule="auto"/>
        <w:ind w:firstLine="480"/>
        <w:jc w:val="left"/>
        <w:rPr>
          <w:rFonts w:hint="eastAsia" w:hAnsi="宋体" w:cs="宋体"/>
          <w:bCs/>
          <w:color w:val="auto"/>
          <w:sz w:val="24"/>
          <w:szCs w:val="24"/>
          <w:highlight w:val="none"/>
        </w:rPr>
      </w:pPr>
      <w:r>
        <w:rPr>
          <w:rFonts w:hint="eastAsia" w:hAnsi="宋体" w:cs="宋体"/>
          <w:bCs/>
          <w:color w:val="auto"/>
          <w:sz w:val="24"/>
          <w:szCs w:val="24"/>
          <w:highlight w:val="none"/>
        </w:rPr>
        <w:t>被投诉人2：</w:t>
      </w:r>
    </w:p>
    <w:p w14:paraId="383E772D">
      <w:pPr>
        <w:pStyle w:val="230"/>
        <w:spacing w:line="360" w:lineRule="auto"/>
        <w:ind w:firstLine="480"/>
        <w:jc w:val="left"/>
        <w:rPr>
          <w:rFonts w:hint="eastAsia" w:hAnsi="宋体" w:cs="宋体"/>
          <w:bCs/>
          <w:color w:val="auto"/>
          <w:sz w:val="24"/>
          <w:szCs w:val="24"/>
          <w:highlight w:val="none"/>
        </w:rPr>
      </w:pPr>
      <w:r>
        <w:rPr>
          <w:rFonts w:hint="eastAsia" w:hAnsi="宋体" w:cs="宋体"/>
          <w:bCs/>
          <w:color w:val="auto"/>
          <w:sz w:val="24"/>
          <w:szCs w:val="24"/>
          <w:highlight w:val="none"/>
        </w:rPr>
        <w:t>……</w:t>
      </w:r>
    </w:p>
    <w:p w14:paraId="0716D139">
      <w:pPr>
        <w:pStyle w:val="230"/>
        <w:spacing w:line="360" w:lineRule="auto"/>
        <w:ind w:firstLine="480"/>
        <w:jc w:val="left"/>
        <w:rPr>
          <w:rFonts w:hint="eastAsia" w:hAnsi="宋体" w:cs="宋体"/>
          <w:bCs/>
          <w:color w:val="auto"/>
          <w:sz w:val="24"/>
          <w:szCs w:val="24"/>
          <w:highlight w:val="none"/>
          <w:u w:val="single"/>
        </w:rPr>
      </w:pPr>
      <w:r>
        <w:rPr>
          <w:rFonts w:hint="eastAsia" w:hAnsi="宋体" w:cs="宋体"/>
          <w:bCs/>
          <w:color w:val="auto"/>
          <w:sz w:val="24"/>
          <w:szCs w:val="24"/>
          <w:highlight w:val="none"/>
        </w:rPr>
        <w:t>相关供应商：</w:t>
      </w:r>
      <w:r>
        <w:rPr>
          <w:rFonts w:hint="eastAsia" w:hAnsi="宋体" w:cs="宋体"/>
          <w:bCs/>
          <w:color w:val="auto"/>
          <w:sz w:val="24"/>
          <w:szCs w:val="24"/>
          <w:highlight w:val="none"/>
          <w:u w:val="single"/>
        </w:rPr>
        <w:t xml:space="preserve">                                                                       </w:t>
      </w:r>
    </w:p>
    <w:p w14:paraId="6F445D06">
      <w:pPr>
        <w:pStyle w:val="230"/>
        <w:spacing w:line="360" w:lineRule="auto"/>
        <w:ind w:firstLine="480"/>
        <w:jc w:val="left"/>
        <w:rPr>
          <w:rFonts w:hint="eastAsia" w:hAnsi="宋体" w:cs="宋体"/>
          <w:bCs/>
          <w:color w:val="auto"/>
          <w:sz w:val="24"/>
          <w:szCs w:val="24"/>
          <w:highlight w:val="none"/>
          <w:u w:val="singl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邮编：</w:t>
      </w:r>
      <w:r>
        <w:rPr>
          <w:rFonts w:hint="eastAsia" w:hAnsi="宋体" w:cs="宋体"/>
          <w:bCs/>
          <w:color w:val="auto"/>
          <w:sz w:val="24"/>
          <w:szCs w:val="24"/>
          <w:highlight w:val="none"/>
          <w:u w:val="single"/>
        </w:rPr>
        <w:t xml:space="preserve">                         </w:t>
      </w:r>
    </w:p>
    <w:p w14:paraId="4420759A">
      <w:pPr>
        <w:pStyle w:val="230"/>
        <w:spacing w:line="360" w:lineRule="auto"/>
        <w:ind w:firstLine="480"/>
        <w:jc w:val="left"/>
        <w:rPr>
          <w:rFonts w:hint="eastAsia" w:hAnsi="宋体" w:cs="宋体"/>
          <w:bCs/>
          <w:color w:val="auto"/>
          <w:sz w:val="24"/>
          <w:szCs w:val="24"/>
          <w:highlight w:val="none"/>
        </w:rPr>
      </w:pPr>
      <w:r>
        <w:rPr>
          <w:rFonts w:hint="eastAsia" w:hAnsi="宋体" w:cs="宋体"/>
          <w:bCs/>
          <w:color w:val="auto"/>
          <w:sz w:val="24"/>
          <w:szCs w:val="24"/>
          <w:highlight w:val="none"/>
        </w:rPr>
        <w:t>联系人：</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联系电话：</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3CB06C7A">
      <w:pPr>
        <w:pStyle w:val="230"/>
        <w:spacing w:line="360" w:lineRule="auto"/>
        <w:ind w:firstLine="482"/>
        <w:rPr>
          <w:rFonts w:hint="eastAsia" w:hAnsi="宋体" w:cs="宋体"/>
          <w:b/>
          <w:bCs/>
          <w:color w:val="auto"/>
          <w:sz w:val="24"/>
          <w:szCs w:val="24"/>
          <w:highlight w:val="none"/>
        </w:rPr>
      </w:pPr>
      <w:r>
        <w:rPr>
          <w:rFonts w:hint="eastAsia" w:hAnsi="宋体" w:cs="宋体"/>
          <w:b/>
          <w:bCs/>
          <w:color w:val="auto"/>
          <w:sz w:val="24"/>
          <w:szCs w:val="24"/>
          <w:highlight w:val="none"/>
        </w:rPr>
        <w:t>二、投诉项目基本情况：</w:t>
      </w:r>
    </w:p>
    <w:p w14:paraId="1C1AE74C">
      <w:pPr>
        <w:pStyle w:val="230"/>
        <w:spacing w:line="360" w:lineRule="auto"/>
        <w:ind w:left="25" w:firstLine="472"/>
        <w:rPr>
          <w:rFonts w:hint="eastAsia" w:hAnsi="宋体" w:cs="宋体"/>
          <w:color w:val="auto"/>
          <w:sz w:val="24"/>
          <w:szCs w:val="24"/>
          <w:highlight w:val="none"/>
        </w:rPr>
      </w:pPr>
      <w:r>
        <w:rPr>
          <w:rFonts w:hint="eastAsia" w:hAnsi="宋体" w:cs="宋体"/>
          <w:bCs/>
          <w:color w:val="auto"/>
          <w:sz w:val="24"/>
          <w:szCs w:val="24"/>
          <w:highlight w:val="none"/>
        </w:rPr>
        <w:t>采购</w:t>
      </w:r>
      <w:r>
        <w:rPr>
          <w:rFonts w:hint="eastAsia" w:hAnsi="宋体" w:cs="宋体"/>
          <w:color w:val="auto"/>
          <w:sz w:val="24"/>
          <w:szCs w:val="24"/>
          <w:highlight w:val="none"/>
        </w:rPr>
        <w:t>项目的名称：</w:t>
      </w:r>
      <w:r>
        <w:rPr>
          <w:rFonts w:hint="eastAsia" w:hAnsi="宋体" w:cs="宋体"/>
          <w:bCs/>
          <w:color w:val="auto"/>
          <w:sz w:val="24"/>
          <w:szCs w:val="24"/>
          <w:highlight w:val="none"/>
          <w:u w:val="single"/>
        </w:rPr>
        <w:t xml:space="preserve">                                                                   </w:t>
      </w:r>
    </w:p>
    <w:p w14:paraId="4FAFBEA9">
      <w:pPr>
        <w:pStyle w:val="230"/>
        <w:spacing w:line="360" w:lineRule="auto"/>
        <w:ind w:left="25" w:firstLine="472"/>
        <w:rPr>
          <w:rFonts w:hint="eastAsia" w:hAnsi="宋体" w:cs="宋体"/>
          <w:color w:val="auto"/>
          <w:sz w:val="24"/>
          <w:szCs w:val="24"/>
          <w:highlight w:val="none"/>
        </w:rPr>
      </w:pPr>
      <w:r>
        <w:rPr>
          <w:rFonts w:hint="eastAsia" w:hAnsi="宋体" w:cs="宋体"/>
          <w:bCs/>
          <w:color w:val="auto"/>
          <w:sz w:val="24"/>
          <w:szCs w:val="24"/>
          <w:highlight w:val="none"/>
        </w:rPr>
        <w:t>采购</w:t>
      </w:r>
      <w:r>
        <w:rPr>
          <w:rFonts w:hint="eastAsia" w:hAnsi="宋体" w:cs="宋体"/>
          <w:color w:val="auto"/>
          <w:sz w:val="24"/>
          <w:szCs w:val="24"/>
          <w:highlight w:val="none"/>
        </w:rPr>
        <w:t>项目的编号：</w:t>
      </w:r>
      <w:r>
        <w:rPr>
          <w:rFonts w:hint="eastAsia" w:hAnsi="宋体" w:cs="宋体"/>
          <w:bCs/>
          <w:color w:val="auto"/>
          <w:sz w:val="24"/>
          <w:szCs w:val="24"/>
          <w:highlight w:val="none"/>
          <w:u w:val="single"/>
        </w:rPr>
        <w:t xml:space="preserve">                                          </w:t>
      </w:r>
    </w:p>
    <w:p w14:paraId="1C3732D2">
      <w:pPr>
        <w:pStyle w:val="230"/>
        <w:spacing w:line="360" w:lineRule="auto"/>
        <w:ind w:left="25" w:firstLine="472"/>
        <w:rPr>
          <w:rFonts w:hint="eastAsia" w:hAnsi="宋体" w:cs="宋体"/>
          <w:bCs/>
          <w:color w:val="auto"/>
          <w:sz w:val="24"/>
          <w:szCs w:val="24"/>
          <w:highlight w:val="none"/>
          <w:u w:val="single"/>
        </w:rPr>
      </w:pPr>
      <w:r>
        <w:rPr>
          <w:rFonts w:hint="eastAsia" w:hAnsi="宋体" w:cs="宋体"/>
          <w:color w:val="auto"/>
          <w:sz w:val="24"/>
          <w:szCs w:val="24"/>
          <w:highlight w:val="none"/>
        </w:rPr>
        <w:t>采购人名称：</w:t>
      </w:r>
      <w:r>
        <w:rPr>
          <w:rFonts w:hint="eastAsia" w:hAnsi="宋体" w:cs="宋体"/>
          <w:bCs/>
          <w:color w:val="auto"/>
          <w:sz w:val="24"/>
          <w:szCs w:val="24"/>
          <w:highlight w:val="none"/>
          <w:u w:val="single"/>
        </w:rPr>
        <w:t xml:space="preserve">                                                                        </w:t>
      </w:r>
    </w:p>
    <w:p w14:paraId="405C042A">
      <w:pPr>
        <w:pStyle w:val="230"/>
        <w:spacing w:line="360" w:lineRule="auto"/>
        <w:ind w:left="25" w:firstLine="472"/>
        <w:rPr>
          <w:rFonts w:hint="eastAsia" w:hAnsi="宋体" w:cs="宋体"/>
          <w:bCs/>
          <w:color w:val="auto"/>
          <w:sz w:val="24"/>
          <w:szCs w:val="24"/>
          <w:highlight w:val="none"/>
          <w:u w:val="single"/>
        </w:rPr>
      </w:pPr>
      <w:r>
        <w:rPr>
          <w:rFonts w:hint="eastAsia" w:hAnsi="宋体" w:cs="宋体"/>
          <w:color w:val="auto"/>
          <w:sz w:val="24"/>
          <w:szCs w:val="24"/>
          <w:highlight w:val="none"/>
        </w:rPr>
        <w:t>代理机构名称：</w:t>
      </w:r>
      <w:r>
        <w:rPr>
          <w:rFonts w:hint="eastAsia" w:hAnsi="宋体" w:cs="宋体"/>
          <w:bCs/>
          <w:color w:val="auto"/>
          <w:sz w:val="24"/>
          <w:szCs w:val="24"/>
          <w:highlight w:val="none"/>
          <w:u w:val="single"/>
        </w:rPr>
        <w:t xml:space="preserve">                                                                      </w:t>
      </w:r>
    </w:p>
    <w:p w14:paraId="718674A3">
      <w:pPr>
        <w:pStyle w:val="230"/>
        <w:spacing w:line="360" w:lineRule="auto"/>
        <w:ind w:left="25" w:firstLine="472"/>
        <w:rPr>
          <w:rFonts w:hint="eastAsia" w:hAnsi="宋体" w:cs="宋体"/>
          <w:bCs/>
          <w:color w:val="auto"/>
          <w:sz w:val="24"/>
          <w:szCs w:val="24"/>
          <w:highlight w:val="none"/>
          <w:u w:val="single"/>
        </w:rPr>
      </w:pPr>
      <w:r>
        <w:rPr>
          <w:rFonts w:hint="eastAsia" w:hAnsi="宋体" w:cs="宋体"/>
          <w:bCs/>
          <w:color w:val="auto"/>
          <w:sz w:val="24"/>
          <w:szCs w:val="24"/>
          <w:highlight w:val="none"/>
        </w:rPr>
        <w:t>采购文件公告：</w:t>
      </w:r>
      <w:r>
        <w:rPr>
          <w:rFonts w:hint="eastAsia" w:hAnsi="宋体" w:cs="宋体"/>
          <w:bCs/>
          <w:color w:val="auto"/>
          <w:sz w:val="24"/>
          <w:szCs w:val="24"/>
          <w:highlight w:val="none"/>
          <w:u w:val="single"/>
        </w:rPr>
        <w:t>是/否</w:t>
      </w:r>
      <w:r>
        <w:rPr>
          <w:rFonts w:hint="eastAsia" w:hAnsi="宋体" w:cs="宋体"/>
          <w:bCs/>
          <w:color w:val="auto"/>
          <w:sz w:val="24"/>
          <w:szCs w:val="24"/>
          <w:highlight w:val="none"/>
        </w:rPr>
        <w:t>公告期限：</w:t>
      </w:r>
      <w:r>
        <w:rPr>
          <w:rFonts w:hint="eastAsia" w:hAnsi="宋体" w:cs="宋体"/>
          <w:bCs/>
          <w:color w:val="auto"/>
          <w:sz w:val="24"/>
          <w:szCs w:val="24"/>
          <w:highlight w:val="none"/>
          <w:u w:val="single"/>
        </w:rPr>
        <w:t xml:space="preserve">                                                       </w:t>
      </w:r>
    </w:p>
    <w:p w14:paraId="57492EDB">
      <w:pPr>
        <w:pStyle w:val="230"/>
        <w:spacing w:line="360" w:lineRule="auto"/>
        <w:ind w:left="25" w:firstLine="472"/>
        <w:rPr>
          <w:rFonts w:hint="eastAsia" w:hAnsi="宋体" w:cs="宋体"/>
          <w:b/>
          <w:color w:val="auto"/>
          <w:sz w:val="24"/>
          <w:szCs w:val="24"/>
          <w:highlight w:val="none"/>
        </w:rPr>
      </w:pPr>
      <w:r>
        <w:rPr>
          <w:rFonts w:hint="eastAsia" w:hAnsi="宋体" w:cs="宋体"/>
          <w:bCs/>
          <w:color w:val="auto"/>
          <w:sz w:val="24"/>
          <w:szCs w:val="24"/>
          <w:highlight w:val="none"/>
        </w:rPr>
        <w:t>采购结果公告：</w:t>
      </w:r>
      <w:r>
        <w:rPr>
          <w:rFonts w:hint="eastAsia" w:hAnsi="宋体" w:cs="宋体"/>
          <w:bCs/>
          <w:color w:val="auto"/>
          <w:sz w:val="24"/>
          <w:szCs w:val="24"/>
          <w:highlight w:val="none"/>
          <w:u w:val="single"/>
        </w:rPr>
        <w:t>是/否</w:t>
      </w:r>
      <w:r>
        <w:rPr>
          <w:rFonts w:hint="eastAsia" w:hAnsi="宋体" w:cs="宋体"/>
          <w:bCs/>
          <w:color w:val="auto"/>
          <w:sz w:val="24"/>
          <w:szCs w:val="24"/>
          <w:highlight w:val="none"/>
        </w:rPr>
        <w:t>公告期限：</w:t>
      </w:r>
      <w:r>
        <w:rPr>
          <w:rFonts w:hint="eastAsia" w:hAnsi="宋体" w:cs="宋体"/>
          <w:bCs/>
          <w:color w:val="auto"/>
          <w:sz w:val="24"/>
          <w:szCs w:val="24"/>
          <w:highlight w:val="none"/>
          <w:u w:val="single"/>
        </w:rPr>
        <w:t xml:space="preserve">                                                       </w:t>
      </w:r>
    </w:p>
    <w:p w14:paraId="10AF7B64">
      <w:pPr>
        <w:pStyle w:val="230"/>
        <w:spacing w:line="360" w:lineRule="auto"/>
        <w:ind w:left="25" w:firstLine="472"/>
        <w:rPr>
          <w:rFonts w:hint="eastAsia" w:hAnsi="宋体" w:cs="宋体"/>
          <w:b/>
          <w:color w:val="auto"/>
          <w:sz w:val="24"/>
          <w:szCs w:val="24"/>
          <w:highlight w:val="none"/>
        </w:rPr>
      </w:pPr>
      <w:r>
        <w:rPr>
          <w:rFonts w:hint="eastAsia" w:hAnsi="宋体" w:cs="宋体"/>
          <w:b/>
          <w:color w:val="auto"/>
          <w:sz w:val="24"/>
          <w:szCs w:val="24"/>
          <w:highlight w:val="none"/>
        </w:rPr>
        <w:t>三、质疑基本情况</w:t>
      </w:r>
    </w:p>
    <w:p w14:paraId="3570AB2A">
      <w:pPr>
        <w:pStyle w:val="230"/>
        <w:spacing w:line="360" w:lineRule="auto"/>
        <w:ind w:left="25" w:firstLine="480"/>
        <w:rPr>
          <w:rFonts w:hint="eastAsia" w:hAnsi="宋体" w:cs="宋体"/>
          <w:color w:val="auto"/>
          <w:sz w:val="24"/>
          <w:szCs w:val="24"/>
          <w:highlight w:val="none"/>
        </w:rPr>
      </w:pPr>
      <w:r>
        <w:rPr>
          <w:rFonts w:hint="eastAsia" w:hAnsi="宋体" w:cs="宋体"/>
          <w:color w:val="auto"/>
          <w:sz w:val="24"/>
          <w:szCs w:val="24"/>
          <w:highlight w:val="none"/>
        </w:rPr>
        <w:t>投诉人于</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年</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月</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日，向</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提出质疑，质疑事项为：</w:t>
      </w:r>
    </w:p>
    <w:p w14:paraId="723B25F8">
      <w:pPr>
        <w:pStyle w:val="230"/>
        <w:spacing w:line="360" w:lineRule="auto"/>
        <w:ind w:firstLine="241"/>
        <w:rPr>
          <w:rFonts w:hint="eastAsia" w:hAnsi="宋体" w:cs="宋体"/>
          <w:bCs/>
          <w:color w:val="auto"/>
          <w:sz w:val="24"/>
          <w:szCs w:val="24"/>
          <w:highlight w:val="none"/>
          <w:u w:val="single"/>
        </w:rPr>
      </w:pPr>
      <w:r>
        <w:rPr>
          <w:rFonts w:hint="eastAsia" w:hAnsi="宋体" w:cs="宋体"/>
          <w:color w:val="auto"/>
          <w:sz w:val="24"/>
          <w:szCs w:val="24"/>
          <w:highlight w:val="none"/>
        </w:rPr>
        <w:t xml:space="preserve">    </w:t>
      </w:r>
      <w:r>
        <w:rPr>
          <w:rFonts w:hint="eastAsia" w:hAnsi="宋体" w:cs="宋体"/>
          <w:bCs/>
          <w:color w:val="auto"/>
          <w:sz w:val="24"/>
          <w:szCs w:val="24"/>
          <w:highlight w:val="none"/>
          <w:u w:val="single"/>
        </w:rPr>
        <w:t xml:space="preserve">                                                                                      </w:t>
      </w:r>
    </w:p>
    <w:p w14:paraId="17E60B60">
      <w:pPr>
        <w:pStyle w:val="230"/>
        <w:spacing w:line="360" w:lineRule="auto"/>
        <w:ind w:firstLine="241"/>
        <w:rPr>
          <w:rFonts w:hint="eastAsia" w:hAnsi="宋体" w:cs="宋体"/>
          <w:bCs/>
          <w:color w:val="auto"/>
          <w:sz w:val="24"/>
          <w:szCs w:val="24"/>
          <w:highlight w:val="none"/>
          <w:u w:val="single"/>
        </w:rPr>
      </w:pPr>
      <w:r>
        <w:rPr>
          <w:rFonts w:hint="eastAsia" w:hAnsi="宋体" w:cs="宋体"/>
          <w:bCs/>
          <w:color w:val="auto"/>
          <w:sz w:val="24"/>
          <w:szCs w:val="24"/>
          <w:highlight w:val="none"/>
        </w:rPr>
        <w:t xml:space="preserve">    </w:t>
      </w:r>
      <w:r>
        <w:rPr>
          <w:rFonts w:hint="eastAsia" w:hAnsi="宋体" w:cs="宋体"/>
          <w:bCs/>
          <w:color w:val="auto"/>
          <w:sz w:val="24"/>
          <w:szCs w:val="24"/>
          <w:highlight w:val="none"/>
          <w:u w:val="single"/>
        </w:rPr>
        <w:t xml:space="preserve">                                                                                      </w:t>
      </w:r>
    </w:p>
    <w:p w14:paraId="3E97B45A">
      <w:pPr>
        <w:pStyle w:val="230"/>
        <w:spacing w:line="360" w:lineRule="auto"/>
        <w:ind w:firstLine="480"/>
        <w:rPr>
          <w:rFonts w:hint="eastAsia" w:hAnsi="宋体" w:cs="宋体"/>
          <w:color w:val="auto"/>
          <w:sz w:val="24"/>
          <w:szCs w:val="24"/>
          <w:highlight w:val="none"/>
        </w:rPr>
      </w:pPr>
      <w:r>
        <w:rPr>
          <w:rFonts w:hint="eastAsia" w:hAnsi="宋体" w:cs="宋体"/>
          <w:bCs/>
          <w:color w:val="auto"/>
          <w:sz w:val="24"/>
          <w:szCs w:val="24"/>
          <w:highlight w:val="none"/>
          <w:u w:val="single"/>
        </w:rPr>
        <w:t>采购人/代理机构</w:t>
      </w:r>
      <w:r>
        <w:rPr>
          <w:rFonts w:hint="eastAsia" w:hAnsi="宋体" w:cs="宋体"/>
          <w:bCs/>
          <w:color w:val="auto"/>
          <w:sz w:val="24"/>
          <w:szCs w:val="24"/>
          <w:highlight w:val="none"/>
        </w:rPr>
        <w:t>于</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年</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月</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日，</w:t>
      </w:r>
      <w:r>
        <w:rPr>
          <w:rFonts w:hint="eastAsia" w:hAnsi="宋体" w:cs="宋体"/>
          <w:bCs/>
          <w:color w:val="auto"/>
          <w:sz w:val="24"/>
          <w:szCs w:val="24"/>
          <w:highlight w:val="none"/>
        </w:rPr>
        <w:t xml:space="preserve">就质疑事项作出了答复/没有在法定期限内作出答复。                                                                                             </w:t>
      </w:r>
    </w:p>
    <w:p w14:paraId="7E83B48E">
      <w:pPr>
        <w:pStyle w:val="230"/>
        <w:spacing w:line="360" w:lineRule="auto"/>
        <w:ind w:left="25" w:firstLine="472"/>
        <w:rPr>
          <w:rFonts w:hint="eastAsia" w:hAnsi="宋体" w:cs="宋体"/>
          <w:b/>
          <w:color w:val="auto"/>
          <w:sz w:val="24"/>
          <w:szCs w:val="24"/>
          <w:highlight w:val="none"/>
        </w:rPr>
      </w:pPr>
      <w:r>
        <w:rPr>
          <w:rFonts w:hint="eastAsia" w:hAnsi="宋体" w:cs="宋体"/>
          <w:b/>
          <w:color w:val="auto"/>
          <w:sz w:val="24"/>
          <w:szCs w:val="24"/>
          <w:highlight w:val="none"/>
        </w:rPr>
        <w:t>四、投诉事项具体内容</w:t>
      </w:r>
    </w:p>
    <w:p w14:paraId="330A38D8">
      <w:pPr>
        <w:pStyle w:val="230"/>
        <w:spacing w:line="360" w:lineRule="auto"/>
        <w:ind w:left="25" w:firstLine="472"/>
        <w:rPr>
          <w:rFonts w:hint="eastAsia" w:hAnsi="宋体" w:cs="宋体"/>
          <w:bCs/>
          <w:color w:val="auto"/>
          <w:sz w:val="24"/>
          <w:szCs w:val="24"/>
          <w:highlight w:val="none"/>
          <w:u w:val="single"/>
        </w:rPr>
      </w:pPr>
      <w:r>
        <w:rPr>
          <w:rFonts w:hint="eastAsia" w:hAnsi="宋体" w:cs="宋体"/>
          <w:color w:val="auto"/>
          <w:sz w:val="24"/>
          <w:szCs w:val="24"/>
          <w:highlight w:val="none"/>
        </w:rPr>
        <w:t>投诉事项1：</w:t>
      </w:r>
      <w:r>
        <w:rPr>
          <w:rFonts w:hint="eastAsia" w:hAnsi="宋体" w:cs="宋体"/>
          <w:bCs/>
          <w:color w:val="auto"/>
          <w:sz w:val="24"/>
          <w:szCs w:val="24"/>
          <w:highlight w:val="none"/>
          <w:u w:val="single"/>
        </w:rPr>
        <w:t xml:space="preserve">                                                                           </w:t>
      </w:r>
    </w:p>
    <w:p w14:paraId="248F63BD">
      <w:pPr>
        <w:pStyle w:val="230"/>
        <w:spacing w:line="360" w:lineRule="auto"/>
        <w:ind w:firstLine="480"/>
        <w:rPr>
          <w:rFonts w:hint="eastAsia" w:hAnsi="宋体" w:cs="宋体"/>
          <w:bCs/>
          <w:color w:val="auto"/>
          <w:sz w:val="24"/>
          <w:szCs w:val="24"/>
          <w:highlight w:val="none"/>
          <w:u w:val="single"/>
        </w:rPr>
      </w:pPr>
      <w:r>
        <w:rPr>
          <w:rFonts w:hint="eastAsia" w:hAnsi="宋体" w:cs="宋体"/>
          <w:bCs/>
          <w:color w:val="auto"/>
          <w:sz w:val="24"/>
          <w:szCs w:val="24"/>
          <w:highlight w:val="none"/>
        </w:rPr>
        <w:t>事实依据：</w:t>
      </w:r>
      <w:r>
        <w:rPr>
          <w:rFonts w:hint="eastAsia" w:hAnsi="宋体" w:cs="宋体"/>
          <w:color w:val="auto"/>
          <w:sz w:val="24"/>
          <w:szCs w:val="24"/>
          <w:highlight w:val="none"/>
        </w:rPr>
        <w:t xml:space="preserve"> </w:t>
      </w:r>
      <w:r>
        <w:rPr>
          <w:rFonts w:hint="eastAsia" w:hAnsi="宋体" w:cs="宋体"/>
          <w:bCs/>
          <w:color w:val="auto"/>
          <w:sz w:val="24"/>
          <w:szCs w:val="24"/>
          <w:highlight w:val="none"/>
          <w:u w:val="single"/>
        </w:rPr>
        <w:t xml:space="preserve">                                                                                      </w:t>
      </w:r>
    </w:p>
    <w:p w14:paraId="7881027B">
      <w:pPr>
        <w:pStyle w:val="230"/>
        <w:spacing w:line="360" w:lineRule="auto"/>
        <w:ind w:left="25" w:firstLine="472"/>
        <w:rPr>
          <w:rFonts w:hint="eastAsia" w:hAnsi="宋体" w:cs="宋体"/>
          <w:color w:val="auto"/>
          <w:sz w:val="24"/>
          <w:szCs w:val="24"/>
          <w:highlight w:val="none"/>
        </w:rPr>
      </w:pPr>
      <w:r>
        <w:rPr>
          <w:rFonts w:hint="eastAsia" w:hAnsi="宋体" w:cs="宋体"/>
          <w:bCs/>
          <w:color w:val="auto"/>
          <w:sz w:val="24"/>
          <w:szCs w:val="24"/>
          <w:highlight w:val="none"/>
          <w:u w:val="single"/>
        </w:rPr>
        <w:t xml:space="preserve">                                                                                        </w:t>
      </w:r>
    </w:p>
    <w:p w14:paraId="7392FAE0">
      <w:pPr>
        <w:pStyle w:val="230"/>
        <w:spacing w:line="360" w:lineRule="auto"/>
        <w:ind w:firstLine="480"/>
        <w:rPr>
          <w:rFonts w:hint="eastAsia" w:hAnsi="宋体" w:cs="宋体"/>
          <w:bCs/>
          <w:color w:val="auto"/>
          <w:sz w:val="24"/>
          <w:szCs w:val="24"/>
          <w:highlight w:val="none"/>
          <w:u w:val="single"/>
        </w:rPr>
      </w:pPr>
      <w:r>
        <w:rPr>
          <w:rFonts w:hint="eastAsia" w:hAnsi="宋体" w:cs="宋体"/>
          <w:bCs/>
          <w:color w:val="auto"/>
          <w:sz w:val="24"/>
          <w:szCs w:val="24"/>
          <w:highlight w:val="none"/>
        </w:rPr>
        <w:t>法律依据：</w:t>
      </w:r>
      <w:r>
        <w:rPr>
          <w:rFonts w:hint="eastAsia" w:hAnsi="宋体" w:cs="宋体"/>
          <w:color w:val="auto"/>
          <w:sz w:val="24"/>
          <w:szCs w:val="24"/>
          <w:highlight w:val="none"/>
        </w:rPr>
        <w:t xml:space="preserve"> </w:t>
      </w:r>
      <w:r>
        <w:rPr>
          <w:rFonts w:hint="eastAsia" w:hAnsi="宋体" w:cs="宋体"/>
          <w:bCs/>
          <w:color w:val="auto"/>
          <w:sz w:val="24"/>
          <w:szCs w:val="24"/>
          <w:highlight w:val="none"/>
          <w:u w:val="single"/>
        </w:rPr>
        <w:t xml:space="preserve">                                                                                      </w:t>
      </w:r>
    </w:p>
    <w:p w14:paraId="2CB31337">
      <w:pPr>
        <w:pStyle w:val="230"/>
        <w:spacing w:line="360" w:lineRule="auto"/>
        <w:ind w:left="25" w:firstLine="352"/>
        <w:rPr>
          <w:rFonts w:hint="eastAsia" w:hAnsi="宋体" w:cs="宋体"/>
          <w:bCs/>
          <w:color w:val="auto"/>
          <w:sz w:val="24"/>
          <w:szCs w:val="24"/>
          <w:highlight w:val="none"/>
          <w:u w:val="single"/>
        </w:rPr>
      </w:pPr>
      <w:r>
        <w:rPr>
          <w:rFonts w:hint="eastAsia" w:hAnsi="宋体" w:cs="宋体"/>
          <w:bCs/>
          <w:color w:val="auto"/>
          <w:sz w:val="24"/>
          <w:szCs w:val="24"/>
          <w:highlight w:val="none"/>
        </w:rPr>
        <w:t xml:space="preserve"> </w:t>
      </w:r>
      <w:r>
        <w:rPr>
          <w:rFonts w:hint="eastAsia" w:hAnsi="宋体" w:cs="宋体"/>
          <w:bCs/>
          <w:color w:val="auto"/>
          <w:sz w:val="24"/>
          <w:szCs w:val="24"/>
          <w:highlight w:val="none"/>
          <w:u w:val="single"/>
        </w:rPr>
        <w:t xml:space="preserve">                                                                                        </w:t>
      </w:r>
    </w:p>
    <w:p w14:paraId="1CFF3848">
      <w:pPr>
        <w:pStyle w:val="230"/>
        <w:spacing w:line="360" w:lineRule="auto"/>
        <w:ind w:left="25" w:firstLine="472"/>
        <w:rPr>
          <w:rFonts w:hint="eastAsia" w:hAnsi="宋体" w:cs="宋体"/>
          <w:bCs/>
          <w:color w:val="auto"/>
          <w:sz w:val="24"/>
          <w:szCs w:val="24"/>
          <w:highlight w:val="none"/>
        </w:rPr>
      </w:pPr>
      <w:r>
        <w:rPr>
          <w:rFonts w:hint="eastAsia" w:hAnsi="宋体" w:cs="宋体"/>
          <w:color w:val="auto"/>
          <w:sz w:val="24"/>
          <w:szCs w:val="24"/>
          <w:highlight w:val="none"/>
        </w:rPr>
        <w:t xml:space="preserve">投诉事项2  </w:t>
      </w:r>
      <w:r>
        <w:rPr>
          <w:rFonts w:hint="eastAsia" w:hAnsi="宋体" w:cs="宋体"/>
          <w:bCs/>
          <w:color w:val="auto"/>
          <w:sz w:val="24"/>
          <w:szCs w:val="24"/>
          <w:highlight w:val="none"/>
        </w:rPr>
        <w:t xml:space="preserve">   </w:t>
      </w:r>
    </w:p>
    <w:p w14:paraId="5B5D1BEB">
      <w:pPr>
        <w:pStyle w:val="230"/>
        <w:spacing w:line="360" w:lineRule="auto"/>
        <w:ind w:left="25" w:firstLine="472"/>
        <w:rPr>
          <w:rFonts w:hint="eastAsia" w:hAnsi="宋体" w:cs="宋体"/>
          <w:bCs/>
          <w:color w:val="auto"/>
          <w:sz w:val="24"/>
          <w:szCs w:val="24"/>
          <w:highlight w:val="none"/>
        </w:rPr>
      </w:pPr>
      <w:r>
        <w:rPr>
          <w:rFonts w:hint="eastAsia" w:hAnsi="宋体" w:cs="宋体"/>
          <w:bCs/>
          <w:color w:val="auto"/>
          <w:sz w:val="24"/>
          <w:szCs w:val="24"/>
          <w:highlight w:val="none"/>
        </w:rPr>
        <w:t>……</w:t>
      </w:r>
    </w:p>
    <w:p w14:paraId="0E11D24F">
      <w:pPr>
        <w:pStyle w:val="230"/>
        <w:spacing w:line="360" w:lineRule="auto"/>
        <w:ind w:left="25" w:firstLine="472"/>
        <w:rPr>
          <w:rFonts w:hint="eastAsia" w:hAnsi="宋体" w:cs="宋体"/>
          <w:b/>
          <w:color w:val="auto"/>
          <w:sz w:val="24"/>
          <w:szCs w:val="24"/>
          <w:highlight w:val="none"/>
        </w:rPr>
      </w:pPr>
      <w:r>
        <w:rPr>
          <w:rFonts w:hint="eastAsia" w:hAnsi="宋体" w:cs="宋体"/>
          <w:b/>
          <w:color w:val="auto"/>
          <w:sz w:val="24"/>
          <w:szCs w:val="24"/>
          <w:highlight w:val="none"/>
        </w:rPr>
        <w:t>五、与投诉事项相关的投诉请求：</w:t>
      </w:r>
    </w:p>
    <w:p w14:paraId="25CCEBB7">
      <w:pPr>
        <w:pStyle w:val="230"/>
        <w:spacing w:line="360" w:lineRule="auto"/>
        <w:ind w:left="25" w:firstLine="472"/>
        <w:rPr>
          <w:rFonts w:hint="eastAsia" w:hAnsi="宋体" w:cs="宋体"/>
          <w:color w:val="auto"/>
          <w:sz w:val="24"/>
          <w:szCs w:val="24"/>
          <w:highlight w:val="none"/>
        </w:rPr>
      </w:pPr>
      <w:r>
        <w:rPr>
          <w:rFonts w:hint="eastAsia" w:hAnsi="宋体" w:cs="宋体"/>
          <w:color w:val="auto"/>
          <w:sz w:val="24"/>
          <w:szCs w:val="24"/>
          <w:highlight w:val="none"/>
        </w:rPr>
        <w:t>请求：</w:t>
      </w:r>
      <w:r>
        <w:rPr>
          <w:rFonts w:hint="eastAsia" w:hAnsi="宋体" w:cs="宋体"/>
          <w:bCs/>
          <w:color w:val="auto"/>
          <w:sz w:val="24"/>
          <w:szCs w:val="24"/>
          <w:highlight w:val="none"/>
          <w:u w:val="single"/>
        </w:rPr>
        <w:t xml:space="preserve">                                                                                 </w:t>
      </w:r>
    </w:p>
    <w:p w14:paraId="0AA70AFA">
      <w:pPr>
        <w:pStyle w:val="230"/>
        <w:spacing w:line="360" w:lineRule="auto"/>
        <w:ind w:left="25" w:firstLine="352"/>
        <w:rPr>
          <w:rFonts w:hint="eastAsia" w:hAnsi="宋体" w:cs="宋体"/>
          <w:color w:val="auto"/>
          <w:sz w:val="24"/>
          <w:szCs w:val="24"/>
          <w:highlight w:val="none"/>
        </w:rPr>
      </w:pPr>
    </w:p>
    <w:p w14:paraId="3871F880">
      <w:pPr>
        <w:pStyle w:val="230"/>
        <w:spacing w:line="360" w:lineRule="auto"/>
        <w:ind w:left="25" w:firstLine="472"/>
        <w:rPr>
          <w:rFonts w:hint="eastAsia" w:hAnsi="宋体" w:cs="宋体"/>
          <w:color w:val="auto"/>
          <w:sz w:val="24"/>
          <w:szCs w:val="24"/>
          <w:highlight w:val="none"/>
        </w:rPr>
      </w:pPr>
      <w:r>
        <w:rPr>
          <w:rFonts w:hint="eastAsia" w:hAnsi="宋体" w:cs="宋体"/>
          <w:color w:val="auto"/>
          <w:sz w:val="24"/>
          <w:szCs w:val="24"/>
          <w:highlight w:val="none"/>
        </w:rPr>
        <w:t>签字（签章）：                                       公章：</w:t>
      </w:r>
    </w:p>
    <w:p w14:paraId="1A227C7B">
      <w:pPr>
        <w:pStyle w:val="230"/>
        <w:spacing w:line="360" w:lineRule="auto"/>
        <w:ind w:left="25" w:firstLine="352"/>
        <w:rPr>
          <w:rFonts w:hint="eastAsia" w:hAnsi="宋体" w:cs="宋体"/>
          <w:color w:val="auto"/>
          <w:sz w:val="24"/>
          <w:szCs w:val="24"/>
          <w:highlight w:val="none"/>
        </w:rPr>
      </w:pPr>
    </w:p>
    <w:p w14:paraId="6AE27565">
      <w:pPr>
        <w:pStyle w:val="230"/>
        <w:spacing w:line="360" w:lineRule="auto"/>
        <w:ind w:left="25" w:firstLine="472"/>
        <w:rPr>
          <w:rFonts w:hint="eastAsia" w:hAnsi="宋体" w:cs="宋体"/>
          <w:color w:val="auto"/>
          <w:sz w:val="24"/>
          <w:szCs w:val="24"/>
          <w:highlight w:val="none"/>
        </w:rPr>
      </w:pPr>
      <w:r>
        <w:rPr>
          <w:rFonts w:hint="eastAsia" w:hAnsi="宋体" w:cs="宋体"/>
          <w:color w:val="auto"/>
          <w:sz w:val="24"/>
          <w:szCs w:val="24"/>
          <w:highlight w:val="none"/>
        </w:rPr>
        <w:t>日期：</w:t>
      </w:r>
    </w:p>
    <w:p w14:paraId="6CC0E0D4">
      <w:pPr>
        <w:pStyle w:val="230"/>
        <w:spacing w:line="360" w:lineRule="auto"/>
        <w:ind w:left="25" w:firstLine="472"/>
        <w:rPr>
          <w:rFonts w:hint="eastAsia" w:hAnsi="宋体" w:cs="宋体"/>
          <w:b/>
          <w:color w:val="auto"/>
          <w:sz w:val="24"/>
          <w:szCs w:val="24"/>
          <w:highlight w:val="none"/>
        </w:rPr>
      </w:pPr>
      <w:r>
        <w:rPr>
          <w:rFonts w:hint="eastAsia" w:hAnsi="宋体" w:cs="宋体"/>
          <w:bCs/>
          <w:color w:val="auto"/>
          <w:sz w:val="24"/>
          <w:szCs w:val="24"/>
          <w:highlight w:val="none"/>
        </w:rPr>
        <w:t xml:space="preserve">                                                                                </w:t>
      </w:r>
      <w:r>
        <w:rPr>
          <w:rFonts w:hint="eastAsia" w:hAnsi="宋体" w:cs="宋体"/>
          <w:b/>
          <w:color w:val="auto"/>
          <w:sz w:val="24"/>
          <w:szCs w:val="24"/>
          <w:highlight w:val="none"/>
        </w:rPr>
        <w:t>说明：</w:t>
      </w:r>
    </w:p>
    <w:p w14:paraId="2470CECA">
      <w:pPr>
        <w:pStyle w:val="230"/>
        <w:spacing w:line="360" w:lineRule="auto"/>
        <w:ind w:left="25" w:firstLine="354"/>
        <w:rPr>
          <w:rFonts w:hint="eastAsia" w:hAnsi="宋体" w:cs="宋体"/>
          <w:b/>
          <w:bCs/>
          <w:color w:val="auto"/>
          <w:sz w:val="24"/>
          <w:szCs w:val="24"/>
          <w:highlight w:val="none"/>
        </w:rPr>
      </w:pPr>
      <w:r>
        <w:rPr>
          <w:rFonts w:hint="eastAsia" w:hAnsi="宋体" w:cs="宋体"/>
          <w:b/>
          <w:color w:val="auto"/>
          <w:sz w:val="24"/>
          <w:szCs w:val="24"/>
          <w:highlight w:val="none"/>
        </w:rPr>
        <w:t>1.投诉人提起投诉时，应当提交投诉书和必要的证明材料，并按照被投诉人和与投诉事项有关的供应商数量提供投诉书副本</w:t>
      </w:r>
      <w:r>
        <w:rPr>
          <w:rFonts w:hint="eastAsia" w:hAnsi="宋体" w:cs="宋体"/>
          <w:b/>
          <w:bCs/>
          <w:color w:val="auto"/>
          <w:sz w:val="24"/>
          <w:szCs w:val="24"/>
          <w:highlight w:val="none"/>
        </w:rPr>
        <w:t>。</w:t>
      </w:r>
    </w:p>
    <w:p w14:paraId="569C4FE7">
      <w:pPr>
        <w:pStyle w:val="230"/>
        <w:spacing w:line="360" w:lineRule="auto"/>
        <w:ind w:left="25" w:firstLine="354"/>
        <w:rPr>
          <w:rFonts w:hint="eastAsia" w:hAnsi="宋体" w:cs="宋体"/>
          <w:b/>
          <w:color w:val="auto"/>
          <w:sz w:val="24"/>
          <w:szCs w:val="24"/>
          <w:highlight w:val="none"/>
        </w:rPr>
      </w:pPr>
      <w:r>
        <w:rPr>
          <w:rFonts w:hint="eastAsia" w:hAnsi="宋体" w:cs="宋体"/>
          <w:b/>
          <w:color w:val="auto"/>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5BCF276E">
      <w:pPr>
        <w:pStyle w:val="230"/>
        <w:spacing w:line="360" w:lineRule="auto"/>
        <w:ind w:left="25" w:firstLine="354"/>
        <w:rPr>
          <w:rFonts w:hint="eastAsia" w:hAnsi="宋体" w:cs="宋体"/>
          <w:b/>
          <w:color w:val="auto"/>
          <w:sz w:val="24"/>
          <w:szCs w:val="24"/>
          <w:highlight w:val="none"/>
        </w:rPr>
      </w:pPr>
      <w:r>
        <w:rPr>
          <w:rFonts w:hint="eastAsia" w:hAnsi="宋体" w:cs="宋体"/>
          <w:b/>
          <w:color w:val="auto"/>
          <w:sz w:val="24"/>
          <w:szCs w:val="24"/>
          <w:highlight w:val="none"/>
        </w:rPr>
        <w:t>3.投诉书应简要列明质疑事项，质疑函、质疑答复等作为附件材料提供。</w:t>
      </w:r>
    </w:p>
    <w:p w14:paraId="5687B524">
      <w:pPr>
        <w:pStyle w:val="230"/>
        <w:spacing w:line="360" w:lineRule="auto"/>
        <w:ind w:left="25" w:firstLine="354"/>
        <w:rPr>
          <w:rFonts w:hint="eastAsia" w:hAnsi="宋体" w:cs="宋体"/>
          <w:b/>
          <w:color w:val="auto"/>
          <w:sz w:val="24"/>
          <w:szCs w:val="24"/>
          <w:highlight w:val="none"/>
        </w:rPr>
      </w:pPr>
      <w:r>
        <w:rPr>
          <w:rFonts w:hint="eastAsia" w:hAnsi="宋体" w:cs="宋体"/>
          <w:b/>
          <w:color w:val="auto"/>
          <w:sz w:val="24"/>
          <w:szCs w:val="24"/>
          <w:highlight w:val="none"/>
        </w:rPr>
        <w:t>4.投诉书的投诉事项应具体、明确，并有必要的事实依据和法律依据。</w:t>
      </w:r>
    </w:p>
    <w:p w14:paraId="183F4990">
      <w:pPr>
        <w:pStyle w:val="230"/>
        <w:spacing w:line="360" w:lineRule="auto"/>
        <w:ind w:left="25" w:firstLine="354"/>
        <w:rPr>
          <w:rFonts w:hint="eastAsia" w:hAnsi="宋体" w:cs="宋体"/>
          <w:b/>
          <w:color w:val="auto"/>
          <w:sz w:val="24"/>
          <w:szCs w:val="24"/>
          <w:highlight w:val="none"/>
        </w:rPr>
      </w:pPr>
      <w:r>
        <w:rPr>
          <w:rFonts w:hint="eastAsia" w:hAnsi="宋体" w:cs="宋体"/>
          <w:b/>
          <w:color w:val="auto"/>
          <w:sz w:val="24"/>
          <w:szCs w:val="24"/>
          <w:highlight w:val="none"/>
        </w:rPr>
        <w:t>5.投诉书的投诉请求应与投诉事项相关。</w:t>
      </w:r>
    </w:p>
    <w:p w14:paraId="419580E9">
      <w:pPr>
        <w:pStyle w:val="230"/>
        <w:spacing w:line="360" w:lineRule="auto"/>
        <w:ind w:left="25" w:firstLine="354"/>
        <w:rPr>
          <w:rFonts w:hint="eastAsia" w:hAnsi="宋体" w:cs="宋体"/>
          <w:b/>
          <w:color w:val="auto"/>
          <w:sz w:val="24"/>
          <w:szCs w:val="24"/>
          <w:highlight w:val="none"/>
        </w:rPr>
      </w:pPr>
      <w:r>
        <w:rPr>
          <w:rFonts w:hint="eastAsia" w:hAnsi="宋体" w:cs="宋体"/>
          <w:b/>
          <w:color w:val="auto"/>
          <w:sz w:val="24"/>
          <w:szCs w:val="24"/>
          <w:highlight w:val="none"/>
        </w:rPr>
        <w:t>6.投诉人为法人或者其他组织的，投诉书应由法定代表人、主要负责人，或者其授权代表签字或者盖章，并加盖公章。</w:t>
      </w:r>
    </w:p>
    <w:sectPr>
      <w:footerReference r:id="rId15" w:type="first"/>
      <w:headerReference r:id="rId12" w:type="default"/>
      <w:footerReference r:id="rId13" w:type="default"/>
      <w:footerReference r:id="rId14" w:type="even"/>
      <w:pgSz w:w="11906" w:h="16838"/>
      <w:pgMar w:top="1134" w:right="1247" w:bottom="1559" w:left="1247" w:header="851" w:footer="992" w:gutter="0"/>
      <w:pgNumType w:fmt="decimal"/>
      <w:cols w:space="1701" w:num="1"/>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entury">
    <w:altName w:val="Times New Roman"/>
    <w:panose1 w:val="02040604050505020304"/>
    <w:charset w:val="00"/>
    <w:family w:val="auto"/>
    <w:pitch w:val="default"/>
    <w:sig w:usb0="00000000" w:usb1="00000000" w:usb2="00000000" w:usb3="00000000" w:csb0="2000009F" w:csb1="DFD7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auto"/>
    <w:pitch w:val="default"/>
    <w:sig w:usb0="E00002FF" w:usb1="400004FF" w:usb2="00000000" w:usb3="00000000" w:csb0="2000019F" w:csb1="00000000"/>
  </w:font>
  <w:font w:name="仿宋体">
    <w:altName w:val="仿宋"/>
    <w:panose1 w:val="020B0603030804020204"/>
    <w:charset w:val="00"/>
    <w:family w:val="auto"/>
    <w:pitch w:val="default"/>
    <w:sig w:usb0="00000000" w:usb1="00000000" w:usb2="00000000" w:usb3="00000000" w:csb0="00000000" w:csb1="00000000"/>
  </w:font>
  <w:font w:name="Tahoma">
    <w:panose1 w:val="020B0604030504040204"/>
    <w:charset w:val="00"/>
    <w:family w:val="auto"/>
    <w:pitch w:val="default"/>
    <w:sig w:usb0="E1002EFF" w:usb1="C000605B" w:usb2="00000029" w:usb3="00000000" w:csb0="200101FF" w:csb1="20280000"/>
  </w:font>
  <w:font w:name="Arial Unicode MS">
    <w:altName w:val="宋体"/>
    <w:panose1 w:val="020B0604020202020204"/>
    <w:charset w:val="86"/>
    <w:family w:val="auto"/>
    <w:pitch w:val="default"/>
    <w:sig w:usb0="00000000" w:usb1="00000000" w:usb2="0000003F" w:usb3="00000000" w:csb0="603F01FF" w:csb1="FFFF0000"/>
  </w:font>
  <w:font w:name="新宋体">
    <w:panose1 w:val="02010609030101010101"/>
    <w:charset w:val="86"/>
    <w:family w:val="auto"/>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883B5">
    <w:pPr>
      <w:pStyle w:val="241"/>
      <w:jc w:val="center"/>
    </w:pPr>
  </w:p>
  <w:p w14:paraId="6D6D8F96">
    <w:pPr>
      <w:pStyle w:val="24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0FC91">
    <w:pPr>
      <w:pStyle w:val="241"/>
      <w:framePr w:wrap="around" w:vAnchor="text" w:hAnchor="margin" w:xAlign="center" w:y="1"/>
      <w:rPr>
        <w:rStyle w:val="270"/>
      </w:rPr>
    </w:pPr>
    <w:r>
      <w:fldChar w:fldCharType="begin"/>
    </w:r>
    <w:r>
      <w:rPr>
        <w:rStyle w:val="270"/>
      </w:rPr>
      <w:instrText xml:space="preserve">PAGE  </w:instrText>
    </w:r>
    <w:r>
      <w:fldChar w:fldCharType="end"/>
    </w:r>
  </w:p>
  <w:p w14:paraId="4B2BE4C3">
    <w:pPr>
      <w:pStyle w:val="24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82100C">
    <w:pPr>
      <w:pStyle w:val="241"/>
      <w:ind w:right="360"/>
      <w:jc w:val="both"/>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C0A229">
    <w:pPr>
      <w:pStyle w:val="241"/>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_x0000_s3082"/>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23CF0555">
                          <w:pPr>
                            <w:pStyle w:val="241"/>
                          </w:pPr>
                          <w:r>
                            <w:fldChar w:fldCharType="begin"/>
                          </w:r>
                          <w:r>
                            <w:instrText xml:space="preserve"> PAGE  \* MERGEFORMAT </w:instrText>
                          </w:r>
                          <w:r>
                            <w:fldChar w:fldCharType="separate"/>
                          </w:r>
                          <w:r>
                            <w:t>49</w:t>
                          </w:r>
                          <w:r>
                            <w:fldChar w:fldCharType="end"/>
                          </w:r>
                        </w:p>
                      </w:txbxContent>
                    </wps:txbx>
                    <wps:bodyPr wrap="none" lIns="0" tIns="0" rIns="0" bIns="0" upright="1">
                      <a:spAutoFit/>
                    </wps:bodyPr>
                  </wps:wsp>
                </a:graphicData>
              </a:graphic>
            </wp:anchor>
          </w:drawing>
        </mc:Choice>
        <mc:Fallback>
          <w:pict>
            <v:shape id="_x0000_s308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zql5uc8AAAAFAQAADwAAAAAAAAABACAAAAAiAAAAZHJzL2Rvd25yZXYueG1sUEsB&#10;AhQAFAAAAAgAh07iQDQuOp/FAQAAqAMAAA4AAAAAAAAAAQAgAAAAHgEAAGRycy9lMm9Eb2MueG1s&#10;UEsFBgAAAAAGAAYAWQEAAFUFAAAAAA==&#10;">
              <v:fill on="f" focussize="0,0"/>
              <v:stroke on="f"/>
              <v:imagedata o:title=""/>
              <o:lock v:ext="edit" aspectratio="f"/>
              <v:textbox inset="0mm,0mm,0mm,0mm" style="mso-fit-shape-to-text:t;">
                <w:txbxContent>
                  <w:p w14:paraId="23CF0555">
                    <w:pPr>
                      <w:pStyle w:val="241"/>
                    </w:pPr>
                    <w:r>
                      <w:fldChar w:fldCharType="begin"/>
                    </w:r>
                    <w:r>
                      <w:instrText xml:space="preserve"> PAGE  \* MERGEFORMAT </w:instrText>
                    </w:r>
                    <w:r>
                      <w:fldChar w:fldCharType="separate"/>
                    </w:r>
                    <w:r>
                      <w:t>49</w:t>
                    </w:r>
                    <w:r>
                      <w:fldChar w:fldCharType="end"/>
                    </w:r>
                  </w:p>
                </w:txbxContent>
              </v:textbox>
            </v:shape>
          </w:pict>
        </mc:Fallback>
      </mc:AlternateContent>
    </w:r>
  </w:p>
  <w:p w14:paraId="16E5FCDE">
    <w:pPr>
      <w:pStyle w:val="24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90232">
    <w:pPr>
      <w:pStyle w:val="241"/>
      <w:framePr w:wrap="around" w:vAnchor="text" w:hAnchor="margin" w:xAlign="center" w:y="1"/>
      <w:rPr>
        <w:rStyle w:val="270"/>
      </w:rPr>
    </w:pPr>
    <w:r>
      <w:fldChar w:fldCharType="begin"/>
    </w:r>
    <w:r>
      <w:rPr>
        <w:rStyle w:val="270"/>
      </w:rPr>
      <w:instrText xml:space="preserve">PAGE  </w:instrText>
    </w:r>
    <w:r>
      <w:fldChar w:fldCharType="end"/>
    </w:r>
  </w:p>
  <w:p w14:paraId="55116D98">
    <w:pPr>
      <w:pStyle w:val="24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303E0">
    <w:pPr>
      <w:pStyle w:val="241"/>
      <w:framePr w:wrap="around" w:vAnchor="text" w:hAnchor="margin" w:xAlign="right" w:y="1"/>
      <w:rPr>
        <w:rStyle w:val="270"/>
      </w:rPr>
    </w:pPr>
    <w:r>
      <w:fldChar w:fldCharType="begin"/>
    </w:r>
    <w:r>
      <w:rPr>
        <w:rStyle w:val="270"/>
      </w:rPr>
      <w:instrText xml:space="preserve">PAGE  </w:instrText>
    </w:r>
    <w:r>
      <w:fldChar w:fldCharType="separate"/>
    </w:r>
    <w:r>
      <w:rPr>
        <w:rStyle w:val="270"/>
      </w:rPr>
      <w:t>122</w:t>
    </w:r>
    <w:r>
      <w:fldChar w:fldCharType="end"/>
    </w:r>
  </w:p>
  <w:p w14:paraId="7112ABA8">
    <w:pPr>
      <w:pStyle w:val="241"/>
      <w:ind w:right="360"/>
      <w:jc w:val="both"/>
      <w:rPr>
        <w:rFonts w:hint="eastAsia"/>
      </w:rPr>
    </w:pPr>
    <w:r>
      <w:rPr>
        <w:rFonts w:hint="eastAsia"/>
      </w:rPr>
      <w:t>121</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2C213">
    <w:pPr>
      <w:pStyle w:val="241"/>
      <w:jc w:val="center"/>
    </w:pPr>
    <w:r>
      <w:rPr>
        <w:sz w:val="18"/>
      </w:rPr>
      <w:pict>
        <v:shape id="_x0000_s4097" o:spid="_x0000_s4097"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67D8712D">
                <w:pPr>
                  <w:pStyle w:val="21"/>
                </w:pPr>
                <w:r>
                  <w:fldChar w:fldCharType="begin"/>
                </w:r>
                <w:r>
                  <w:instrText xml:space="preserve"> PAGE  \* MERGEFORMAT </w:instrText>
                </w:r>
                <w:r>
                  <w:fldChar w:fldCharType="separate"/>
                </w:r>
                <w:r>
                  <w:t>73</w:t>
                </w:r>
                <w:r>
                  <w:fldChar w:fldCharType="end"/>
                </w:r>
              </w:p>
            </w:txbxContent>
          </v:textbox>
        </v:shape>
      </w:pict>
    </w:r>
  </w:p>
  <w:p w14:paraId="4B4B4FFB">
    <w:pPr>
      <w:pStyle w:val="241"/>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167A8">
    <w:pPr>
      <w:pStyle w:val="241"/>
      <w:jc w:val="center"/>
    </w:pPr>
    <w:r>
      <w:rPr>
        <w:sz w:val="18"/>
      </w:rPr>
      <w:pict>
        <v:shape id="_x0000_s4099" o:spid="_x0000_s4099"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14:paraId="21575828">
                <w:pPr>
                  <w:pStyle w:val="21"/>
                </w:pPr>
                <w:r>
                  <w:fldChar w:fldCharType="begin"/>
                </w:r>
                <w:r>
                  <w:instrText xml:space="preserve"> PAGE  \* MERGEFORMAT </w:instrText>
                </w:r>
                <w:r>
                  <w:fldChar w:fldCharType="separate"/>
                </w:r>
                <w:r>
                  <w:t>36</w:t>
                </w:r>
                <w:r>
                  <w:fldChar w:fldCharType="end"/>
                </w:r>
              </w:p>
            </w:txbxContent>
          </v:textbox>
        </v:shape>
      </w:pict>
    </w:r>
  </w:p>
  <w:p w14:paraId="0EE1CB78">
    <w:pPr>
      <w:pStyle w:val="241"/>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A084BD">
    <w:pPr>
      <w:pStyle w:val="241"/>
      <w:framePr w:wrap="around" w:vAnchor="text" w:hAnchor="margin" w:xAlign="center" w:y="1"/>
      <w:rPr>
        <w:rStyle w:val="270"/>
      </w:rPr>
    </w:pPr>
    <w:r>
      <w:fldChar w:fldCharType="begin"/>
    </w:r>
    <w:r>
      <w:rPr>
        <w:rStyle w:val="270"/>
      </w:rPr>
      <w:instrText xml:space="preserve">PAGE  </w:instrText>
    </w:r>
    <w:r>
      <w:fldChar w:fldCharType="end"/>
    </w:r>
  </w:p>
  <w:p w14:paraId="08277909">
    <w:pPr>
      <w:pStyle w:val="241"/>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C104B6">
    <w:pPr>
      <w:pStyle w:val="241"/>
      <w:ind w:right="360"/>
      <w:jc w:val="both"/>
      <w:rPr>
        <w:rFonts w:hint="eastAsia"/>
      </w:rPr>
    </w:pPr>
    <w:r>
      <w:rPr>
        <w:sz w:val="18"/>
      </w:rPr>
      <w:pict>
        <v:shape id="_x0000_s4098" o:spid="_x0000_s4098"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14:paraId="579595C7">
                <w:pPr>
                  <w:pStyle w:val="21"/>
                </w:pPr>
                <w:r>
                  <w:fldChar w:fldCharType="begin"/>
                </w:r>
                <w:r>
                  <w:instrText xml:space="preserve"> PAGE  \* MERGEFORMAT </w:instrText>
                </w:r>
                <w:r>
                  <w:fldChar w:fldCharType="separate"/>
                </w:r>
                <w:r>
                  <w:t>35</w:t>
                </w:r>
                <w:r>
                  <w:fldChar w:fldCharType="end"/>
                </w:r>
              </w:p>
            </w:txbxContent>
          </v:textbox>
        </v:shape>
      </w:pict>
    </w:r>
    <w:r>
      <w:rPr>
        <w:rFonts w:hint="eastAsia"/>
      </w:rPr>
      <w:t>121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A693F4">
    <w:pPr>
      <w:spacing w:line="320" w:lineRule="exact"/>
      <w:rPr>
        <w:rFonts w:hint="eastAsia" w:ascii="宋体" w:hAnsi="宋体" w:cs="Arial"/>
        <w:b/>
        <w:color w:val="000000"/>
        <w:sz w:val="18"/>
        <w:szCs w:val="18"/>
        <w:u w:val="single"/>
      </w:rPr>
    </w:pPr>
    <w:r>
      <w:rPr>
        <w:rFonts w:hint="eastAsia"/>
        <w:sz w:val="18"/>
        <w:szCs w:val="21"/>
        <w:u w:val="single"/>
      </w:rPr>
      <w:t>项目名称：贵港市港产城融合先行试验区和平陆运河经济带区域总体规划              项目编号：GGZC2024-G3-     -YZLZ</w:t>
    </w:r>
  </w:p>
  <w:p w14:paraId="3B18AE32">
    <w:pPr>
      <w:pStyle w:val="244"/>
      <w:pBdr>
        <w:bottom w:val="none" w:color="000000" w:sz="0" w:space="0"/>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E228F">
    <w:pPr>
      <w:pStyle w:val="244"/>
      <w:pBdr>
        <w:bottom w:val="none" w:color="000000"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21646">
    <w:pPr>
      <w:spacing w:line="320" w:lineRule="exact"/>
      <w:rPr>
        <w:rFonts w:hint="eastAsia" w:eastAsia="宋体"/>
        <w:sz w:val="20"/>
        <w:szCs w:val="22"/>
        <w:u w:val="single"/>
        <w:lang w:eastAsia="zh-CN"/>
      </w:rPr>
    </w:pPr>
    <w:r>
      <w:rPr>
        <w:rFonts w:hint="eastAsia"/>
        <w:sz w:val="16"/>
        <w:szCs w:val="20"/>
        <w:u w:val="single"/>
      </w:rPr>
      <w:t>项目名称：</w:t>
    </w:r>
    <w:r>
      <w:rPr>
        <w:rFonts w:hint="eastAsia"/>
        <w:sz w:val="16"/>
        <w:szCs w:val="20"/>
        <w:u w:val="single"/>
        <w:lang w:eastAsia="zh-CN"/>
      </w:rPr>
      <w:t>贵港市城市监控联网系统（二期）项目供电及网络服务采购</w:t>
    </w:r>
    <w:r>
      <w:rPr>
        <w:rFonts w:hint="eastAsia"/>
        <w:sz w:val="16"/>
        <w:szCs w:val="20"/>
        <w:u w:val="single"/>
      </w:rPr>
      <w:t xml:space="preserve">           </w:t>
    </w:r>
    <w:r>
      <w:rPr>
        <w:rFonts w:hint="eastAsia"/>
        <w:sz w:val="16"/>
        <w:szCs w:val="20"/>
        <w:u w:val="single"/>
        <w:lang w:val="en-US" w:eastAsia="zh-CN"/>
      </w:rPr>
      <w:t xml:space="preserve">                    </w:t>
    </w:r>
    <w:r>
      <w:rPr>
        <w:rFonts w:hint="eastAsia"/>
        <w:sz w:val="16"/>
        <w:szCs w:val="20"/>
        <w:u w:val="single"/>
      </w:rPr>
      <w:t xml:space="preserve">    项目编号：</w:t>
    </w:r>
    <w:r>
      <w:rPr>
        <w:rFonts w:hint="eastAsia"/>
        <w:sz w:val="16"/>
        <w:szCs w:val="20"/>
        <w:u w:val="single"/>
        <w:lang w:eastAsia="zh-CN"/>
      </w:rPr>
      <w:t>GGZC2026-G3-990293-YZLZ</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BE8202"/>
    <w:multiLevelType w:val="singleLevel"/>
    <w:tmpl w:val="AEBE8202"/>
    <w:lvl w:ilvl="0" w:tentative="0">
      <w:start w:val="2"/>
      <w:numFmt w:val="decimal"/>
      <w:suff w:val="nothing"/>
      <w:lvlText w:val="（%1）"/>
      <w:lvlJc w:val="left"/>
    </w:lvl>
  </w:abstractNum>
  <w:abstractNum w:abstractNumId="1">
    <w:nsid w:val="FFFFFF7E"/>
    <w:multiLevelType w:val="multilevel"/>
    <w:tmpl w:val="FFFFFF7E"/>
    <w:lvl w:ilvl="0" w:tentative="0">
      <w:start w:val="1"/>
      <w:numFmt w:val="decimal"/>
      <w:pStyle w:val="226"/>
      <w:lvlText w:val="%1."/>
      <w:lvlJc w:val="left"/>
      <w:pPr>
        <w:tabs>
          <w:tab w:val="left" w:pos="1200"/>
        </w:tabs>
        <w:ind w:left="1200" w:hanging="360"/>
      </w:p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2">
    <w:nsid w:val="32714F5E"/>
    <w:multiLevelType w:val="multilevel"/>
    <w:tmpl w:val="32714F5E"/>
    <w:lvl w:ilvl="0" w:tentative="0">
      <w:start w:val="1"/>
      <w:numFmt w:val="chineseCountingThousand"/>
      <w:suff w:val="nothing"/>
      <w:lvlText w:val="第%1章"/>
      <w:lvlJc w:val="left"/>
      <w:pPr>
        <w:ind w:left="0" w:firstLine="0"/>
      </w:pPr>
      <w:rPr>
        <w:rFonts w:hint="eastAsia" w:ascii="仿宋_GB2312" w:eastAsia="仿宋_GB2312"/>
        <w:sz w:val="44"/>
      </w:rPr>
    </w:lvl>
    <w:lvl w:ilvl="1" w:tentative="0">
      <w:start w:val="1"/>
      <w:numFmt w:val="decimal"/>
      <w:suff w:val="nothing"/>
      <w:lvlText w:val=""/>
      <w:lvlJc w:val="left"/>
      <w:pPr>
        <w:ind w:left="0" w:firstLine="0"/>
      </w:pPr>
      <w:rPr>
        <w:rFonts w:hint="eastAsia"/>
      </w:rPr>
    </w:lvl>
    <w:lvl w:ilvl="2" w:tentative="0">
      <w:start w:val="1"/>
      <w:numFmt w:val="decimal"/>
      <w:suff w:val="nothing"/>
      <w:lvlText w:val=""/>
      <w:lvlJc w:val="left"/>
      <w:pPr>
        <w:ind w:left="0" w:firstLine="0"/>
      </w:pPr>
      <w:rPr>
        <w:rFonts w:hint="eastAsia"/>
      </w:rPr>
    </w:lvl>
    <w:lvl w:ilvl="3" w:tentative="0">
      <w:start w:val="1"/>
      <w:numFmt w:val="decimal"/>
      <w:suff w:val="nothing"/>
      <w:lvlText w:val=""/>
      <w:lvlJc w:val="left"/>
      <w:pPr>
        <w:ind w:left="0" w:firstLine="0"/>
      </w:pPr>
      <w:rPr>
        <w:rFonts w:hint="eastAsia"/>
      </w:rPr>
    </w:lvl>
    <w:lvl w:ilvl="4" w:tentative="0">
      <w:start w:val="1"/>
      <w:numFmt w:val="decimal"/>
      <w:pStyle w:val="199"/>
      <w:suff w:val="nothing"/>
      <w:lvlText w:val=""/>
      <w:lvlJc w:val="left"/>
      <w:pPr>
        <w:ind w:left="0" w:firstLine="0"/>
      </w:pPr>
      <w:rPr>
        <w:rFonts w:hint="eastAsia"/>
      </w:rPr>
    </w:lvl>
    <w:lvl w:ilvl="5" w:tentative="0">
      <w:start w:val="1"/>
      <w:numFmt w:val="decimal"/>
      <w:pStyle w:val="201"/>
      <w:suff w:val="nothing"/>
      <w:lvlText w:val=""/>
      <w:lvlJc w:val="left"/>
      <w:pPr>
        <w:ind w:left="0" w:firstLine="0"/>
      </w:pPr>
      <w:rPr>
        <w:rFonts w:hint="eastAsia"/>
      </w:rPr>
    </w:lvl>
    <w:lvl w:ilvl="6" w:tentative="0">
      <w:start w:val="1"/>
      <w:numFmt w:val="decimal"/>
      <w:pStyle w:val="202"/>
      <w:suff w:val="nothing"/>
      <w:lvlText w:val=""/>
      <w:lvlJc w:val="left"/>
      <w:pPr>
        <w:ind w:left="0" w:firstLine="0"/>
      </w:pPr>
      <w:rPr>
        <w:rFonts w:hint="eastAsia"/>
      </w:rPr>
    </w:lvl>
    <w:lvl w:ilvl="7" w:tentative="0">
      <w:start w:val="1"/>
      <w:numFmt w:val="decimal"/>
      <w:pStyle w:val="203"/>
      <w:suff w:val="nothing"/>
      <w:lvlText w:val=""/>
      <w:lvlJc w:val="left"/>
      <w:pPr>
        <w:ind w:left="0" w:firstLine="0"/>
      </w:pPr>
      <w:rPr>
        <w:rFonts w:hint="eastAsia"/>
      </w:rPr>
    </w:lvl>
    <w:lvl w:ilvl="8" w:tentative="0">
      <w:start w:val="1"/>
      <w:numFmt w:val="decimal"/>
      <w:pStyle w:val="204"/>
      <w:suff w:val="nothing"/>
      <w:lvlText w:val=""/>
      <w:lvlJc w:val="left"/>
      <w:pPr>
        <w:ind w:left="0" w:firstLine="0"/>
      </w:pPr>
      <w:rPr>
        <w:rFonts w:hint="eastAsia"/>
      </w:rPr>
    </w:lvl>
  </w:abstractNum>
  <w:abstractNum w:abstractNumId="3">
    <w:nsid w:val="42405056"/>
    <w:multiLevelType w:val="multilevel"/>
    <w:tmpl w:val="42405056"/>
    <w:lvl w:ilvl="0" w:tentative="0">
      <w:start w:val="1"/>
      <w:numFmt w:val="decimal"/>
      <w:lvlText w:val="%1."/>
      <w:lvlJc w:val="left"/>
      <w:pPr>
        <w:ind w:left="773" w:hanging="360"/>
      </w:pPr>
      <w:rPr>
        <w:b/>
        <w:sz w:val="21"/>
        <w:szCs w:val="21"/>
      </w:rPr>
    </w:lvl>
    <w:lvl w:ilvl="1" w:tentative="0">
      <w:start w:val="1"/>
      <w:numFmt w:val="lowerLetter"/>
      <w:lvlText w:val="%2)"/>
      <w:lvlJc w:val="left"/>
      <w:pPr>
        <w:ind w:left="1253" w:hanging="420"/>
      </w:pPr>
    </w:lvl>
    <w:lvl w:ilvl="2" w:tentative="0">
      <w:start w:val="1"/>
      <w:numFmt w:val="lowerRoman"/>
      <w:lvlText w:val="%3."/>
      <w:lvlJc w:val="right"/>
      <w:pPr>
        <w:ind w:left="1673" w:hanging="420"/>
      </w:pPr>
    </w:lvl>
    <w:lvl w:ilvl="3" w:tentative="0">
      <w:start w:val="1"/>
      <w:numFmt w:val="decimal"/>
      <w:lvlText w:val="%4."/>
      <w:lvlJc w:val="left"/>
      <w:pPr>
        <w:ind w:left="2093" w:hanging="420"/>
      </w:pPr>
    </w:lvl>
    <w:lvl w:ilvl="4" w:tentative="0">
      <w:start w:val="1"/>
      <w:numFmt w:val="lowerLetter"/>
      <w:lvlText w:val="%5)"/>
      <w:lvlJc w:val="left"/>
      <w:pPr>
        <w:ind w:left="2513" w:hanging="420"/>
      </w:pPr>
    </w:lvl>
    <w:lvl w:ilvl="5" w:tentative="0">
      <w:start w:val="1"/>
      <w:numFmt w:val="lowerRoman"/>
      <w:lvlText w:val="%6."/>
      <w:lvlJc w:val="right"/>
      <w:pPr>
        <w:ind w:left="2933" w:hanging="420"/>
      </w:pPr>
    </w:lvl>
    <w:lvl w:ilvl="6" w:tentative="0">
      <w:start w:val="1"/>
      <w:numFmt w:val="decimal"/>
      <w:lvlText w:val="%7."/>
      <w:lvlJc w:val="left"/>
      <w:pPr>
        <w:ind w:left="3353" w:hanging="420"/>
      </w:pPr>
    </w:lvl>
    <w:lvl w:ilvl="7" w:tentative="0">
      <w:start w:val="1"/>
      <w:numFmt w:val="lowerLetter"/>
      <w:lvlText w:val="%8)"/>
      <w:lvlJc w:val="left"/>
      <w:pPr>
        <w:ind w:left="3773" w:hanging="420"/>
      </w:pPr>
    </w:lvl>
    <w:lvl w:ilvl="8" w:tentative="0">
      <w:start w:val="1"/>
      <w:numFmt w:val="lowerRoman"/>
      <w:lvlText w:val="%9."/>
      <w:lvlJc w:val="right"/>
      <w:pPr>
        <w:ind w:left="4193" w:hanging="420"/>
      </w:pPr>
    </w:lvl>
  </w:abstractNum>
  <w:abstractNum w:abstractNumId="4">
    <w:nsid w:val="4C601917"/>
    <w:multiLevelType w:val="multilevel"/>
    <w:tmpl w:val="4C601917"/>
    <w:lvl w:ilvl="0" w:tentative="0">
      <w:start w:val="1"/>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5">
    <w:nsid w:val="4CF9E63A"/>
    <w:multiLevelType w:val="singleLevel"/>
    <w:tmpl w:val="4CF9E63A"/>
    <w:lvl w:ilvl="0" w:tentative="0">
      <w:start w:val="2"/>
      <w:numFmt w:val="chineseCounting"/>
      <w:suff w:val="nothing"/>
      <w:lvlText w:val="%1、"/>
      <w:lvlJc w:val="left"/>
      <w:rPr>
        <w:rFonts w:hint="eastAsia"/>
      </w:rPr>
    </w:lvl>
  </w:abstractNum>
  <w:abstractNum w:abstractNumId="6">
    <w:nsid w:val="5FABD14B"/>
    <w:multiLevelType w:val="multilevel"/>
    <w:tmpl w:val="5FABD14B"/>
    <w:lvl w:ilvl="0" w:tentative="0">
      <w:start w:val="1"/>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7">
    <w:nsid w:val="606F5AE3"/>
    <w:multiLevelType w:val="singleLevel"/>
    <w:tmpl w:val="606F5AE3"/>
    <w:lvl w:ilvl="0" w:tentative="0">
      <w:start w:val="2"/>
      <w:numFmt w:val="decimal"/>
      <w:suff w:val="space"/>
      <w:lvlText w:val="%1."/>
      <w:lvlJc w:val="left"/>
    </w:lvl>
  </w:abstractNum>
  <w:abstractNum w:abstractNumId="8">
    <w:nsid w:val="657D3FBC"/>
    <w:multiLevelType w:val="multilevel"/>
    <w:tmpl w:val="657D3FBC"/>
    <w:lvl w:ilvl="0" w:tentative="0">
      <w:start w:val="1"/>
      <w:numFmt w:val="upperLetter"/>
      <w:pStyle w:val="309"/>
      <w:suff w:val="nothing"/>
      <w:lvlText w:val="附　录　%1"/>
      <w:lvlJc w:val="left"/>
      <w:pPr>
        <w:ind w:left="0" w:firstLine="0"/>
      </w:pPr>
      <w:rPr>
        <w:rFonts w:hint="eastAsia" w:ascii="黑体" w:hAnsi="Times New Roman" w:eastAsia="黑体"/>
        <w:b w:val="0"/>
        <w:i w:val="0"/>
        <w:sz w:val="21"/>
      </w:rPr>
    </w:lvl>
    <w:lvl w:ilvl="1" w:tentative="0">
      <w:start w:val="1"/>
      <w:numFmt w:val="decimal"/>
      <w:pStyle w:val="311"/>
      <w:suff w:val="nothing"/>
      <w:lvlText w:val="%1.%2　"/>
      <w:lvlJc w:val="left"/>
      <w:pPr>
        <w:ind w:left="0" w:firstLine="0"/>
      </w:pPr>
      <w:rPr>
        <w:rFonts w:hint="eastAsia" w:ascii="黑体" w:hAnsi="Times New Roman" w:eastAsia="黑体"/>
        <w:b w:val="0"/>
        <w:i w:val="0"/>
        <w:spacing w:val="0"/>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9">
    <w:nsid w:val="6CEA2025"/>
    <w:multiLevelType w:val="multilevel"/>
    <w:tmpl w:val="6CEA2025"/>
    <w:lvl w:ilvl="0" w:tentative="0">
      <w:start w:val="1"/>
      <w:numFmt w:val="decimal"/>
      <w:pStyle w:val="310"/>
      <w:suff w:val="nothing"/>
      <w:lvlText w:val="%1"/>
      <w:lvlJc w:val="left"/>
      <w:pPr>
        <w:ind w:left="0" w:firstLine="0"/>
      </w:pPr>
      <w:rPr>
        <w:rFonts w:ascii="Times New Roman" w:hAnsi="Times New Roman"/>
        <w:b/>
        <w:i w:val="0"/>
        <w:sz w:val="21"/>
      </w:rPr>
    </w:lvl>
    <w:lvl w:ilvl="1" w:tentative="0">
      <w:start w:val="1"/>
      <w:numFmt w:val="decimal"/>
      <w:suff w:val="nothing"/>
      <w:lvlText w:val="%1%2　"/>
      <w:lvlJc w:val="left"/>
      <w:pPr>
        <w:ind w:left="0" w:firstLine="0"/>
      </w:pPr>
      <w:rPr>
        <w:rFonts w:hint="eastAsia" w:ascii="黑体" w:hAnsi="Times New Roman" w:eastAsia="黑体"/>
        <w:b w:val="0"/>
        <w:i w:val="0"/>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0">
    <w:nsid w:val="763060DB"/>
    <w:multiLevelType w:val="multilevel"/>
    <w:tmpl w:val="763060DB"/>
    <w:lvl w:ilvl="0" w:tentative="0">
      <w:start w:val="1"/>
      <w:numFmt w:val="japaneseCounting"/>
      <w:lvlText w:val="第%1章"/>
      <w:lvlJc w:val="left"/>
      <w:pPr>
        <w:tabs>
          <w:tab w:val="left" w:pos="1815"/>
        </w:tabs>
        <w:ind w:left="1815" w:hanging="1275"/>
      </w:pPr>
      <w:rPr>
        <w:rFonts w:hint="eastAsia"/>
        <w:lang w:val="en-US"/>
      </w:rPr>
    </w:lvl>
    <w:lvl w:ilvl="1" w:tentative="0">
      <w:start w:val="1"/>
      <w:numFmt w:val="japaneseCounting"/>
      <w:lvlText w:val="%2、"/>
      <w:lvlJc w:val="left"/>
      <w:pPr>
        <w:tabs>
          <w:tab w:val="left" w:pos="1680"/>
        </w:tabs>
        <w:ind w:left="1680" w:hanging="720"/>
      </w:pPr>
      <w:rPr>
        <w:rFonts w:hint="eastAsia"/>
      </w:rPr>
    </w:lvl>
    <w:lvl w:ilvl="2" w:tentative="0">
      <w:start w:val="1"/>
      <w:numFmt w:val="decimal"/>
      <w:lvlText w:val="%3."/>
      <w:lvlJc w:val="left"/>
      <w:pPr>
        <w:ind w:left="502" w:hanging="360"/>
      </w:pPr>
      <w:rPr>
        <w:sz w:val="24"/>
        <w:szCs w:val="24"/>
      </w:rPr>
    </w:lvl>
    <w:lvl w:ilvl="3" w:tentative="0">
      <w:start w:val="1"/>
      <w:numFmt w:val="decimal"/>
      <w:lvlText w:val="%4."/>
      <w:lvlJc w:val="left"/>
      <w:pPr>
        <w:tabs>
          <w:tab w:val="left" w:pos="2220"/>
        </w:tabs>
        <w:ind w:left="2220" w:hanging="420"/>
      </w:pPr>
    </w:lvl>
    <w:lvl w:ilvl="4" w:tentative="0">
      <w:start w:val="1"/>
      <w:numFmt w:val="lowerLetter"/>
      <w:lvlText w:val="%5)"/>
      <w:lvlJc w:val="left"/>
      <w:pPr>
        <w:tabs>
          <w:tab w:val="left" w:pos="2640"/>
        </w:tabs>
        <w:ind w:left="2640" w:hanging="420"/>
      </w:pPr>
    </w:lvl>
    <w:lvl w:ilvl="5" w:tentative="0">
      <w:start w:val="1"/>
      <w:numFmt w:val="lowerRoman"/>
      <w:lvlText w:val="%6."/>
      <w:lvlJc w:val="right"/>
      <w:pPr>
        <w:tabs>
          <w:tab w:val="left" w:pos="3060"/>
        </w:tabs>
        <w:ind w:left="3060" w:hanging="420"/>
      </w:pPr>
    </w:lvl>
    <w:lvl w:ilvl="6" w:tentative="0">
      <w:start w:val="1"/>
      <w:numFmt w:val="decimal"/>
      <w:lvlText w:val="%7."/>
      <w:lvlJc w:val="left"/>
      <w:pPr>
        <w:tabs>
          <w:tab w:val="left" w:pos="3480"/>
        </w:tabs>
        <w:ind w:left="3480" w:hanging="420"/>
      </w:pPr>
    </w:lvl>
    <w:lvl w:ilvl="7" w:tentative="0">
      <w:start w:val="1"/>
      <w:numFmt w:val="lowerLetter"/>
      <w:lvlText w:val="%8)"/>
      <w:lvlJc w:val="left"/>
      <w:pPr>
        <w:tabs>
          <w:tab w:val="left" w:pos="3900"/>
        </w:tabs>
        <w:ind w:left="3900" w:hanging="420"/>
      </w:pPr>
    </w:lvl>
    <w:lvl w:ilvl="8" w:tentative="0">
      <w:start w:val="1"/>
      <w:numFmt w:val="lowerRoman"/>
      <w:lvlText w:val="%9."/>
      <w:lvlJc w:val="right"/>
      <w:pPr>
        <w:tabs>
          <w:tab w:val="left" w:pos="4320"/>
        </w:tabs>
        <w:ind w:left="4320" w:hanging="420"/>
      </w:pPr>
    </w:lvl>
  </w:abstractNum>
  <w:num w:numId="1">
    <w:abstractNumId w:val="2"/>
  </w:num>
  <w:num w:numId="2">
    <w:abstractNumId w:val="1"/>
  </w:num>
  <w:num w:numId="3">
    <w:abstractNumId w:val="8"/>
  </w:num>
  <w:num w:numId="4">
    <w:abstractNumId w:val="9"/>
  </w:num>
  <w:num w:numId="5">
    <w:abstractNumId w:val="3"/>
  </w:num>
  <w:num w:numId="6">
    <w:abstractNumId w:val="4"/>
  </w:num>
  <w:num w:numId="7">
    <w:abstractNumId w:val="6"/>
  </w:num>
  <w:num w:numId="8">
    <w:abstractNumId w:val="5"/>
  </w:num>
  <w:num w:numId="9">
    <w:abstractNumId w:val="0"/>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revisionView w:markup="0"/>
  <w:documentProtection w:enforcement="0"/>
  <w:defaultTabStop w:val="420"/>
  <w:displayHorizontalDrawingGridEvery w:val="1"/>
  <w:displayVerticalDrawingGridEvery w:val="1"/>
  <w:noPunctuationKerning w:val="1"/>
  <w:characterSpacingControl w:val="doNotCompress"/>
  <w:hdrShapeDefaults>
    <o:shapelayout v:ext="edit">
      <o:idmap v:ext="edit" data="3,4"/>
    </o:shapelayout>
  </w:hdrShapeDefaults>
  <w:compat>
    <w:balanceSingleByteDoubleByteWidth/>
    <w:ulTrailSpace/>
    <w:doNotExpandShiftReturn/>
    <w:doNotWrapTextWithPunct/>
    <w:doNotUseEastAsianBreakRules/>
    <w:useFELayout/>
    <w:useAltKinsokuLineBreakRules/>
    <w:splitPgBreakAndParaMark/>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92BAB"/>
    <w:rsid w:val="00364BC3"/>
    <w:rsid w:val="0057395C"/>
    <w:rsid w:val="00A97848"/>
    <w:rsid w:val="00AD558A"/>
    <w:rsid w:val="012D2227"/>
    <w:rsid w:val="012E59C4"/>
    <w:rsid w:val="01426AE8"/>
    <w:rsid w:val="01802C9E"/>
    <w:rsid w:val="01A322A4"/>
    <w:rsid w:val="02507944"/>
    <w:rsid w:val="02691984"/>
    <w:rsid w:val="026A30D0"/>
    <w:rsid w:val="02B02CE0"/>
    <w:rsid w:val="03794EE1"/>
    <w:rsid w:val="04194BF9"/>
    <w:rsid w:val="042E5200"/>
    <w:rsid w:val="04447FB3"/>
    <w:rsid w:val="04E01143"/>
    <w:rsid w:val="06332621"/>
    <w:rsid w:val="06933C82"/>
    <w:rsid w:val="070C5B97"/>
    <w:rsid w:val="071D5244"/>
    <w:rsid w:val="0744651C"/>
    <w:rsid w:val="075946FD"/>
    <w:rsid w:val="0768220B"/>
    <w:rsid w:val="07797F74"/>
    <w:rsid w:val="07CC09EB"/>
    <w:rsid w:val="08CC5DF3"/>
    <w:rsid w:val="092108C3"/>
    <w:rsid w:val="096E7880"/>
    <w:rsid w:val="0A522724"/>
    <w:rsid w:val="0AE411BC"/>
    <w:rsid w:val="0BA9070A"/>
    <w:rsid w:val="0BAD28E2"/>
    <w:rsid w:val="0BB335C5"/>
    <w:rsid w:val="0C61547A"/>
    <w:rsid w:val="0CC71781"/>
    <w:rsid w:val="0CE00A95"/>
    <w:rsid w:val="0D336E17"/>
    <w:rsid w:val="0DED5218"/>
    <w:rsid w:val="0DFC36AD"/>
    <w:rsid w:val="0E19600D"/>
    <w:rsid w:val="0E664FCA"/>
    <w:rsid w:val="0E80608C"/>
    <w:rsid w:val="0ED2440E"/>
    <w:rsid w:val="0F851480"/>
    <w:rsid w:val="0FB6788B"/>
    <w:rsid w:val="10260EB5"/>
    <w:rsid w:val="105E23FD"/>
    <w:rsid w:val="108D4EB7"/>
    <w:rsid w:val="10BE4C49"/>
    <w:rsid w:val="10E4585D"/>
    <w:rsid w:val="119105B0"/>
    <w:rsid w:val="119C7D75"/>
    <w:rsid w:val="11AE4D38"/>
    <w:rsid w:val="12773533"/>
    <w:rsid w:val="132C67E2"/>
    <w:rsid w:val="134436C8"/>
    <w:rsid w:val="13651CF4"/>
    <w:rsid w:val="137A5BCF"/>
    <w:rsid w:val="138008DC"/>
    <w:rsid w:val="13BC2C0C"/>
    <w:rsid w:val="13C62793"/>
    <w:rsid w:val="13D50C28"/>
    <w:rsid w:val="140A245E"/>
    <w:rsid w:val="14164D9C"/>
    <w:rsid w:val="141F6347"/>
    <w:rsid w:val="14561D2B"/>
    <w:rsid w:val="14E37374"/>
    <w:rsid w:val="14FA32EB"/>
    <w:rsid w:val="15192D96"/>
    <w:rsid w:val="1602382A"/>
    <w:rsid w:val="161E36C0"/>
    <w:rsid w:val="162C3FA5"/>
    <w:rsid w:val="1653052A"/>
    <w:rsid w:val="1666025D"/>
    <w:rsid w:val="16AE1DDF"/>
    <w:rsid w:val="16B014D8"/>
    <w:rsid w:val="17233640"/>
    <w:rsid w:val="174A7C68"/>
    <w:rsid w:val="17DD00AB"/>
    <w:rsid w:val="1818352B"/>
    <w:rsid w:val="196C67D5"/>
    <w:rsid w:val="19A8293B"/>
    <w:rsid w:val="1AF20F2C"/>
    <w:rsid w:val="1B087B35"/>
    <w:rsid w:val="1B8C2514"/>
    <w:rsid w:val="1BB27AA1"/>
    <w:rsid w:val="1CB515F6"/>
    <w:rsid w:val="1CC04712"/>
    <w:rsid w:val="1CC950A2"/>
    <w:rsid w:val="1CED715C"/>
    <w:rsid w:val="1CFA34AD"/>
    <w:rsid w:val="1D33324B"/>
    <w:rsid w:val="1D596426"/>
    <w:rsid w:val="1EF04B68"/>
    <w:rsid w:val="1F067B32"/>
    <w:rsid w:val="1F17089A"/>
    <w:rsid w:val="1F176598"/>
    <w:rsid w:val="1F5E41C7"/>
    <w:rsid w:val="1FA76675"/>
    <w:rsid w:val="1FE16BA6"/>
    <w:rsid w:val="20126D60"/>
    <w:rsid w:val="202232F1"/>
    <w:rsid w:val="20A200E4"/>
    <w:rsid w:val="21067B13"/>
    <w:rsid w:val="21FD5A25"/>
    <w:rsid w:val="23056708"/>
    <w:rsid w:val="235A693F"/>
    <w:rsid w:val="23690A46"/>
    <w:rsid w:val="236C49D9"/>
    <w:rsid w:val="23A44173"/>
    <w:rsid w:val="240D1D18"/>
    <w:rsid w:val="246F22D4"/>
    <w:rsid w:val="253D6145"/>
    <w:rsid w:val="26062EC3"/>
    <w:rsid w:val="266A5519"/>
    <w:rsid w:val="26F44914"/>
    <w:rsid w:val="278D24BC"/>
    <w:rsid w:val="27AE736E"/>
    <w:rsid w:val="28100C39"/>
    <w:rsid w:val="291A63E8"/>
    <w:rsid w:val="29C87A1E"/>
    <w:rsid w:val="29CE3CF8"/>
    <w:rsid w:val="29F00112"/>
    <w:rsid w:val="2A007C29"/>
    <w:rsid w:val="2AE01F34"/>
    <w:rsid w:val="2B40163B"/>
    <w:rsid w:val="2B4A7DD8"/>
    <w:rsid w:val="2B847EE8"/>
    <w:rsid w:val="2B8723B0"/>
    <w:rsid w:val="2BE94E19"/>
    <w:rsid w:val="2BFB4B4C"/>
    <w:rsid w:val="2C7B07C2"/>
    <w:rsid w:val="2C9D1200"/>
    <w:rsid w:val="2CF94F11"/>
    <w:rsid w:val="2D2E06FF"/>
    <w:rsid w:val="2E277E7A"/>
    <w:rsid w:val="2EC42759"/>
    <w:rsid w:val="2F0D4964"/>
    <w:rsid w:val="2F2645E8"/>
    <w:rsid w:val="2F3565C7"/>
    <w:rsid w:val="2F3B1E2F"/>
    <w:rsid w:val="2F3C7955"/>
    <w:rsid w:val="2F6446E6"/>
    <w:rsid w:val="2FE36023"/>
    <w:rsid w:val="2FFD4E80"/>
    <w:rsid w:val="30592F21"/>
    <w:rsid w:val="307A24E3"/>
    <w:rsid w:val="308E2433"/>
    <w:rsid w:val="312E3076"/>
    <w:rsid w:val="3199108F"/>
    <w:rsid w:val="31AD68E8"/>
    <w:rsid w:val="320A3D3B"/>
    <w:rsid w:val="327B2096"/>
    <w:rsid w:val="33092F71"/>
    <w:rsid w:val="3328091C"/>
    <w:rsid w:val="33775400"/>
    <w:rsid w:val="33841FF1"/>
    <w:rsid w:val="33A81A9A"/>
    <w:rsid w:val="33A87367"/>
    <w:rsid w:val="33EE2197"/>
    <w:rsid w:val="33FE6BEC"/>
    <w:rsid w:val="347A6023"/>
    <w:rsid w:val="34D1675E"/>
    <w:rsid w:val="355D23D3"/>
    <w:rsid w:val="35FA05D2"/>
    <w:rsid w:val="364661DE"/>
    <w:rsid w:val="36A63548"/>
    <w:rsid w:val="37102B9F"/>
    <w:rsid w:val="377650DA"/>
    <w:rsid w:val="3801173C"/>
    <w:rsid w:val="3806472D"/>
    <w:rsid w:val="39AE76A2"/>
    <w:rsid w:val="3A667F7C"/>
    <w:rsid w:val="3A6F6E31"/>
    <w:rsid w:val="3AD14E21"/>
    <w:rsid w:val="3AD43138"/>
    <w:rsid w:val="3B295232"/>
    <w:rsid w:val="3B6A75F8"/>
    <w:rsid w:val="3B7566C9"/>
    <w:rsid w:val="3B9E54DA"/>
    <w:rsid w:val="3BB7198D"/>
    <w:rsid w:val="3BCE5DD9"/>
    <w:rsid w:val="3BD553B9"/>
    <w:rsid w:val="3BDA477E"/>
    <w:rsid w:val="3C6A696A"/>
    <w:rsid w:val="3DCA4C6E"/>
    <w:rsid w:val="3DD31485"/>
    <w:rsid w:val="3ECC7B2A"/>
    <w:rsid w:val="40D20D9D"/>
    <w:rsid w:val="41455B37"/>
    <w:rsid w:val="415C79E3"/>
    <w:rsid w:val="423C1CEE"/>
    <w:rsid w:val="425F341F"/>
    <w:rsid w:val="42660B19"/>
    <w:rsid w:val="427227F5"/>
    <w:rsid w:val="42A47894"/>
    <w:rsid w:val="42A653BA"/>
    <w:rsid w:val="432B3B11"/>
    <w:rsid w:val="436A288B"/>
    <w:rsid w:val="43721740"/>
    <w:rsid w:val="437B6846"/>
    <w:rsid w:val="437F2DC3"/>
    <w:rsid w:val="44ED3AEF"/>
    <w:rsid w:val="45036AF3"/>
    <w:rsid w:val="45106235"/>
    <w:rsid w:val="458D25B3"/>
    <w:rsid w:val="459371BC"/>
    <w:rsid w:val="45B84DAD"/>
    <w:rsid w:val="460348D1"/>
    <w:rsid w:val="461A19C0"/>
    <w:rsid w:val="466E2692"/>
    <w:rsid w:val="46863243"/>
    <w:rsid w:val="46E75FA1"/>
    <w:rsid w:val="46F72688"/>
    <w:rsid w:val="47730B93"/>
    <w:rsid w:val="479D5F69"/>
    <w:rsid w:val="47AF6ABF"/>
    <w:rsid w:val="47C14A44"/>
    <w:rsid w:val="4A8D3982"/>
    <w:rsid w:val="4AAC3789"/>
    <w:rsid w:val="4ADF554C"/>
    <w:rsid w:val="4AEE5379"/>
    <w:rsid w:val="4B0A3E83"/>
    <w:rsid w:val="4B2A64F4"/>
    <w:rsid w:val="4B3A15A1"/>
    <w:rsid w:val="4B6E6C91"/>
    <w:rsid w:val="4BF50BC9"/>
    <w:rsid w:val="4C0A4C0B"/>
    <w:rsid w:val="4C1B0BC7"/>
    <w:rsid w:val="4C5D262B"/>
    <w:rsid w:val="4C8524E4"/>
    <w:rsid w:val="4D186EB4"/>
    <w:rsid w:val="4D7A191D"/>
    <w:rsid w:val="4EDD4072"/>
    <w:rsid w:val="4F165675"/>
    <w:rsid w:val="4F337FD5"/>
    <w:rsid w:val="4FDF2E8D"/>
    <w:rsid w:val="50772C4C"/>
    <w:rsid w:val="51C12CBA"/>
    <w:rsid w:val="51FA302C"/>
    <w:rsid w:val="53252E92"/>
    <w:rsid w:val="5334431C"/>
    <w:rsid w:val="53990623"/>
    <w:rsid w:val="53C378F8"/>
    <w:rsid w:val="540D16FE"/>
    <w:rsid w:val="541F4FCC"/>
    <w:rsid w:val="54696247"/>
    <w:rsid w:val="5474356A"/>
    <w:rsid w:val="54770964"/>
    <w:rsid w:val="54CD4A28"/>
    <w:rsid w:val="54D97871"/>
    <w:rsid w:val="55020B76"/>
    <w:rsid w:val="550D4227"/>
    <w:rsid w:val="55232EA8"/>
    <w:rsid w:val="552D30F8"/>
    <w:rsid w:val="555B4DBF"/>
    <w:rsid w:val="55DB4F23"/>
    <w:rsid w:val="55F52488"/>
    <w:rsid w:val="55F66200"/>
    <w:rsid w:val="565D5492"/>
    <w:rsid w:val="56692258"/>
    <w:rsid w:val="56835CE6"/>
    <w:rsid w:val="569A3030"/>
    <w:rsid w:val="56A91A1D"/>
    <w:rsid w:val="57CD0549"/>
    <w:rsid w:val="58874B26"/>
    <w:rsid w:val="59044790"/>
    <w:rsid w:val="59867C4A"/>
    <w:rsid w:val="5A0E3B19"/>
    <w:rsid w:val="5A5E5941"/>
    <w:rsid w:val="5A604EE3"/>
    <w:rsid w:val="5A81078E"/>
    <w:rsid w:val="5ABA1034"/>
    <w:rsid w:val="5AD92379"/>
    <w:rsid w:val="5AFC1BC3"/>
    <w:rsid w:val="5B1909C7"/>
    <w:rsid w:val="5B294982"/>
    <w:rsid w:val="5B2B06FA"/>
    <w:rsid w:val="5BA109BC"/>
    <w:rsid w:val="5BDC40D5"/>
    <w:rsid w:val="5C3E3AE7"/>
    <w:rsid w:val="5CDA23D8"/>
    <w:rsid w:val="5CF75A42"/>
    <w:rsid w:val="5D3A14F6"/>
    <w:rsid w:val="5D4D73CD"/>
    <w:rsid w:val="5DB30EFD"/>
    <w:rsid w:val="5DBC7D30"/>
    <w:rsid w:val="5E3873B6"/>
    <w:rsid w:val="5FBA204D"/>
    <w:rsid w:val="600953D9"/>
    <w:rsid w:val="60966616"/>
    <w:rsid w:val="60FA057D"/>
    <w:rsid w:val="616F34B6"/>
    <w:rsid w:val="61747C2C"/>
    <w:rsid w:val="61F93300"/>
    <w:rsid w:val="62127834"/>
    <w:rsid w:val="62F615EE"/>
    <w:rsid w:val="62FB4E56"/>
    <w:rsid w:val="63CD05A1"/>
    <w:rsid w:val="64030466"/>
    <w:rsid w:val="64801AB7"/>
    <w:rsid w:val="656009EB"/>
    <w:rsid w:val="65640162"/>
    <w:rsid w:val="659D21F5"/>
    <w:rsid w:val="6615622F"/>
    <w:rsid w:val="664B7EA3"/>
    <w:rsid w:val="667747F4"/>
    <w:rsid w:val="66E300DB"/>
    <w:rsid w:val="66F61BBC"/>
    <w:rsid w:val="67D40F55"/>
    <w:rsid w:val="686E1C26"/>
    <w:rsid w:val="68BD4F80"/>
    <w:rsid w:val="68CF6B69"/>
    <w:rsid w:val="68F22857"/>
    <w:rsid w:val="69594684"/>
    <w:rsid w:val="6A4946F9"/>
    <w:rsid w:val="6A5C267E"/>
    <w:rsid w:val="6AB95652"/>
    <w:rsid w:val="6AC24D6B"/>
    <w:rsid w:val="6B76151E"/>
    <w:rsid w:val="6BBB1626"/>
    <w:rsid w:val="6BBD539F"/>
    <w:rsid w:val="6C501D6F"/>
    <w:rsid w:val="6C542414"/>
    <w:rsid w:val="6CF03552"/>
    <w:rsid w:val="6CF303EA"/>
    <w:rsid w:val="6DB14A8F"/>
    <w:rsid w:val="6DB4611F"/>
    <w:rsid w:val="6DDC01F0"/>
    <w:rsid w:val="6DE17C72"/>
    <w:rsid w:val="6DE63302"/>
    <w:rsid w:val="6E755215"/>
    <w:rsid w:val="6F745A01"/>
    <w:rsid w:val="6FFF64DB"/>
    <w:rsid w:val="706E310B"/>
    <w:rsid w:val="716F713B"/>
    <w:rsid w:val="721653A3"/>
    <w:rsid w:val="72640322"/>
    <w:rsid w:val="732B3D6D"/>
    <w:rsid w:val="73814263"/>
    <w:rsid w:val="741B5358"/>
    <w:rsid w:val="745148D6"/>
    <w:rsid w:val="745F5036"/>
    <w:rsid w:val="747949F0"/>
    <w:rsid w:val="74BA06CD"/>
    <w:rsid w:val="74BA2B8E"/>
    <w:rsid w:val="74BB20D6"/>
    <w:rsid w:val="74C72F0F"/>
    <w:rsid w:val="75DC4757"/>
    <w:rsid w:val="75F257F1"/>
    <w:rsid w:val="75FA4D6A"/>
    <w:rsid w:val="761B5373"/>
    <w:rsid w:val="7654644B"/>
    <w:rsid w:val="76BC4018"/>
    <w:rsid w:val="76C02AC3"/>
    <w:rsid w:val="77071BC4"/>
    <w:rsid w:val="77277D4B"/>
    <w:rsid w:val="774E15A1"/>
    <w:rsid w:val="77690189"/>
    <w:rsid w:val="779571D0"/>
    <w:rsid w:val="784604CA"/>
    <w:rsid w:val="786848E4"/>
    <w:rsid w:val="78AD0549"/>
    <w:rsid w:val="78F13561"/>
    <w:rsid w:val="791505C8"/>
    <w:rsid w:val="792043D9"/>
    <w:rsid w:val="793B7903"/>
    <w:rsid w:val="797D43BF"/>
    <w:rsid w:val="79BC4EE7"/>
    <w:rsid w:val="79F5251F"/>
    <w:rsid w:val="7ACA3F5F"/>
    <w:rsid w:val="7AF20495"/>
    <w:rsid w:val="7B0504CE"/>
    <w:rsid w:val="7B474C85"/>
    <w:rsid w:val="7C17043B"/>
    <w:rsid w:val="7CBA3D13"/>
    <w:rsid w:val="7D295070"/>
    <w:rsid w:val="7DE70059"/>
    <w:rsid w:val="7EA5419C"/>
    <w:rsid w:val="7EE84089"/>
    <w:rsid w:val="7EF23159"/>
    <w:rsid w:val="7F1A0A73"/>
    <w:rsid w:val="7F794CE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320"/>
    <w:qFormat/>
    <w:uiPriority w:val="0"/>
    <w:pPr>
      <w:widowControl w:val="0"/>
      <w:jc w:val="both"/>
    </w:pPr>
    <w:rPr>
      <w:rFonts w:hint="default" w:ascii="Times New Roman" w:hAnsi="Times New Roman" w:eastAsia="宋体" w:cs="Times New Roman"/>
      <w:sz w:val="21"/>
      <w:szCs w:val="24"/>
      <w:lang w:val="en-US" w:eastAsia="zh-CN" w:bidi="ar-SA"/>
    </w:rPr>
  </w:style>
  <w:style w:type="paragraph" w:styleId="2">
    <w:name w:val="heading 1"/>
    <w:basedOn w:val="1"/>
    <w:next w:val="1"/>
    <w:link w:val="167"/>
    <w:qFormat/>
    <w:uiPriority w:val="9"/>
    <w:pPr>
      <w:keepNext/>
      <w:keepLines/>
      <w:spacing w:before="360" w:after="80"/>
      <w:outlineLvl w:val="0"/>
    </w:pPr>
    <w:rPr>
      <w:rFonts w:ascii="Arial" w:hAnsi="Arial" w:eastAsia="Arial" w:cs="Arial"/>
      <w:color w:val="366091" w:themeColor="accent1" w:themeShade="BF"/>
      <w:sz w:val="40"/>
      <w:szCs w:val="40"/>
    </w:rPr>
  </w:style>
  <w:style w:type="paragraph" w:styleId="3">
    <w:name w:val="heading 2"/>
    <w:basedOn w:val="1"/>
    <w:next w:val="1"/>
    <w:link w:val="168"/>
    <w:unhideWhenUsed/>
    <w:qFormat/>
    <w:uiPriority w:val="9"/>
    <w:pPr>
      <w:keepNext/>
      <w:keepLines/>
      <w:spacing w:before="160" w:after="80"/>
      <w:outlineLvl w:val="1"/>
    </w:pPr>
    <w:rPr>
      <w:rFonts w:ascii="Arial" w:hAnsi="Arial" w:eastAsia="Arial" w:cs="Arial"/>
      <w:color w:val="366091" w:themeColor="accent1" w:themeShade="BF"/>
      <w:sz w:val="32"/>
      <w:szCs w:val="32"/>
    </w:rPr>
  </w:style>
  <w:style w:type="paragraph" w:styleId="4">
    <w:name w:val="heading 3"/>
    <w:basedOn w:val="1"/>
    <w:next w:val="1"/>
    <w:link w:val="169"/>
    <w:unhideWhenUsed/>
    <w:qFormat/>
    <w:uiPriority w:val="9"/>
    <w:pPr>
      <w:keepNext/>
      <w:keepLines/>
      <w:spacing w:before="160" w:after="80"/>
      <w:outlineLvl w:val="2"/>
    </w:pPr>
    <w:rPr>
      <w:rFonts w:ascii="Arial" w:hAnsi="Arial" w:eastAsia="Arial" w:cs="Arial"/>
      <w:color w:val="366091" w:themeColor="accent1" w:themeShade="BF"/>
      <w:sz w:val="28"/>
      <w:szCs w:val="28"/>
    </w:rPr>
  </w:style>
  <w:style w:type="paragraph" w:styleId="5">
    <w:name w:val="heading 4"/>
    <w:basedOn w:val="1"/>
    <w:next w:val="1"/>
    <w:link w:val="170"/>
    <w:unhideWhenUsed/>
    <w:qFormat/>
    <w:uiPriority w:val="9"/>
    <w:pPr>
      <w:keepNext/>
      <w:keepLines/>
      <w:spacing w:before="80" w:after="40"/>
      <w:outlineLvl w:val="3"/>
    </w:pPr>
    <w:rPr>
      <w:rFonts w:ascii="Arial" w:hAnsi="Arial" w:eastAsia="Arial" w:cs="Arial"/>
      <w:i/>
      <w:iCs/>
      <w:color w:val="366091" w:themeColor="accent1" w:themeShade="BF"/>
    </w:rPr>
  </w:style>
  <w:style w:type="paragraph" w:styleId="6">
    <w:name w:val="heading 5"/>
    <w:basedOn w:val="1"/>
    <w:next w:val="1"/>
    <w:link w:val="171"/>
    <w:unhideWhenUsed/>
    <w:qFormat/>
    <w:uiPriority w:val="9"/>
    <w:pPr>
      <w:keepNext/>
      <w:keepLines/>
      <w:spacing w:before="80" w:after="40"/>
      <w:outlineLvl w:val="4"/>
    </w:pPr>
    <w:rPr>
      <w:rFonts w:ascii="Arial" w:hAnsi="Arial" w:eastAsia="Arial" w:cs="Arial"/>
      <w:color w:val="366091" w:themeColor="accent1" w:themeShade="BF"/>
    </w:rPr>
  </w:style>
  <w:style w:type="paragraph" w:styleId="7">
    <w:name w:val="heading 6"/>
    <w:basedOn w:val="1"/>
    <w:next w:val="1"/>
    <w:link w:val="172"/>
    <w:unhideWhenUsed/>
    <w:qFormat/>
    <w:uiPriority w:val="9"/>
    <w:pPr>
      <w:keepNext/>
      <w:keepLines/>
      <w:spacing w:before="40" w:after="0"/>
      <w:outlineLvl w:val="5"/>
    </w:pPr>
    <w:rPr>
      <w:rFonts w:ascii="Arial" w:hAnsi="Arial" w:eastAsia="Arial" w:cs="Arial"/>
      <w:i/>
      <w:iCs/>
      <w:color w:val="585858" w:themeColor="text1" w:themeTint="A6"/>
    </w:rPr>
  </w:style>
  <w:style w:type="paragraph" w:styleId="8">
    <w:name w:val="heading 7"/>
    <w:basedOn w:val="1"/>
    <w:next w:val="1"/>
    <w:link w:val="173"/>
    <w:unhideWhenUsed/>
    <w:qFormat/>
    <w:uiPriority w:val="9"/>
    <w:pPr>
      <w:keepNext/>
      <w:keepLines/>
      <w:spacing w:before="40" w:after="0"/>
      <w:outlineLvl w:val="6"/>
    </w:pPr>
    <w:rPr>
      <w:rFonts w:ascii="Arial" w:hAnsi="Arial" w:eastAsia="Arial" w:cs="Arial"/>
      <w:color w:val="585858" w:themeColor="text1" w:themeTint="A6"/>
    </w:rPr>
  </w:style>
  <w:style w:type="paragraph" w:styleId="9">
    <w:name w:val="heading 8"/>
    <w:basedOn w:val="1"/>
    <w:next w:val="1"/>
    <w:link w:val="174"/>
    <w:unhideWhenUsed/>
    <w:qFormat/>
    <w:uiPriority w:val="9"/>
    <w:pPr>
      <w:keepNext/>
      <w:keepLines/>
      <w:spacing w:after="0"/>
      <w:outlineLvl w:val="7"/>
    </w:pPr>
    <w:rPr>
      <w:rFonts w:ascii="Arial" w:hAnsi="Arial" w:eastAsia="Arial" w:cs="Arial"/>
      <w:i/>
      <w:iCs/>
      <w:color w:val="262626" w:themeColor="text1" w:themeTint="D8"/>
    </w:rPr>
  </w:style>
  <w:style w:type="paragraph" w:styleId="10">
    <w:name w:val="heading 9"/>
    <w:basedOn w:val="1"/>
    <w:next w:val="1"/>
    <w:link w:val="175"/>
    <w:unhideWhenUsed/>
    <w:qFormat/>
    <w:uiPriority w:val="9"/>
    <w:pPr>
      <w:keepNext/>
      <w:keepLines/>
      <w:spacing w:after="0"/>
      <w:outlineLvl w:val="8"/>
    </w:pPr>
    <w:rPr>
      <w:rFonts w:ascii="Arial" w:hAnsi="Arial" w:eastAsia="Arial" w:cs="Arial"/>
      <w:i/>
      <w:iCs/>
      <w:color w:val="262626" w:themeColor="text1" w:themeTint="D8"/>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styleId="11">
    <w:name w:val="toc 7"/>
    <w:basedOn w:val="1"/>
    <w:next w:val="1"/>
    <w:unhideWhenUsed/>
    <w:qFormat/>
    <w:uiPriority w:val="39"/>
    <w:pPr>
      <w:spacing w:after="100"/>
      <w:ind w:left="1320"/>
    </w:pPr>
  </w:style>
  <w:style w:type="paragraph" w:styleId="12">
    <w:name w:val="index 8"/>
    <w:basedOn w:val="1"/>
    <w:next w:val="1"/>
    <w:qFormat/>
    <w:uiPriority w:val="0"/>
    <w:pPr>
      <w:ind w:left="2940"/>
    </w:pPr>
  </w:style>
  <w:style w:type="paragraph" w:styleId="13">
    <w:name w:val="caption"/>
    <w:basedOn w:val="1"/>
    <w:next w:val="1"/>
    <w:unhideWhenUsed/>
    <w:qFormat/>
    <w:uiPriority w:val="35"/>
    <w:pPr>
      <w:spacing w:after="200" w:line="240" w:lineRule="auto"/>
    </w:pPr>
    <w:rPr>
      <w:i/>
      <w:iCs/>
      <w:color w:val="1F497D" w:themeColor="text2"/>
      <w:sz w:val="18"/>
      <w:szCs w:val="18"/>
    </w:rPr>
  </w:style>
  <w:style w:type="paragraph" w:styleId="14">
    <w:name w:val="annotation text"/>
    <w:basedOn w:val="1"/>
    <w:semiHidden/>
    <w:unhideWhenUsed/>
    <w:qFormat/>
    <w:uiPriority w:val="99"/>
    <w:pPr>
      <w:jc w:val="left"/>
    </w:pPr>
  </w:style>
  <w:style w:type="paragraph" w:styleId="15">
    <w:name w:val="Body Text"/>
    <w:basedOn w:val="1"/>
    <w:next w:val="1"/>
    <w:semiHidden/>
    <w:qFormat/>
    <w:uiPriority w:val="0"/>
    <w:rPr>
      <w:rFonts w:ascii="宋体" w:hAnsi="宋体" w:eastAsia="宋体" w:cs="宋体"/>
      <w:sz w:val="28"/>
      <w:szCs w:val="28"/>
      <w:lang w:eastAsia="en-US"/>
    </w:rPr>
  </w:style>
  <w:style w:type="paragraph" w:styleId="16">
    <w:name w:val="toc 5"/>
    <w:basedOn w:val="1"/>
    <w:next w:val="1"/>
    <w:unhideWhenUsed/>
    <w:qFormat/>
    <w:uiPriority w:val="39"/>
    <w:pPr>
      <w:spacing w:after="100"/>
      <w:ind w:left="880"/>
    </w:pPr>
  </w:style>
  <w:style w:type="paragraph" w:styleId="17">
    <w:name w:val="toc 3"/>
    <w:basedOn w:val="1"/>
    <w:next w:val="1"/>
    <w:unhideWhenUsed/>
    <w:qFormat/>
    <w:uiPriority w:val="39"/>
    <w:pPr>
      <w:spacing w:after="100"/>
      <w:ind w:left="440"/>
    </w:pPr>
  </w:style>
  <w:style w:type="paragraph" w:styleId="18">
    <w:name w:val="Plain Text"/>
    <w:basedOn w:val="1"/>
    <w:next w:val="5"/>
    <w:qFormat/>
    <w:uiPriority w:val="0"/>
    <w:rPr>
      <w:rFonts w:ascii="宋体" w:hAnsi="Courier New" w:cs="Century"/>
      <w:szCs w:val="21"/>
    </w:rPr>
  </w:style>
  <w:style w:type="paragraph" w:styleId="19">
    <w:name w:val="toc 8"/>
    <w:basedOn w:val="1"/>
    <w:next w:val="1"/>
    <w:unhideWhenUsed/>
    <w:qFormat/>
    <w:uiPriority w:val="39"/>
    <w:pPr>
      <w:spacing w:after="100"/>
      <w:ind w:left="1540"/>
    </w:pPr>
  </w:style>
  <w:style w:type="paragraph" w:styleId="20">
    <w:name w:val="endnote text"/>
    <w:basedOn w:val="1"/>
    <w:link w:val="192"/>
    <w:semiHidden/>
    <w:unhideWhenUsed/>
    <w:qFormat/>
    <w:uiPriority w:val="99"/>
    <w:pPr>
      <w:spacing w:after="0" w:line="240" w:lineRule="auto"/>
    </w:pPr>
    <w:rPr>
      <w:sz w:val="20"/>
      <w:szCs w:val="20"/>
    </w:rPr>
  </w:style>
  <w:style w:type="paragraph" w:styleId="21">
    <w:name w:val="footer"/>
    <w:basedOn w:val="1"/>
    <w:link w:val="190"/>
    <w:unhideWhenUsed/>
    <w:qFormat/>
    <w:uiPriority w:val="99"/>
    <w:pPr>
      <w:tabs>
        <w:tab w:val="center" w:pos="4844"/>
        <w:tab w:val="right" w:pos="9689"/>
      </w:tabs>
      <w:spacing w:after="0" w:line="240" w:lineRule="auto"/>
    </w:pPr>
  </w:style>
  <w:style w:type="paragraph" w:styleId="22">
    <w:name w:val="header"/>
    <w:basedOn w:val="1"/>
    <w:link w:val="189"/>
    <w:unhideWhenUsed/>
    <w:qFormat/>
    <w:uiPriority w:val="99"/>
    <w:pPr>
      <w:tabs>
        <w:tab w:val="center" w:pos="4844"/>
        <w:tab w:val="right" w:pos="9689"/>
      </w:tabs>
      <w:spacing w:after="0" w:line="240" w:lineRule="auto"/>
    </w:pPr>
  </w:style>
  <w:style w:type="paragraph" w:styleId="23">
    <w:name w:val="toc 1"/>
    <w:basedOn w:val="1"/>
    <w:next w:val="1"/>
    <w:unhideWhenUsed/>
    <w:qFormat/>
    <w:uiPriority w:val="39"/>
    <w:pPr>
      <w:spacing w:after="100"/>
    </w:pPr>
  </w:style>
  <w:style w:type="paragraph" w:styleId="24">
    <w:name w:val="toc 4"/>
    <w:basedOn w:val="1"/>
    <w:next w:val="1"/>
    <w:unhideWhenUsed/>
    <w:qFormat/>
    <w:uiPriority w:val="39"/>
    <w:pPr>
      <w:spacing w:after="100"/>
      <w:ind w:left="660"/>
    </w:pPr>
  </w:style>
  <w:style w:type="paragraph" w:styleId="25">
    <w:name w:val="Subtitle"/>
    <w:basedOn w:val="1"/>
    <w:next w:val="1"/>
    <w:link w:val="177"/>
    <w:qFormat/>
    <w:uiPriority w:val="11"/>
    <w:rPr>
      <w:color w:val="585858" w:themeColor="text1" w:themeTint="A6"/>
      <w:spacing w:val="15"/>
      <w:sz w:val="28"/>
      <w:szCs w:val="28"/>
    </w:rPr>
  </w:style>
  <w:style w:type="paragraph" w:styleId="26">
    <w:name w:val="footnote text"/>
    <w:basedOn w:val="1"/>
    <w:link w:val="191"/>
    <w:semiHidden/>
    <w:unhideWhenUsed/>
    <w:qFormat/>
    <w:uiPriority w:val="99"/>
    <w:pPr>
      <w:spacing w:after="0" w:line="240" w:lineRule="auto"/>
    </w:pPr>
    <w:rPr>
      <w:sz w:val="20"/>
      <w:szCs w:val="20"/>
    </w:rPr>
  </w:style>
  <w:style w:type="paragraph" w:styleId="27">
    <w:name w:val="toc 6"/>
    <w:basedOn w:val="1"/>
    <w:next w:val="1"/>
    <w:unhideWhenUsed/>
    <w:qFormat/>
    <w:uiPriority w:val="39"/>
    <w:pPr>
      <w:spacing w:after="100"/>
      <w:ind w:left="1100"/>
    </w:pPr>
  </w:style>
  <w:style w:type="paragraph" w:styleId="28">
    <w:name w:val="table of figures"/>
    <w:basedOn w:val="1"/>
    <w:next w:val="1"/>
    <w:unhideWhenUsed/>
    <w:qFormat/>
    <w:uiPriority w:val="99"/>
    <w:pPr>
      <w:spacing w:after="0" w:afterAutospacing="0"/>
    </w:pPr>
  </w:style>
  <w:style w:type="paragraph" w:styleId="29">
    <w:name w:val="toc 2"/>
    <w:basedOn w:val="1"/>
    <w:next w:val="1"/>
    <w:unhideWhenUsed/>
    <w:qFormat/>
    <w:uiPriority w:val="39"/>
    <w:pPr>
      <w:spacing w:after="100"/>
      <w:ind w:left="220"/>
    </w:pPr>
  </w:style>
  <w:style w:type="paragraph" w:styleId="30">
    <w:name w:val="toc 9"/>
    <w:basedOn w:val="1"/>
    <w:next w:val="1"/>
    <w:unhideWhenUsed/>
    <w:qFormat/>
    <w:uiPriority w:val="39"/>
    <w:pPr>
      <w:spacing w:after="100"/>
      <w:ind w:left="1760"/>
    </w:pPr>
  </w:style>
  <w:style w:type="paragraph" w:styleId="31">
    <w:name w:val="Normal (Web)"/>
    <w:basedOn w:val="1"/>
    <w:qFormat/>
    <w:uiPriority w:val="99"/>
    <w:pPr>
      <w:widowControl/>
      <w:spacing w:before="100" w:beforeAutospacing="1" w:after="100" w:afterAutospacing="1" w:line="400" w:lineRule="exact"/>
      <w:jc w:val="left"/>
    </w:pPr>
    <w:rPr>
      <w:rFonts w:ascii="宋体" w:hAnsi="宋体" w:eastAsia="宋体" w:cs="Times New Roman"/>
      <w:kern w:val="0"/>
      <w:sz w:val="24"/>
      <w:szCs w:val="24"/>
    </w:rPr>
  </w:style>
  <w:style w:type="paragraph" w:styleId="32">
    <w:name w:val="Title"/>
    <w:basedOn w:val="1"/>
    <w:next w:val="1"/>
    <w:link w:val="176"/>
    <w:qFormat/>
    <w:uiPriority w:val="10"/>
    <w:pPr>
      <w:spacing w:after="80" w:line="240" w:lineRule="auto"/>
      <w:contextualSpacing/>
    </w:pPr>
    <w:rPr>
      <w:rFonts w:ascii="Arial" w:hAnsi="Arial" w:eastAsia="Arial" w:cs="Arial"/>
      <w:spacing w:val="-10"/>
      <w:sz w:val="56"/>
      <w:szCs w:val="56"/>
    </w:rPr>
  </w:style>
  <w:style w:type="table" w:styleId="34">
    <w:name w:val="Table Grid"/>
    <w:basedOn w:val="33"/>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36">
    <w:name w:val="Strong"/>
    <w:basedOn w:val="35"/>
    <w:qFormat/>
    <w:uiPriority w:val="22"/>
    <w:rPr>
      <w:b/>
      <w:bCs/>
    </w:rPr>
  </w:style>
  <w:style w:type="character" w:styleId="37">
    <w:name w:val="endnote reference"/>
    <w:basedOn w:val="35"/>
    <w:semiHidden/>
    <w:unhideWhenUsed/>
    <w:qFormat/>
    <w:uiPriority w:val="99"/>
    <w:rPr>
      <w:vertAlign w:val="superscript"/>
    </w:rPr>
  </w:style>
  <w:style w:type="character" w:styleId="38">
    <w:name w:val="FollowedHyperlink"/>
    <w:basedOn w:val="35"/>
    <w:semiHidden/>
    <w:unhideWhenUsed/>
    <w:qFormat/>
    <w:uiPriority w:val="99"/>
    <w:rPr>
      <w:color w:val="800080" w:themeColor="followedHyperlink"/>
      <w:u w:val="single"/>
    </w:rPr>
  </w:style>
  <w:style w:type="character" w:styleId="39">
    <w:name w:val="Emphasis"/>
    <w:basedOn w:val="35"/>
    <w:qFormat/>
    <w:uiPriority w:val="20"/>
    <w:rPr>
      <w:i/>
      <w:iCs/>
    </w:rPr>
  </w:style>
  <w:style w:type="character" w:styleId="40">
    <w:name w:val="Hyperlink"/>
    <w:basedOn w:val="35"/>
    <w:unhideWhenUsed/>
    <w:qFormat/>
    <w:uiPriority w:val="99"/>
    <w:rPr>
      <w:color w:val="0000FF" w:themeColor="hyperlink"/>
      <w:u w:val="single"/>
    </w:rPr>
  </w:style>
  <w:style w:type="character" w:styleId="41">
    <w:name w:val="footnote reference"/>
    <w:basedOn w:val="35"/>
    <w:semiHidden/>
    <w:unhideWhenUsed/>
    <w:qFormat/>
    <w:uiPriority w:val="99"/>
    <w:rPr>
      <w:vertAlign w:val="superscript"/>
    </w:rPr>
  </w:style>
  <w:style w:type="table" w:customStyle="1" w:styleId="42">
    <w:name w:val="Table Grid Light"/>
    <w:basedOn w:val="33"/>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43">
    <w:name w:val="Plain Table 1"/>
    <w:basedOn w:val="33"/>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2Vert"/>
    <w:tblStylePr w:type="band1Horz">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4">
    <w:name w:val="Plain Table 2"/>
    <w:basedOn w:val="33"/>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45">
    <w:name w:val="Plain Table 3"/>
    <w:basedOn w:val="33"/>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6">
    <w:name w:val="Plain Table 4"/>
    <w:basedOn w:val="33"/>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7">
    <w:name w:val="Plain Table 5"/>
    <w:basedOn w:val="33"/>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8">
    <w:name w:val="Grid Table 1 Light"/>
    <w:basedOn w:val="33"/>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49">
    <w:name w:val="Grid Table 1 Light - Accent 1"/>
    <w:basedOn w:val="33"/>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50">
    <w:name w:val="Grid Table 1 Light - Accent 2"/>
    <w:basedOn w:val="33"/>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51">
    <w:name w:val="Grid Table 1 Light - Accent 3"/>
    <w:basedOn w:val="33"/>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52">
    <w:name w:val="Grid Table 1 Light - Accent 4"/>
    <w:basedOn w:val="33"/>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53">
    <w:name w:val="Grid Table 1 Light - Accent 5"/>
    <w:basedOn w:val="33"/>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54">
    <w:name w:val="Grid Table 1 Light - Accent 6"/>
    <w:basedOn w:val="33"/>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table" w:customStyle="1" w:styleId="55">
    <w:name w:val="Grid Table 2"/>
    <w:basedOn w:val="3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56">
    <w:name w:val="Grid Table 2 - Accent 1"/>
    <w:basedOn w:val="33"/>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57">
    <w:name w:val="Grid Table 2 - Accent 2"/>
    <w:basedOn w:val="33"/>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58">
    <w:name w:val="Grid Table 2 - Accent 3"/>
    <w:basedOn w:val="33"/>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59">
    <w:name w:val="Grid Table 2 - Accent 4"/>
    <w:basedOn w:val="33"/>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60">
    <w:name w:val="Grid Table 2 - Accent 5"/>
    <w:basedOn w:val="33"/>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61">
    <w:name w:val="Grid Table 2 - Accent 6"/>
    <w:basedOn w:val="33"/>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62">
    <w:name w:val="Grid Table 3"/>
    <w:basedOn w:val="3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63">
    <w:name w:val="Grid Table 3 - Accent 1"/>
    <w:basedOn w:val="33"/>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64">
    <w:name w:val="Grid Table 3 - Accent 2"/>
    <w:basedOn w:val="33"/>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65">
    <w:name w:val="Grid Table 3 - Accent 3"/>
    <w:basedOn w:val="33"/>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66">
    <w:name w:val="Grid Table 3 - Accent 4"/>
    <w:basedOn w:val="33"/>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67">
    <w:name w:val="Grid Table 3 - Accent 5"/>
    <w:basedOn w:val="33"/>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68">
    <w:name w:val="Grid Table 3 - Accent 6"/>
    <w:basedOn w:val="33"/>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69">
    <w:name w:val="Grid Table 4"/>
    <w:basedOn w:val="33"/>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70">
    <w:name w:val="Grid Table 4 - Accent 1"/>
    <w:basedOn w:val="33"/>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2Vert"/>
    <w:tblStylePr w:type="band1Horz">
      <w:rPr>
        <w:rFonts w:ascii="Arial" w:hAnsi="Arial"/>
        <w:color w:val="404040"/>
        <w:sz w:val="22"/>
      </w:rPr>
      <w:tcPr>
        <w:shd w:val="clear" w:color="DCE6F2" w:themeColor="accent1" w:themeTint="32" w:fill="DCE6F2" w:themeFill="accent1" w:themeFillTint="32"/>
      </w:tcPr>
    </w:tblStylePr>
    <w:tblStylePr w:type="band2Horz"/>
    <w:tblStylePr w:type="neCell"/>
    <w:tblStylePr w:type="nwCell"/>
    <w:tblStylePr w:type="seCell"/>
    <w:tblStylePr w:type="swCell"/>
  </w:style>
  <w:style w:type="table" w:customStyle="1" w:styleId="71">
    <w:name w:val="Grid Table 4 - Accent 2"/>
    <w:basedOn w:val="33"/>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72">
    <w:name w:val="Grid Table 4 - Accent 3"/>
    <w:basedOn w:val="33"/>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73">
    <w:name w:val="Grid Table 4 - Accent 4"/>
    <w:basedOn w:val="33"/>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74">
    <w:name w:val="Grid Table 4 - Accent 5"/>
    <w:basedOn w:val="33"/>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75">
    <w:name w:val="Grid Table 4 - Accent 6"/>
    <w:basedOn w:val="33"/>
    <w:qFormat/>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76">
    <w:name w:val="Grid Table 5 Dark"/>
    <w:basedOn w:val="3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2Vert"/>
    <w:tblStylePr w:type="band1Horz">
      <w:tcPr>
        <w:shd w:val="clear" w:color="898989" w:themeColor="text1" w:themeTint="75" w:fill="898989" w:themeFill="text1" w:themeFillTint="75"/>
      </w:tcPr>
    </w:tblStylePr>
    <w:tblStylePr w:type="band2Horz"/>
    <w:tblStylePr w:type="neCell"/>
    <w:tblStylePr w:type="nwCell"/>
    <w:tblStylePr w:type="seCell"/>
    <w:tblStylePr w:type="swCell"/>
  </w:style>
  <w:style w:type="table" w:customStyle="1" w:styleId="77">
    <w:name w:val="Grid Table 5 Dark- Accent 1"/>
    <w:basedOn w:val="3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2Vert"/>
    <w:tblStylePr w:type="band1Horz">
      <w:tcPr>
        <w:shd w:val="clear" w:color="AEC5E0" w:themeColor="accent1" w:themeTint="75" w:fill="AEC5E0" w:themeFill="accent1" w:themeFillTint="75"/>
      </w:tcPr>
    </w:tblStylePr>
    <w:tblStylePr w:type="band2Horz"/>
    <w:tblStylePr w:type="neCell"/>
    <w:tblStylePr w:type="nwCell"/>
    <w:tblStylePr w:type="seCell"/>
    <w:tblStylePr w:type="swCell"/>
  </w:style>
  <w:style w:type="table" w:customStyle="1" w:styleId="78">
    <w:name w:val="Grid Table 5 Dark - Accent 2"/>
    <w:basedOn w:val="3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2Vert"/>
    <w:tblStylePr w:type="band1Horz">
      <w:tcPr>
        <w:shd w:val="clear" w:color="E2AEAD" w:themeColor="accent2" w:themeTint="75" w:fill="E2AEAD" w:themeFill="accent2" w:themeFillTint="75"/>
      </w:tcPr>
    </w:tblStylePr>
    <w:tblStylePr w:type="band2Horz"/>
    <w:tblStylePr w:type="neCell"/>
    <w:tblStylePr w:type="nwCell"/>
    <w:tblStylePr w:type="seCell"/>
    <w:tblStylePr w:type="swCell"/>
  </w:style>
  <w:style w:type="table" w:customStyle="1" w:styleId="79">
    <w:name w:val="Grid Table 5 Dark - Accent 3"/>
    <w:basedOn w:val="3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2Vert"/>
    <w:tblStylePr w:type="band1Horz">
      <w:tcPr>
        <w:shd w:val="clear" w:color="D1DFB2" w:themeColor="accent3" w:themeTint="75" w:fill="D1DFB2" w:themeFill="accent3" w:themeFillTint="75"/>
      </w:tcPr>
    </w:tblStylePr>
    <w:tblStylePr w:type="band2Horz"/>
    <w:tblStylePr w:type="neCell"/>
    <w:tblStylePr w:type="nwCell"/>
    <w:tblStylePr w:type="seCell"/>
    <w:tblStylePr w:type="swCell"/>
  </w:style>
  <w:style w:type="table" w:customStyle="1" w:styleId="80">
    <w:name w:val="Grid Table 5 Dark- Accent 4"/>
    <w:basedOn w:val="3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2Vert"/>
    <w:tblStylePr w:type="band1Horz">
      <w:tcPr>
        <w:shd w:val="clear" w:color="C4B7D4" w:themeColor="accent4" w:themeTint="75" w:fill="C4B7D4" w:themeFill="accent4" w:themeFillTint="75"/>
      </w:tcPr>
    </w:tblStylePr>
    <w:tblStylePr w:type="band2Horz"/>
    <w:tblStylePr w:type="neCell"/>
    <w:tblStylePr w:type="nwCell"/>
    <w:tblStylePr w:type="seCell"/>
    <w:tblStylePr w:type="swCell"/>
  </w:style>
  <w:style w:type="table" w:customStyle="1" w:styleId="81">
    <w:name w:val="Grid Table 5 Dark - Accent 5"/>
    <w:basedOn w:val="3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2Vert"/>
    <w:tblStylePr w:type="band1Horz">
      <w:tcPr>
        <w:shd w:val="clear" w:color="ACD8E4" w:themeColor="accent5" w:themeTint="75" w:fill="ACD8E4" w:themeFill="accent5" w:themeFillTint="75"/>
      </w:tcPr>
    </w:tblStylePr>
    <w:tblStylePr w:type="band2Horz"/>
    <w:tblStylePr w:type="neCell"/>
    <w:tblStylePr w:type="nwCell"/>
    <w:tblStylePr w:type="seCell"/>
    <w:tblStylePr w:type="swCell"/>
  </w:style>
  <w:style w:type="table" w:customStyle="1" w:styleId="82">
    <w:name w:val="Grid Table 5 Dark - Accent 6"/>
    <w:basedOn w:val="3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2Vert"/>
    <w:tblStylePr w:type="band1Horz">
      <w:tcPr>
        <w:shd w:val="clear" w:color="FBCEAA" w:themeColor="accent6" w:themeTint="75" w:fill="FBCEAA" w:themeFill="accent6" w:themeFillTint="75"/>
      </w:tcPr>
    </w:tblStylePr>
    <w:tblStylePr w:type="band2Horz"/>
    <w:tblStylePr w:type="neCell"/>
    <w:tblStylePr w:type="nwCell"/>
    <w:tblStylePr w:type="seCell"/>
    <w:tblStylePr w:type="swCell"/>
  </w:style>
  <w:style w:type="table" w:customStyle="1" w:styleId="83">
    <w:name w:val="Grid Table 6 Colorful"/>
    <w:basedOn w:val="33"/>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7E7E7E" w:themeColor="text1" w:themeShade="95" w:themeTint="80"/>
      </w:rPr>
      <w:tcPr>
        <w:tcBorders>
          <w:bottom w:val="single" w:color="7E7E7E" w:themeColor="text1" w:themeTint="80" w:sz="12" w:space="0"/>
        </w:tcBorders>
      </w:tcPr>
    </w:tblStylePr>
    <w:tblStylePr w:type="lastRow">
      <w:rPr>
        <w:b/>
        <w:color w:val="7E7E7E" w:themeColor="text1" w:themeShade="95" w:themeTint="80"/>
      </w:rPr>
    </w:tblStylePr>
    <w:tblStylePr w:type="firstCol">
      <w:rPr>
        <w:b/>
        <w:color w:val="7E7E7E" w:themeColor="text1" w:themeShade="95" w:themeTint="80"/>
      </w:rPr>
    </w:tblStylePr>
    <w:tblStylePr w:type="lastCol">
      <w:rPr>
        <w:b/>
        <w:color w:val="7E7E7E" w:themeColor="text1" w:themeShade="95" w:themeTint="80"/>
      </w:rPr>
    </w:tblStylePr>
    <w:tblStylePr w:type="band1Vert">
      <w:tcPr>
        <w:shd w:val="clear" w:color="CACACA" w:themeColor="text1" w:themeTint="34" w:fill="CACACA" w:themeFill="text1" w:themeFillTint="34"/>
      </w:tcPr>
    </w:tblStylePr>
    <w:tblStylePr w:type="band2Vert"/>
    <w:tblStylePr w:type="band1Horz">
      <w:rPr>
        <w:rFonts w:ascii="Arial" w:hAnsi="Arial"/>
        <w:color w:val="7E7E7E" w:themeColor="text1" w:themeShade="95" w:themeTint="80"/>
        <w:sz w:val="22"/>
      </w:rPr>
      <w:tcPr>
        <w:shd w:val="clear" w:color="CACACA" w:themeColor="text1" w:themeTint="34" w:fill="CACACA" w:themeFill="text1" w:themeFillTint="34"/>
      </w:tcPr>
    </w:tblStylePr>
    <w:tblStylePr w:type="band2Horz">
      <w:rPr>
        <w:rFonts w:ascii="Arial" w:hAnsi="Arial"/>
        <w:color w:val="7E7E7E" w:themeColor="text1" w:themeShade="95" w:themeTint="80"/>
        <w:sz w:val="22"/>
      </w:rPr>
    </w:tblStylePr>
    <w:tblStylePr w:type="neCell"/>
    <w:tblStylePr w:type="nwCell"/>
    <w:tblStylePr w:type="seCell"/>
    <w:tblStylePr w:type="swCell"/>
  </w:style>
  <w:style w:type="table" w:customStyle="1" w:styleId="84">
    <w:name w:val="Grid Table 6 Colorful - Accent 1"/>
    <w:basedOn w:val="33"/>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6BFDD" w:themeColor="accent1" w:themeShade="95" w:themeTint="80"/>
      </w:rPr>
      <w:tcPr>
        <w:tcBorders>
          <w:bottom w:val="single" w:color="A6BFDD" w:themeColor="accent1" w:themeTint="80" w:sz="12" w:space="0"/>
        </w:tcBorders>
      </w:tcPr>
    </w:tblStylePr>
    <w:tblStylePr w:type="lastRow">
      <w:rPr>
        <w:b/>
        <w:color w:val="A6BFDD" w:themeColor="accent1" w:themeShade="95" w:themeTint="80"/>
      </w:rPr>
    </w:tblStylePr>
    <w:tblStylePr w:type="firstCol">
      <w:rPr>
        <w:b/>
        <w:color w:val="A6BFDD" w:themeColor="accent1" w:themeShade="95" w:themeTint="80"/>
      </w:rPr>
    </w:tblStylePr>
    <w:tblStylePr w:type="lastCol">
      <w:rPr>
        <w:b/>
        <w:color w:val="A6BFDD" w:themeColor="accent1" w:themeShade="95" w:themeTint="80"/>
      </w:rPr>
    </w:tblStylePr>
    <w:tblStylePr w:type="band1Vert">
      <w:tcPr>
        <w:shd w:val="clear" w:color="DBE5F1" w:themeColor="accent1" w:themeTint="34" w:fill="DBE5F1" w:themeFill="accent1" w:themeFillTint="34"/>
      </w:tcPr>
    </w:tblStylePr>
    <w:tblStylePr w:type="band2Vert"/>
    <w:tblStylePr w:type="band1Horz">
      <w:rPr>
        <w:rFonts w:ascii="Arial" w:hAnsi="Arial"/>
        <w:color w:val="A6BFDD" w:themeColor="accent1" w:themeShade="95" w:themeTint="80"/>
        <w:sz w:val="22"/>
      </w:rPr>
      <w:tcPr>
        <w:shd w:val="clear" w:color="DBE5F1" w:themeColor="accent1" w:themeTint="34" w:fill="DBE5F1" w:themeFill="accent1" w:themeFillTint="34"/>
      </w:tcPr>
    </w:tblStylePr>
    <w:tblStylePr w:type="band2Horz">
      <w:rPr>
        <w:rFonts w:ascii="Arial" w:hAnsi="Arial"/>
        <w:color w:val="A6BFDD" w:themeColor="accent1" w:themeShade="95" w:themeTint="80"/>
        <w:sz w:val="22"/>
      </w:rPr>
    </w:tblStylePr>
    <w:tblStylePr w:type="neCell"/>
    <w:tblStylePr w:type="nwCell"/>
    <w:tblStylePr w:type="seCell"/>
    <w:tblStylePr w:type="swCell"/>
  </w:style>
  <w:style w:type="table" w:customStyle="1" w:styleId="85">
    <w:name w:val="Grid Table 6 Colorful - Accent 2"/>
    <w:basedOn w:val="33"/>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99795" w:themeColor="accent2" w:themeShade="95" w:themeTint="97"/>
      </w:rPr>
      <w:tcPr>
        <w:tcBorders>
          <w:bottom w:val="single" w:color="D99795" w:themeColor="accent2" w:themeTint="97" w:sz="12" w:space="0"/>
        </w:tcBorders>
      </w:tcPr>
    </w:tblStylePr>
    <w:tblStylePr w:type="lastRow">
      <w:rPr>
        <w:b/>
        <w:color w:val="D99795" w:themeColor="accent2" w:themeShade="95" w:themeTint="97"/>
      </w:rPr>
    </w:tblStylePr>
    <w:tblStylePr w:type="firstCol">
      <w:rPr>
        <w:b/>
        <w:color w:val="D99795" w:themeColor="accent2" w:themeShade="95" w:themeTint="97"/>
      </w:rPr>
    </w:tblStylePr>
    <w:tblStylePr w:type="lastCol">
      <w:rPr>
        <w:b/>
        <w:color w:val="D99795" w:themeColor="accent2" w:themeShade="95" w:themeTint="97"/>
      </w:rPr>
    </w:tblStylePr>
    <w:tblStylePr w:type="band1Vert">
      <w:tcPr>
        <w:shd w:val="clear" w:color="F2DCDC" w:themeColor="accent2" w:themeTint="32" w:fill="F2DCDC" w:themeFill="accent2" w:themeFillTint="32"/>
      </w:tcPr>
    </w:tblStylePr>
    <w:tblStylePr w:type="band2Vert"/>
    <w:tblStylePr w:type="band1Horz">
      <w:rPr>
        <w:rFonts w:ascii="Arial" w:hAnsi="Arial"/>
        <w:color w:val="D99795" w:themeColor="accent2" w:themeShade="95" w:themeTint="97"/>
        <w:sz w:val="22"/>
      </w:rPr>
      <w:tcPr>
        <w:shd w:val="clear" w:color="F2DCDC" w:themeColor="accent2" w:themeTint="32" w:fill="F2DCDC" w:themeFill="accent2" w:themeFillTint="32"/>
      </w:tcPr>
    </w:tblStylePr>
    <w:tblStylePr w:type="band2Horz">
      <w:rPr>
        <w:rFonts w:ascii="Arial" w:hAnsi="Arial"/>
        <w:color w:val="D99795" w:themeColor="accent2" w:themeShade="95" w:themeTint="97"/>
        <w:sz w:val="22"/>
      </w:rPr>
    </w:tblStylePr>
    <w:tblStylePr w:type="neCell"/>
    <w:tblStylePr w:type="nwCell"/>
    <w:tblStylePr w:type="seCell"/>
    <w:tblStylePr w:type="swCell"/>
  </w:style>
  <w:style w:type="table" w:customStyle="1" w:styleId="86">
    <w:name w:val="Grid Table 6 Colorful - Accent 3"/>
    <w:basedOn w:val="33"/>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Shade="95" w:themeTint="FE"/>
      </w:rPr>
      <w:tcPr>
        <w:tcBorders>
          <w:bottom w:val="single" w:color="9BBB59" w:themeColor="accent3" w:themeTint="FE" w:sz="12" w:space="0"/>
        </w:tcBorders>
      </w:tcPr>
    </w:tblStylePr>
    <w:tblStylePr w:type="lastRow">
      <w:rPr>
        <w:b/>
        <w:color w:val="9BBB59" w:themeColor="accent3" w:themeShade="95" w:themeTint="FE"/>
      </w:rPr>
    </w:tblStylePr>
    <w:tblStylePr w:type="firstCol">
      <w:rPr>
        <w:b/>
        <w:color w:val="9BBB59" w:themeColor="accent3" w:themeShade="95" w:themeTint="FE"/>
      </w:rPr>
    </w:tblStylePr>
    <w:tblStylePr w:type="lastCol">
      <w:rPr>
        <w:b/>
        <w:color w:val="9BBB59" w:themeColor="accent3" w:themeShade="95" w:themeTint="FE"/>
      </w:r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Shade="95" w:themeTint="FE"/>
        <w:sz w:val="22"/>
      </w:rPr>
      <w:tcPr>
        <w:shd w:val="clear" w:color="EAF1DD" w:themeColor="accent3" w:themeTint="34" w:fill="EAF1DD" w:themeFill="accent3" w:themeFillTint="34"/>
      </w:tcPr>
    </w:tblStylePr>
    <w:tblStylePr w:type="band2Horz">
      <w:rPr>
        <w:rFonts w:ascii="Arial" w:hAnsi="Arial"/>
        <w:color w:val="9BBB59" w:themeColor="accent3" w:themeShade="95" w:themeTint="FE"/>
        <w:sz w:val="22"/>
      </w:rPr>
    </w:tblStylePr>
    <w:tblStylePr w:type="neCell"/>
    <w:tblStylePr w:type="nwCell"/>
    <w:tblStylePr w:type="seCell"/>
    <w:tblStylePr w:type="swCell"/>
  </w:style>
  <w:style w:type="table" w:customStyle="1" w:styleId="87">
    <w:name w:val="Grid Table 6 Colorful - Accent 4"/>
    <w:basedOn w:val="33"/>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2A1C6" w:themeColor="accent4" w:themeShade="95" w:themeTint="9A"/>
      </w:rPr>
      <w:tcPr>
        <w:tcBorders>
          <w:bottom w:val="single" w:color="B2A1C6" w:themeColor="accent4" w:themeTint="9A" w:sz="12" w:space="0"/>
        </w:tcBorders>
      </w:tcPr>
    </w:tblStylePr>
    <w:tblStylePr w:type="lastRow">
      <w:rPr>
        <w:b/>
        <w:color w:val="B2A1C6" w:themeColor="accent4" w:themeShade="95" w:themeTint="9A"/>
      </w:rPr>
    </w:tblStylePr>
    <w:tblStylePr w:type="firstCol">
      <w:rPr>
        <w:b/>
        <w:color w:val="B2A1C6" w:themeColor="accent4" w:themeShade="95" w:themeTint="9A"/>
      </w:rPr>
    </w:tblStylePr>
    <w:tblStylePr w:type="lastCol">
      <w:rPr>
        <w:b/>
        <w:color w:val="B2A1C6" w:themeColor="accent4" w:themeShade="95" w:themeTint="9A"/>
      </w:rPr>
    </w:tblStylePr>
    <w:tblStylePr w:type="band1Vert">
      <w:tcPr>
        <w:shd w:val="clear" w:color="E5DFEC" w:themeColor="accent4" w:themeTint="34" w:fill="E5DFEC" w:themeFill="accent4" w:themeFillTint="34"/>
      </w:tcPr>
    </w:tblStylePr>
    <w:tblStylePr w:type="band2Vert"/>
    <w:tblStylePr w:type="band1Horz">
      <w:rPr>
        <w:rFonts w:ascii="Arial" w:hAnsi="Arial"/>
        <w:color w:val="B2A1C6" w:themeColor="accent4" w:themeShade="95" w:themeTint="9A"/>
        <w:sz w:val="22"/>
      </w:rPr>
      <w:tcPr>
        <w:shd w:val="clear" w:color="E5DFEC" w:themeColor="accent4" w:themeTint="34" w:fill="E5DFEC" w:themeFill="accent4" w:themeFillTint="34"/>
      </w:tcPr>
    </w:tblStylePr>
    <w:tblStylePr w:type="band2Horz">
      <w:rPr>
        <w:rFonts w:ascii="Arial" w:hAnsi="Arial"/>
        <w:color w:val="B2A1C6" w:themeColor="accent4" w:themeShade="95" w:themeTint="9A"/>
        <w:sz w:val="22"/>
      </w:rPr>
    </w:tblStylePr>
    <w:tblStylePr w:type="neCell"/>
    <w:tblStylePr w:type="nwCell"/>
    <w:tblStylePr w:type="seCell"/>
    <w:tblStylePr w:type="swCell"/>
  </w:style>
  <w:style w:type="table" w:customStyle="1" w:styleId="88">
    <w:name w:val="Grid Table 6 Colorful - Accent 5"/>
    <w:basedOn w:val="33"/>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9" w:themeColor="accent5" w:themeShade="95"/>
      </w:rPr>
      <w:tcPr>
        <w:tcBorders>
          <w:bottom w:val="single" w:color="4BACC6" w:themeColor="accent5" w:sz="12" w:space="0"/>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2Horz">
      <w:rPr>
        <w:rFonts w:ascii="Arial" w:hAnsi="Arial"/>
        <w:color w:val="266779" w:themeColor="accent5" w:themeShade="95"/>
        <w:sz w:val="22"/>
      </w:rPr>
    </w:tblStylePr>
    <w:tblStylePr w:type="neCell"/>
    <w:tblStylePr w:type="nwCell"/>
    <w:tblStylePr w:type="seCell"/>
    <w:tblStylePr w:type="swCell"/>
  </w:style>
  <w:style w:type="table" w:customStyle="1" w:styleId="89">
    <w:name w:val="Grid Table 6 Colorful - Accent 6"/>
    <w:basedOn w:val="33"/>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9" w:themeColor="accent5" w:themeShade="95"/>
      </w:rPr>
      <w:tcPr>
        <w:tcBorders>
          <w:bottom w:val="single" w:color="F79646" w:themeColor="accent6" w:sz="12" w:space="0"/>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cPr>
        <w:shd w:val="clear" w:color="FDE9D9" w:themeColor="accent6" w:themeTint="34" w:fill="FDE9D9" w:themeFill="accent6" w:themeFillTint="34"/>
      </w:tcPr>
    </w:tblStylePr>
    <w:tblStylePr w:type="band2Vert"/>
    <w:tblStylePr w:type="band1Horz">
      <w:rPr>
        <w:rFonts w:ascii="Arial" w:hAnsi="Arial"/>
        <w:color w:val="266779" w:themeColor="accent5" w:themeShade="95"/>
        <w:sz w:val="22"/>
      </w:rPr>
      <w:tcPr>
        <w:shd w:val="clear" w:color="FDE9D9" w:themeColor="accent6" w:themeTint="34" w:fill="FDE9D9" w:themeFill="accent6" w:themeFillTint="34"/>
      </w:tcPr>
    </w:tblStylePr>
    <w:tblStylePr w:type="band2Horz">
      <w:rPr>
        <w:rFonts w:ascii="Arial" w:hAnsi="Arial"/>
        <w:color w:val="266779" w:themeColor="accent5" w:themeShade="95"/>
        <w:sz w:val="22"/>
      </w:rPr>
    </w:tblStylePr>
    <w:tblStylePr w:type="neCell"/>
    <w:tblStylePr w:type="nwCell"/>
    <w:tblStylePr w:type="seCell"/>
    <w:tblStylePr w:type="swCell"/>
  </w:style>
  <w:style w:type="table" w:customStyle="1" w:styleId="90">
    <w:name w:val="Grid Table 7 Colorful"/>
    <w:basedOn w:val="33"/>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7E7E7E" w:themeColor="text1" w:themeShade="95" w:themeTint="80"/>
        <w:sz w:val="22"/>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7E7E7E" w:themeColor="text1" w:themeShade="95" w:themeTint="80"/>
        <w:sz w:val="22"/>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7E7E7E" w:themeColor="text1" w:themeShade="95" w:themeTint="80"/>
        <w:sz w:val="22"/>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7E7E7E" w:themeColor="text1" w:themeShade="95" w:themeTint="80"/>
        <w:sz w:val="22"/>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2Vert"/>
    <w:tblStylePr w:type="band1Horz">
      <w:rPr>
        <w:rFonts w:ascii="Arial" w:hAnsi="Arial"/>
        <w:color w:val="7E7E7E" w:themeColor="text1" w:themeShade="95" w:themeTint="80"/>
        <w:sz w:val="22"/>
      </w:rPr>
      <w:tcPr>
        <w:shd w:val="clear" w:color="F1F1F1" w:themeColor="text1" w:themeTint="0D" w:fill="F1F1F1" w:themeFill="text1" w:themeFillTint="0D"/>
      </w:tcPr>
    </w:tblStylePr>
    <w:tblStylePr w:type="band2Horz">
      <w:rPr>
        <w:rFonts w:ascii="Arial" w:hAnsi="Arial"/>
        <w:color w:val="7E7E7E" w:themeColor="text1" w:themeShade="95" w:themeTint="80"/>
        <w:sz w:val="22"/>
      </w:rPr>
    </w:tblStylePr>
    <w:tblStylePr w:type="neCell"/>
    <w:tblStylePr w:type="nwCell"/>
    <w:tblStylePr w:type="seCell"/>
    <w:tblStylePr w:type="swCell"/>
  </w:style>
  <w:style w:type="table" w:customStyle="1" w:styleId="91">
    <w:name w:val="Grid Table 7 Colorful - Accent 1"/>
    <w:basedOn w:val="33"/>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6BFDD" w:themeColor="accent1" w:themeShade="95" w:themeTint="80"/>
        <w:sz w:val="22"/>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6BFDD" w:themeColor="accent1" w:themeShade="95" w:themeTint="80"/>
        <w:sz w:val="22"/>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6BFDD" w:themeColor="accent1" w:themeShade="95" w:themeTint="80"/>
        <w:sz w:val="22"/>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6BFDD" w:themeColor="accent1" w:themeShade="95" w:themeTint="80"/>
        <w:sz w:val="22"/>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2Vert"/>
    <w:tblStylePr w:type="band1Horz">
      <w:rPr>
        <w:rFonts w:ascii="Arial" w:hAnsi="Arial"/>
        <w:color w:val="A6BFDD" w:themeColor="accent1" w:themeShade="95" w:themeTint="80"/>
        <w:sz w:val="22"/>
      </w:rPr>
      <w:tcPr>
        <w:shd w:val="clear" w:color="DBE5F1" w:themeColor="accent1" w:themeTint="34" w:fill="DBE5F1" w:themeFill="accent1" w:themeFillTint="34"/>
      </w:tcPr>
    </w:tblStylePr>
    <w:tblStylePr w:type="band2Horz">
      <w:rPr>
        <w:rFonts w:ascii="Arial" w:hAnsi="Arial"/>
        <w:color w:val="A6BFDD" w:themeColor="accent1" w:themeShade="95" w:themeTint="80"/>
        <w:sz w:val="22"/>
      </w:rPr>
    </w:tblStylePr>
    <w:tblStylePr w:type="neCell"/>
    <w:tblStylePr w:type="nwCell"/>
    <w:tblStylePr w:type="seCell"/>
    <w:tblStylePr w:type="swCell"/>
  </w:style>
  <w:style w:type="table" w:customStyle="1" w:styleId="92">
    <w:name w:val="Grid Table 7 Colorful - Accent 2"/>
    <w:basedOn w:val="33"/>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99795" w:themeColor="accent2" w:themeShade="95" w:themeTint="97"/>
        <w:sz w:val="22"/>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99795" w:themeColor="accent2" w:themeShade="95" w:themeTint="97"/>
        <w:sz w:val="22"/>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99795" w:themeColor="accent2" w:themeShade="95" w:themeTint="97"/>
        <w:sz w:val="22"/>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99795" w:themeColor="accent2" w:themeShade="95" w:themeTint="97"/>
        <w:sz w:val="22"/>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2Vert"/>
    <w:tblStylePr w:type="band1Horz">
      <w:rPr>
        <w:rFonts w:ascii="Arial" w:hAnsi="Arial"/>
        <w:color w:val="D99795" w:themeColor="accent2" w:themeShade="95" w:themeTint="97"/>
        <w:sz w:val="22"/>
      </w:rPr>
      <w:tcPr>
        <w:shd w:val="clear" w:color="F2DCDC" w:themeColor="accent2" w:themeTint="32" w:fill="F2DCDC" w:themeFill="accent2" w:themeFillTint="32"/>
      </w:tcPr>
    </w:tblStylePr>
    <w:tblStylePr w:type="band2Horz">
      <w:rPr>
        <w:rFonts w:ascii="Arial" w:hAnsi="Arial"/>
        <w:color w:val="D99795" w:themeColor="accent2" w:themeShade="95" w:themeTint="97"/>
        <w:sz w:val="22"/>
      </w:rPr>
    </w:tblStylePr>
    <w:tblStylePr w:type="neCell"/>
    <w:tblStylePr w:type="nwCell"/>
    <w:tblStylePr w:type="seCell"/>
    <w:tblStylePr w:type="swCell"/>
  </w:style>
  <w:style w:type="table" w:customStyle="1" w:styleId="93">
    <w:name w:val="Grid Table 7 Colorful - Accent 3"/>
    <w:basedOn w:val="33"/>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Shade="95" w:themeTint="FE"/>
        <w:sz w:val="22"/>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Shade="95" w:themeTint="FE"/>
        <w:sz w:val="22"/>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Shade="95" w:themeTint="FE"/>
        <w:sz w:val="22"/>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Shade="95" w:themeTint="FE"/>
        <w:sz w:val="22"/>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Shade="95" w:themeTint="FE"/>
        <w:sz w:val="22"/>
      </w:rPr>
      <w:tcPr>
        <w:shd w:val="clear" w:color="EAF1DD" w:themeColor="accent3" w:themeTint="34" w:fill="EAF1DD" w:themeFill="accent3" w:themeFillTint="34"/>
      </w:tcPr>
    </w:tblStylePr>
    <w:tblStylePr w:type="band2Horz">
      <w:rPr>
        <w:rFonts w:ascii="Arial" w:hAnsi="Arial"/>
        <w:color w:val="9BBB59" w:themeColor="accent3" w:themeShade="95" w:themeTint="FE"/>
        <w:sz w:val="22"/>
      </w:rPr>
    </w:tblStylePr>
    <w:tblStylePr w:type="neCell"/>
    <w:tblStylePr w:type="nwCell"/>
    <w:tblStylePr w:type="seCell"/>
    <w:tblStylePr w:type="swCell"/>
  </w:style>
  <w:style w:type="table" w:customStyle="1" w:styleId="94">
    <w:name w:val="Grid Table 7 Colorful - Accent 4"/>
    <w:basedOn w:val="33"/>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2A1C6" w:themeColor="accent4" w:themeShade="95" w:themeTint="9A"/>
        <w:sz w:val="22"/>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2A1C6" w:themeColor="accent4" w:themeShade="95" w:themeTint="9A"/>
        <w:sz w:val="22"/>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2A1C6" w:themeColor="accent4" w:themeShade="95" w:themeTint="9A"/>
        <w:sz w:val="22"/>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2A1C6" w:themeColor="accent4" w:themeShade="95" w:themeTint="9A"/>
        <w:sz w:val="22"/>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2Vert"/>
    <w:tblStylePr w:type="band1Horz">
      <w:rPr>
        <w:rFonts w:ascii="Arial" w:hAnsi="Arial"/>
        <w:color w:val="B2A1C6" w:themeColor="accent4" w:themeShade="95" w:themeTint="9A"/>
        <w:sz w:val="22"/>
      </w:rPr>
      <w:tcPr>
        <w:shd w:val="clear" w:color="E5DFEC" w:themeColor="accent4" w:themeTint="34" w:fill="E5DFEC" w:themeFill="accent4" w:themeFillTint="34"/>
      </w:tcPr>
    </w:tblStylePr>
    <w:tblStylePr w:type="band2Horz">
      <w:rPr>
        <w:rFonts w:ascii="Arial" w:hAnsi="Arial"/>
        <w:color w:val="B2A1C6" w:themeColor="accent4" w:themeShade="95" w:themeTint="9A"/>
        <w:sz w:val="22"/>
      </w:rPr>
    </w:tblStylePr>
    <w:tblStylePr w:type="neCell"/>
    <w:tblStylePr w:type="nwCell"/>
    <w:tblStylePr w:type="seCell"/>
    <w:tblStylePr w:type="swCell"/>
  </w:style>
  <w:style w:type="table" w:customStyle="1" w:styleId="95">
    <w:name w:val="Grid Table 7 Colorful - Accent 5"/>
    <w:basedOn w:val="33"/>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9" w:themeColor="accent5" w:themeShade="95"/>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9" w:themeColor="accent5" w:themeShade="95"/>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9" w:themeColor="accent5" w:themeShade="95"/>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9" w:themeColor="accent5" w:themeShade="95"/>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2Horz">
      <w:rPr>
        <w:rFonts w:ascii="Arial" w:hAnsi="Arial"/>
        <w:color w:val="266779" w:themeColor="accent5" w:themeShade="95"/>
        <w:sz w:val="22"/>
      </w:rPr>
    </w:tblStylePr>
    <w:tblStylePr w:type="neCell"/>
    <w:tblStylePr w:type="nwCell"/>
    <w:tblStylePr w:type="seCell"/>
    <w:tblStylePr w:type="swCell"/>
  </w:style>
  <w:style w:type="table" w:customStyle="1" w:styleId="96">
    <w:name w:val="Grid Table 7 Colorful - Accent 6"/>
    <w:basedOn w:val="33"/>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15407" w:themeColor="accent6" w:themeShade="95"/>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15407" w:themeColor="accent6" w:themeShade="95"/>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15407" w:themeColor="accent6" w:themeShade="95"/>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15407" w:themeColor="accent6" w:themeShade="95"/>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2Vert"/>
    <w:tblStylePr w:type="band1Horz">
      <w:rPr>
        <w:rFonts w:ascii="Arial" w:hAnsi="Arial"/>
        <w:color w:val="B15407" w:themeColor="accent6" w:themeShade="95"/>
        <w:sz w:val="22"/>
      </w:rPr>
      <w:tcPr>
        <w:shd w:val="clear" w:color="FDE9D9" w:themeColor="accent6" w:themeTint="34" w:fill="FDE9D9" w:themeFill="accent6" w:themeFillTint="34"/>
      </w:tcPr>
    </w:tblStylePr>
    <w:tblStylePr w:type="band2Horz">
      <w:rPr>
        <w:rFonts w:ascii="Arial" w:hAnsi="Arial"/>
        <w:color w:val="B15407" w:themeColor="accent6" w:themeShade="95"/>
        <w:sz w:val="22"/>
      </w:rPr>
    </w:tblStylePr>
    <w:tblStylePr w:type="neCell"/>
    <w:tblStylePr w:type="nwCell"/>
    <w:tblStylePr w:type="seCell"/>
    <w:tblStylePr w:type="swCell"/>
  </w:style>
  <w:style w:type="table" w:customStyle="1" w:styleId="97">
    <w:name w:val="List Table 1 Light"/>
    <w:basedOn w:val="33"/>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2Vert"/>
    <w:tblStylePr w:type="band1Horz">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98">
    <w:name w:val="List Table 1 Light - Accent 1"/>
    <w:basedOn w:val="33"/>
    <w:qFormat/>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2Vert"/>
    <w:tblStylePr w:type="band1Horz">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99">
    <w:name w:val="List Table 1 Light - Accent 2"/>
    <w:basedOn w:val="33"/>
    <w:qFormat/>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2Vert"/>
    <w:tblStylePr w:type="band1Horz">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00">
    <w:name w:val="List Table 1 Light - Accent 3"/>
    <w:basedOn w:val="33"/>
    <w:qFormat/>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2Vert"/>
    <w:tblStylePr w:type="band1Horz">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01">
    <w:name w:val="List Table 1 Light - Accent 4"/>
    <w:basedOn w:val="33"/>
    <w:qFormat/>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2Vert"/>
    <w:tblStylePr w:type="band1Horz">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02">
    <w:name w:val="List Table 1 Light - Accent 5"/>
    <w:basedOn w:val="33"/>
    <w:qFormat/>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2Vert"/>
    <w:tblStylePr w:type="band1Horz">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03">
    <w:name w:val="List Table 1 Light - Accent 6"/>
    <w:basedOn w:val="33"/>
    <w:qFormat/>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2Vert"/>
    <w:tblStylePr w:type="band1Horz">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04">
    <w:name w:val="List Table 2"/>
    <w:basedOn w:val="33"/>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05">
    <w:name w:val="List Table 2 - Accent 1"/>
    <w:basedOn w:val="33"/>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06">
    <w:name w:val="List Table 2 - Accent 2"/>
    <w:basedOn w:val="33"/>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07">
    <w:name w:val="List Table 2 - Accent 3"/>
    <w:basedOn w:val="33"/>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08">
    <w:name w:val="List Table 2 - Accent 4"/>
    <w:basedOn w:val="33"/>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09">
    <w:name w:val="List Table 2 - Accent 5"/>
    <w:basedOn w:val="33"/>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10">
    <w:name w:val="List Table 2 - Accent 6"/>
    <w:basedOn w:val="33"/>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11">
    <w:name w:val="List Table 3"/>
    <w:basedOn w:val="3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12">
    <w:name w:val="List Table 3 - Accent 1"/>
    <w:basedOn w:val="33"/>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2Vert"/>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2Horz"/>
    <w:tblStylePr w:type="neCell"/>
    <w:tblStylePr w:type="nwCell"/>
    <w:tblStylePr w:type="seCell"/>
    <w:tblStylePr w:type="swCell"/>
  </w:style>
  <w:style w:type="table" w:customStyle="1" w:styleId="113">
    <w:name w:val="List Table 3 - Accent 2"/>
    <w:basedOn w:val="33"/>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2Vert"/>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tblStylePr w:type="band2Horz"/>
    <w:tblStylePr w:type="neCell"/>
    <w:tblStylePr w:type="nwCell"/>
    <w:tblStylePr w:type="seCell"/>
    <w:tblStylePr w:type="swCell"/>
  </w:style>
  <w:style w:type="table" w:customStyle="1" w:styleId="114">
    <w:name w:val="List Table 3 - Accent 3"/>
    <w:basedOn w:val="33"/>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2Vert"/>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tblStylePr w:type="band2Horz"/>
    <w:tblStylePr w:type="neCell"/>
    <w:tblStylePr w:type="nwCell"/>
    <w:tblStylePr w:type="seCell"/>
    <w:tblStylePr w:type="swCell"/>
  </w:style>
  <w:style w:type="table" w:customStyle="1" w:styleId="115">
    <w:name w:val="List Table 3 - Accent 4"/>
    <w:basedOn w:val="33"/>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2Vert"/>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2Horz"/>
    <w:tblStylePr w:type="neCell"/>
    <w:tblStylePr w:type="nwCell"/>
    <w:tblStylePr w:type="seCell"/>
    <w:tblStylePr w:type="swCell"/>
  </w:style>
  <w:style w:type="table" w:customStyle="1" w:styleId="116">
    <w:name w:val="List Table 3 - Accent 5"/>
    <w:basedOn w:val="33"/>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2Vert"/>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2Horz"/>
    <w:tblStylePr w:type="neCell"/>
    <w:tblStylePr w:type="nwCell"/>
    <w:tblStylePr w:type="seCell"/>
    <w:tblStylePr w:type="swCell"/>
  </w:style>
  <w:style w:type="table" w:customStyle="1" w:styleId="117">
    <w:name w:val="List Table 3 - Accent 6"/>
    <w:basedOn w:val="33"/>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2Vert"/>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2Horz"/>
    <w:tblStylePr w:type="neCell"/>
    <w:tblStylePr w:type="nwCell"/>
    <w:tblStylePr w:type="seCell"/>
    <w:tblStylePr w:type="swCell"/>
  </w:style>
  <w:style w:type="table" w:customStyle="1" w:styleId="118">
    <w:name w:val="List Table 4"/>
    <w:basedOn w:val="3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19">
    <w:name w:val="List Table 4 - Accent 1"/>
    <w:basedOn w:val="33"/>
    <w:qFormat/>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20">
    <w:name w:val="List Table 4 - Accent 2"/>
    <w:basedOn w:val="33"/>
    <w:qFormat/>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21">
    <w:name w:val="List Table 4 - Accent 3"/>
    <w:basedOn w:val="33"/>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22">
    <w:name w:val="List Table 4 - Accent 4"/>
    <w:basedOn w:val="33"/>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23">
    <w:name w:val="List Table 4 - Accent 5"/>
    <w:basedOn w:val="33"/>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24">
    <w:name w:val="List Table 4 - Accent 6"/>
    <w:basedOn w:val="33"/>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25">
    <w:name w:val="List Table 5 Dark"/>
    <w:basedOn w:val="33"/>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StylePr w:type="nwCell"/>
    <w:tblStylePr w:type="seCell"/>
    <w:tblStylePr w:type="swCell"/>
  </w:style>
  <w:style w:type="table" w:customStyle="1" w:styleId="126">
    <w:name w:val="List Table 5 Dark - Accent 1"/>
    <w:basedOn w:val="33"/>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tblStylePr w:type="neCell"/>
    <w:tblStylePr w:type="nwCell"/>
    <w:tblStylePr w:type="seCell"/>
    <w:tblStylePr w:type="swCell"/>
  </w:style>
  <w:style w:type="table" w:customStyle="1" w:styleId="127">
    <w:name w:val="List Table 5 Dark - Accent 2"/>
    <w:basedOn w:val="33"/>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neCell"/>
    <w:tblStylePr w:type="nwCell"/>
    <w:tblStylePr w:type="seCell"/>
    <w:tblStylePr w:type="swCell"/>
  </w:style>
  <w:style w:type="table" w:customStyle="1" w:styleId="128">
    <w:name w:val="List Table 5 Dark - Accent 3"/>
    <w:basedOn w:val="33"/>
    <w:qFormat/>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neCell"/>
    <w:tblStylePr w:type="nwCell"/>
    <w:tblStylePr w:type="seCell"/>
    <w:tblStylePr w:type="swCell"/>
  </w:style>
  <w:style w:type="table" w:customStyle="1" w:styleId="129">
    <w:name w:val="List Table 5 Dark - Accent 4"/>
    <w:basedOn w:val="33"/>
    <w:qFormat/>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neCell"/>
    <w:tblStylePr w:type="nwCell"/>
    <w:tblStylePr w:type="seCell"/>
    <w:tblStylePr w:type="swCell"/>
  </w:style>
  <w:style w:type="table" w:customStyle="1" w:styleId="130">
    <w:name w:val="List Table 5 Dark - Accent 5"/>
    <w:basedOn w:val="33"/>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neCell"/>
    <w:tblStylePr w:type="nwCell"/>
    <w:tblStylePr w:type="seCell"/>
    <w:tblStylePr w:type="swCell"/>
  </w:style>
  <w:style w:type="table" w:customStyle="1" w:styleId="131">
    <w:name w:val="List Table 5 Dark - Accent 6"/>
    <w:basedOn w:val="33"/>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neCell"/>
    <w:tblStylePr w:type="nwCell"/>
    <w:tblStylePr w:type="seCell"/>
    <w:tblStylePr w:type="swCell"/>
  </w:style>
  <w:style w:type="table" w:customStyle="1" w:styleId="132">
    <w:name w:val="List Table 6 Colorful"/>
    <w:basedOn w:val="33"/>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rPr>
      <w:tcPr>
        <w:tcBorders>
          <w:bottom w:val="single" w:color="7E7E7E" w:themeColor="text1" w:themeTint="80" w:sz="4" w:space="0"/>
        </w:tcBorders>
      </w:tcPr>
    </w:tblStylePr>
    <w:tblStylePr w:type="lastRow">
      <w:rPr>
        <w:b/>
        <w:color w:val="000000" w:themeColor="text1"/>
      </w:rPr>
      <w:tcPr>
        <w:tcBorders>
          <w:top w:val="single" w:color="7E7E7E" w:themeColor="text1" w:themeTint="80" w:sz="4" w:space="0"/>
        </w:tcBorders>
      </w:tcPr>
    </w:tblStylePr>
    <w:tblStylePr w:type="firstCol">
      <w:rPr>
        <w:b/>
        <w:color w:val="000000" w:themeColor="text1"/>
      </w:rPr>
    </w:tblStylePr>
    <w:tblStylePr w:type="lastCol">
      <w:rPr>
        <w:b/>
        <w:color w:val="000000" w:themeColor="text1"/>
      </w:rPr>
    </w:tblStylePr>
    <w:tblStylePr w:type="band1Vert">
      <w:tcPr>
        <w:shd w:val="clear" w:color="BEBEBE" w:themeColor="text1" w:themeTint="40" w:fill="BEBEBE" w:themeFill="text1" w:themeFillTint="40"/>
      </w:tcPr>
    </w:tblStylePr>
    <w:tblStylePr w:type="band2Vert"/>
    <w:tblStylePr w:type="band1Horz">
      <w:rPr>
        <w:rFonts w:ascii="Arial" w:hAnsi="Arial"/>
        <w:color w:val="000000" w:themeColor="text1"/>
        <w:sz w:val="22"/>
      </w:rPr>
      <w:tcPr>
        <w:shd w:val="clear" w:color="BEBEBE" w:themeColor="text1" w:themeTint="40" w:fill="BEBEBE" w:themeFill="text1" w:themeFillTint="40"/>
      </w:tcPr>
    </w:tblStylePr>
    <w:tblStylePr w:type="band2Horz">
      <w:rPr>
        <w:rFonts w:ascii="Arial" w:hAnsi="Arial"/>
        <w:color w:val="000000" w:themeColor="text1"/>
        <w:sz w:val="22"/>
      </w:rPr>
    </w:tblStylePr>
    <w:tblStylePr w:type="neCell"/>
    <w:tblStylePr w:type="nwCell"/>
    <w:tblStylePr w:type="seCell"/>
    <w:tblStylePr w:type="swCell"/>
  </w:style>
  <w:style w:type="table" w:customStyle="1" w:styleId="133">
    <w:name w:val="List Table 6 Colorful - Accent 1"/>
    <w:basedOn w:val="33"/>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5"/>
      </w:rPr>
      <w:tcPr>
        <w:tcBorders>
          <w:bottom w:val="single" w:color="4F81BD" w:themeColor="accent1" w:sz="4" w:space="0"/>
        </w:tcBorders>
      </w:tcPr>
    </w:tblStylePr>
    <w:tblStylePr w:type="lastRow">
      <w:rPr>
        <w:b/>
        <w:color w:val="2A4B71" w:themeColor="accent1" w:themeShade="95"/>
      </w:rPr>
      <w:tcPr>
        <w:tcBorders>
          <w:top w:val="single" w:color="4F81BD" w:themeColor="accent1" w:sz="4" w:space="0"/>
        </w:tcBorders>
      </w:tcPr>
    </w:tblStylePr>
    <w:tblStylePr w:type="firstCol">
      <w:rPr>
        <w:b/>
        <w:color w:val="2A4B71" w:themeColor="accent1" w:themeShade="95"/>
      </w:rPr>
    </w:tblStylePr>
    <w:tblStylePr w:type="lastCol">
      <w:rPr>
        <w:b/>
        <w:color w:val="2A4B71" w:themeColor="accent1" w:themeShade="95"/>
      </w:r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5"/>
        <w:sz w:val="22"/>
      </w:rPr>
      <w:tcPr>
        <w:shd w:val="clear" w:color="D2DFEE" w:themeColor="accent1" w:themeTint="40" w:fill="D2DFEE" w:themeFill="accent1" w:themeFillTint="40"/>
      </w:tcPr>
    </w:tblStylePr>
    <w:tblStylePr w:type="band2Horz">
      <w:rPr>
        <w:rFonts w:ascii="Arial" w:hAnsi="Arial"/>
        <w:color w:val="2A4B71" w:themeColor="accent1" w:themeShade="95"/>
        <w:sz w:val="22"/>
      </w:rPr>
    </w:tblStylePr>
    <w:tblStylePr w:type="neCell"/>
    <w:tblStylePr w:type="nwCell"/>
    <w:tblStylePr w:type="seCell"/>
    <w:tblStylePr w:type="swCell"/>
  </w:style>
  <w:style w:type="table" w:customStyle="1" w:styleId="134">
    <w:name w:val="List Table 6 Colorful - Accent 2"/>
    <w:basedOn w:val="33"/>
    <w:qFormat/>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99795" w:themeColor="accent2" w:themeShade="95" w:themeTint="97"/>
      </w:rPr>
      <w:tcPr>
        <w:tcBorders>
          <w:bottom w:val="single" w:color="D99795" w:themeColor="accent2" w:themeTint="97" w:sz="4" w:space="0"/>
        </w:tcBorders>
      </w:tcPr>
    </w:tblStylePr>
    <w:tblStylePr w:type="lastRow">
      <w:rPr>
        <w:b/>
        <w:color w:val="D99795" w:themeColor="accent2" w:themeShade="95" w:themeTint="97"/>
      </w:rPr>
      <w:tcPr>
        <w:tcBorders>
          <w:top w:val="single" w:color="D99795" w:themeColor="accent2" w:themeTint="97" w:sz="4" w:space="0"/>
        </w:tcBorders>
      </w:tcPr>
    </w:tblStylePr>
    <w:tblStylePr w:type="firstCol">
      <w:rPr>
        <w:b/>
        <w:color w:val="D99795" w:themeColor="accent2" w:themeShade="95" w:themeTint="97"/>
      </w:rPr>
    </w:tblStylePr>
    <w:tblStylePr w:type="lastCol">
      <w:rPr>
        <w:b/>
        <w:color w:val="D99795" w:themeColor="accent2" w:themeShade="95" w:themeTint="97"/>
      </w:rPr>
    </w:tblStylePr>
    <w:tblStylePr w:type="band1Vert">
      <w:tcPr>
        <w:shd w:val="clear" w:color="EFD3D2" w:themeColor="accent2" w:themeTint="40" w:fill="EFD3D2" w:themeFill="accent2" w:themeFillTint="40"/>
      </w:tcPr>
    </w:tblStylePr>
    <w:tblStylePr w:type="band2Vert"/>
    <w:tblStylePr w:type="band1Horz">
      <w:rPr>
        <w:rFonts w:ascii="Arial" w:hAnsi="Arial"/>
        <w:color w:val="D99795" w:themeColor="accent2" w:themeShade="95" w:themeTint="97"/>
        <w:sz w:val="22"/>
      </w:rPr>
      <w:tcPr>
        <w:shd w:val="clear" w:color="EFD3D2" w:themeColor="accent2" w:themeTint="40" w:fill="EFD3D2" w:themeFill="accent2" w:themeFillTint="40"/>
      </w:tcPr>
    </w:tblStylePr>
    <w:tblStylePr w:type="band2Horz">
      <w:rPr>
        <w:rFonts w:ascii="Arial" w:hAnsi="Arial"/>
        <w:color w:val="D99795" w:themeColor="accent2" w:themeShade="95" w:themeTint="97"/>
        <w:sz w:val="22"/>
      </w:rPr>
    </w:tblStylePr>
    <w:tblStylePr w:type="neCell"/>
    <w:tblStylePr w:type="nwCell"/>
    <w:tblStylePr w:type="seCell"/>
    <w:tblStylePr w:type="swCell"/>
  </w:style>
  <w:style w:type="table" w:customStyle="1" w:styleId="135">
    <w:name w:val="List Table 6 Colorful - Accent 3"/>
    <w:basedOn w:val="33"/>
    <w:qFormat/>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C" w:themeColor="accent3" w:themeShade="95" w:themeTint="98"/>
      </w:rPr>
      <w:tcPr>
        <w:tcBorders>
          <w:bottom w:val="single" w:color="C3D69C" w:themeColor="accent3" w:themeTint="98" w:sz="4" w:space="0"/>
        </w:tcBorders>
      </w:tcPr>
    </w:tblStylePr>
    <w:tblStylePr w:type="lastRow">
      <w:rPr>
        <w:b/>
        <w:color w:val="C3D69C" w:themeColor="accent3" w:themeShade="95" w:themeTint="98"/>
      </w:rPr>
      <w:tcPr>
        <w:tcBorders>
          <w:top w:val="single" w:color="C3D69C" w:themeColor="accent3" w:themeTint="98" w:sz="4" w:space="0"/>
        </w:tcBorders>
      </w:tcPr>
    </w:tblStylePr>
    <w:tblStylePr w:type="firstCol">
      <w:rPr>
        <w:b/>
        <w:color w:val="C3D69C" w:themeColor="accent3" w:themeShade="95" w:themeTint="98"/>
      </w:rPr>
    </w:tblStylePr>
    <w:tblStylePr w:type="lastCol">
      <w:rPr>
        <w:b/>
        <w:color w:val="C3D69C" w:themeColor="accent3" w:themeShade="95" w:themeTint="98"/>
      </w:r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C" w:themeColor="accent3" w:themeShade="95" w:themeTint="98"/>
        <w:sz w:val="22"/>
      </w:rPr>
      <w:tcPr>
        <w:shd w:val="clear" w:color="E5EDD5" w:themeColor="accent3" w:themeTint="40" w:fill="E5EDD5" w:themeFill="accent3" w:themeFillTint="40"/>
      </w:tcPr>
    </w:tblStylePr>
    <w:tblStylePr w:type="band2Horz">
      <w:rPr>
        <w:rFonts w:ascii="Arial" w:hAnsi="Arial"/>
        <w:color w:val="C3D69C" w:themeColor="accent3" w:themeShade="95" w:themeTint="98"/>
        <w:sz w:val="22"/>
      </w:rPr>
    </w:tblStylePr>
    <w:tblStylePr w:type="neCell"/>
    <w:tblStylePr w:type="nwCell"/>
    <w:tblStylePr w:type="seCell"/>
    <w:tblStylePr w:type="swCell"/>
  </w:style>
  <w:style w:type="table" w:customStyle="1" w:styleId="136">
    <w:name w:val="List Table 6 Colorful - Accent 4"/>
    <w:basedOn w:val="33"/>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2A1C6" w:themeColor="accent4" w:themeShade="95" w:themeTint="9A"/>
      </w:rPr>
      <w:tcPr>
        <w:tcBorders>
          <w:bottom w:val="single" w:color="B2A1C6" w:themeColor="accent4" w:themeTint="9A" w:sz="4" w:space="0"/>
        </w:tcBorders>
      </w:tcPr>
    </w:tblStylePr>
    <w:tblStylePr w:type="lastRow">
      <w:rPr>
        <w:b/>
        <w:color w:val="B2A1C6" w:themeColor="accent4" w:themeShade="95" w:themeTint="9A"/>
      </w:rPr>
      <w:tcPr>
        <w:tcBorders>
          <w:top w:val="single" w:color="B2A1C6" w:themeColor="accent4" w:themeTint="9A" w:sz="4" w:space="0"/>
        </w:tcBorders>
      </w:tcPr>
    </w:tblStylePr>
    <w:tblStylePr w:type="firstCol">
      <w:rPr>
        <w:b/>
        <w:color w:val="B2A1C6" w:themeColor="accent4" w:themeShade="95" w:themeTint="9A"/>
      </w:rPr>
    </w:tblStylePr>
    <w:tblStylePr w:type="lastCol">
      <w:rPr>
        <w:b/>
        <w:color w:val="B2A1C6" w:themeColor="accent4" w:themeShade="95" w:themeTint="9A"/>
      </w:rPr>
    </w:tblStylePr>
    <w:tblStylePr w:type="band1Vert">
      <w:tcPr>
        <w:shd w:val="clear" w:color="DFD8E7" w:themeColor="accent4" w:themeTint="40" w:fill="DFD8E7" w:themeFill="accent4" w:themeFillTint="40"/>
      </w:tcPr>
    </w:tblStylePr>
    <w:tblStylePr w:type="band2Vert"/>
    <w:tblStylePr w:type="band1Horz">
      <w:rPr>
        <w:rFonts w:ascii="Arial" w:hAnsi="Arial"/>
        <w:color w:val="B2A1C6" w:themeColor="accent4" w:themeShade="95" w:themeTint="9A"/>
        <w:sz w:val="22"/>
      </w:rPr>
      <w:tcPr>
        <w:shd w:val="clear" w:color="DFD8E7" w:themeColor="accent4" w:themeTint="40" w:fill="DFD8E7" w:themeFill="accent4" w:themeFillTint="40"/>
      </w:tcPr>
    </w:tblStylePr>
    <w:tblStylePr w:type="band2Horz">
      <w:rPr>
        <w:rFonts w:ascii="Arial" w:hAnsi="Arial"/>
        <w:color w:val="B2A1C6" w:themeColor="accent4" w:themeShade="95" w:themeTint="9A"/>
        <w:sz w:val="22"/>
      </w:rPr>
    </w:tblStylePr>
    <w:tblStylePr w:type="neCell"/>
    <w:tblStylePr w:type="nwCell"/>
    <w:tblStylePr w:type="seCell"/>
    <w:tblStylePr w:type="swCell"/>
  </w:style>
  <w:style w:type="table" w:customStyle="1" w:styleId="137">
    <w:name w:val="List Table 6 Colorful - Accent 5"/>
    <w:basedOn w:val="33"/>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2CCDC" w:themeColor="accent5" w:themeShade="95" w:themeTint="9A"/>
      </w:rPr>
      <w:tcPr>
        <w:tcBorders>
          <w:bottom w:val="single" w:color="92CCDC" w:themeColor="accent5" w:themeTint="9A" w:sz="4" w:space="0"/>
        </w:tcBorders>
      </w:tcPr>
    </w:tblStylePr>
    <w:tblStylePr w:type="lastRow">
      <w:rPr>
        <w:b/>
        <w:color w:val="92CCDC" w:themeColor="accent5" w:themeShade="95" w:themeTint="9A"/>
      </w:rPr>
      <w:tcPr>
        <w:tcBorders>
          <w:top w:val="single" w:color="92CCDC" w:themeColor="accent5" w:themeTint="9A" w:sz="4" w:space="0"/>
        </w:tcBorders>
      </w:tcPr>
    </w:tblStylePr>
    <w:tblStylePr w:type="firstCol">
      <w:rPr>
        <w:b/>
        <w:color w:val="92CCDC" w:themeColor="accent5" w:themeShade="95" w:themeTint="9A"/>
      </w:rPr>
    </w:tblStylePr>
    <w:tblStylePr w:type="lastCol">
      <w:rPr>
        <w:b/>
        <w:color w:val="92CCDC" w:themeColor="accent5" w:themeShade="95" w:themeTint="9A"/>
      </w:rPr>
    </w:tblStylePr>
    <w:tblStylePr w:type="band1Vert">
      <w:tcPr>
        <w:shd w:val="clear" w:color="D1EAF0" w:themeColor="accent5" w:themeTint="40" w:fill="D1EAF0" w:themeFill="accent5" w:themeFillTint="40"/>
      </w:tcPr>
    </w:tblStylePr>
    <w:tblStylePr w:type="band2Vert"/>
    <w:tblStylePr w:type="band1Horz">
      <w:rPr>
        <w:rFonts w:ascii="Arial" w:hAnsi="Arial"/>
        <w:color w:val="92CCDC" w:themeColor="accent5" w:themeShade="95" w:themeTint="9A"/>
        <w:sz w:val="22"/>
      </w:rPr>
      <w:tcPr>
        <w:shd w:val="clear" w:color="D1EAF0" w:themeColor="accent5" w:themeTint="40" w:fill="D1EAF0" w:themeFill="accent5" w:themeFillTint="40"/>
      </w:tcPr>
    </w:tblStylePr>
    <w:tblStylePr w:type="band2Horz">
      <w:rPr>
        <w:rFonts w:ascii="Arial" w:hAnsi="Arial"/>
        <w:color w:val="92CCDC" w:themeColor="accent5" w:themeShade="95" w:themeTint="9A"/>
        <w:sz w:val="22"/>
      </w:rPr>
    </w:tblStylePr>
    <w:tblStylePr w:type="neCell"/>
    <w:tblStylePr w:type="nwCell"/>
    <w:tblStylePr w:type="seCell"/>
    <w:tblStylePr w:type="swCell"/>
  </w:style>
  <w:style w:type="table" w:customStyle="1" w:styleId="138">
    <w:name w:val="List Table 6 Colorful - Accent 6"/>
    <w:basedOn w:val="33"/>
    <w:qFormat/>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Shade="95" w:themeTint="98"/>
      </w:rPr>
      <w:tcPr>
        <w:tcBorders>
          <w:bottom w:val="single" w:color="FAC090" w:themeColor="accent6" w:themeTint="98" w:sz="4" w:space="0"/>
        </w:tcBorders>
      </w:tcPr>
    </w:tblStylePr>
    <w:tblStylePr w:type="lastRow">
      <w:rPr>
        <w:b/>
        <w:color w:val="FAC090" w:themeColor="accent6" w:themeShade="95" w:themeTint="98"/>
      </w:rPr>
      <w:tcPr>
        <w:tcBorders>
          <w:top w:val="single" w:color="FAC090" w:themeColor="accent6" w:themeTint="98" w:sz="4" w:space="0"/>
        </w:tcBorders>
      </w:tcPr>
    </w:tblStylePr>
    <w:tblStylePr w:type="firstCol">
      <w:rPr>
        <w:b/>
        <w:color w:val="FAC090" w:themeColor="accent6" w:themeShade="95" w:themeTint="98"/>
      </w:rPr>
    </w:tblStylePr>
    <w:tblStylePr w:type="lastCol">
      <w:rPr>
        <w:b/>
        <w:color w:val="FAC090" w:themeColor="accent6" w:themeShade="95" w:themeTint="98"/>
      </w:r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Shade="95" w:themeTint="98"/>
        <w:sz w:val="22"/>
      </w:rPr>
      <w:tcPr>
        <w:shd w:val="clear" w:color="FCE4D0" w:themeColor="accent6" w:themeTint="40" w:fill="FCE4D0" w:themeFill="accent6" w:themeFillTint="40"/>
      </w:tcPr>
    </w:tblStylePr>
    <w:tblStylePr w:type="band2Horz">
      <w:rPr>
        <w:rFonts w:ascii="Arial" w:hAnsi="Arial"/>
        <w:color w:val="FAC090" w:themeColor="accent6" w:themeShade="95" w:themeTint="98"/>
        <w:sz w:val="22"/>
      </w:rPr>
    </w:tblStylePr>
    <w:tblStylePr w:type="neCell"/>
    <w:tblStylePr w:type="nwCell"/>
    <w:tblStylePr w:type="seCell"/>
    <w:tblStylePr w:type="swCell"/>
  </w:style>
  <w:style w:type="table" w:customStyle="1" w:styleId="139">
    <w:name w:val="List Table 7 Colorful"/>
    <w:basedOn w:val="33"/>
    <w:qFormat/>
    <w:uiPriority w:val="99"/>
    <w:pPr>
      <w:spacing w:after="0" w:line="240" w:lineRule="auto"/>
    </w:pPr>
    <w:tblPr>
      <w:tblBorders>
        <w:right w:val="single" w:color="7E7E7E" w:themeColor="text1" w:themeTint="80" w:sz="4" w:space="0"/>
      </w:tblBorders>
    </w:tblPr>
    <w:tblStylePr w:type="firstRow">
      <w:rPr>
        <w:rFonts w:ascii="Arial" w:hAnsi="Arial"/>
        <w:i/>
        <w:color w:val="7E7E7E" w:themeColor="text1" w:themeShade="95" w:themeTint="80"/>
        <w:sz w:val="22"/>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7E7E7E" w:themeColor="text1" w:themeShade="95" w:themeTint="80"/>
        <w:sz w:val="22"/>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7E7E7E" w:themeColor="text1" w:themeShade="95" w:themeTint="80"/>
        <w:sz w:val="22"/>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7E7E7E" w:themeColor="text1" w:themeShade="95" w:themeTint="80"/>
        <w:sz w:val="22"/>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2Vert"/>
    <w:tblStylePr w:type="band1Horz">
      <w:rPr>
        <w:rFonts w:ascii="Arial" w:hAnsi="Arial"/>
        <w:color w:val="7E7E7E" w:themeColor="text1" w:themeShade="95" w:themeTint="80"/>
        <w:sz w:val="22"/>
      </w:rPr>
      <w:tcPr>
        <w:shd w:val="clear" w:color="BEBEBE" w:themeColor="text1" w:themeTint="40" w:fill="BEBEBE" w:themeFill="text1" w:themeFillTint="40"/>
      </w:tcPr>
    </w:tblStylePr>
    <w:tblStylePr w:type="band2Horz">
      <w:rPr>
        <w:rFonts w:ascii="Arial" w:hAnsi="Arial"/>
        <w:color w:val="7E7E7E" w:themeColor="text1" w:themeShade="95" w:themeTint="80"/>
        <w:sz w:val="22"/>
      </w:rPr>
    </w:tblStylePr>
    <w:tblStylePr w:type="neCell"/>
    <w:tblStylePr w:type="nwCell"/>
    <w:tblStylePr w:type="seCell"/>
    <w:tblStylePr w:type="swCell"/>
  </w:style>
  <w:style w:type="table" w:customStyle="1" w:styleId="140">
    <w:name w:val="List Table 7 Colorful - Accent 1"/>
    <w:basedOn w:val="33"/>
    <w:qFormat/>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5"/>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5"/>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5"/>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5"/>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5"/>
        <w:sz w:val="22"/>
      </w:rPr>
      <w:tcPr>
        <w:shd w:val="clear" w:color="D2DFEE" w:themeColor="accent1" w:themeTint="40" w:fill="D2DFEE" w:themeFill="accent1" w:themeFillTint="40"/>
      </w:tcPr>
    </w:tblStylePr>
    <w:tblStylePr w:type="band2Horz">
      <w:rPr>
        <w:rFonts w:ascii="Arial" w:hAnsi="Arial"/>
        <w:color w:val="2A4B71" w:themeColor="accent1" w:themeShade="95"/>
        <w:sz w:val="22"/>
      </w:rPr>
    </w:tblStylePr>
    <w:tblStylePr w:type="neCell"/>
    <w:tblStylePr w:type="nwCell"/>
    <w:tblStylePr w:type="seCell"/>
    <w:tblStylePr w:type="swCell"/>
  </w:style>
  <w:style w:type="table" w:customStyle="1" w:styleId="141">
    <w:name w:val="List Table 7 Colorful - Accent 2"/>
    <w:basedOn w:val="33"/>
    <w:qFormat/>
    <w:uiPriority w:val="99"/>
    <w:pPr>
      <w:spacing w:after="0" w:line="240" w:lineRule="auto"/>
    </w:pPr>
    <w:tblPr>
      <w:tblBorders>
        <w:right w:val="single" w:color="D99795" w:themeColor="accent2" w:themeTint="97" w:sz="4" w:space="0"/>
      </w:tblBorders>
    </w:tblPr>
    <w:tblStylePr w:type="firstRow">
      <w:rPr>
        <w:rFonts w:ascii="Arial" w:hAnsi="Arial"/>
        <w:i/>
        <w:color w:val="D99795" w:themeColor="accent2" w:themeShade="95" w:themeTint="97"/>
        <w:sz w:val="22"/>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99795" w:themeColor="accent2" w:themeShade="95" w:themeTint="97"/>
        <w:sz w:val="22"/>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99795" w:themeColor="accent2" w:themeShade="95" w:themeTint="97"/>
        <w:sz w:val="22"/>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99795" w:themeColor="accent2" w:themeShade="95" w:themeTint="97"/>
        <w:sz w:val="22"/>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2Vert"/>
    <w:tblStylePr w:type="band1Horz">
      <w:rPr>
        <w:rFonts w:ascii="Arial" w:hAnsi="Arial"/>
        <w:color w:val="D99795" w:themeColor="accent2" w:themeShade="95" w:themeTint="97"/>
        <w:sz w:val="22"/>
      </w:rPr>
      <w:tcPr>
        <w:shd w:val="clear" w:color="EFD3D2" w:themeColor="accent2" w:themeTint="40" w:fill="EFD3D2" w:themeFill="accent2" w:themeFillTint="40"/>
      </w:tcPr>
    </w:tblStylePr>
    <w:tblStylePr w:type="band2Horz">
      <w:rPr>
        <w:rFonts w:ascii="Arial" w:hAnsi="Arial"/>
        <w:color w:val="D99795" w:themeColor="accent2" w:themeShade="95" w:themeTint="97"/>
        <w:sz w:val="22"/>
      </w:rPr>
    </w:tblStylePr>
    <w:tblStylePr w:type="neCell"/>
    <w:tblStylePr w:type="nwCell"/>
    <w:tblStylePr w:type="seCell"/>
    <w:tblStylePr w:type="swCell"/>
  </w:style>
  <w:style w:type="table" w:customStyle="1" w:styleId="142">
    <w:name w:val="List Table 7 Colorful - Accent 3"/>
    <w:basedOn w:val="33"/>
    <w:qFormat/>
    <w:uiPriority w:val="99"/>
    <w:pPr>
      <w:spacing w:after="0" w:line="240" w:lineRule="auto"/>
    </w:pPr>
    <w:tblPr>
      <w:tblBorders>
        <w:right w:val="single" w:color="C3D69C" w:themeColor="accent3" w:themeTint="98" w:sz="4" w:space="0"/>
      </w:tblBorders>
    </w:tblPr>
    <w:tblStylePr w:type="firstRow">
      <w:rPr>
        <w:rFonts w:ascii="Arial" w:hAnsi="Arial"/>
        <w:i/>
        <w:color w:val="C3D69C" w:themeColor="accent3" w:themeShade="95" w:themeTint="98"/>
        <w:sz w:val="22"/>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C" w:themeColor="accent3" w:themeShade="95" w:themeTint="98"/>
        <w:sz w:val="22"/>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C" w:themeColor="accent3" w:themeShade="95" w:themeTint="98"/>
        <w:sz w:val="22"/>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C" w:themeColor="accent3" w:themeShade="95" w:themeTint="98"/>
        <w:sz w:val="22"/>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C" w:themeColor="accent3" w:themeShade="95" w:themeTint="98"/>
        <w:sz w:val="22"/>
      </w:rPr>
      <w:tcPr>
        <w:shd w:val="clear" w:color="E5EDD5" w:themeColor="accent3" w:themeTint="40" w:fill="E5EDD5" w:themeFill="accent3" w:themeFillTint="40"/>
      </w:tcPr>
    </w:tblStylePr>
    <w:tblStylePr w:type="band2Horz">
      <w:rPr>
        <w:rFonts w:ascii="Arial" w:hAnsi="Arial"/>
        <w:color w:val="C3D69C" w:themeColor="accent3" w:themeShade="95" w:themeTint="98"/>
        <w:sz w:val="22"/>
      </w:rPr>
    </w:tblStylePr>
    <w:tblStylePr w:type="neCell"/>
    <w:tblStylePr w:type="nwCell"/>
    <w:tblStylePr w:type="seCell"/>
    <w:tblStylePr w:type="swCell"/>
  </w:style>
  <w:style w:type="table" w:customStyle="1" w:styleId="143">
    <w:name w:val="List Table 7 Colorful - Accent 4"/>
    <w:basedOn w:val="33"/>
    <w:qFormat/>
    <w:uiPriority w:val="99"/>
    <w:pPr>
      <w:spacing w:after="0" w:line="240" w:lineRule="auto"/>
    </w:pPr>
    <w:tblPr>
      <w:tblBorders>
        <w:right w:val="single" w:color="B2A1C6" w:themeColor="accent4" w:themeTint="9A" w:sz="4" w:space="0"/>
      </w:tblBorders>
    </w:tblPr>
    <w:tblStylePr w:type="firstRow">
      <w:rPr>
        <w:rFonts w:ascii="Arial" w:hAnsi="Arial"/>
        <w:i/>
        <w:color w:val="B2A1C6" w:themeColor="accent4" w:themeShade="95" w:themeTint="9A"/>
        <w:sz w:val="22"/>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2A1C6" w:themeColor="accent4" w:themeShade="95" w:themeTint="9A"/>
        <w:sz w:val="22"/>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2A1C6" w:themeColor="accent4" w:themeShade="95" w:themeTint="9A"/>
        <w:sz w:val="22"/>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2A1C6" w:themeColor="accent4" w:themeShade="95" w:themeTint="9A"/>
        <w:sz w:val="22"/>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2Vert"/>
    <w:tblStylePr w:type="band1Horz">
      <w:rPr>
        <w:rFonts w:ascii="Arial" w:hAnsi="Arial"/>
        <w:color w:val="B2A1C6" w:themeColor="accent4" w:themeShade="95" w:themeTint="9A"/>
        <w:sz w:val="22"/>
      </w:rPr>
      <w:tcPr>
        <w:shd w:val="clear" w:color="DFD8E7" w:themeColor="accent4" w:themeTint="40" w:fill="DFD8E7" w:themeFill="accent4" w:themeFillTint="40"/>
      </w:tcPr>
    </w:tblStylePr>
    <w:tblStylePr w:type="band2Horz">
      <w:rPr>
        <w:rFonts w:ascii="Arial" w:hAnsi="Arial"/>
        <w:color w:val="B2A1C6" w:themeColor="accent4" w:themeShade="95" w:themeTint="9A"/>
        <w:sz w:val="22"/>
      </w:rPr>
    </w:tblStylePr>
    <w:tblStylePr w:type="neCell"/>
    <w:tblStylePr w:type="nwCell"/>
    <w:tblStylePr w:type="seCell"/>
    <w:tblStylePr w:type="swCell"/>
  </w:style>
  <w:style w:type="table" w:customStyle="1" w:styleId="144">
    <w:name w:val="List Table 7 Colorful - Accent 5"/>
    <w:basedOn w:val="33"/>
    <w:qFormat/>
    <w:uiPriority w:val="99"/>
    <w:pPr>
      <w:spacing w:after="0" w:line="240" w:lineRule="auto"/>
    </w:pPr>
    <w:tblPr>
      <w:tblBorders>
        <w:right w:val="single" w:color="92CCDC" w:themeColor="accent5" w:themeTint="9A" w:sz="4" w:space="0"/>
      </w:tblBorders>
    </w:tblPr>
    <w:tblStylePr w:type="firstRow">
      <w:rPr>
        <w:rFonts w:ascii="Arial" w:hAnsi="Arial"/>
        <w:i/>
        <w:color w:val="92CCDC" w:themeColor="accent5" w:themeShade="95" w:themeTint="9A"/>
        <w:sz w:val="22"/>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2CCDC" w:themeColor="accent5" w:themeShade="95" w:themeTint="9A"/>
        <w:sz w:val="22"/>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2CCDC" w:themeColor="accent5" w:themeShade="95" w:themeTint="9A"/>
        <w:sz w:val="22"/>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2CCDC" w:themeColor="accent5" w:themeShade="95" w:themeTint="9A"/>
        <w:sz w:val="22"/>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2Vert"/>
    <w:tblStylePr w:type="band1Horz">
      <w:rPr>
        <w:rFonts w:ascii="Arial" w:hAnsi="Arial"/>
        <w:color w:val="92CCDC" w:themeColor="accent5" w:themeShade="95" w:themeTint="9A"/>
        <w:sz w:val="22"/>
      </w:rPr>
      <w:tcPr>
        <w:shd w:val="clear" w:color="D1EAF0" w:themeColor="accent5" w:themeTint="40" w:fill="D1EAF0" w:themeFill="accent5" w:themeFillTint="40"/>
      </w:tcPr>
    </w:tblStylePr>
    <w:tblStylePr w:type="band2Horz">
      <w:rPr>
        <w:rFonts w:ascii="Arial" w:hAnsi="Arial"/>
        <w:color w:val="92CCDC" w:themeColor="accent5" w:themeShade="95" w:themeTint="9A"/>
        <w:sz w:val="22"/>
      </w:rPr>
    </w:tblStylePr>
    <w:tblStylePr w:type="neCell"/>
    <w:tblStylePr w:type="nwCell"/>
    <w:tblStylePr w:type="seCell"/>
    <w:tblStylePr w:type="swCell"/>
  </w:style>
  <w:style w:type="table" w:customStyle="1" w:styleId="145">
    <w:name w:val="List Table 7 Colorful - Accent 6"/>
    <w:basedOn w:val="33"/>
    <w:qFormat/>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Shade="95" w:themeTint="98"/>
        <w:sz w:val="22"/>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Shade="95" w:themeTint="98"/>
        <w:sz w:val="22"/>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Shade="95" w:themeTint="98"/>
        <w:sz w:val="22"/>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Shade="95" w:themeTint="98"/>
        <w:sz w:val="22"/>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Shade="95" w:themeTint="98"/>
        <w:sz w:val="22"/>
      </w:rPr>
      <w:tcPr>
        <w:shd w:val="clear" w:color="FCE4D0" w:themeColor="accent6" w:themeTint="40" w:fill="FCE4D0" w:themeFill="accent6" w:themeFillTint="40"/>
      </w:tcPr>
    </w:tblStylePr>
    <w:tblStylePr w:type="band2Horz">
      <w:rPr>
        <w:rFonts w:ascii="Arial" w:hAnsi="Arial"/>
        <w:color w:val="FAC090" w:themeColor="accent6" w:themeShade="95" w:themeTint="98"/>
        <w:sz w:val="22"/>
      </w:rPr>
    </w:tblStylePr>
    <w:tblStylePr w:type="neCell"/>
    <w:tblStylePr w:type="nwCell"/>
    <w:tblStylePr w:type="seCell"/>
    <w:tblStylePr w:type="swCell"/>
  </w:style>
  <w:style w:type="table" w:customStyle="1" w:styleId="146">
    <w:name w:val="Lined - Accent"/>
    <w:basedOn w:val="33"/>
    <w:qForma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47">
    <w:name w:val="Lined - Accent 1"/>
    <w:basedOn w:val="33"/>
    <w:qFormat/>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48">
    <w:name w:val="Lined - Accent 2"/>
    <w:basedOn w:val="33"/>
    <w:qFormat/>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49">
    <w:name w:val="Lined - Accent 3"/>
    <w:basedOn w:val="33"/>
    <w:qFormat/>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50">
    <w:name w:val="Lined - Accent 4"/>
    <w:basedOn w:val="33"/>
    <w:qFormat/>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51">
    <w:name w:val="Lined - Accent 5"/>
    <w:basedOn w:val="33"/>
    <w:qFormat/>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52">
    <w:name w:val="Lined - Accent 6"/>
    <w:basedOn w:val="33"/>
    <w:qFormat/>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53">
    <w:name w:val="Bordered &amp; Lined - Accent"/>
    <w:basedOn w:val="33"/>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54">
    <w:name w:val="Bordered &amp; Lined - Accent 1"/>
    <w:basedOn w:val="33"/>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55">
    <w:name w:val="Bordered &amp; Lined - Accent 2"/>
    <w:basedOn w:val="33"/>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56">
    <w:name w:val="Bordered &amp; Lined - Accent 3"/>
    <w:basedOn w:val="33"/>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57">
    <w:name w:val="Bordered &amp; Lined - Accent 4"/>
    <w:basedOn w:val="33"/>
    <w:qFormat/>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58">
    <w:name w:val="Bordered &amp; Lined - Accent 5"/>
    <w:basedOn w:val="33"/>
    <w:qFormat/>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59">
    <w:name w:val="Bordered &amp; Lined - Accent 6"/>
    <w:basedOn w:val="33"/>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60">
    <w:name w:val="Bordered"/>
    <w:basedOn w:val="33"/>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61">
    <w:name w:val="Bordered - Accent 1"/>
    <w:basedOn w:val="33"/>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162">
    <w:name w:val="Bordered - Accent 2"/>
    <w:basedOn w:val="33"/>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163">
    <w:name w:val="Bordered - Accent 3"/>
    <w:basedOn w:val="33"/>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164">
    <w:name w:val="Bordered - Accent 4"/>
    <w:basedOn w:val="33"/>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165">
    <w:name w:val="Bordered - Accent 5"/>
    <w:basedOn w:val="33"/>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166">
    <w:name w:val="Bordered - Accent 6"/>
    <w:basedOn w:val="33"/>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character" w:customStyle="1" w:styleId="167">
    <w:name w:val="Heading 1 Char"/>
    <w:basedOn w:val="35"/>
    <w:link w:val="2"/>
    <w:qFormat/>
    <w:uiPriority w:val="9"/>
    <w:rPr>
      <w:rFonts w:ascii="Arial" w:hAnsi="Arial" w:eastAsia="Arial" w:cs="Arial"/>
      <w:color w:val="366091" w:themeColor="accent1" w:themeShade="BF"/>
      <w:sz w:val="40"/>
      <w:szCs w:val="40"/>
    </w:rPr>
  </w:style>
  <w:style w:type="character" w:customStyle="1" w:styleId="168">
    <w:name w:val="Heading 2 Char"/>
    <w:basedOn w:val="35"/>
    <w:link w:val="3"/>
    <w:qFormat/>
    <w:uiPriority w:val="9"/>
    <w:rPr>
      <w:rFonts w:ascii="Arial" w:hAnsi="Arial" w:eastAsia="Arial" w:cs="Arial"/>
      <w:color w:val="366091" w:themeColor="accent1" w:themeShade="BF"/>
      <w:sz w:val="32"/>
      <w:szCs w:val="32"/>
    </w:rPr>
  </w:style>
  <w:style w:type="character" w:customStyle="1" w:styleId="169">
    <w:name w:val="Heading 3 Char"/>
    <w:basedOn w:val="35"/>
    <w:link w:val="4"/>
    <w:qFormat/>
    <w:uiPriority w:val="9"/>
    <w:rPr>
      <w:rFonts w:ascii="Arial" w:hAnsi="Arial" w:eastAsia="Arial" w:cs="Arial"/>
      <w:color w:val="366091" w:themeColor="accent1" w:themeShade="BF"/>
      <w:sz w:val="28"/>
      <w:szCs w:val="28"/>
    </w:rPr>
  </w:style>
  <w:style w:type="character" w:customStyle="1" w:styleId="170">
    <w:name w:val="Heading 4 Char"/>
    <w:basedOn w:val="35"/>
    <w:link w:val="5"/>
    <w:qFormat/>
    <w:uiPriority w:val="9"/>
    <w:rPr>
      <w:rFonts w:ascii="Arial" w:hAnsi="Arial" w:eastAsia="Arial" w:cs="Arial"/>
      <w:i/>
      <w:iCs/>
      <w:color w:val="366091" w:themeColor="accent1" w:themeShade="BF"/>
    </w:rPr>
  </w:style>
  <w:style w:type="character" w:customStyle="1" w:styleId="171">
    <w:name w:val="Heading 5 Char"/>
    <w:basedOn w:val="35"/>
    <w:link w:val="6"/>
    <w:qFormat/>
    <w:uiPriority w:val="9"/>
    <w:rPr>
      <w:rFonts w:ascii="Arial" w:hAnsi="Arial" w:eastAsia="Arial" w:cs="Arial"/>
      <w:color w:val="366091" w:themeColor="accent1" w:themeShade="BF"/>
    </w:rPr>
  </w:style>
  <w:style w:type="character" w:customStyle="1" w:styleId="172">
    <w:name w:val="Heading 6 Char"/>
    <w:basedOn w:val="35"/>
    <w:link w:val="7"/>
    <w:qFormat/>
    <w:uiPriority w:val="9"/>
    <w:rPr>
      <w:rFonts w:ascii="Arial" w:hAnsi="Arial" w:eastAsia="Arial" w:cs="Arial"/>
      <w:i/>
      <w:iCs/>
      <w:color w:val="585858" w:themeColor="text1" w:themeTint="A6"/>
    </w:rPr>
  </w:style>
  <w:style w:type="character" w:customStyle="1" w:styleId="173">
    <w:name w:val="Heading 7 Char"/>
    <w:basedOn w:val="35"/>
    <w:link w:val="8"/>
    <w:qFormat/>
    <w:uiPriority w:val="9"/>
    <w:rPr>
      <w:rFonts w:ascii="Arial" w:hAnsi="Arial" w:eastAsia="Arial" w:cs="Arial"/>
      <w:color w:val="585858" w:themeColor="text1" w:themeTint="A6"/>
    </w:rPr>
  </w:style>
  <w:style w:type="character" w:customStyle="1" w:styleId="174">
    <w:name w:val="Heading 8 Char"/>
    <w:basedOn w:val="35"/>
    <w:link w:val="9"/>
    <w:qFormat/>
    <w:uiPriority w:val="9"/>
    <w:rPr>
      <w:rFonts w:ascii="Arial" w:hAnsi="Arial" w:eastAsia="Arial" w:cs="Arial"/>
      <w:i/>
      <w:iCs/>
      <w:color w:val="262626" w:themeColor="text1" w:themeTint="D8"/>
    </w:rPr>
  </w:style>
  <w:style w:type="character" w:customStyle="1" w:styleId="175">
    <w:name w:val="Heading 9 Char"/>
    <w:basedOn w:val="35"/>
    <w:link w:val="10"/>
    <w:qFormat/>
    <w:uiPriority w:val="9"/>
    <w:rPr>
      <w:rFonts w:ascii="Arial" w:hAnsi="Arial" w:eastAsia="Arial" w:cs="Arial"/>
      <w:i/>
      <w:iCs/>
      <w:color w:val="262626" w:themeColor="text1" w:themeTint="D8"/>
    </w:rPr>
  </w:style>
  <w:style w:type="character" w:customStyle="1" w:styleId="176">
    <w:name w:val="Title Char"/>
    <w:basedOn w:val="35"/>
    <w:link w:val="32"/>
    <w:qFormat/>
    <w:uiPriority w:val="10"/>
    <w:rPr>
      <w:rFonts w:ascii="Arial" w:hAnsi="Arial" w:eastAsia="Arial" w:cs="Arial"/>
      <w:spacing w:val="-10"/>
      <w:sz w:val="56"/>
      <w:szCs w:val="56"/>
    </w:rPr>
  </w:style>
  <w:style w:type="character" w:customStyle="1" w:styleId="177">
    <w:name w:val="Subtitle Char"/>
    <w:basedOn w:val="35"/>
    <w:link w:val="25"/>
    <w:qFormat/>
    <w:uiPriority w:val="11"/>
    <w:rPr>
      <w:color w:val="585858" w:themeColor="text1" w:themeTint="A6"/>
      <w:spacing w:val="15"/>
      <w:sz w:val="28"/>
      <w:szCs w:val="28"/>
    </w:rPr>
  </w:style>
  <w:style w:type="paragraph" w:styleId="178">
    <w:name w:val="Quote"/>
    <w:basedOn w:val="1"/>
    <w:next w:val="1"/>
    <w:link w:val="179"/>
    <w:qFormat/>
    <w:uiPriority w:val="29"/>
    <w:pPr>
      <w:spacing w:before="160"/>
      <w:jc w:val="center"/>
    </w:pPr>
    <w:rPr>
      <w:i/>
      <w:iCs/>
      <w:color w:val="3F3F3F" w:themeColor="text1" w:themeTint="BF"/>
    </w:rPr>
  </w:style>
  <w:style w:type="character" w:customStyle="1" w:styleId="179">
    <w:name w:val="Quote Char"/>
    <w:basedOn w:val="35"/>
    <w:link w:val="178"/>
    <w:qFormat/>
    <w:uiPriority w:val="29"/>
    <w:rPr>
      <w:i/>
      <w:iCs/>
      <w:color w:val="3F3F3F" w:themeColor="text1" w:themeTint="BF"/>
    </w:rPr>
  </w:style>
  <w:style w:type="paragraph" w:styleId="180">
    <w:name w:val="List Paragraph"/>
    <w:basedOn w:val="1"/>
    <w:qFormat/>
    <w:uiPriority w:val="34"/>
    <w:pPr>
      <w:ind w:left="720"/>
      <w:contextualSpacing/>
    </w:pPr>
  </w:style>
  <w:style w:type="character" w:customStyle="1" w:styleId="181">
    <w:name w:val="Intense Emphasis"/>
    <w:basedOn w:val="35"/>
    <w:qFormat/>
    <w:uiPriority w:val="21"/>
    <w:rPr>
      <w:i/>
      <w:iCs/>
      <w:color w:val="366091" w:themeColor="accent1" w:themeShade="BF"/>
    </w:rPr>
  </w:style>
  <w:style w:type="paragraph" w:styleId="182">
    <w:name w:val="Intense Quote"/>
    <w:basedOn w:val="1"/>
    <w:next w:val="1"/>
    <w:link w:val="183"/>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66091" w:themeColor="accent1" w:themeShade="BF"/>
    </w:rPr>
  </w:style>
  <w:style w:type="character" w:customStyle="1" w:styleId="183">
    <w:name w:val="Intense Quote Char"/>
    <w:basedOn w:val="35"/>
    <w:link w:val="182"/>
    <w:qFormat/>
    <w:uiPriority w:val="30"/>
    <w:rPr>
      <w:i/>
      <w:iCs/>
      <w:color w:val="366091" w:themeColor="accent1" w:themeShade="BF"/>
    </w:rPr>
  </w:style>
  <w:style w:type="character" w:customStyle="1" w:styleId="184">
    <w:name w:val="Intense Reference"/>
    <w:basedOn w:val="35"/>
    <w:qFormat/>
    <w:uiPriority w:val="32"/>
    <w:rPr>
      <w:b/>
      <w:bCs/>
      <w:smallCaps/>
      <w:color w:val="366091" w:themeColor="accent1" w:themeShade="BF"/>
      <w:spacing w:val="5"/>
    </w:rPr>
  </w:style>
  <w:style w:type="paragraph" w:styleId="185">
    <w:name w:val="No Spacing"/>
    <w:basedOn w:val="1"/>
    <w:qFormat/>
    <w:uiPriority w:val="1"/>
    <w:pPr>
      <w:spacing w:after="0" w:line="240" w:lineRule="auto"/>
    </w:pPr>
  </w:style>
  <w:style w:type="character" w:customStyle="1" w:styleId="186">
    <w:name w:val="Subtle Emphasis"/>
    <w:basedOn w:val="35"/>
    <w:qFormat/>
    <w:uiPriority w:val="19"/>
    <w:rPr>
      <w:i/>
      <w:iCs/>
      <w:color w:val="3F3F3F" w:themeColor="text1" w:themeTint="BF"/>
    </w:rPr>
  </w:style>
  <w:style w:type="character" w:customStyle="1" w:styleId="187">
    <w:name w:val="Subtle Reference"/>
    <w:basedOn w:val="35"/>
    <w:qFormat/>
    <w:uiPriority w:val="31"/>
    <w:rPr>
      <w:smallCaps/>
      <w:color w:val="595959" w:themeColor="text1" w:themeTint="A5"/>
    </w:rPr>
  </w:style>
  <w:style w:type="character" w:customStyle="1" w:styleId="188">
    <w:name w:val="Book Title"/>
    <w:basedOn w:val="35"/>
    <w:qFormat/>
    <w:uiPriority w:val="33"/>
    <w:rPr>
      <w:b/>
      <w:bCs/>
      <w:i/>
      <w:iCs/>
      <w:spacing w:val="5"/>
    </w:rPr>
  </w:style>
  <w:style w:type="character" w:customStyle="1" w:styleId="189">
    <w:name w:val="Header Char"/>
    <w:basedOn w:val="35"/>
    <w:link w:val="22"/>
    <w:qFormat/>
    <w:uiPriority w:val="99"/>
  </w:style>
  <w:style w:type="character" w:customStyle="1" w:styleId="190">
    <w:name w:val="Footer Char"/>
    <w:basedOn w:val="35"/>
    <w:link w:val="21"/>
    <w:qFormat/>
    <w:uiPriority w:val="99"/>
  </w:style>
  <w:style w:type="character" w:customStyle="1" w:styleId="191">
    <w:name w:val="Footnote Text Char"/>
    <w:basedOn w:val="35"/>
    <w:link w:val="26"/>
    <w:semiHidden/>
    <w:qFormat/>
    <w:uiPriority w:val="99"/>
    <w:rPr>
      <w:sz w:val="20"/>
      <w:szCs w:val="20"/>
    </w:rPr>
  </w:style>
  <w:style w:type="character" w:customStyle="1" w:styleId="192">
    <w:name w:val="Endnote Text Char"/>
    <w:basedOn w:val="35"/>
    <w:link w:val="20"/>
    <w:semiHidden/>
    <w:qFormat/>
    <w:uiPriority w:val="99"/>
    <w:rPr>
      <w:sz w:val="20"/>
      <w:szCs w:val="20"/>
    </w:rPr>
  </w:style>
  <w:style w:type="character" w:styleId="193">
    <w:name w:val="Placeholder Text"/>
    <w:basedOn w:val="35"/>
    <w:semiHidden/>
    <w:qFormat/>
    <w:uiPriority w:val="99"/>
    <w:rPr>
      <w:color w:val="666666"/>
    </w:rPr>
  </w:style>
  <w:style w:type="paragraph" w:customStyle="1" w:styleId="194">
    <w:name w:val="TOC Heading"/>
    <w:unhideWhenUsed/>
    <w:qFormat/>
    <w:uiPriority w:val="39"/>
    <w:rPr>
      <w:rFonts w:hint="default" w:ascii="Times New Roman" w:hAnsi="Times New Roman" w:eastAsia="宋体" w:cs="Times New Roman"/>
    </w:rPr>
  </w:style>
  <w:style w:type="paragraph" w:customStyle="1" w:styleId="195">
    <w:name w:val="标题 11"/>
    <w:basedOn w:val="1"/>
    <w:next w:val="1"/>
    <w:link w:val="208"/>
    <w:qFormat/>
    <w:uiPriority w:val="0"/>
    <w:pPr>
      <w:keepNext/>
      <w:keepLines/>
      <w:spacing w:before="340" w:after="330" w:line="578" w:lineRule="auto"/>
      <w:outlineLvl w:val="0"/>
    </w:pPr>
    <w:rPr>
      <w:b/>
      <w:bCs/>
      <w:sz w:val="44"/>
      <w:szCs w:val="44"/>
    </w:rPr>
  </w:style>
  <w:style w:type="paragraph" w:customStyle="1" w:styleId="196">
    <w:name w:val="标题 21"/>
    <w:basedOn w:val="1"/>
    <w:next w:val="1"/>
    <w:link w:val="207"/>
    <w:qFormat/>
    <w:uiPriority w:val="0"/>
    <w:pPr>
      <w:keepNext/>
      <w:keepLines/>
      <w:spacing w:before="260" w:after="260" w:line="416" w:lineRule="auto"/>
      <w:outlineLvl w:val="1"/>
    </w:pPr>
    <w:rPr>
      <w:rFonts w:ascii="Arial" w:hAnsi="Arial" w:eastAsia="黑体"/>
      <w:b/>
      <w:bCs/>
      <w:sz w:val="32"/>
      <w:szCs w:val="32"/>
    </w:rPr>
  </w:style>
  <w:style w:type="paragraph" w:customStyle="1" w:styleId="197">
    <w:name w:val="标题 31"/>
    <w:basedOn w:val="1"/>
    <w:next w:val="1"/>
    <w:link w:val="209"/>
    <w:qFormat/>
    <w:uiPriority w:val="0"/>
    <w:pPr>
      <w:keepNext/>
      <w:keepLines/>
      <w:spacing w:before="260" w:after="260" w:line="416" w:lineRule="auto"/>
      <w:outlineLvl w:val="2"/>
    </w:pPr>
    <w:rPr>
      <w:b/>
      <w:bCs/>
      <w:sz w:val="32"/>
      <w:szCs w:val="32"/>
    </w:rPr>
  </w:style>
  <w:style w:type="paragraph" w:customStyle="1" w:styleId="198">
    <w:name w:val="标题 41"/>
    <w:basedOn w:val="1"/>
    <w:next w:val="1"/>
    <w:qFormat/>
    <w:uiPriority w:val="0"/>
    <w:pPr>
      <w:keepNext/>
      <w:keepLines/>
      <w:spacing w:before="280" w:after="290" w:line="376" w:lineRule="auto"/>
      <w:outlineLvl w:val="3"/>
    </w:pPr>
    <w:rPr>
      <w:rFonts w:ascii="Arial" w:hAnsi="Arial" w:eastAsia="黑体"/>
      <w:b/>
      <w:bCs/>
      <w:sz w:val="28"/>
      <w:szCs w:val="28"/>
    </w:rPr>
  </w:style>
  <w:style w:type="paragraph" w:customStyle="1" w:styleId="199">
    <w:name w:val="标题 51"/>
    <w:basedOn w:val="1"/>
    <w:next w:val="200"/>
    <w:link w:val="210"/>
    <w:qFormat/>
    <w:uiPriority w:val="0"/>
    <w:pPr>
      <w:keepNext/>
      <w:keepLines/>
      <w:numPr>
        <w:ilvl w:val="4"/>
        <w:numId w:val="1"/>
      </w:numPr>
      <w:spacing w:before="280" w:after="290" w:line="376" w:lineRule="auto"/>
      <w:outlineLvl w:val="4"/>
    </w:pPr>
    <w:rPr>
      <w:b/>
      <w:sz w:val="28"/>
    </w:rPr>
  </w:style>
  <w:style w:type="paragraph" w:customStyle="1" w:styleId="200">
    <w:name w:val="正文缩进1"/>
    <w:basedOn w:val="1"/>
    <w:qFormat/>
    <w:uiPriority w:val="0"/>
    <w:pPr>
      <w:ind w:firstLine="420"/>
    </w:pPr>
    <w:rPr>
      <w:szCs w:val="20"/>
    </w:rPr>
  </w:style>
  <w:style w:type="paragraph" w:customStyle="1" w:styleId="201">
    <w:name w:val="标题 61"/>
    <w:basedOn w:val="1"/>
    <w:next w:val="1"/>
    <w:link w:val="211"/>
    <w:qFormat/>
    <w:uiPriority w:val="0"/>
    <w:pPr>
      <w:keepNext/>
      <w:keepLines/>
      <w:numPr>
        <w:ilvl w:val="5"/>
        <w:numId w:val="1"/>
      </w:numPr>
      <w:spacing w:before="240" w:after="64" w:line="320" w:lineRule="auto"/>
      <w:outlineLvl w:val="5"/>
    </w:pPr>
    <w:rPr>
      <w:rFonts w:ascii="Arial" w:hAnsi="Arial" w:eastAsia="黑体"/>
      <w:b/>
      <w:sz w:val="24"/>
    </w:rPr>
  </w:style>
  <w:style w:type="paragraph" w:customStyle="1" w:styleId="202">
    <w:name w:val="标题 71"/>
    <w:basedOn w:val="1"/>
    <w:next w:val="200"/>
    <w:link w:val="212"/>
    <w:qFormat/>
    <w:uiPriority w:val="0"/>
    <w:pPr>
      <w:keepNext/>
      <w:keepLines/>
      <w:numPr>
        <w:ilvl w:val="6"/>
        <w:numId w:val="1"/>
      </w:numPr>
      <w:spacing w:before="240" w:after="64" w:line="320" w:lineRule="auto"/>
      <w:outlineLvl w:val="6"/>
    </w:pPr>
    <w:rPr>
      <w:b/>
      <w:sz w:val="24"/>
    </w:rPr>
  </w:style>
  <w:style w:type="paragraph" w:customStyle="1" w:styleId="203">
    <w:name w:val="标题 81"/>
    <w:basedOn w:val="1"/>
    <w:next w:val="200"/>
    <w:link w:val="213"/>
    <w:qFormat/>
    <w:uiPriority w:val="0"/>
    <w:pPr>
      <w:keepNext/>
      <w:keepLines/>
      <w:numPr>
        <w:ilvl w:val="7"/>
        <w:numId w:val="1"/>
      </w:numPr>
      <w:spacing w:before="240" w:after="64" w:line="320" w:lineRule="auto"/>
      <w:outlineLvl w:val="7"/>
    </w:pPr>
    <w:rPr>
      <w:rFonts w:ascii="Arial" w:hAnsi="Arial" w:eastAsia="黑体"/>
      <w:sz w:val="24"/>
    </w:rPr>
  </w:style>
  <w:style w:type="paragraph" w:customStyle="1" w:styleId="204">
    <w:name w:val="标题 91"/>
    <w:basedOn w:val="1"/>
    <w:next w:val="200"/>
    <w:link w:val="214"/>
    <w:qFormat/>
    <w:uiPriority w:val="0"/>
    <w:pPr>
      <w:keepNext/>
      <w:keepLines/>
      <w:numPr>
        <w:ilvl w:val="8"/>
        <w:numId w:val="1"/>
      </w:numPr>
      <w:spacing w:before="240" w:after="64" w:line="320" w:lineRule="auto"/>
      <w:outlineLvl w:val="8"/>
    </w:pPr>
    <w:rPr>
      <w:rFonts w:ascii="Arial" w:hAnsi="Arial" w:eastAsia="黑体"/>
    </w:rPr>
  </w:style>
  <w:style w:type="character" w:customStyle="1" w:styleId="205">
    <w:name w:val="默认段落字体1"/>
    <w:link w:val="1"/>
    <w:unhideWhenUsed/>
    <w:qFormat/>
    <w:uiPriority w:val="1"/>
  </w:style>
  <w:style w:type="table" w:customStyle="1" w:styleId="206">
    <w:name w:val="普通表格1"/>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customStyle="1" w:styleId="207">
    <w:name w:val="标题 2 Char"/>
    <w:link w:val="196"/>
    <w:qFormat/>
    <w:uiPriority w:val="0"/>
    <w:rPr>
      <w:rFonts w:ascii="Arial" w:hAnsi="Arial" w:eastAsia="黑体" w:cs="Times New Roman"/>
      <w:b/>
      <w:bCs/>
      <w:sz w:val="32"/>
      <w:szCs w:val="32"/>
    </w:rPr>
  </w:style>
  <w:style w:type="character" w:customStyle="1" w:styleId="208">
    <w:name w:val="标题 1 Char"/>
    <w:link w:val="195"/>
    <w:qFormat/>
    <w:uiPriority w:val="0"/>
    <w:rPr>
      <w:rFonts w:ascii="Times New Roman" w:hAnsi="Times New Roman" w:eastAsia="宋体" w:cs="Times New Roman"/>
      <w:b/>
      <w:bCs/>
      <w:sz w:val="44"/>
      <w:szCs w:val="44"/>
    </w:rPr>
  </w:style>
  <w:style w:type="character" w:customStyle="1" w:styleId="209">
    <w:name w:val="标题 3 Char"/>
    <w:link w:val="197"/>
    <w:qFormat/>
    <w:uiPriority w:val="0"/>
    <w:rPr>
      <w:rFonts w:ascii="Times New Roman" w:hAnsi="Times New Roman" w:eastAsia="宋体" w:cs="Times New Roman"/>
      <w:b/>
      <w:bCs/>
      <w:sz w:val="32"/>
      <w:szCs w:val="32"/>
    </w:rPr>
  </w:style>
  <w:style w:type="character" w:customStyle="1" w:styleId="210">
    <w:name w:val="标题 5 Char"/>
    <w:link w:val="199"/>
    <w:qFormat/>
    <w:uiPriority w:val="0"/>
    <w:rPr>
      <w:rFonts w:ascii="Times New Roman" w:hAnsi="Times New Roman"/>
      <w:b/>
      <w:sz w:val="28"/>
      <w:szCs w:val="24"/>
    </w:rPr>
  </w:style>
  <w:style w:type="character" w:customStyle="1" w:styleId="211">
    <w:name w:val="标题 6 Char"/>
    <w:link w:val="201"/>
    <w:qFormat/>
    <w:uiPriority w:val="0"/>
    <w:rPr>
      <w:rFonts w:ascii="Arial" w:hAnsi="Arial" w:eastAsia="黑体"/>
      <w:b/>
      <w:sz w:val="24"/>
      <w:szCs w:val="24"/>
    </w:rPr>
  </w:style>
  <w:style w:type="character" w:customStyle="1" w:styleId="212">
    <w:name w:val="标题 7 Char"/>
    <w:link w:val="202"/>
    <w:qFormat/>
    <w:uiPriority w:val="0"/>
    <w:rPr>
      <w:rFonts w:ascii="Times New Roman" w:hAnsi="Times New Roman"/>
      <w:b/>
      <w:sz w:val="24"/>
      <w:szCs w:val="24"/>
    </w:rPr>
  </w:style>
  <w:style w:type="character" w:customStyle="1" w:styleId="213">
    <w:name w:val="标题 8 Char"/>
    <w:link w:val="203"/>
    <w:qFormat/>
    <w:uiPriority w:val="0"/>
    <w:rPr>
      <w:rFonts w:ascii="Arial" w:hAnsi="Arial" w:eastAsia="黑体"/>
      <w:sz w:val="24"/>
      <w:szCs w:val="24"/>
    </w:rPr>
  </w:style>
  <w:style w:type="character" w:customStyle="1" w:styleId="214">
    <w:name w:val="标题 9 Char"/>
    <w:link w:val="204"/>
    <w:qFormat/>
    <w:uiPriority w:val="0"/>
    <w:rPr>
      <w:rFonts w:ascii="Arial" w:hAnsi="Arial" w:eastAsia="黑体"/>
      <w:sz w:val="21"/>
      <w:szCs w:val="24"/>
    </w:rPr>
  </w:style>
  <w:style w:type="paragraph" w:customStyle="1" w:styleId="215">
    <w:name w:val="目录 71"/>
    <w:basedOn w:val="1"/>
    <w:next w:val="1"/>
    <w:unhideWhenUsed/>
    <w:qFormat/>
    <w:uiPriority w:val="39"/>
    <w:pPr>
      <w:ind w:left="2520"/>
    </w:pPr>
    <w:rPr>
      <w:rFonts w:ascii="Calibri" w:hAnsi="Calibri" w:eastAsia="宋体" w:cs="Times New Roman"/>
      <w:szCs w:val="22"/>
    </w:rPr>
  </w:style>
  <w:style w:type="paragraph" w:customStyle="1" w:styleId="216">
    <w:name w:val="列表编号1"/>
    <w:basedOn w:val="1"/>
    <w:qFormat/>
    <w:uiPriority w:val="0"/>
    <w:pPr>
      <w:widowControl/>
      <w:tabs>
        <w:tab w:val="left" w:pos="454"/>
        <w:tab w:val="left" w:pos="720"/>
        <w:tab w:val="left" w:pos="840"/>
      </w:tabs>
      <w:spacing w:after="50"/>
      <w:ind w:left="454" w:hanging="284"/>
      <w:jc w:val="left"/>
    </w:pPr>
    <w:rPr>
      <w:sz w:val="24"/>
      <w:szCs w:val="20"/>
    </w:rPr>
  </w:style>
  <w:style w:type="paragraph" w:customStyle="1" w:styleId="217">
    <w:name w:val="题注1"/>
    <w:basedOn w:val="1"/>
    <w:next w:val="1"/>
    <w:qFormat/>
    <w:uiPriority w:val="0"/>
    <w:pPr>
      <w:spacing w:before="152" w:after="160"/>
    </w:pPr>
    <w:rPr>
      <w:rFonts w:ascii="Arial" w:hAnsi="Arial" w:eastAsia="黑体" w:cs="Arial"/>
      <w:sz w:val="20"/>
      <w:szCs w:val="20"/>
    </w:rPr>
  </w:style>
  <w:style w:type="paragraph" w:customStyle="1" w:styleId="218">
    <w:name w:val="批注文字1"/>
    <w:basedOn w:val="1"/>
    <w:link w:val="219"/>
    <w:unhideWhenUsed/>
    <w:qFormat/>
    <w:uiPriority w:val="0"/>
    <w:pPr>
      <w:jc w:val="left"/>
    </w:pPr>
  </w:style>
  <w:style w:type="character" w:customStyle="1" w:styleId="219">
    <w:name w:val="批注文字 Char"/>
    <w:link w:val="218"/>
    <w:qFormat/>
    <w:uiPriority w:val="0"/>
    <w:rPr>
      <w:rFonts w:ascii="Times New Roman" w:hAnsi="Times New Roman"/>
      <w:sz w:val="21"/>
      <w:szCs w:val="24"/>
    </w:rPr>
  </w:style>
  <w:style w:type="paragraph" w:customStyle="1" w:styleId="220">
    <w:name w:val="正文文本 31"/>
    <w:basedOn w:val="1"/>
    <w:link w:val="221"/>
    <w:qFormat/>
    <w:uiPriority w:val="0"/>
    <w:pPr>
      <w:spacing w:line="500" w:lineRule="exact"/>
    </w:pPr>
    <w:rPr>
      <w:b/>
      <w:bCs/>
      <w:sz w:val="24"/>
    </w:rPr>
  </w:style>
  <w:style w:type="character" w:customStyle="1" w:styleId="221">
    <w:name w:val="正文文本 3 Char"/>
    <w:link w:val="220"/>
    <w:qFormat/>
    <w:uiPriority w:val="0"/>
    <w:rPr>
      <w:rFonts w:ascii="Times New Roman" w:hAnsi="Times New Roman" w:eastAsia="宋体" w:cs="Times New Roman"/>
      <w:b/>
      <w:bCs/>
      <w:sz w:val="24"/>
      <w:szCs w:val="24"/>
    </w:rPr>
  </w:style>
  <w:style w:type="paragraph" w:customStyle="1" w:styleId="222">
    <w:name w:val="正文文本1"/>
    <w:basedOn w:val="1"/>
    <w:next w:val="1"/>
    <w:link w:val="223"/>
    <w:qFormat/>
    <w:uiPriority w:val="0"/>
    <w:pPr>
      <w:spacing w:line="380" w:lineRule="exact"/>
    </w:pPr>
    <w:rPr>
      <w:sz w:val="24"/>
    </w:rPr>
  </w:style>
  <w:style w:type="character" w:customStyle="1" w:styleId="223">
    <w:name w:val="正文文本 Char"/>
    <w:link w:val="222"/>
    <w:qFormat/>
    <w:uiPriority w:val="0"/>
    <w:rPr>
      <w:rFonts w:ascii="Times New Roman" w:hAnsi="Times New Roman" w:eastAsia="宋体" w:cs="Times New Roman"/>
      <w:sz w:val="24"/>
      <w:szCs w:val="24"/>
    </w:rPr>
  </w:style>
  <w:style w:type="paragraph" w:customStyle="1" w:styleId="224">
    <w:name w:val="正文文本缩进1"/>
    <w:basedOn w:val="1"/>
    <w:link w:val="225"/>
    <w:qFormat/>
    <w:uiPriority w:val="0"/>
    <w:pPr>
      <w:ind w:firstLine="830"/>
    </w:pPr>
    <w:rPr>
      <w:rFonts w:ascii="仿宋_GB2312" w:eastAsia="仿宋_GB2312"/>
      <w:sz w:val="32"/>
      <w:szCs w:val="20"/>
    </w:rPr>
  </w:style>
  <w:style w:type="character" w:customStyle="1" w:styleId="225">
    <w:name w:val="正文文本缩进 Char"/>
    <w:link w:val="224"/>
    <w:qFormat/>
    <w:uiPriority w:val="0"/>
    <w:rPr>
      <w:rFonts w:ascii="仿宋_GB2312" w:hAnsi="Times New Roman" w:eastAsia="仿宋_GB2312" w:cs="Times New Roman"/>
      <w:sz w:val="32"/>
      <w:szCs w:val="20"/>
    </w:rPr>
  </w:style>
  <w:style w:type="paragraph" w:customStyle="1" w:styleId="226">
    <w:name w:val="列表编号 31"/>
    <w:basedOn w:val="1"/>
    <w:qFormat/>
    <w:uiPriority w:val="0"/>
    <w:pPr>
      <w:numPr>
        <w:ilvl w:val="0"/>
        <w:numId w:val="2"/>
      </w:numPr>
    </w:pPr>
  </w:style>
  <w:style w:type="paragraph" w:customStyle="1" w:styleId="227">
    <w:name w:val="列表 21"/>
    <w:basedOn w:val="1"/>
    <w:qFormat/>
    <w:uiPriority w:val="0"/>
    <w:pPr>
      <w:ind w:left="100" w:hanging="200"/>
    </w:pPr>
    <w:rPr>
      <w:sz w:val="28"/>
    </w:rPr>
  </w:style>
  <w:style w:type="paragraph" w:customStyle="1" w:styleId="228">
    <w:name w:val="目录 51"/>
    <w:basedOn w:val="1"/>
    <w:next w:val="1"/>
    <w:unhideWhenUsed/>
    <w:qFormat/>
    <w:uiPriority w:val="39"/>
    <w:pPr>
      <w:ind w:left="1680"/>
    </w:pPr>
    <w:rPr>
      <w:rFonts w:ascii="Calibri" w:hAnsi="Calibri" w:eastAsia="宋体" w:cs="Times New Roman"/>
      <w:szCs w:val="22"/>
    </w:rPr>
  </w:style>
  <w:style w:type="paragraph" w:customStyle="1" w:styleId="229">
    <w:name w:val="目录 31"/>
    <w:basedOn w:val="1"/>
    <w:next w:val="1"/>
    <w:unhideWhenUsed/>
    <w:qFormat/>
    <w:uiPriority w:val="39"/>
    <w:pPr>
      <w:ind w:left="840"/>
    </w:pPr>
    <w:rPr>
      <w:rFonts w:ascii="Calibri" w:hAnsi="Calibri" w:eastAsia="宋体" w:cs="Times New Roman"/>
      <w:szCs w:val="22"/>
    </w:rPr>
  </w:style>
  <w:style w:type="paragraph" w:customStyle="1" w:styleId="230">
    <w:name w:val="纯文本1"/>
    <w:basedOn w:val="1"/>
    <w:next w:val="198"/>
    <w:link w:val="231"/>
    <w:qFormat/>
    <w:uiPriority w:val="0"/>
    <w:rPr>
      <w:rFonts w:ascii="宋体" w:hAnsi="Courier New"/>
      <w:sz w:val="20"/>
      <w:szCs w:val="21"/>
    </w:rPr>
  </w:style>
  <w:style w:type="character" w:customStyle="1" w:styleId="231">
    <w:name w:val="纯文本 Char"/>
    <w:link w:val="230"/>
    <w:qFormat/>
    <w:uiPriority w:val="0"/>
    <w:rPr>
      <w:rFonts w:ascii="宋体" w:hAnsi="Courier New" w:eastAsia="宋体" w:cs="Courier New"/>
      <w:szCs w:val="21"/>
    </w:rPr>
  </w:style>
  <w:style w:type="paragraph" w:customStyle="1" w:styleId="232">
    <w:name w:val="目录 81"/>
    <w:basedOn w:val="1"/>
    <w:next w:val="1"/>
    <w:unhideWhenUsed/>
    <w:qFormat/>
    <w:uiPriority w:val="39"/>
    <w:pPr>
      <w:ind w:left="2940"/>
    </w:pPr>
    <w:rPr>
      <w:rFonts w:ascii="Calibri" w:hAnsi="Calibri" w:eastAsia="宋体" w:cs="Times New Roman"/>
      <w:szCs w:val="22"/>
    </w:rPr>
  </w:style>
  <w:style w:type="paragraph" w:customStyle="1" w:styleId="233">
    <w:name w:val="日期1"/>
    <w:basedOn w:val="1"/>
    <w:next w:val="1"/>
    <w:link w:val="234"/>
    <w:qFormat/>
    <w:uiPriority w:val="0"/>
    <w:pPr>
      <w:ind w:left="100"/>
    </w:pPr>
    <w:rPr>
      <w:rFonts w:ascii="宋体" w:hAnsi="Courier New"/>
      <w:sz w:val="20"/>
      <w:szCs w:val="21"/>
    </w:rPr>
  </w:style>
  <w:style w:type="character" w:customStyle="1" w:styleId="234">
    <w:name w:val="日期 Char"/>
    <w:link w:val="233"/>
    <w:qFormat/>
    <w:uiPriority w:val="0"/>
    <w:rPr>
      <w:rFonts w:ascii="宋体" w:hAnsi="Courier New" w:eastAsia="宋体" w:cs="Courier New"/>
      <w:szCs w:val="21"/>
    </w:rPr>
  </w:style>
  <w:style w:type="paragraph" w:customStyle="1" w:styleId="235">
    <w:name w:val="正文文本缩进 21"/>
    <w:basedOn w:val="1"/>
    <w:link w:val="236"/>
    <w:qFormat/>
    <w:uiPriority w:val="0"/>
    <w:pPr>
      <w:ind w:firstLine="630"/>
    </w:pPr>
    <w:rPr>
      <w:sz w:val="32"/>
      <w:szCs w:val="20"/>
    </w:rPr>
  </w:style>
  <w:style w:type="character" w:customStyle="1" w:styleId="236">
    <w:name w:val="正文文本缩进 2 Char"/>
    <w:link w:val="235"/>
    <w:qFormat/>
    <w:uiPriority w:val="0"/>
    <w:rPr>
      <w:rFonts w:ascii="Times New Roman" w:hAnsi="Times New Roman" w:eastAsia="宋体" w:cs="Times New Roman"/>
      <w:sz w:val="32"/>
      <w:szCs w:val="20"/>
    </w:rPr>
  </w:style>
  <w:style w:type="paragraph" w:customStyle="1" w:styleId="237">
    <w:name w:val="尾注文本1"/>
    <w:basedOn w:val="1"/>
    <w:link w:val="238"/>
    <w:unhideWhenUsed/>
    <w:qFormat/>
    <w:uiPriority w:val="99"/>
    <w:pPr>
      <w:jc w:val="left"/>
    </w:pPr>
  </w:style>
  <w:style w:type="character" w:customStyle="1" w:styleId="238">
    <w:name w:val="尾注文本 Char"/>
    <w:link w:val="237"/>
    <w:semiHidden/>
    <w:qFormat/>
    <w:uiPriority w:val="99"/>
    <w:rPr>
      <w:rFonts w:ascii="Times New Roman" w:hAnsi="Times New Roman"/>
      <w:sz w:val="21"/>
      <w:szCs w:val="24"/>
    </w:rPr>
  </w:style>
  <w:style w:type="paragraph" w:customStyle="1" w:styleId="239">
    <w:name w:val="批注框文本1"/>
    <w:basedOn w:val="1"/>
    <w:link w:val="240"/>
    <w:semiHidden/>
    <w:qFormat/>
    <w:uiPriority w:val="0"/>
    <w:rPr>
      <w:sz w:val="18"/>
      <w:szCs w:val="18"/>
    </w:rPr>
  </w:style>
  <w:style w:type="character" w:customStyle="1" w:styleId="240">
    <w:name w:val="批注框文本 Char"/>
    <w:link w:val="239"/>
    <w:semiHidden/>
    <w:qFormat/>
    <w:uiPriority w:val="0"/>
    <w:rPr>
      <w:rFonts w:ascii="Times New Roman" w:hAnsi="Times New Roman" w:eastAsia="宋体" w:cs="Times New Roman"/>
      <w:sz w:val="18"/>
      <w:szCs w:val="18"/>
    </w:rPr>
  </w:style>
  <w:style w:type="paragraph" w:customStyle="1" w:styleId="241">
    <w:name w:val="页脚1"/>
    <w:basedOn w:val="1"/>
    <w:link w:val="242"/>
    <w:unhideWhenUsed/>
    <w:qFormat/>
    <w:uiPriority w:val="99"/>
    <w:pPr>
      <w:tabs>
        <w:tab w:val="center" w:pos="4153"/>
        <w:tab w:val="right" w:pos="8306"/>
      </w:tabs>
      <w:jc w:val="left"/>
    </w:pPr>
    <w:rPr>
      <w:sz w:val="18"/>
      <w:szCs w:val="18"/>
    </w:rPr>
  </w:style>
  <w:style w:type="character" w:customStyle="1" w:styleId="242">
    <w:name w:val="页脚 Char"/>
    <w:link w:val="241"/>
    <w:qFormat/>
    <w:uiPriority w:val="99"/>
    <w:rPr>
      <w:sz w:val="18"/>
      <w:szCs w:val="18"/>
    </w:rPr>
  </w:style>
  <w:style w:type="paragraph" w:customStyle="1" w:styleId="243">
    <w:name w:val="寄信人地址1"/>
    <w:basedOn w:val="1"/>
    <w:qFormat/>
    <w:uiPriority w:val="0"/>
    <w:rPr>
      <w:rFonts w:ascii="Arial" w:hAnsi="Arial"/>
    </w:rPr>
  </w:style>
  <w:style w:type="paragraph" w:customStyle="1" w:styleId="244">
    <w:name w:val="页眉1"/>
    <w:basedOn w:val="1"/>
    <w:link w:val="245"/>
    <w:unhideWhenUsed/>
    <w:qFormat/>
    <w:uiPriority w:val="99"/>
    <w:pPr>
      <w:pBdr>
        <w:bottom w:val="single" w:color="000000" w:sz="6" w:space="1"/>
      </w:pBdr>
      <w:tabs>
        <w:tab w:val="center" w:pos="0"/>
        <w:tab w:val="left" w:pos="8306"/>
      </w:tabs>
      <w:jc w:val="center"/>
    </w:pPr>
    <w:rPr>
      <w:sz w:val="18"/>
      <w:szCs w:val="18"/>
    </w:rPr>
  </w:style>
  <w:style w:type="character" w:customStyle="1" w:styleId="245">
    <w:name w:val="页眉 Char"/>
    <w:link w:val="244"/>
    <w:qFormat/>
    <w:uiPriority w:val="99"/>
    <w:rPr>
      <w:rFonts w:ascii="Times New Roman" w:hAnsi="Times New Roman"/>
      <w:sz w:val="18"/>
      <w:szCs w:val="18"/>
    </w:rPr>
  </w:style>
  <w:style w:type="paragraph" w:customStyle="1" w:styleId="246">
    <w:name w:val="目录 11"/>
    <w:basedOn w:val="1"/>
    <w:next w:val="1"/>
    <w:qFormat/>
    <w:uiPriority w:val="39"/>
    <w:pPr>
      <w:tabs>
        <w:tab w:val="right" w:leader="dot" w:pos="8398"/>
      </w:tabs>
      <w:spacing w:before="120" w:after="120"/>
      <w:ind w:firstLine="240"/>
      <w:jc w:val="left"/>
    </w:pPr>
    <w:rPr>
      <w:rFonts w:ascii="宋体" w:hAnsi="宋体"/>
      <w:b/>
      <w:bCs/>
      <w:caps/>
      <w:sz w:val="24"/>
    </w:rPr>
  </w:style>
  <w:style w:type="paragraph" w:customStyle="1" w:styleId="247">
    <w:name w:val="目录 41"/>
    <w:basedOn w:val="1"/>
    <w:next w:val="1"/>
    <w:unhideWhenUsed/>
    <w:qFormat/>
    <w:uiPriority w:val="39"/>
    <w:pPr>
      <w:ind w:left="1260"/>
    </w:pPr>
    <w:rPr>
      <w:rFonts w:ascii="Calibri" w:hAnsi="Calibri" w:eastAsia="宋体" w:cs="Times New Roman"/>
      <w:szCs w:val="22"/>
    </w:rPr>
  </w:style>
  <w:style w:type="paragraph" w:customStyle="1" w:styleId="248">
    <w:name w:val="列表1"/>
    <w:basedOn w:val="1"/>
    <w:qFormat/>
    <w:uiPriority w:val="0"/>
    <w:pPr>
      <w:ind w:left="200" w:hanging="200"/>
    </w:pPr>
    <w:rPr>
      <w:sz w:val="28"/>
    </w:rPr>
  </w:style>
  <w:style w:type="paragraph" w:customStyle="1" w:styleId="249">
    <w:name w:val="脚注文本1"/>
    <w:basedOn w:val="1"/>
    <w:link w:val="250"/>
    <w:unhideWhenUsed/>
    <w:qFormat/>
    <w:uiPriority w:val="99"/>
    <w:pPr>
      <w:jc w:val="left"/>
    </w:pPr>
    <w:rPr>
      <w:sz w:val="18"/>
      <w:szCs w:val="18"/>
    </w:rPr>
  </w:style>
  <w:style w:type="character" w:customStyle="1" w:styleId="250">
    <w:name w:val="脚注文本 Char"/>
    <w:link w:val="249"/>
    <w:semiHidden/>
    <w:qFormat/>
    <w:uiPriority w:val="99"/>
    <w:rPr>
      <w:rFonts w:ascii="Times New Roman" w:hAnsi="Times New Roman"/>
      <w:sz w:val="18"/>
      <w:szCs w:val="18"/>
    </w:rPr>
  </w:style>
  <w:style w:type="paragraph" w:customStyle="1" w:styleId="251">
    <w:name w:val="目录 61"/>
    <w:basedOn w:val="1"/>
    <w:next w:val="1"/>
    <w:unhideWhenUsed/>
    <w:qFormat/>
    <w:uiPriority w:val="39"/>
    <w:pPr>
      <w:ind w:left="2100"/>
    </w:pPr>
    <w:rPr>
      <w:rFonts w:ascii="Calibri" w:hAnsi="Calibri" w:eastAsia="宋体" w:cs="Times New Roman"/>
      <w:szCs w:val="22"/>
    </w:rPr>
  </w:style>
  <w:style w:type="paragraph" w:customStyle="1" w:styleId="252">
    <w:name w:val="正文文本缩进 31"/>
    <w:basedOn w:val="1"/>
    <w:link w:val="253"/>
    <w:qFormat/>
    <w:uiPriority w:val="0"/>
    <w:pPr>
      <w:spacing w:after="120"/>
      <w:ind w:left="420"/>
    </w:pPr>
    <w:rPr>
      <w:sz w:val="16"/>
      <w:szCs w:val="16"/>
    </w:rPr>
  </w:style>
  <w:style w:type="character" w:customStyle="1" w:styleId="253">
    <w:name w:val="正文文本缩进 3 Char"/>
    <w:link w:val="252"/>
    <w:qFormat/>
    <w:uiPriority w:val="0"/>
    <w:rPr>
      <w:rFonts w:ascii="Times New Roman" w:hAnsi="Times New Roman" w:eastAsia="宋体" w:cs="Times New Roman"/>
      <w:sz w:val="16"/>
      <w:szCs w:val="16"/>
    </w:rPr>
  </w:style>
  <w:style w:type="paragraph" w:customStyle="1" w:styleId="254">
    <w:name w:val="目录 21"/>
    <w:basedOn w:val="1"/>
    <w:next w:val="1"/>
    <w:unhideWhenUsed/>
    <w:qFormat/>
    <w:uiPriority w:val="39"/>
    <w:pPr>
      <w:ind w:left="420"/>
    </w:pPr>
  </w:style>
  <w:style w:type="paragraph" w:customStyle="1" w:styleId="255">
    <w:name w:val="目录 91"/>
    <w:basedOn w:val="1"/>
    <w:next w:val="1"/>
    <w:unhideWhenUsed/>
    <w:qFormat/>
    <w:uiPriority w:val="39"/>
    <w:pPr>
      <w:ind w:left="3360"/>
    </w:pPr>
    <w:rPr>
      <w:rFonts w:ascii="Calibri" w:hAnsi="Calibri" w:eastAsia="宋体" w:cs="Times New Roman"/>
      <w:szCs w:val="22"/>
    </w:rPr>
  </w:style>
  <w:style w:type="paragraph" w:customStyle="1" w:styleId="256">
    <w:name w:val="正文文本 21"/>
    <w:basedOn w:val="1"/>
    <w:link w:val="257"/>
    <w:qFormat/>
    <w:uiPriority w:val="0"/>
    <w:pPr>
      <w:spacing w:after="120" w:line="480" w:lineRule="auto"/>
    </w:pPr>
    <w:rPr>
      <w:sz w:val="20"/>
    </w:rPr>
  </w:style>
  <w:style w:type="character" w:customStyle="1" w:styleId="257">
    <w:name w:val="正文文本 2 Char"/>
    <w:link w:val="256"/>
    <w:qFormat/>
    <w:uiPriority w:val="0"/>
    <w:rPr>
      <w:rFonts w:ascii="Times New Roman" w:hAnsi="Times New Roman" w:eastAsia="宋体" w:cs="Times New Roman"/>
      <w:szCs w:val="24"/>
    </w:rPr>
  </w:style>
  <w:style w:type="paragraph" w:customStyle="1" w:styleId="258">
    <w:name w:val="HTML 预设格式1"/>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sz w:val="24"/>
      <w:szCs w:val="24"/>
      <w:lang w:val="en-US" w:eastAsia="zh-CN" w:bidi="ar"/>
    </w:rPr>
  </w:style>
  <w:style w:type="paragraph" w:customStyle="1" w:styleId="259">
    <w:name w:val="普通(网站)1"/>
    <w:basedOn w:val="1"/>
    <w:qFormat/>
    <w:uiPriority w:val="99"/>
    <w:pPr>
      <w:widowControl/>
      <w:spacing w:before="100" w:beforeAutospacing="1" w:after="100" w:afterAutospacing="1"/>
      <w:jc w:val="left"/>
    </w:pPr>
    <w:rPr>
      <w:rFonts w:ascii="宋体" w:hAnsi="宋体"/>
      <w:sz w:val="24"/>
    </w:rPr>
  </w:style>
  <w:style w:type="paragraph" w:customStyle="1" w:styleId="260">
    <w:name w:val="索引 11"/>
    <w:basedOn w:val="1"/>
    <w:next w:val="1"/>
    <w:semiHidden/>
    <w:qFormat/>
    <w:uiPriority w:val="0"/>
    <w:pPr>
      <w:spacing w:line="400" w:lineRule="exact"/>
      <w:ind w:firstLine="420"/>
    </w:pPr>
    <w:rPr>
      <w:rFonts w:ascii="宋体" w:hAnsi="Courier New"/>
      <w:b/>
      <w:szCs w:val="20"/>
    </w:rPr>
  </w:style>
  <w:style w:type="paragraph" w:customStyle="1" w:styleId="261">
    <w:name w:val="标题1"/>
    <w:basedOn w:val="1"/>
    <w:next w:val="1"/>
    <w:link w:val="262"/>
    <w:qFormat/>
    <w:uiPriority w:val="10"/>
    <w:pPr>
      <w:spacing w:before="240" w:after="60"/>
      <w:jc w:val="center"/>
      <w:outlineLvl w:val="0"/>
    </w:pPr>
    <w:rPr>
      <w:rFonts w:ascii="Cambria" w:hAnsi="Cambria"/>
      <w:b/>
      <w:bCs/>
      <w:sz w:val="32"/>
      <w:szCs w:val="32"/>
    </w:rPr>
  </w:style>
  <w:style w:type="character" w:customStyle="1" w:styleId="262">
    <w:name w:val="标题 Char"/>
    <w:link w:val="261"/>
    <w:qFormat/>
    <w:uiPriority w:val="10"/>
    <w:rPr>
      <w:rFonts w:ascii="Cambria" w:hAnsi="Cambria" w:cs="Times New Roman"/>
      <w:b/>
      <w:bCs/>
      <w:sz w:val="32"/>
      <w:szCs w:val="32"/>
    </w:rPr>
  </w:style>
  <w:style w:type="paragraph" w:customStyle="1" w:styleId="263">
    <w:name w:val="批注主题1"/>
    <w:basedOn w:val="218"/>
    <w:next w:val="218"/>
    <w:link w:val="264"/>
    <w:unhideWhenUsed/>
    <w:qFormat/>
    <w:uiPriority w:val="99"/>
    <w:rPr>
      <w:b/>
      <w:bCs/>
    </w:rPr>
  </w:style>
  <w:style w:type="character" w:customStyle="1" w:styleId="264">
    <w:name w:val="批注主题 Char"/>
    <w:link w:val="263"/>
    <w:semiHidden/>
    <w:qFormat/>
    <w:uiPriority w:val="99"/>
    <w:rPr>
      <w:rFonts w:ascii="Times New Roman" w:hAnsi="Times New Roman"/>
      <w:b/>
      <w:bCs/>
      <w:sz w:val="21"/>
      <w:szCs w:val="24"/>
    </w:rPr>
  </w:style>
  <w:style w:type="paragraph" w:customStyle="1" w:styleId="265">
    <w:name w:val="正文首行缩进11"/>
    <w:basedOn w:val="222"/>
    <w:qFormat/>
    <w:uiPriority w:val="0"/>
    <w:pPr>
      <w:widowControl/>
      <w:spacing w:after="160"/>
      <w:ind w:firstLine="420"/>
      <w:jc w:val="left"/>
    </w:pPr>
    <w:rPr>
      <w:rFonts w:ascii="仿宋体" w:eastAsia="仿宋体"/>
      <w:sz w:val="20"/>
      <w:lang w:eastAsia="en-US"/>
    </w:rPr>
  </w:style>
  <w:style w:type="paragraph" w:customStyle="1" w:styleId="266">
    <w:name w:val="正文首行缩进 21"/>
    <w:basedOn w:val="1"/>
    <w:qFormat/>
    <w:uiPriority w:val="0"/>
    <w:pPr>
      <w:widowControl w:val="0"/>
      <w:ind w:firstLine="420"/>
      <w:jc w:val="both"/>
    </w:pPr>
    <w:rPr>
      <w:rFonts w:ascii="Calibri" w:hAnsi="Calibri"/>
    </w:rPr>
  </w:style>
  <w:style w:type="table" w:customStyle="1" w:styleId="267">
    <w:name w:val="网格型1"/>
    <w:basedOn w:val="206"/>
    <w:qFormat/>
    <w:uiPriority w:val="0"/>
    <w:pPr>
      <w:widowControl w:val="0"/>
      <w:jc w:val="both"/>
    </w:pPr>
    <w:rPr>
      <w:rFonts w:ascii="Times New Roman" w:hAnsi="Times New Roman" w:eastAsia="宋体" w:cs="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customStyle="1" w:styleId="268">
    <w:name w:val="要点1"/>
    <w:basedOn w:val="205"/>
    <w:link w:val="1"/>
    <w:qFormat/>
    <w:uiPriority w:val="22"/>
    <w:rPr>
      <w:b/>
    </w:rPr>
  </w:style>
  <w:style w:type="character" w:customStyle="1" w:styleId="269">
    <w:name w:val="尾注引用1"/>
    <w:link w:val="1"/>
    <w:unhideWhenUsed/>
    <w:qFormat/>
    <w:uiPriority w:val="99"/>
    <w:rPr>
      <w:vertAlign w:val="superscript"/>
    </w:rPr>
  </w:style>
  <w:style w:type="character" w:customStyle="1" w:styleId="270">
    <w:name w:val="页码1"/>
    <w:link w:val="1"/>
    <w:qFormat/>
    <w:uiPriority w:val="0"/>
  </w:style>
  <w:style w:type="character" w:customStyle="1" w:styleId="271">
    <w:name w:val="已访问的超链接1"/>
    <w:link w:val="1"/>
    <w:qFormat/>
    <w:uiPriority w:val="0"/>
    <w:rPr>
      <w:color w:val="800080"/>
      <w:u w:val="single"/>
    </w:rPr>
  </w:style>
  <w:style w:type="character" w:customStyle="1" w:styleId="272">
    <w:name w:val="超链接1"/>
    <w:link w:val="1"/>
    <w:qFormat/>
    <w:uiPriority w:val="99"/>
    <w:rPr>
      <w:color w:val="0000FF"/>
      <w:u w:val="single"/>
    </w:rPr>
  </w:style>
  <w:style w:type="character" w:customStyle="1" w:styleId="273">
    <w:name w:val="批注引用1"/>
    <w:link w:val="1"/>
    <w:unhideWhenUsed/>
    <w:qFormat/>
    <w:uiPriority w:val="0"/>
    <w:rPr>
      <w:sz w:val="21"/>
      <w:szCs w:val="21"/>
    </w:rPr>
  </w:style>
  <w:style w:type="character" w:customStyle="1" w:styleId="274">
    <w:name w:val="脚注引用1"/>
    <w:link w:val="1"/>
    <w:unhideWhenUsed/>
    <w:qFormat/>
    <w:uiPriority w:val="99"/>
    <w:rPr>
      <w:vertAlign w:val="superscript"/>
    </w:rPr>
  </w:style>
  <w:style w:type="character" w:customStyle="1" w:styleId="275">
    <w:name w:val="HTML 样本1"/>
    <w:link w:val="1"/>
    <w:unhideWhenUsed/>
    <w:qFormat/>
    <w:uiPriority w:val="99"/>
    <w:rPr>
      <w:rFonts w:ascii="Courier New" w:hAnsi="Courier New"/>
    </w:rPr>
  </w:style>
  <w:style w:type="paragraph" w:customStyle="1" w:styleId="276">
    <w:name w:val="Default"/>
    <w:unhideWhenUsed/>
    <w:qFormat/>
    <w:uiPriority w:val="99"/>
    <w:pPr>
      <w:widowControl w:val="0"/>
    </w:pPr>
    <w:rPr>
      <w:rFonts w:hint="default" w:ascii="宋体" w:hAnsi="宋体" w:eastAsia="宋体" w:cs="Times New Roman"/>
      <w:color w:val="000000"/>
      <w:sz w:val="24"/>
      <w:lang w:val="en-US" w:eastAsia="zh-CN" w:bidi="ar-SA"/>
    </w:rPr>
  </w:style>
  <w:style w:type="paragraph" w:customStyle="1" w:styleId="277">
    <w:name w:val="表格文字115"/>
    <w:basedOn w:val="1"/>
    <w:qFormat/>
    <w:uiPriority w:val="0"/>
    <w:pPr>
      <w:jc w:val="left"/>
    </w:pPr>
    <w:rPr>
      <w:bCs/>
      <w:spacing w:val="10"/>
      <w:sz w:val="24"/>
    </w:rPr>
  </w:style>
  <w:style w:type="paragraph" w:customStyle="1" w:styleId="278">
    <w:name w:val="TOC 标题1"/>
    <w:basedOn w:val="195"/>
    <w:next w:val="1"/>
    <w:qFormat/>
    <w:uiPriority w:val="0"/>
    <w:pPr>
      <w:widowControl/>
      <w:spacing w:before="480" w:after="0" w:line="276" w:lineRule="auto"/>
      <w:jc w:val="left"/>
      <w:outlineLvl w:val="9"/>
    </w:pPr>
    <w:rPr>
      <w:rFonts w:ascii="Cambria" w:hAnsi="Cambria"/>
      <w:color w:val="365F91"/>
      <w:sz w:val="28"/>
      <w:szCs w:val="28"/>
    </w:rPr>
  </w:style>
  <w:style w:type="character" w:customStyle="1" w:styleId="279">
    <w:name w:val="case31"/>
    <w:link w:val="1"/>
    <w:qFormat/>
    <w:uiPriority w:val="0"/>
    <w:rPr>
      <w:sz w:val="21"/>
      <w:szCs w:val="21"/>
    </w:rPr>
  </w:style>
  <w:style w:type="character" w:customStyle="1" w:styleId="280">
    <w:name w:val="apple-style-span"/>
    <w:link w:val="1"/>
    <w:qFormat/>
    <w:uiPriority w:val="0"/>
  </w:style>
  <w:style w:type="character" w:customStyle="1" w:styleId="281">
    <w:name w:val="无"/>
    <w:link w:val="1"/>
    <w:qFormat/>
    <w:uiPriority w:val="0"/>
  </w:style>
  <w:style w:type="character" w:customStyle="1" w:styleId="282">
    <w:name w:val="font41"/>
    <w:link w:val="1"/>
    <w:qFormat/>
    <w:uiPriority w:val="0"/>
    <w:rPr>
      <w:rFonts w:hint="eastAsia" w:ascii="宋体" w:hAnsi="宋体" w:eastAsia="宋体" w:cs="宋体"/>
      <w:color w:val="000000"/>
      <w:sz w:val="20"/>
      <w:szCs w:val="20"/>
      <w:u w:val="none"/>
    </w:rPr>
  </w:style>
  <w:style w:type="character" w:customStyle="1" w:styleId="283">
    <w:name w:val="font21"/>
    <w:link w:val="1"/>
    <w:qFormat/>
    <w:uiPriority w:val="0"/>
    <w:rPr>
      <w:rFonts w:ascii="Times New Roman" w:hAnsi="Times New Roman" w:cs="Times New Roman"/>
      <w:color w:val="000000"/>
      <w:sz w:val="20"/>
      <w:szCs w:val="20"/>
      <w:u w:val="none"/>
    </w:rPr>
  </w:style>
  <w:style w:type="character" w:customStyle="1" w:styleId="284">
    <w:name w:val="font51"/>
    <w:link w:val="1"/>
    <w:qFormat/>
    <w:uiPriority w:val="0"/>
    <w:rPr>
      <w:rFonts w:ascii="Times New Roman" w:hAnsi="Times New Roman" w:cs="Times New Roman"/>
      <w:color w:val="000000"/>
      <w:sz w:val="20"/>
      <w:szCs w:val="20"/>
      <w:u w:val="none"/>
    </w:rPr>
  </w:style>
  <w:style w:type="character" w:customStyle="1" w:styleId="285">
    <w:name w:val="textcontents"/>
    <w:link w:val="1"/>
    <w:qFormat/>
    <w:uiPriority w:val="0"/>
  </w:style>
  <w:style w:type="character" w:customStyle="1" w:styleId="286">
    <w:name w:val="headline-content4"/>
    <w:link w:val="1"/>
    <w:qFormat/>
    <w:uiPriority w:val="0"/>
  </w:style>
  <w:style w:type="character" w:customStyle="1" w:styleId="287">
    <w:name w:val="font01"/>
    <w:link w:val="1"/>
    <w:qFormat/>
    <w:uiPriority w:val="0"/>
    <w:rPr>
      <w:rFonts w:hint="eastAsia" w:ascii="宋体" w:hAnsi="宋体" w:eastAsia="宋体" w:cs="宋体"/>
      <w:color w:val="000000"/>
      <w:sz w:val="24"/>
      <w:szCs w:val="24"/>
      <w:u w:val="none"/>
    </w:rPr>
  </w:style>
  <w:style w:type="character" w:customStyle="1" w:styleId="288">
    <w:name w:val="正文文本缩进 Char1"/>
    <w:link w:val="1"/>
    <w:semiHidden/>
    <w:qFormat/>
    <w:uiPriority w:val="0"/>
    <w:rPr>
      <w:rFonts w:ascii="仿宋_GB2312" w:hAnsi="Times New Roman" w:eastAsia="仿宋_GB2312"/>
      <w:sz w:val="32"/>
    </w:rPr>
  </w:style>
  <w:style w:type="character" w:customStyle="1" w:styleId="289">
    <w:name w:val="font31"/>
    <w:link w:val="1"/>
    <w:qFormat/>
    <w:uiPriority w:val="0"/>
    <w:rPr>
      <w:rFonts w:ascii="Times New Roman" w:hAnsi="Times New Roman" w:cs="Times New Roman"/>
      <w:color w:val="000000"/>
      <w:sz w:val="20"/>
      <w:szCs w:val="20"/>
      <w:u w:val="none"/>
    </w:rPr>
  </w:style>
  <w:style w:type="character" w:customStyle="1" w:styleId="290">
    <w:name w:val="批注文字 Char1"/>
    <w:link w:val="1"/>
    <w:semiHidden/>
    <w:qFormat/>
    <w:uiPriority w:val="0"/>
    <w:rPr>
      <w:rFonts w:ascii="Times New Roman" w:hAnsi="Times New Roman"/>
      <w:sz w:val="21"/>
      <w:szCs w:val="24"/>
    </w:rPr>
  </w:style>
  <w:style w:type="paragraph" w:customStyle="1" w:styleId="291">
    <w:name w:val="表格"/>
    <w:basedOn w:val="1"/>
    <w:qFormat/>
    <w:uiPriority w:val="0"/>
    <w:pPr>
      <w:spacing w:line="400" w:lineRule="exact"/>
    </w:pPr>
    <w:rPr>
      <w:sz w:val="24"/>
    </w:rPr>
  </w:style>
  <w:style w:type="paragraph" w:customStyle="1" w:styleId="292">
    <w:name w:val="样式 首行缩进:  2 字符"/>
    <w:basedOn w:val="1"/>
    <w:qFormat/>
    <w:uiPriority w:val="0"/>
    <w:pPr>
      <w:spacing w:line="400" w:lineRule="exact"/>
      <w:ind w:firstLine="200"/>
    </w:pPr>
    <w:rPr>
      <w:rFonts w:cs="宋体"/>
      <w:sz w:val="24"/>
    </w:rPr>
  </w:style>
  <w:style w:type="paragraph" w:customStyle="1" w:styleId="293">
    <w:name w:val="Char1"/>
    <w:basedOn w:val="1"/>
    <w:qFormat/>
    <w:uiPriority w:val="0"/>
    <w:rPr>
      <w:szCs w:val="21"/>
    </w:rPr>
  </w:style>
  <w:style w:type="paragraph" w:customStyle="1" w:styleId="294">
    <w:name w:val="默认段落字体 Para Char Char Char Char Char Char Char Char Char1 Char Char Char Char"/>
    <w:basedOn w:val="1"/>
    <w:qFormat/>
    <w:uiPriority w:val="0"/>
    <w:rPr>
      <w:rFonts w:ascii="Tahoma" w:hAnsi="Tahoma"/>
      <w:sz w:val="24"/>
      <w:szCs w:val="20"/>
    </w:rPr>
  </w:style>
  <w:style w:type="paragraph" w:customStyle="1" w:styleId="295">
    <w:name w:val="正文段"/>
    <w:basedOn w:val="1"/>
    <w:qFormat/>
    <w:uiPriority w:val="0"/>
    <w:pPr>
      <w:widowControl/>
      <w:spacing w:after="50"/>
      <w:ind w:firstLine="200"/>
    </w:pPr>
    <w:rPr>
      <w:sz w:val="24"/>
      <w:szCs w:val="20"/>
    </w:rPr>
  </w:style>
  <w:style w:type="paragraph" w:customStyle="1" w:styleId="296">
    <w:name w:val="表内文字"/>
    <w:basedOn w:val="1"/>
    <w:qFormat/>
    <w:uiPriority w:val="0"/>
    <w:pPr>
      <w:spacing w:before="50" w:after="50"/>
      <w:jc w:val="center"/>
    </w:pPr>
    <w:rPr>
      <w:rFonts w:ascii="仿宋_GB2312" w:hAnsi="宋体" w:eastAsia="仿宋_GB2312"/>
      <w:b/>
      <w:color w:val="000000"/>
      <w:sz w:val="32"/>
      <w:szCs w:val="32"/>
    </w:rPr>
  </w:style>
  <w:style w:type="paragraph" w:customStyle="1" w:styleId="297">
    <w:name w:val="样式 标题 3 + (中文) 黑体 小四 非加粗 段前: 7.8 磅 段后: 0 磅 行距: 固定值 20 磅"/>
    <w:basedOn w:val="197"/>
    <w:qFormat/>
    <w:uiPriority w:val="0"/>
    <w:pPr>
      <w:spacing w:before="0" w:after="0" w:line="400" w:lineRule="exact"/>
    </w:pPr>
    <w:rPr>
      <w:rFonts w:eastAsia="黑体" w:cs="宋体"/>
      <w:b w:val="0"/>
      <w:bCs w:val="0"/>
      <w:sz w:val="24"/>
      <w:szCs w:val="20"/>
    </w:rPr>
  </w:style>
  <w:style w:type="paragraph" w:customStyle="1" w:styleId="298">
    <w:name w:val="正文首行缩进两字符"/>
    <w:basedOn w:val="1"/>
    <w:qFormat/>
    <w:uiPriority w:val="0"/>
    <w:pPr>
      <w:spacing w:line="360" w:lineRule="auto"/>
      <w:ind w:firstLine="200"/>
    </w:pPr>
  </w:style>
  <w:style w:type="paragraph" w:customStyle="1" w:styleId="299">
    <w:name w:val="列出段落"/>
    <w:basedOn w:val="1"/>
    <w:qFormat/>
    <w:uiPriority w:val="34"/>
    <w:pPr>
      <w:ind w:firstLine="420"/>
    </w:pPr>
  </w:style>
  <w:style w:type="paragraph" w:customStyle="1" w:styleId="300">
    <w:name w:val="样式 标题 2 + Times New Roman 四号 非加粗 段前: 5 磅 段后: 0 磅 行距: 固定值 20..."/>
    <w:basedOn w:val="196"/>
    <w:qFormat/>
    <w:uiPriority w:val="0"/>
    <w:pPr>
      <w:spacing w:before="100" w:after="0" w:line="400" w:lineRule="exact"/>
    </w:pPr>
    <w:rPr>
      <w:rFonts w:ascii="Times New Roman" w:hAnsi="Times New Roman" w:cs="宋体"/>
      <w:b w:val="0"/>
      <w:bCs w:val="0"/>
      <w:sz w:val="28"/>
      <w:szCs w:val="20"/>
    </w:rPr>
  </w:style>
  <w:style w:type="paragraph" w:customStyle="1" w:styleId="301">
    <w:name w:val="xl22"/>
    <w:basedOn w:val="1"/>
    <w:qFormat/>
    <w:uiPriority w:val="0"/>
    <w:pPr>
      <w:widowControl/>
      <w:spacing w:before="100" w:beforeAutospacing="1" w:after="100" w:afterAutospacing="1"/>
      <w:jc w:val="left"/>
    </w:pPr>
    <w:rPr>
      <w:rFonts w:ascii="Arial Unicode MS" w:hAnsi="Arial Unicode MS" w:eastAsia="Arial Unicode MS" w:cs="Arial Unicode MS"/>
      <w:sz w:val="20"/>
      <w:szCs w:val="20"/>
    </w:rPr>
  </w:style>
  <w:style w:type="paragraph" w:customStyle="1" w:styleId="302">
    <w:name w:val="样式"/>
    <w:qFormat/>
    <w:uiPriority w:val="0"/>
    <w:pPr>
      <w:widowControl w:val="0"/>
      <w:jc w:val="center"/>
    </w:pPr>
    <w:rPr>
      <w:rFonts w:hint="default" w:ascii="宋体" w:hAnsi="宋体" w:eastAsia="宋体" w:cs="宋体"/>
      <w:sz w:val="24"/>
      <w:szCs w:val="24"/>
      <w:lang w:val="en-US" w:eastAsia="zh-CN" w:bidi="ar-SA"/>
    </w:rPr>
  </w:style>
  <w:style w:type="paragraph" w:customStyle="1" w:styleId="303">
    <w:name w:val="标题3（采购需求）"/>
    <w:basedOn w:val="304"/>
    <w:next w:val="1"/>
    <w:qFormat/>
    <w:uiPriority w:val="0"/>
    <w:pPr>
      <w:spacing w:before="0" w:after="0"/>
    </w:pPr>
    <w:rPr>
      <w:rFonts w:ascii="宋体" w:hAnsi="宋体" w:eastAsia="宋体"/>
    </w:rPr>
  </w:style>
  <w:style w:type="paragraph" w:customStyle="1" w:styleId="304">
    <w:name w:val="标题3"/>
    <w:basedOn w:val="197"/>
    <w:next w:val="1"/>
    <w:qFormat/>
    <w:uiPriority w:val="0"/>
    <w:pPr>
      <w:spacing w:before="200" w:after="200" w:line="360" w:lineRule="auto"/>
      <w:ind w:firstLine="0"/>
    </w:pPr>
    <w:rPr>
      <w:rFonts w:ascii="黑体" w:hAnsi="黑体" w:eastAsia="黑体"/>
      <w:bCs w:val="0"/>
      <w:sz w:val="24"/>
      <w:szCs w:val="24"/>
    </w:rPr>
  </w:style>
  <w:style w:type="character" w:customStyle="1" w:styleId="305">
    <w:name w:val="NormalCharacter1"/>
    <w:link w:val="1"/>
    <w:semiHidden/>
    <w:qFormat/>
    <w:uiPriority w:val="0"/>
  </w:style>
  <w:style w:type="paragraph" w:customStyle="1" w:styleId="306">
    <w:name w:val="正文2"/>
    <w:basedOn w:val="1"/>
    <w:qFormat/>
    <w:uiPriority w:val="0"/>
    <w:pPr>
      <w:spacing w:before="156" w:line="360" w:lineRule="auto"/>
      <w:ind w:firstLine="510"/>
    </w:pPr>
    <w:rPr>
      <w:sz w:val="24"/>
      <w:szCs w:val="20"/>
    </w:rPr>
  </w:style>
  <w:style w:type="paragraph" w:customStyle="1" w:styleId="307">
    <w:name w:val="表格文字"/>
    <w:basedOn w:val="1"/>
    <w:qFormat/>
    <w:uiPriority w:val="0"/>
    <w:pPr>
      <w:spacing w:before="25" w:after="25"/>
    </w:pPr>
    <w:rPr>
      <w:rFonts w:ascii="Times New Roman"/>
      <w:bCs/>
      <w:spacing w:val="10"/>
      <w:szCs w:val="20"/>
    </w:rPr>
  </w:style>
  <w:style w:type="paragraph" w:customStyle="1" w:styleId="308">
    <w:name w:val="正文首行缩进1"/>
    <w:qFormat/>
    <w:uiPriority w:val="0"/>
    <w:pPr>
      <w:ind w:firstLine="672"/>
    </w:pPr>
    <w:rPr>
      <w:rFonts w:hint="default" w:ascii="宋体" w:hAnsi="宋体" w:eastAsia="宋体" w:cs="宋体"/>
      <w:lang w:val="en-US" w:eastAsia="zh-CN" w:bidi="ar-SA"/>
    </w:rPr>
  </w:style>
  <w:style w:type="paragraph" w:customStyle="1" w:styleId="309">
    <w:name w:val="附录标识"/>
    <w:basedOn w:val="310"/>
    <w:qFormat/>
    <w:uiPriority w:val="0"/>
    <w:pPr>
      <w:numPr>
        <w:ilvl w:val="0"/>
        <w:numId w:val="3"/>
      </w:numPr>
      <w:tabs>
        <w:tab w:val="left" w:pos="6405"/>
      </w:tabs>
      <w:spacing w:after="200"/>
    </w:pPr>
    <w:rPr>
      <w:sz w:val="21"/>
    </w:rPr>
  </w:style>
  <w:style w:type="paragraph" w:customStyle="1" w:styleId="310">
    <w:name w:val="前言、引言标题"/>
    <w:next w:val="1"/>
    <w:qFormat/>
    <w:uiPriority w:val="0"/>
    <w:pPr>
      <w:numPr>
        <w:ilvl w:val="0"/>
        <w:numId w:val="4"/>
      </w:numPr>
      <w:shd w:val="clear" w:color="FFFFFF" w:fill="FFFFFF"/>
      <w:spacing w:before="640" w:after="560"/>
      <w:jc w:val="center"/>
      <w:outlineLvl w:val="0"/>
    </w:pPr>
    <w:rPr>
      <w:rFonts w:hint="default" w:ascii="黑体" w:hAnsi="Times New Roman" w:eastAsia="黑体" w:cs="Times New Roman"/>
      <w:sz w:val="32"/>
      <w:lang w:val="en-US" w:eastAsia="zh-CN" w:bidi="ar-SA"/>
    </w:rPr>
  </w:style>
  <w:style w:type="paragraph" w:customStyle="1" w:styleId="311">
    <w:name w:val="附录章标题"/>
    <w:next w:val="312"/>
    <w:qFormat/>
    <w:uiPriority w:val="0"/>
    <w:pPr>
      <w:numPr>
        <w:ilvl w:val="1"/>
        <w:numId w:val="3"/>
      </w:numPr>
      <w:jc w:val="both"/>
      <w:outlineLvl w:val="1"/>
    </w:pPr>
    <w:rPr>
      <w:rFonts w:hint="default" w:ascii="黑体" w:hAnsi="Times New Roman" w:eastAsia="黑体" w:cs="Times New Roman"/>
      <w:sz w:val="21"/>
      <w:lang w:val="en-US" w:eastAsia="zh-CN" w:bidi="ar-SA"/>
    </w:rPr>
  </w:style>
  <w:style w:type="paragraph" w:customStyle="1" w:styleId="312">
    <w:name w:val="段"/>
    <w:next w:val="1"/>
    <w:qFormat/>
    <w:uiPriority w:val="0"/>
    <w:pPr>
      <w:ind w:firstLine="200"/>
      <w:jc w:val="both"/>
    </w:pPr>
    <w:rPr>
      <w:rFonts w:hint="default" w:ascii="宋体" w:hAnsi="Times New Roman" w:eastAsia="宋体" w:cs="Times New Roman"/>
      <w:sz w:val="21"/>
      <w:lang w:val="en-US" w:eastAsia="zh-CN" w:bidi="ar-SA"/>
    </w:rPr>
  </w:style>
  <w:style w:type="paragraph" w:customStyle="1" w:styleId="313">
    <w:name w:val="附录表标题"/>
    <w:next w:val="312"/>
    <w:qFormat/>
    <w:uiPriority w:val="0"/>
    <w:pPr>
      <w:jc w:val="center"/>
    </w:pPr>
    <w:rPr>
      <w:rFonts w:hint="default" w:ascii="黑体" w:hAnsi="Times New Roman" w:eastAsia="黑体" w:cs="Times New Roman"/>
      <w:sz w:val="21"/>
      <w:lang w:val="en-US" w:eastAsia="zh-CN" w:bidi="ar-SA"/>
    </w:rPr>
  </w:style>
  <w:style w:type="paragraph" w:customStyle="1" w:styleId="314">
    <w:name w:val="封面标准文稿编辑信息"/>
    <w:qFormat/>
    <w:uiPriority w:val="0"/>
    <w:pPr>
      <w:spacing w:before="180" w:line="180" w:lineRule="exact"/>
      <w:jc w:val="center"/>
    </w:pPr>
    <w:rPr>
      <w:rFonts w:hint="default" w:ascii="宋体" w:hAnsi="Times New Roman" w:eastAsia="宋体" w:cs="Times New Roman"/>
      <w:sz w:val="21"/>
      <w:lang w:val="en-US" w:eastAsia="zh-CN" w:bidi="ar-SA"/>
    </w:rPr>
  </w:style>
  <w:style w:type="paragraph" w:customStyle="1" w:styleId="315">
    <w:name w:val="Normal_19"/>
    <w:qFormat/>
    <w:uiPriority w:val="0"/>
    <w:pPr>
      <w:spacing w:before="120" w:after="240"/>
      <w:jc w:val="both"/>
    </w:pPr>
    <w:rPr>
      <w:rFonts w:hint="default" w:ascii="Calibri" w:hAnsi="Calibri" w:eastAsia="Calibri" w:cs="Times New Roman"/>
      <w:sz w:val="22"/>
      <w:szCs w:val="22"/>
      <w:lang w:val="ru-RU" w:eastAsia="en-US" w:bidi="ar-SA"/>
    </w:rPr>
  </w:style>
  <w:style w:type="paragraph" w:customStyle="1" w:styleId="316">
    <w:name w:val="Normal_18"/>
    <w:qFormat/>
    <w:uiPriority w:val="0"/>
    <w:pPr>
      <w:spacing w:before="120" w:after="240"/>
      <w:jc w:val="both"/>
    </w:pPr>
    <w:rPr>
      <w:rFonts w:hint="default" w:ascii="Calibri" w:hAnsi="Calibri" w:eastAsia="Calibri" w:cs="Times New Roman"/>
      <w:sz w:val="22"/>
      <w:szCs w:val="22"/>
      <w:lang w:val="ru-RU" w:eastAsia="en-US" w:bidi="ar-SA"/>
    </w:rPr>
  </w:style>
  <w:style w:type="paragraph" w:customStyle="1" w:styleId="317">
    <w:name w:val="一级条标题"/>
    <w:basedOn w:val="318"/>
    <w:next w:val="312"/>
    <w:qFormat/>
    <w:uiPriority w:val="0"/>
    <w:pPr>
      <w:spacing w:line="240" w:lineRule="auto"/>
      <w:ind w:left="420"/>
      <w:outlineLvl w:val="2"/>
    </w:pPr>
  </w:style>
  <w:style w:type="paragraph" w:customStyle="1" w:styleId="318">
    <w:name w:val="章标题"/>
    <w:next w:val="1"/>
    <w:qFormat/>
    <w:uiPriority w:val="0"/>
    <w:pPr>
      <w:spacing w:line="360" w:lineRule="auto"/>
      <w:jc w:val="both"/>
      <w:outlineLvl w:val="1"/>
    </w:pPr>
    <w:rPr>
      <w:rFonts w:hint="default" w:ascii="黑体" w:hAnsi="Times New Roman" w:eastAsia="黑体" w:cs="黑体"/>
      <w:sz w:val="21"/>
      <w:szCs w:val="21"/>
      <w:lang w:val="en-US" w:eastAsia="zh-CN" w:bidi="ar-SA"/>
    </w:rPr>
  </w:style>
  <w:style w:type="paragraph" w:customStyle="1" w:styleId="319">
    <w:name w:val="Table Text"/>
    <w:basedOn w:val="1"/>
    <w:semiHidden/>
    <w:qFormat/>
    <w:uiPriority w:val="0"/>
    <w:rPr>
      <w:rFonts w:ascii="宋体" w:hAnsi="宋体" w:eastAsia="宋体" w:cs="宋体"/>
      <w:sz w:val="20"/>
      <w:szCs w:val="20"/>
      <w:lang w:val="en-US" w:eastAsia="en-US" w:bidi="ar-SA"/>
    </w:rPr>
  </w:style>
  <w:style w:type="character" w:customStyle="1" w:styleId="320">
    <w:name w:val="font11"/>
    <w:basedOn w:val="205"/>
    <w:link w:val="1"/>
    <w:qFormat/>
    <w:uiPriority w:val="0"/>
    <w:rPr>
      <w:rFonts w:hint="eastAsia" w:ascii="宋体" w:hAnsi="宋体" w:eastAsia="宋体" w:cs="宋体"/>
      <w:color w:val="000000"/>
      <w:sz w:val="20"/>
      <w:szCs w:val="20"/>
      <w:u w:val="none"/>
    </w:rPr>
  </w:style>
  <w:style w:type="paragraph" w:customStyle="1" w:styleId="321">
    <w:name w:val="Body Text First Indent1"/>
    <w:basedOn w:val="222"/>
    <w:qFormat/>
    <w:uiPriority w:val="0"/>
    <w:pPr>
      <w:ind w:firstLine="420"/>
    </w:pPr>
    <w:rPr>
      <w:rFonts w:ascii="Times New Roman" w:hAnsi="Times New Roman" w:eastAsia="宋体" w:cs="黑体"/>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header" Target="header3.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4097" textRotate="1"/>
    <customShpInfo spid="_x0000_s4099" textRotate="1"/>
    <customShpInfo spid="_x0000_s4098"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Template>
  <Pages>70</Pages>
  <Words>19904</Words>
  <Characters>21360</Characters>
  <TotalTime>238</TotalTime>
  <ScaleCrop>false</ScaleCrop>
  <LinksUpToDate>false</LinksUpToDate>
  <CharactersWithSpaces>21654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2019-09-06T07:06:00Z</dcterms:created>
  <dc:creator>番茄</dc:creator>
  <cp:lastModifiedBy>22</cp:lastModifiedBy>
  <dcterms:modified xsi:type="dcterms:W3CDTF">2026-09-07T07:59:58Z</dcterms:modified>
  <dc:title>公开招标采</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eyJoZGlkIjoiOTM3NGFhY2M5OGY0MzJiYmQ0OGJmNWQ5NmQ4YTJlNzQiLCJ1c2VySWQiOiI1MzkyMTkzMjgifQ==</vt:lpwstr>
  </property>
  <property fmtid="{D5CDD505-2E9C-101B-9397-08002B2CF9AE}" pid="3" name="KSOProductBuildVer">
    <vt:lpwstr>2052-12.1.0.28505</vt:lpwstr>
  </property>
  <property fmtid="{D5CDD505-2E9C-101B-9397-08002B2CF9AE}" pid="4" name="ICV">
    <vt:lpwstr>D14DC75CDB304A4C87A9F8E835A5229D_12</vt:lpwstr>
  </property>
</Properties>
</file>