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7FE1E1EB">
      <w:pPr>
        <w:tabs>
          <w:tab w:val="left" w:pos="3570"/>
        </w:tabs>
        <w:spacing w:line="400" w:lineRule="exact"/>
        <w:ind w:firstLine="1285" w:firstLineChars="400"/>
        <w:jc w:val="lef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项目名称：综合信息化服务项目</w:t>
      </w:r>
    </w:p>
    <w:p w14:paraId="2B377709">
      <w:pPr>
        <w:spacing w:line="400" w:lineRule="exact"/>
        <w:ind w:firstLine="1928"/>
        <w:jc w:val="left"/>
        <w:rPr>
          <w:rFonts w:hint="eastAsia" w:ascii="宋体" w:hAnsi="宋体" w:cs="宋体"/>
          <w:b/>
          <w:color w:val="auto"/>
          <w:sz w:val="32"/>
          <w:szCs w:val="32"/>
          <w:highlight w:val="none"/>
        </w:rPr>
      </w:pPr>
    </w:p>
    <w:p w14:paraId="66849E99">
      <w:pPr>
        <w:spacing w:line="400" w:lineRule="exact"/>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GGZC2026-C3-210189-YZLZ </w:t>
      </w:r>
      <w:r>
        <w:rPr>
          <w:rFonts w:hint="eastAsia" w:ascii="宋体" w:hAnsi="宋体" w:cs="宋体"/>
          <w:b/>
          <w:color w:val="auto"/>
          <w:sz w:val="32"/>
          <w:szCs w:val="32"/>
          <w:highlight w:val="none"/>
        </w:rPr>
        <w:t xml:space="preserve">         </w:t>
      </w:r>
    </w:p>
    <w:p w14:paraId="0CCC8637">
      <w:pPr>
        <w:spacing w:line="400" w:lineRule="exact"/>
        <w:ind w:firstLine="1928"/>
        <w:jc w:val="left"/>
        <w:rPr>
          <w:rFonts w:hint="eastAsia" w:ascii="宋体" w:hAnsi="宋体" w:cs="宋体"/>
          <w:b/>
          <w:color w:val="auto"/>
          <w:sz w:val="32"/>
          <w:szCs w:val="32"/>
          <w:highlight w:val="none"/>
        </w:rPr>
      </w:pPr>
    </w:p>
    <w:p w14:paraId="5ADB5E51">
      <w:pPr>
        <w:spacing w:line="400" w:lineRule="exact"/>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平南县第二人民医院</w:t>
      </w:r>
    </w:p>
    <w:p w14:paraId="737056A4">
      <w:pPr>
        <w:spacing w:line="400" w:lineRule="exact"/>
        <w:ind w:firstLine="1928"/>
        <w:jc w:val="left"/>
        <w:rPr>
          <w:rFonts w:hint="eastAsia" w:ascii="宋体" w:hAnsi="宋体" w:cs="宋体"/>
          <w:b/>
          <w:color w:val="auto"/>
          <w:sz w:val="32"/>
          <w:szCs w:val="32"/>
          <w:highlight w:val="none"/>
          <w:lang w:eastAsia="zh-CN"/>
        </w:rPr>
      </w:pPr>
    </w:p>
    <w:p w14:paraId="6D330A9D">
      <w:pPr>
        <w:spacing w:line="400" w:lineRule="exact"/>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19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25</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34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60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综合信息化服务项目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日9时00分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44229878"/>
      <w:bookmarkStart w:id="3" w:name="_Toc19149"/>
      <w:bookmarkStart w:id="4" w:name="_Toc24948"/>
      <w:bookmarkStart w:id="5" w:name="_Toc28359089"/>
      <w:bookmarkStart w:id="6" w:name="_Toc22456"/>
      <w:bookmarkStart w:id="7" w:name="_Toc28359012"/>
      <w:bookmarkStart w:id="8" w:name="_Toc35393798"/>
      <w:bookmarkStart w:id="9" w:name="_Toc12139"/>
      <w:bookmarkStart w:id="10" w:name="_Toc28091"/>
      <w:bookmarkStart w:id="11" w:name="_Toc22650"/>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GGZC2026-C3-210189-YZLZ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综合信息化服务项目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1960388</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综合信息化服务</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1960388</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综合信息化服务</w:t>
      </w:r>
      <w:r>
        <w:rPr>
          <w:rFonts w:hint="eastAsia" w:ascii="宋体" w:hAnsi="宋体" w:cs="宋体"/>
          <w:color w:val="auto"/>
          <w:szCs w:val="21"/>
          <w:highlight w:val="none"/>
        </w:rPr>
        <w:t>1项</w:t>
      </w:r>
      <w:r>
        <w:rPr>
          <w:rFonts w:hint="eastAsia" w:ascii="宋体" w:hAnsi="宋体" w:cs="宋体"/>
          <w:color w:val="auto"/>
          <w:szCs w:val="21"/>
          <w:highlight w:val="none"/>
          <w:lang w:eastAsia="zh-CN"/>
        </w:rPr>
        <w:t>，包括互联网专线等11项内容；</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1960388</w:t>
      </w:r>
    </w:p>
    <w:p w14:paraId="172B4593">
      <w:pPr>
        <w:spacing w:line="312" w:lineRule="auto"/>
        <w:ind w:firstLine="420"/>
        <w:rPr>
          <w:rFonts w:hint="eastAsia" w:ascii="宋体" w:hAnsi="宋体" w:eastAsia="宋体" w:cs="宋体"/>
          <w:b w:val="0"/>
          <w:bCs w:val="0"/>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cs="宋体"/>
          <w:b w:val="0"/>
          <w:bCs w:val="0"/>
          <w:color w:val="auto"/>
          <w:sz w:val="21"/>
          <w:szCs w:val="21"/>
          <w:highlight w:val="none"/>
          <w:lang w:eastAsia="zh-CN"/>
        </w:rPr>
        <w:t>合同签订后30天内完成交付使用；服务期为3年（具体起止时间以合同约定为准）。</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r>
        <w:rPr>
          <w:rFonts w:hint="eastAsia" w:ascii="宋体" w:hAnsi="宋体" w:cs="宋体"/>
          <w:b/>
          <w:bCs/>
          <w:color w:val="auto"/>
          <w:szCs w:val="21"/>
          <w:highlight w:val="none"/>
        </w:rPr>
        <w:t>。</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cs="宋体"/>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28359018"/>
      <w:bookmarkStart w:id="20" w:name="_Toc35393805"/>
      <w:bookmarkStart w:id="21" w:name="_Toc28359095"/>
      <w:bookmarkStart w:id="22" w:name="_Toc35393636"/>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1A74697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490598AD">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458F67F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579FBEBA">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EDBCAA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26B32E6E">
      <w:pPr>
        <w:keepNext w:val="0"/>
        <w:keepLines w:val="0"/>
        <w:pageBreakBefore w:val="0"/>
        <w:widowControl/>
        <w:wordWrap/>
        <w:topLinePunct w:val="0"/>
        <w:bidi w:val="0"/>
        <w:adjustRightInd/>
        <w:spacing w:line="348" w:lineRule="auto"/>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名  称：</w:t>
      </w:r>
      <w:r>
        <w:rPr>
          <w:rFonts w:hint="eastAsia" w:ascii="宋体" w:hAnsi="宋体" w:cs="宋体"/>
          <w:color w:val="auto"/>
          <w:kern w:val="0"/>
          <w:szCs w:val="21"/>
          <w:highlight w:val="none"/>
          <w:lang w:eastAsia="zh-CN"/>
        </w:rPr>
        <w:t>平南县财政局政府采购监督管理股</w:t>
      </w:r>
      <w:r>
        <w:rPr>
          <w:rFonts w:hint="eastAsia" w:ascii="宋体" w:hAnsi="宋体" w:cs="宋体"/>
          <w:color w:val="auto"/>
          <w:kern w:val="0"/>
          <w:szCs w:val="21"/>
          <w:highlight w:val="none"/>
        </w:rPr>
        <w:t xml:space="preserve"> </w:t>
      </w:r>
    </w:p>
    <w:p w14:paraId="04896A5C">
      <w:pPr>
        <w:keepNext w:val="0"/>
        <w:keepLines w:val="0"/>
        <w:pageBreakBefore w:val="0"/>
        <w:widowControl/>
        <w:wordWrap/>
        <w:topLinePunct w:val="0"/>
        <w:bidi w:val="0"/>
        <w:adjustRightInd/>
        <w:spacing w:line="348"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电  话：</w:t>
      </w:r>
      <w:r>
        <w:rPr>
          <w:rFonts w:hint="eastAsia" w:ascii="宋体" w:hAnsi="宋体" w:cs="宋体"/>
          <w:color w:val="auto"/>
          <w:kern w:val="0"/>
          <w:szCs w:val="21"/>
          <w:highlight w:val="none"/>
          <w:lang w:eastAsia="zh-CN"/>
        </w:rPr>
        <w:t>0775-7820666</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w:t>
      </w:r>
      <w:r>
        <w:rPr>
          <w:rFonts w:hint="eastAsia" w:ascii="宋体" w:hAnsi="宋体" w:cs="宋体"/>
          <w:color w:val="auto"/>
          <w:szCs w:val="21"/>
          <w:highlight w:val="none"/>
        </w:rPr>
        <w:t>被人民法院列为被执行人、失信被执行人等。</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288"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0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平南县第二人民医院</w:t>
      </w:r>
      <w:r>
        <w:rPr>
          <w:rFonts w:hint="eastAsia" w:ascii="宋体" w:hAnsi="宋体" w:cs="宋体"/>
          <w:color w:val="auto"/>
          <w:szCs w:val="21"/>
          <w:highlight w:val="none"/>
        </w:rPr>
        <w:t>　</w:t>
      </w:r>
    </w:p>
    <w:p w14:paraId="09B9E0C7">
      <w:pPr>
        <w:spacing w:line="300" w:lineRule="auto"/>
        <w:ind w:firstLine="42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val="en-US" w:eastAsia="zh-CN"/>
        </w:rPr>
        <w:t>平南县大安镇</w:t>
      </w:r>
    </w:p>
    <w:p w14:paraId="41068C7E">
      <w:pPr>
        <w:spacing w:line="30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eastAsia="宋体" w:cs="宋体"/>
          <w:color w:val="auto"/>
          <w:szCs w:val="21"/>
          <w:highlight w:val="none"/>
          <w:lang w:val="en-US" w:eastAsia="zh-CN"/>
        </w:rPr>
        <w:t>：尤雄民</w:t>
      </w:r>
    </w:p>
    <w:p w14:paraId="46F8755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联系方式：0775-7636143</w:t>
      </w:r>
    </w:p>
    <w:p w14:paraId="45898CE4">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0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甘建程、邓倩秋</w:t>
      </w:r>
    </w:p>
    <w:p w14:paraId="231556C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top"/>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noWrap w:val="0"/>
            <w:vAlign w:val="top"/>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w:t>
            </w:r>
            <w:r>
              <w:rPr>
                <w:rFonts w:hint="eastAsia" w:ascii="宋体" w:hAnsi="宋体" w:cs="宋体"/>
                <w:color w:val="auto"/>
                <w:szCs w:val="21"/>
                <w:highlight w:val="none"/>
                <w:lang w:eastAsia="zh-CN"/>
              </w:rPr>
              <w:t>、中国执行信息公开网（https://zxgk.court.gov.cn/shixin/）</w:t>
            </w:r>
            <w:r>
              <w:rPr>
                <w:rFonts w:hint="eastAsia" w:ascii="宋体" w:hAnsi="宋体" w:cs="宋体"/>
                <w:color w:val="auto"/>
                <w:szCs w:val="21"/>
                <w:highlight w:val="none"/>
              </w:rPr>
              <w:t>被列入</w:t>
            </w:r>
            <w:r>
              <w:rPr>
                <w:rFonts w:hint="eastAsia" w:ascii="宋体" w:hAnsi="宋体" w:cs="宋体"/>
                <w:color w:val="auto"/>
                <w:szCs w:val="21"/>
                <w:highlight w:val="none"/>
                <w:lang w:val="en-US" w:eastAsia="zh-CN"/>
              </w:rPr>
              <w:t>被执行人、</w:t>
            </w:r>
            <w:r>
              <w:rPr>
                <w:rFonts w:hint="eastAsia" w:ascii="宋体" w:hAnsi="宋体" w:cs="宋体"/>
                <w:color w:val="auto"/>
                <w:szCs w:val="21"/>
                <w:highlight w:val="none"/>
              </w:rPr>
              <w:t>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jc w:val="both"/>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both"/>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w:t>
            </w:r>
            <w:r>
              <w:rPr>
                <w:rFonts w:hint="eastAsia" w:ascii="宋体" w:hAnsi="宋体" w:cs="宋体"/>
                <w:color w:val="auto"/>
                <w:szCs w:val="21"/>
                <w:highlight w:val="none"/>
                <w:lang w:eastAsia="zh-CN"/>
              </w:rPr>
              <w:t>函</w:t>
            </w:r>
            <w:r>
              <w:rPr>
                <w:rFonts w:hint="eastAsia" w:ascii="宋体" w:hAnsi="宋体" w:cs="宋体"/>
                <w:color w:val="auto"/>
                <w:szCs w:val="21"/>
                <w:highlight w:val="none"/>
              </w:rPr>
              <w:t>（格式后附）；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both"/>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3C3AA1EE">
            <w:pPr>
              <w:keepNext w:val="0"/>
              <w:keepLines w:val="0"/>
              <w:pageBreakBefore w:val="0"/>
              <w:widowControl w:val="0"/>
              <w:bidi w:val="0"/>
              <w:spacing w:line="360" w:lineRule="auto"/>
              <w:jc w:val="both"/>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bCs/>
                <w:color w:val="auto"/>
                <w:szCs w:val="21"/>
                <w:highlight w:val="none"/>
                <w:lang w:val="en-US" w:eastAsia="zh-CN"/>
              </w:rPr>
              <w:t>（如有请提供）</w:t>
            </w:r>
          </w:p>
          <w:p w14:paraId="509F4279">
            <w:pPr>
              <w:keepNext w:val="0"/>
              <w:keepLines w:val="0"/>
              <w:pageBreakBefore w:val="0"/>
              <w:widowControl w:val="0"/>
              <w:bidi w:val="0"/>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both"/>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both"/>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both"/>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both"/>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w:t>
            </w:r>
            <w:r>
              <w:rPr>
                <w:rFonts w:hint="eastAsia" w:ascii="宋体" w:hAnsi="宋体" w:cs="宋体"/>
                <w:b/>
                <w:color w:val="auto"/>
                <w:szCs w:val="21"/>
                <w:highlight w:val="none"/>
                <w:lang w:eastAsia="zh-CN"/>
              </w:rPr>
              <w:t>电子签章</w:t>
            </w:r>
            <w:r>
              <w:rPr>
                <w:rFonts w:hint="eastAsia" w:ascii="宋体" w:hAnsi="宋体" w:cs="宋体"/>
                <w:b/>
                <w:color w:val="auto"/>
                <w:szCs w:val="21"/>
                <w:highlight w:val="none"/>
              </w:rPr>
              <w:t>，否则电子响应文件作无效处理。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BF6CDAB">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6.服务承诺（格式自拟）；</w:t>
            </w:r>
            <w:r>
              <w:rPr>
                <w:rFonts w:hint="eastAsia" w:ascii="宋体" w:hAnsi="宋体" w:cs="宋体"/>
                <w:b/>
                <w:bCs/>
                <w:color w:val="auto"/>
                <w:szCs w:val="21"/>
                <w:highlight w:val="none"/>
              </w:rPr>
              <w:t>（如有请提供）</w:t>
            </w:r>
          </w:p>
          <w:p w14:paraId="4C2661AD">
            <w:pPr>
              <w:keepNext w:val="0"/>
              <w:keepLines w:val="0"/>
              <w:pageBreakBefore w:val="0"/>
              <w:widowControl w:val="0"/>
              <w:bidi w:val="0"/>
              <w:spacing w:line="360" w:lineRule="auto"/>
              <w:rPr>
                <w:rFonts w:ascii="宋体" w:hAnsi="宋体" w:cs="宋体"/>
                <w:b/>
                <w:bCs/>
                <w:color w:val="auto"/>
                <w:szCs w:val="21"/>
                <w:highlight w:val="none"/>
              </w:rPr>
            </w:pPr>
            <w:r>
              <w:rPr>
                <w:rFonts w:hint="eastAsia" w:ascii="宋体" w:hAnsi="宋体" w:cs="宋体"/>
                <w:color w:val="auto"/>
                <w:szCs w:val="21"/>
                <w:highlight w:val="none"/>
              </w:rPr>
              <w:t>7.拟投入项目实施人员一览表（格式后附）；</w:t>
            </w:r>
            <w:r>
              <w:rPr>
                <w:rFonts w:hint="eastAsia" w:ascii="宋体" w:hAnsi="宋体" w:cs="宋体"/>
                <w:b/>
                <w:bCs/>
                <w:color w:val="auto"/>
                <w:szCs w:val="21"/>
                <w:highlight w:val="none"/>
              </w:rPr>
              <w:t>（如有请提供）</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项目服务方案【包括但不限于项目技术方案、项目实施服务方案、售后服务方案等】</w:t>
            </w:r>
            <w:r>
              <w:rPr>
                <w:rFonts w:hint="eastAsia" w:ascii="宋体" w:hAnsi="宋体" w:cs="宋体"/>
                <w:color w:val="auto"/>
                <w:szCs w:val="21"/>
                <w:highlight w:val="none"/>
              </w:rPr>
              <w:t>（格式自拟）</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DEB9E4">
            <w:pPr>
              <w:spacing w:line="360" w:lineRule="auto"/>
              <w:ind w:firstLine="422"/>
              <w:rPr>
                <w:color w:val="auto"/>
                <w:highlight w:val="none"/>
              </w:rPr>
            </w:pPr>
            <w:r>
              <w:rPr>
                <w:rFonts w:hint="eastAsia"/>
                <w:b/>
                <w:bCs/>
                <w:color w:val="auto"/>
                <w:highlight w:val="none"/>
              </w:rPr>
              <w:t>竞标报价是履行合同的最终价格，即满足全部采购需求所应提供的服务，以及伴随的货物和工程（如有）的价格；包括竞标服务、货物、工程的成本、运输（含保险）、安装（如有）、调试、检验、技术服务、培训、</w:t>
            </w:r>
            <w:r>
              <w:rPr>
                <w:rFonts w:hint="eastAsia"/>
                <w:b/>
                <w:bCs/>
                <w:color w:val="auto"/>
                <w:highlight w:val="none"/>
                <w:lang w:eastAsia="zh-CN"/>
              </w:rPr>
              <w:t>验收、</w:t>
            </w:r>
            <w:r>
              <w:rPr>
                <w:rFonts w:hint="eastAsia"/>
                <w:b/>
                <w:bCs/>
                <w:color w:val="auto"/>
                <w:highlight w:val="none"/>
              </w:rPr>
              <w:t>税费等所有费用，其他不可预见的费用由供应商自行承担风险。</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FB3535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合同签订时间：自成交通知书发出之日起25日内与采购人签订政府采购合同。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315"/>
              <w:rPr>
                <w:rFonts w:hint="eastAsia" w:hAnsi="宋体" w:cs="宋体"/>
                <w:color w:val="auto"/>
                <w:sz w:val="21"/>
                <w:highlight w:val="none"/>
                <w:lang w:val="en-US" w:eastAsia="zh-CN"/>
              </w:rPr>
            </w:pPr>
            <w:r>
              <w:rPr>
                <w:rFonts w:hint="eastAsia" w:hAnsi="宋体" w:cs="宋体"/>
                <w:color w:val="auto"/>
                <w:sz w:val="21"/>
                <w:highlight w:val="none"/>
                <w:lang w:val="en-US" w:eastAsia="zh-CN"/>
              </w:rPr>
              <w:t>☑</w:t>
            </w:r>
            <w:r>
              <w:rPr>
                <w:rFonts w:hint="eastAsia" w:hAnsi="宋体" w:cs="宋体"/>
                <w:color w:val="auto"/>
                <w:sz w:val="21"/>
                <w:highlight w:val="none"/>
                <w:u w:val="single"/>
                <w:lang w:val="en-US" w:eastAsia="zh-CN"/>
              </w:rPr>
              <w:t>按国家发展改革委《关于进一步放开建设项目专业服务价格的通知》发改价格〔2015〕299号文执行，领取成交通知书前采购代理服务费由成交供应商一次性付清代理服务费，具体金额为人民币壹万捌仟壹佰肆拾柒元整（</w:t>
            </w:r>
            <w:r>
              <w:rPr>
                <w:rFonts w:hint="eastAsia" w:ascii="宋体" w:hAnsi="宋体" w:eastAsia="宋体" w:cs="宋体"/>
                <w:color w:val="auto"/>
                <w:sz w:val="21"/>
                <w:highlight w:val="none"/>
                <w:u w:val="single"/>
                <w:lang w:val="en-US" w:eastAsia="zh-CN"/>
              </w:rPr>
              <w:t>¥</w:t>
            </w:r>
            <w:r>
              <w:rPr>
                <w:rFonts w:hint="eastAsia" w:hAnsi="宋体" w:cs="宋体"/>
                <w:color w:val="auto"/>
                <w:sz w:val="21"/>
                <w:highlight w:val="none"/>
                <w:u w:val="single"/>
                <w:lang w:val="en-US" w:eastAsia="zh-CN"/>
              </w:rPr>
              <w:t>18147.00）。</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8" w:name="_Toc254970673"/>
      <w:bookmarkStart w:id="29"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w:t>
      </w:r>
      <w:r>
        <w:rPr>
          <w:rFonts w:hint="eastAsia" w:ascii="宋体" w:hAnsi="宋体" w:cs="宋体"/>
          <w:color w:val="auto"/>
          <w:szCs w:val="21"/>
          <w:highlight w:val="none"/>
          <w:lang w:val="en-US" w:eastAsia="zh-CN"/>
        </w:rPr>
        <w:t>转包、</w:t>
      </w:r>
      <w:r>
        <w:rPr>
          <w:rFonts w:hint="eastAsia" w:ascii="宋体" w:hAnsi="宋体" w:cs="宋体"/>
          <w:color w:val="auto"/>
          <w:szCs w:val="21"/>
          <w:highlight w:val="none"/>
        </w:rPr>
        <w:t>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8"/>
      <w:bookmarkEnd w:id="29"/>
    </w:p>
    <w:p w14:paraId="27E26890">
      <w:pPr>
        <w:spacing w:line="360" w:lineRule="auto"/>
        <w:ind w:firstLine="420"/>
        <w:rPr>
          <w:rFonts w:hint="eastAsia" w:ascii="宋体" w:hAnsi="宋体" w:cs="宋体"/>
          <w:color w:val="auto"/>
          <w:szCs w:val="21"/>
          <w:highlight w:val="none"/>
        </w:rPr>
      </w:pPr>
      <w:bookmarkStart w:id="30" w:name="_8.1提供相同品牌产品且通过资格审查、符合性审查的不同投标人参加同一合"/>
      <w:bookmarkEnd w:id="30"/>
      <w:r>
        <w:rPr>
          <w:rFonts w:hint="eastAsia" w:ascii="宋体" w:hAnsi="宋体" w:cs="宋体"/>
          <w:color w:val="auto"/>
          <w:szCs w:val="21"/>
          <w:highlight w:val="none"/>
        </w:rPr>
        <w:t>7.1</w:t>
      </w:r>
      <w:bookmarkStart w:id="31"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1"/>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6"/>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6"/>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3" name="_x0000_i7236"/>
            <wp:cNvGraphicFramePr/>
            <a:graphic xmlns:a="http://schemas.openxmlformats.org/drawingml/2006/main">
              <a:graphicData uri="http://schemas.openxmlformats.org/drawingml/2006/picture">
                <pic:pic xmlns:pic="http://schemas.openxmlformats.org/drawingml/2006/picture">
                  <pic:nvPicPr>
                    <pic:cNvPr id="3" name="_x0000_i7236"/>
                    <pic:cNvPicPr/>
                  </pic:nvPicPr>
                  <pic:blipFill>
                    <a:blip r:embed="rId11"/>
                    <a:stretch>
                      <a:fillRect/>
                    </a:stretch>
                  </pic:blipFill>
                  <pic:spPr>
                    <a:xfrm>
                      <a:off x="0" y="0"/>
                      <a:ext cx="4824349" cy="758952"/>
                    </a:xfrm>
                    <a:prstGeom prst="rect">
                      <a:avLst/>
                    </a:prstGeom>
                    <a:noFill/>
                  </pic:spPr>
                </pic:pic>
              </a:graphicData>
            </a:graphic>
          </wp:inline>
        </w:drawing>
      </w:r>
    </w:p>
    <w:p w14:paraId="31E1B760">
      <w:pPr>
        <w:pStyle w:val="326"/>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6"/>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6"/>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2" w:name="_Toc254970534"/>
      <w:bookmarkStart w:id="33" w:name="_Toc254970675"/>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2"/>
      <w:bookmarkEnd w:id="33"/>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4"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4"/>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5" w:name="_Hlk66782243"/>
      <w:r>
        <w:rPr>
          <w:rFonts w:hint="eastAsia" w:ascii="宋体" w:hAnsi="宋体" w:cs="宋体"/>
          <w:color w:val="auto"/>
          <w:szCs w:val="21"/>
          <w:highlight w:val="none"/>
        </w:rPr>
        <w:t>本项目不收取磋商保证金</w:t>
      </w:r>
      <w:bookmarkEnd w:id="35"/>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6" w:name="_Toc254970684"/>
      <w:bookmarkStart w:id="37"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6"/>
      <w:bookmarkEnd w:id="37"/>
    </w:p>
    <w:p w14:paraId="236AD39B">
      <w:pPr>
        <w:pStyle w:val="301"/>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8"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8"/>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w:t>
      </w:r>
      <w:r>
        <w:rPr>
          <w:rFonts w:hint="eastAsia" w:ascii="宋体" w:hAnsi="宋体" w:cs="宋体"/>
          <w:color w:val="auto"/>
          <w:szCs w:val="21"/>
          <w:highlight w:val="none"/>
          <w:lang w:val="en-US" w:eastAsia="zh-CN"/>
        </w:rPr>
        <w:t>被执行人、</w:t>
      </w:r>
      <w:r>
        <w:rPr>
          <w:rFonts w:hint="eastAsia" w:ascii="宋体" w:hAnsi="宋体" w:cs="宋体"/>
          <w:color w:val="auto"/>
          <w:szCs w:val="21"/>
          <w:highlight w:val="none"/>
        </w:rPr>
        <w:t>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39"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39"/>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无</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1817"/>
        <w:gridCol w:w="825"/>
        <w:gridCol w:w="1623"/>
        <w:gridCol w:w="798"/>
        <w:gridCol w:w="102"/>
        <w:gridCol w:w="2002"/>
        <w:gridCol w:w="178"/>
        <w:gridCol w:w="685"/>
        <w:gridCol w:w="1469"/>
      </w:tblGrid>
      <w:tr w14:paraId="47AEFEFE">
        <w:tblPrEx>
          <w:tblCellMar>
            <w:top w:w="0" w:type="dxa"/>
            <w:left w:w="0" w:type="dxa"/>
            <w:bottom w:w="0" w:type="dxa"/>
            <w:right w:w="0" w:type="dxa"/>
          </w:tblCellMar>
        </w:tblPrEx>
        <w:trPr>
          <w:trHeight w:val="497" w:hRule="atLeast"/>
          <w:jc w:val="center"/>
        </w:trPr>
        <w:tc>
          <w:tcPr>
            <w:tcW w:w="4265" w:type="dxa"/>
            <w:gridSpan w:val="3"/>
            <w:tcBorders>
              <w:top w:val="single" w:color="auto" w:sz="8" w:space="0"/>
              <w:left w:val="single" w:color="auto" w:sz="8" w:space="0"/>
              <w:bottom w:val="single" w:color="auto" w:sz="8" w:space="0"/>
              <w:right w:val="single" w:color="auto" w:sz="8" w:space="0"/>
            </w:tcBorders>
            <w:noWrap w:val="0"/>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234" w:type="dxa"/>
            <w:gridSpan w:val="6"/>
            <w:tcBorders>
              <w:top w:val="single" w:color="auto" w:sz="8" w:space="0"/>
              <w:left w:val="nil"/>
              <w:bottom w:val="single" w:color="auto" w:sz="8" w:space="0"/>
              <w:right w:val="single" w:color="auto" w:sz="8" w:space="0"/>
            </w:tcBorders>
            <w:noWrap w:val="0"/>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1817" w:type="dxa"/>
            <w:tcBorders>
              <w:top w:val="nil"/>
              <w:left w:val="single" w:color="auto" w:sz="8" w:space="0"/>
              <w:bottom w:val="single" w:color="auto" w:sz="8" w:space="0"/>
              <w:right w:val="single" w:color="auto" w:sz="8" w:space="0"/>
            </w:tcBorders>
            <w:noWrap w:val="0"/>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noWrap w:val="0"/>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69" w:type="dxa"/>
            <w:tcBorders>
              <w:top w:val="nil"/>
              <w:left w:val="nil"/>
              <w:bottom w:val="single" w:color="auto" w:sz="8" w:space="0"/>
              <w:right w:val="single" w:color="auto" w:sz="8" w:space="0"/>
            </w:tcBorders>
            <w:noWrap w:val="0"/>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1817" w:type="dxa"/>
            <w:tcBorders>
              <w:top w:val="nil"/>
              <w:left w:val="single" w:color="auto" w:sz="8" w:space="0"/>
              <w:bottom w:val="single" w:color="auto" w:sz="8" w:space="0"/>
              <w:right w:val="single" w:color="auto" w:sz="8" w:space="0"/>
            </w:tcBorders>
            <w:noWrap w:val="0"/>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69" w:type="dxa"/>
            <w:tcBorders>
              <w:top w:val="nil"/>
              <w:left w:val="nil"/>
              <w:bottom w:val="single" w:color="auto" w:sz="8" w:space="0"/>
              <w:right w:val="single" w:color="auto" w:sz="8" w:space="0"/>
            </w:tcBorders>
            <w:noWrap w:val="0"/>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1817" w:type="dxa"/>
            <w:tcBorders>
              <w:top w:val="nil"/>
              <w:left w:val="single" w:color="auto" w:sz="8" w:space="0"/>
              <w:bottom w:val="single" w:color="auto" w:sz="8" w:space="0"/>
              <w:right w:val="single" w:color="auto" w:sz="8" w:space="0"/>
            </w:tcBorders>
            <w:noWrap w:val="0"/>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69" w:type="dxa"/>
            <w:tcBorders>
              <w:top w:val="nil"/>
              <w:left w:val="nil"/>
              <w:bottom w:val="single" w:color="auto" w:sz="8" w:space="0"/>
              <w:right w:val="single" w:color="auto" w:sz="8" w:space="0"/>
            </w:tcBorders>
            <w:noWrap w:val="0"/>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1817" w:type="dxa"/>
            <w:tcBorders>
              <w:top w:val="nil"/>
              <w:left w:val="single" w:color="auto" w:sz="8" w:space="0"/>
              <w:bottom w:val="single" w:color="auto" w:sz="8" w:space="0"/>
              <w:right w:val="single" w:color="auto" w:sz="8" w:space="0"/>
            </w:tcBorders>
            <w:noWrap w:val="0"/>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69" w:type="dxa"/>
            <w:tcBorders>
              <w:top w:val="nil"/>
              <w:left w:val="nil"/>
              <w:bottom w:val="single" w:color="auto" w:sz="8" w:space="0"/>
              <w:right w:val="single" w:color="auto" w:sz="8" w:space="0"/>
            </w:tcBorders>
            <w:noWrap w:val="0"/>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7167" w:type="dxa"/>
            <w:gridSpan w:val="6"/>
            <w:tcBorders>
              <w:top w:val="nil"/>
              <w:left w:val="single" w:color="auto" w:sz="8" w:space="0"/>
              <w:bottom w:val="single" w:color="auto" w:sz="8" w:space="0"/>
              <w:right w:val="single" w:color="auto" w:sz="8" w:space="0"/>
            </w:tcBorders>
            <w:noWrap w:val="0"/>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69" w:type="dxa"/>
            <w:tcBorders>
              <w:top w:val="nil"/>
              <w:left w:val="nil"/>
              <w:bottom w:val="single" w:color="auto" w:sz="8" w:space="0"/>
              <w:right w:val="single" w:color="auto" w:sz="8" w:space="0"/>
            </w:tcBorders>
            <w:noWrap w:val="0"/>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9499" w:type="dxa"/>
            <w:gridSpan w:val="9"/>
            <w:tcBorders>
              <w:top w:val="nil"/>
              <w:left w:val="single" w:color="auto" w:sz="8" w:space="0"/>
              <w:bottom w:val="single" w:color="auto" w:sz="8" w:space="0"/>
              <w:right w:val="single" w:color="auto" w:sz="8" w:space="0"/>
            </w:tcBorders>
            <w:noWrap w:val="0"/>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2642" w:type="dxa"/>
            <w:gridSpan w:val="2"/>
            <w:tcBorders>
              <w:top w:val="nil"/>
              <w:left w:val="single" w:color="auto" w:sz="8" w:space="0"/>
              <w:bottom w:val="single" w:color="auto" w:sz="8" w:space="0"/>
              <w:right w:val="single" w:color="auto" w:sz="8" w:space="0"/>
            </w:tcBorders>
            <w:noWrap w:val="0"/>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54" w:type="dxa"/>
            <w:gridSpan w:val="2"/>
            <w:tcBorders>
              <w:top w:val="nil"/>
              <w:left w:val="nil"/>
              <w:bottom w:val="single" w:color="auto" w:sz="8" w:space="0"/>
              <w:right w:val="single" w:color="auto" w:sz="8" w:space="0"/>
            </w:tcBorders>
            <w:noWrap w:val="0"/>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2642"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E7DF4E">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57"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2642"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A59969F">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57" w:type="dxa"/>
            <w:gridSpan w:val="7"/>
            <w:tcBorders>
              <w:top w:val="nil"/>
              <w:left w:val="nil"/>
              <w:bottom w:val="single" w:color="auto" w:sz="8" w:space="0"/>
              <w:right w:val="single" w:color="auto" w:sz="8" w:space="0"/>
            </w:tcBorders>
            <w:noWrap w:val="0"/>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2642" w:type="dxa"/>
            <w:gridSpan w:val="2"/>
            <w:vMerge w:val="continue"/>
            <w:tcBorders>
              <w:top w:val="nil"/>
              <w:left w:val="single" w:color="auto" w:sz="8" w:space="0"/>
              <w:bottom w:val="single" w:color="auto" w:sz="8" w:space="0"/>
              <w:right w:val="single" w:color="auto" w:sz="8" w:space="0"/>
            </w:tcBorders>
            <w:noWrap w:val="0"/>
            <w:vAlign w:val="center"/>
          </w:tcPr>
          <w:p w14:paraId="6567172C">
            <w:pPr>
              <w:widowControl/>
              <w:jc w:val="left"/>
              <w:rPr>
                <w:rFonts w:hint="eastAsia" w:ascii="宋体" w:hAnsi="宋体" w:cs="宋体"/>
                <w:color w:val="auto"/>
                <w:szCs w:val="21"/>
                <w:highlight w:val="none"/>
              </w:rPr>
            </w:pPr>
          </w:p>
        </w:tc>
        <w:tc>
          <w:tcPr>
            <w:tcW w:w="6857" w:type="dxa"/>
            <w:gridSpan w:val="7"/>
            <w:tcBorders>
              <w:top w:val="nil"/>
              <w:left w:val="nil"/>
              <w:bottom w:val="single" w:color="auto" w:sz="8" w:space="0"/>
              <w:right w:val="single" w:color="auto" w:sz="8" w:space="0"/>
            </w:tcBorders>
            <w:noWrap w:val="0"/>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9499"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9499"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5165"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334" w:type="dxa"/>
            <w:gridSpan w:val="4"/>
            <w:tcBorders>
              <w:top w:val="single" w:color="auto" w:sz="4" w:space="0"/>
              <w:left w:val="single" w:color="auto" w:sz="4" w:space="0"/>
              <w:bottom w:val="single" w:color="auto" w:sz="4" w:space="0"/>
              <w:right w:val="single" w:color="auto" w:sz="4" w:space="0"/>
            </w:tcBorders>
            <w:noWrap w:val="0"/>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0"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0"/>
    </w:p>
    <w:p w14:paraId="73896911">
      <w:pPr>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lang w:val="en-US" w:eastAsia="zh-CN" w:bidi="ar-SA"/>
        </w:rPr>
        <w:t>（1）</w:t>
      </w:r>
      <w:r>
        <w:rPr>
          <w:rFonts w:hint="eastAsia" w:ascii="宋体" w:hAnsi="宋体" w:eastAsia="宋体" w:cs="宋体"/>
          <w:b/>
          <w:bCs/>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633F149D">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3.供应商应根据自身实际情况如实响应磋商文件，对磋商文件提出的要求和条件作出明确响应，否则将作无效响应处理。</w:t>
      </w:r>
    </w:p>
    <w:p w14:paraId="0DF2C42A">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根据《关于在政府采购活动中对有关美国企业采取相关措施的通知》（财库〔</w:t>
      </w:r>
      <w:bookmarkStart w:id="48" w:name="_GoBack"/>
      <w:bookmarkEnd w:id="48"/>
      <w:r>
        <w:rPr>
          <w:rFonts w:hint="eastAsia" w:ascii="宋体" w:hAnsi="宋体" w:eastAsia="宋体" w:cs="宋体"/>
          <w:b/>
          <w:bCs/>
          <w:color w:val="auto"/>
          <w:szCs w:val="21"/>
          <w:highlight w:val="none"/>
        </w:rPr>
        <w:t>2026〕10号）的规定，供应商提供的产品不得为财库〔2026〕10号文件附件规定的46家美国企业（不包括在华美资企业）生产的产品。</w:t>
      </w:r>
    </w:p>
    <w:p w14:paraId="7976E170">
      <w:pPr>
        <w:spacing w:line="360" w:lineRule="auto"/>
        <w:ind w:firstLine="426"/>
        <w:jc w:val="left"/>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eastAsia="宋体" w:cs="宋体"/>
          <w:b/>
          <w:bCs/>
          <w:color w:val="auto"/>
          <w:szCs w:val="21"/>
          <w:highlight w:val="none"/>
        </w:rPr>
        <w:t>.供应商必须自行为其竞标产品侵犯他人的知识产权或者专利成果的行为承担相应法律责任。</w:t>
      </w:r>
    </w:p>
    <w:p w14:paraId="2816F350">
      <w:pPr>
        <w:widowControl/>
        <w:jc w:val="left"/>
        <w:rPr>
          <w:rFonts w:hint="eastAsia" w:ascii="黑体" w:hAnsi="黑体" w:eastAsia="黑体" w:cs="黑体"/>
          <w:color w:val="auto"/>
          <w:sz w:val="32"/>
          <w:szCs w:val="32"/>
          <w:highlight w:val="none"/>
        </w:rPr>
      </w:pPr>
    </w:p>
    <w:tbl>
      <w:tblPr>
        <w:tblStyle w:val="31"/>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810"/>
        <w:gridCol w:w="618"/>
        <w:gridCol w:w="46"/>
        <w:gridCol w:w="650"/>
        <w:gridCol w:w="6868"/>
      </w:tblGrid>
      <w:tr w14:paraId="047A8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63" w:type="dxa"/>
            <w:noWrap w:val="0"/>
            <w:vAlign w:val="center"/>
          </w:tcPr>
          <w:p w14:paraId="5337C3F5">
            <w:pPr>
              <w:tabs>
                <w:tab w:val="left" w:pos="180"/>
                <w:tab w:val="left" w:pos="1620"/>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810" w:type="dxa"/>
            <w:noWrap w:val="0"/>
            <w:vAlign w:val="center"/>
          </w:tcPr>
          <w:p w14:paraId="033E90B5">
            <w:pPr>
              <w:tabs>
                <w:tab w:val="left" w:pos="180"/>
                <w:tab w:val="left" w:pos="1620"/>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标的的名称</w:t>
            </w:r>
          </w:p>
        </w:tc>
        <w:tc>
          <w:tcPr>
            <w:tcW w:w="664" w:type="dxa"/>
            <w:gridSpan w:val="2"/>
            <w:noWrap w:val="0"/>
            <w:vAlign w:val="top"/>
          </w:tcPr>
          <w:p w14:paraId="1F2F0958">
            <w:pPr>
              <w:tabs>
                <w:tab w:val="left" w:pos="180"/>
                <w:tab w:val="left" w:pos="1620"/>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w:t>
            </w:r>
          </w:p>
          <w:p w14:paraId="32564CAD">
            <w:pPr>
              <w:tabs>
                <w:tab w:val="left" w:pos="180"/>
                <w:tab w:val="left" w:pos="1620"/>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650" w:type="dxa"/>
            <w:noWrap w:val="0"/>
            <w:vAlign w:val="top"/>
          </w:tcPr>
          <w:p w14:paraId="2DC2282D">
            <w:pPr>
              <w:tabs>
                <w:tab w:val="left" w:pos="180"/>
                <w:tab w:val="left" w:pos="1620"/>
              </w:tabs>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所属行业</w:t>
            </w:r>
          </w:p>
        </w:tc>
        <w:tc>
          <w:tcPr>
            <w:tcW w:w="6868" w:type="dxa"/>
            <w:noWrap w:val="0"/>
            <w:vAlign w:val="center"/>
          </w:tcPr>
          <w:p w14:paraId="47D880D5">
            <w:pPr>
              <w:tabs>
                <w:tab w:val="left" w:pos="180"/>
                <w:tab w:val="left" w:pos="1620"/>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技术要求</w:t>
            </w:r>
          </w:p>
        </w:tc>
      </w:tr>
      <w:tr w14:paraId="7AA45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jc w:val="center"/>
        </w:trPr>
        <w:tc>
          <w:tcPr>
            <w:tcW w:w="563" w:type="dxa"/>
            <w:noWrap w:val="0"/>
            <w:vAlign w:val="center"/>
          </w:tcPr>
          <w:p w14:paraId="3B3B8983">
            <w:pPr>
              <w:pStyle w:val="327"/>
              <w:spacing w:before="124" w:line="360" w:lineRule="auto"/>
              <w:ind w:left="146" w:right="137"/>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0" w:type="dxa"/>
            <w:noWrap w:val="0"/>
            <w:vAlign w:val="center"/>
          </w:tcPr>
          <w:p w14:paraId="4ED62467">
            <w:pPr>
              <w:bidi w:val="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综合信息化服务</w:t>
            </w:r>
          </w:p>
        </w:tc>
        <w:tc>
          <w:tcPr>
            <w:tcW w:w="664" w:type="dxa"/>
            <w:gridSpan w:val="2"/>
            <w:noWrap w:val="0"/>
            <w:vAlign w:val="center"/>
          </w:tcPr>
          <w:p w14:paraId="4A7582F9">
            <w:pPr>
              <w:pStyle w:val="13"/>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w:t>
            </w:r>
          </w:p>
        </w:tc>
        <w:tc>
          <w:tcPr>
            <w:tcW w:w="650" w:type="dxa"/>
            <w:noWrap w:val="0"/>
            <w:vAlign w:val="center"/>
          </w:tcPr>
          <w:p w14:paraId="53CA8036">
            <w:pPr>
              <w:pStyle w:val="13"/>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软件和信息技术服务业</w:t>
            </w:r>
          </w:p>
        </w:tc>
        <w:tc>
          <w:tcPr>
            <w:tcW w:w="6868" w:type="dxa"/>
            <w:shd w:val="clear" w:color="auto" w:fill="auto"/>
            <w:noWrap w:val="0"/>
            <w:vAlign w:val="top"/>
          </w:tcPr>
          <w:p w14:paraId="36BBE327">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服务需求：</w:t>
            </w:r>
          </w:p>
          <w:p w14:paraId="256DB84E">
            <w:pPr>
              <w:numPr>
                <w:ilvl w:val="0"/>
                <w:numId w:val="3"/>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提供互联网专线接入服务：</w:t>
            </w:r>
          </w:p>
          <w:p w14:paraId="1CA8985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lang w:val="en-US" w:eastAsia="zh-CN" w:bidi="ar"/>
              </w:rPr>
              <w:t>（1）</w:t>
            </w:r>
            <w:r>
              <w:rPr>
                <w:rFonts w:hint="eastAsia" w:ascii="宋体" w:hAnsi="宋体" w:cs="宋体"/>
                <w:color w:val="auto"/>
                <w:sz w:val="21"/>
                <w:szCs w:val="21"/>
                <w:highlight w:val="none"/>
                <w:lang w:val="en-US" w:eastAsia="zh-CN" w:bidi="ar"/>
              </w:rPr>
              <w:t>光纤专线1条：提供1个固定IP，上行速率300M，下行速率300M（地点：平南县第二人民医院）；</w:t>
            </w:r>
          </w:p>
          <w:p w14:paraId="47B1D558">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（2）光纤专线2条：提供2个固定IP，每条上行速率200M，下行速率200M（地点：平南县第二人民医院）。</w:t>
            </w:r>
          </w:p>
          <w:p w14:paraId="6C41CDF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（二）医保数字专线1条：连接医保专线系统，上行速率30M，下行速率30M（A端：平南县第二人民医院，B端：南宁市人力资源和社会保障局）。</w:t>
            </w:r>
          </w:p>
          <w:p w14:paraId="29BC07F2">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（三）卫生数字专线电路 1 条：连接卫生专线系统，上行速率30M，下行速率30M（A 端：平南县第二人民医院，B 端：平南县卫生健康局）。</w:t>
            </w:r>
          </w:p>
          <w:p w14:paraId="4A724AF0">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（四）一键报警电路1条：上行速率200M，下行速率200M。</w:t>
            </w:r>
          </w:p>
          <w:p w14:paraId="0AD4F528">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（五）AI监控4路：每路含400万像素，100M带宽，30天全天云回看。</w:t>
            </w:r>
          </w:p>
          <w:p w14:paraId="5357AB5B">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六）固话128台：每月可用通信费额度18000元，（包月期间固话资费按现行资费标准计收，通话费用包含月租、来电显示费、拨打中国电信、移动、联通、铁通、网通的市话、本地网通话费、国内长途话费），超额部分话费、七彩铃音使用费、灵通无绳使用费、程控新功能费、短信费、信息费、港澳台及国际长途话费及上网所产生的费用按相应资费标准照实收取。协议期间，采购人如有电话数量增加，按80元/台/月可用通信额度按250元/台/月增加。</w:t>
            </w:r>
          </w:p>
          <w:p w14:paraId="4CE2399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（七）办公用卡23张：每张卡含全国流量210G，全国通话500分钟。</w:t>
            </w:r>
          </w:p>
          <w:p w14:paraId="69B9E8E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（八）病房四合一电视+Wi-Fi 247户：每户含高清IPTV电视+100M宽带+wifi，租用机顶盒（费用包含在报价中）。</w:t>
            </w:r>
          </w:p>
          <w:p w14:paraId="3BC27ED9">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（九）极速专线4条：每条上行速率50M，下行速率1000M。</w:t>
            </w:r>
          </w:p>
          <w:p w14:paraId="21F0E65F">
            <w:pPr>
              <w:numPr>
                <w:ilvl w:val="0"/>
                <w:numId w:val="0"/>
              </w:numPr>
              <w:spacing w:line="360" w:lineRule="auto"/>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（十）云安全1条：防病毒、防入侵、外网访问控制。</w:t>
            </w:r>
          </w:p>
        </w:tc>
      </w:tr>
      <w:tr w14:paraId="67EF7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top"/>
          </w:tcPr>
          <w:p w14:paraId="1068CC5E">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一、商务要求</w:t>
            </w:r>
          </w:p>
        </w:tc>
      </w:tr>
      <w:tr w14:paraId="37FF5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5408411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▲交付（实施）的时间（期限）和地点（范围）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1C27DF6">
            <w:pPr>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交付（实施）的时间（期限）：</w:t>
            </w:r>
            <w:r>
              <w:rPr>
                <w:rFonts w:hint="eastAsia" w:ascii="宋体" w:hAnsi="宋体" w:cs="宋体"/>
                <w:b/>
                <w:bCs/>
                <w:color w:val="auto"/>
                <w:sz w:val="21"/>
                <w:szCs w:val="21"/>
                <w:highlight w:val="none"/>
                <w:lang w:eastAsia="zh-CN"/>
              </w:rPr>
              <w:t>合同签订后30天内完成交付使用；服务期为3年（具体起止时间以合同约定为准）。</w:t>
            </w:r>
          </w:p>
          <w:p w14:paraId="07F9BA06">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交付（实施）的地点（范围）：</w:t>
            </w:r>
            <w:r>
              <w:rPr>
                <w:rFonts w:hint="eastAsia" w:ascii="仿宋" w:hAnsi="仿宋"/>
                <w:b/>
                <w:bCs/>
                <w:color w:val="auto"/>
                <w:szCs w:val="32"/>
                <w:highlight w:val="none"/>
                <w:lang w:eastAsia="zh-CN"/>
              </w:rPr>
              <w:t>平南县第二人民医院采购人指定地点</w:t>
            </w:r>
            <w:r>
              <w:rPr>
                <w:rFonts w:hint="eastAsia" w:ascii="宋体" w:hAnsi="宋体" w:eastAsia="宋体" w:cs="宋体"/>
                <w:b/>
                <w:bCs/>
                <w:color w:val="auto"/>
                <w:sz w:val="21"/>
                <w:szCs w:val="21"/>
                <w:highlight w:val="none"/>
              </w:rPr>
              <w:t>。</w:t>
            </w:r>
          </w:p>
        </w:tc>
      </w:tr>
      <w:tr w14:paraId="15F84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0F81DFBE">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9F9520B">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 xml:space="preserve">通知书发出之日起 </w:t>
            </w:r>
            <w:r>
              <w:rPr>
                <w:rFonts w:hint="eastAsia" w:ascii="宋体" w:hAnsi="宋体" w:eastAsia="宋体" w:cs="宋体"/>
                <w:b/>
                <w:bCs/>
                <w:color w:val="auto"/>
                <w:sz w:val="21"/>
                <w:szCs w:val="21"/>
                <w:highlight w:val="none"/>
                <w:u w:val="single"/>
                <w:lang w:val="en-US" w:eastAsia="zh-CN"/>
              </w:rPr>
              <w:t>25</w:t>
            </w:r>
            <w:r>
              <w:rPr>
                <w:rFonts w:hint="eastAsia" w:ascii="宋体" w:hAnsi="宋体" w:eastAsia="宋体" w:cs="宋体"/>
                <w:b/>
                <w:bCs/>
                <w:color w:val="auto"/>
                <w:sz w:val="21"/>
                <w:szCs w:val="21"/>
                <w:highlight w:val="none"/>
              </w:rPr>
              <w:t>日内</w:t>
            </w:r>
          </w:p>
        </w:tc>
      </w:tr>
      <w:tr w14:paraId="385C1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4C7BF4C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▲付款条件（进度和方式）</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04F9A5D">
            <w:pPr>
              <w:spacing w:line="360" w:lineRule="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合同签订前，采购人可根据项目实际情况与供应商协商</w:t>
            </w:r>
            <w:r>
              <w:rPr>
                <w:rFonts w:hint="eastAsia" w:ascii="宋体" w:hAnsi="宋体" w:cs="宋体"/>
                <w:b/>
                <w:bCs/>
                <w:color w:val="auto"/>
                <w:sz w:val="21"/>
                <w:szCs w:val="21"/>
                <w:highlight w:val="none"/>
                <w:lang w:val="en-US" w:eastAsia="zh-CN"/>
              </w:rPr>
              <w:t>付款方式、付款时间等</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若采取</w:t>
            </w:r>
            <w:r>
              <w:rPr>
                <w:rFonts w:hint="eastAsia" w:ascii="宋体" w:hAnsi="宋体" w:cs="宋体"/>
                <w:b/>
                <w:bCs/>
                <w:color w:val="auto"/>
                <w:sz w:val="21"/>
                <w:szCs w:val="21"/>
                <w:highlight w:val="none"/>
                <w:lang w:eastAsia="zh-CN"/>
              </w:rPr>
              <w:t>按月进行费用结算</w:t>
            </w:r>
            <w:r>
              <w:rPr>
                <w:rFonts w:hint="eastAsia" w:ascii="宋体" w:hAnsi="宋体" w:cs="宋体"/>
                <w:b/>
                <w:bCs/>
                <w:color w:val="auto"/>
                <w:sz w:val="21"/>
                <w:szCs w:val="21"/>
                <w:highlight w:val="none"/>
                <w:lang w:val="en-US" w:eastAsia="zh-CN"/>
              </w:rPr>
              <w:t>的</w:t>
            </w:r>
            <w:r>
              <w:rPr>
                <w:rFonts w:hint="eastAsia" w:ascii="宋体" w:hAnsi="宋体" w:cs="宋体"/>
                <w:b/>
                <w:bCs/>
                <w:color w:val="auto"/>
                <w:sz w:val="21"/>
                <w:szCs w:val="21"/>
                <w:highlight w:val="none"/>
                <w:lang w:eastAsia="zh-CN"/>
              </w:rPr>
              <w:t>，供应商完成每月服务后</w:t>
            </w:r>
            <w:r>
              <w:rPr>
                <w:rFonts w:hint="eastAsia" w:ascii="宋体" w:hAnsi="宋体" w:cs="宋体"/>
                <w:b/>
                <w:bCs/>
                <w:color w:val="auto"/>
                <w:sz w:val="21"/>
                <w:szCs w:val="21"/>
                <w:highlight w:val="none"/>
                <w:lang w:val="en-US" w:eastAsia="zh-CN"/>
              </w:rPr>
              <w:t>60天内支付月度费用</w:t>
            </w:r>
            <w:r>
              <w:rPr>
                <w:rFonts w:hint="eastAsia" w:ascii="宋体" w:hAnsi="宋体" w:eastAsia="宋体" w:cs="宋体"/>
                <w:b/>
                <w:bCs/>
                <w:color w:val="auto"/>
                <w:sz w:val="21"/>
                <w:szCs w:val="21"/>
                <w:highlight w:val="none"/>
              </w:rPr>
              <w:t>，每次付款前由</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供应商提供正式发票，采购人完善相关手续</w:t>
            </w:r>
            <w:r>
              <w:rPr>
                <w:rFonts w:hint="eastAsia" w:ascii="宋体" w:hAnsi="宋体" w:cs="宋体"/>
                <w:b/>
                <w:bCs/>
                <w:color w:val="auto"/>
                <w:sz w:val="21"/>
                <w:szCs w:val="21"/>
                <w:highlight w:val="none"/>
                <w:lang w:eastAsia="zh-CN"/>
              </w:rPr>
              <w:t>后支付。采购人每次付款前未收到上述发票的，有权不予支付相应款项直至供应商提供合格发票，并不承担延迟付款责任。发票认证通过是付款的必要前提之一。</w:t>
            </w:r>
          </w:p>
        </w:tc>
      </w:tr>
      <w:tr w14:paraId="53D29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8"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983548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118758E8">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1.上门提供安装调试服务和业务开通</w:t>
            </w:r>
            <w:r>
              <w:rPr>
                <w:rFonts w:hint="eastAsia" w:ascii="宋体" w:hAnsi="宋体" w:cs="宋体"/>
                <w:b/>
                <w:bCs/>
                <w:color w:val="auto"/>
                <w:sz w:val="21"/>
                <w:szCs w:val="21"/>
                <w:highlight w:val="none"/>
                <w:lang w:eastAsia="zh-CN"/>
              </w:rPr>
              <w:t>（费用包含在报价中）</w:t>
            </w:r>
            <w:r>
              <w:rPr>
                <w:rFonts w:hint="eastAsia" w:ascii="宋体" w:hAnsi="宋体" w:eastAsia="宋体" w:cs="宋体"/>
                <w:b/>
                <w:bCs/>
                <w:color w:val="auto"/>
                <w:sz w:val="21"/>
                <w:szCs w:val="21"/>
                <w:highlight w:val="none"/>
              </w:rPr>
              <w:t xml:space="preserve">；  </w:t>
            </w:r>
          </w:p>
          <w:p w14:paraId="33250722">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2.在服务期限内，供应商应严格遵守《中华人民共和国电信条例》，维护双方权益，应按</w:t>
            </w:r>
            <w:r>
              <w:rPr>
                <w:rFonts w:hint="eastAsia" w:ascii="宋体" w:hAnsi="宋体" w:cs="宋体"/>
                <w:b/>
                <w:bCs/>
                <w:color w:val="auto"/>
                <w:sz w:val="21"/>
                <w:szCs w:val="21"/>
                <w:highlight w:val="none"/>
                <w:lang w:eastAsia="zh-CN"/>
              </w:rPr>
              <w:t>工业和信息化部</w:t>
            </w:r>
            <w:r>
              <w:rPr>
                <w:rFonts w:hint="eastAsia" w:ascii="宋体" w:hAnsi="宋体" w:eastAsia="宋体" w:cs="宋体"/>
                <w:b/>
                <w:bCs/>
                <w:color w:val="auto"/>
                <w:sz w:val="21"/>
                <w:szCs w:val="21"/>
                <w:highlight w:val="none"/>
              </w:rPr>
              <w:t>颁布的《电信服务标准》的电路质量要求，保证采购人租用线路畅通及安全使用；</w:t>
            </w:r>
          </w:p>
          <w:p w14:paraId="1565D334">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3.为满足光纤线路租用服务及通讯服务的需要，供应商必须提供包括光纤接入设备和光纤通信线路的、安装调测开通、布跳线、标签规范的粘贴业务等系列服务，产权归供应商所有；</w:t>
            </w:r>
          </w:p>
          <w:p w14:paraId="50596957">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4.供应商对其光纤设备的运行状态、实时流量、告警情况应具备一定的监控手段，以便及时发现故障隐患并采取应急措施，避免大面积故障和缩短故障历时。应具备专业维护力量；</w:t>
            </w:r>
          </w:p>
          <w:p w14:paraId="5FA83F44">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5.供应商应具有本地维护能力，供应商提供7×24小时热线电话服务，并提供多个故障申告途径及绿色通道，做到</w:t>
            </w:r>
            <w:r>
              <w:rPr>
                <w:rFonts w:hint="eastAsia" w:ascii="宋体" w:hAnsi="宋体" w:cs="宋体"/>
                <w:b/>
                <w:bCs/>
                <w:color w:val="auto"/>
                <w:sz w:val="21"/>
                <w:szCs w:val="21"/>
                <w:highlight w:val="none"/>
                <w:lang w:eastAsia="zh-CN"/>
              </w:rPr>
              <w:t>及时</w:t>
            </w:r>
            <w:r>
              <w:rPr>
                <w:rFonts w:hint="eastAsia" w:ascii="宋体" w:hAnsi="宋体" w:eastAsia="宋体" w:cs="宋体"/>
                <w:b/>
                <w:bCs/>
                <w:color w:val="auto"/>
                <w:sz w:val="21"/>
                <w:szCs w:val="21"/>
                <w:highlight w:val="none"/>
              </w:rPr>
              <w:t>响应，供应商需保证网络的畅通，负责运营商到采购人光缆、设备的运行维护，如光收发器设备等</w:t>
            </w:r>
            <w:r>
              <w:rPr>
                <w:rFonts w:hint="eastAsia" w:ascii="宋体" w:hAnsi="宋体" w:cs="宋体"/>
                <w:b/>
                <w:bCs/>
                <w:color w:val="auto"/>
                <w:sz w:val="21"/>
                <w:szCs w:val="21"/>
                <w:highlight w:val="none"/>
                <w:lang w:eastAsia="zh-CN"/>
              </w:rPr>
              <w:t>（费用包含在报价中）</w:t>
            </w:r>
            <w:r>
              <w:rPr>
                <w:rFonts w:hint="eastAsia" w:ascii="宋体" w:hAnsi="宋体" w:eastAsia="宋体" w:cs="宋体"/>
                <w:b/>
                <w:bCs/>
                <w:color w:val="auto"/>
                <w:sz w:val="21"/>
                <w:szCs w:val="21"/>
                <w:highlight w:val="none"/>
              </w:rPr>
              <w:t>。如果网络出现问题，供应商必须在接到报告后30分钟内响应，</w:t>
            </w:r>
            <w:r>
              <w:rPr>
                <w:rFonts w:hint="eastAsia" w:ascii="宋体" w:hAnsi="宋体" w:cs="宋体"/>
                <w:b/>
                <w:bCs/>
                <w:color w:val="auto"/>
                <w:sz w:val="21"/>
                <w:szCs w:val="21"/>
                <w:highlight w:val="none"/>
                <w:lang w:val="en-US" w:eastAsia="zh-CN"/>
              </w:rPr>
              <w:t>2小时内派技术人员到达现场，</w:t>
            </w:r>
            <w:r>
              <w:rPr>
                <w:rFonts w:hint="eastAsia" w:ascii="宋体" w:hAnsi="宋体" w:eastAsia="宋体" w:cs="宋体"/>
                <w:b/>
                <w:bCs/>
                <w:color w:val="auto"/>
                <w:sz w:val="21"/>
                <w:szCs w:val="21"/>
                <w:highlight w:val="none"/>
              </w:rPr>
              <w:t>6小时内线路恢复正常，如设备故障在6小时内无法解决的应提供备件</w:t>
            </w:r>
            <w:r>
              <w:rPr>
                <w:rFonts w:hint="eastAsia" w:ascii="宋体" w:hAnsi="宋体" w:cs="宋体"/>
                <w:b/>
                <w:bCs/>
                <w:color w:val="auto"/>
                <w:sz w:val="21"/>
                <w:szCs w:val="21"/>
                <w:highlight w:val="none"/>
                <w:lang w:eastAsia="zh-CN"/>
              </w:rPr>
              <w:t>（费用包含在报价中）</w:t>
            </w:r>
            <w:r>
              <w:rPr>
                <w:rFonts w:hint="eastAsia" w:ascii="宋体" w:hAnsi="宋体" w:eastAsia="宋体" w:cs="宋体"/>
                <w:b/>
                <w:bCs/>
                <w:color w:val="auto"/>
                <w:sz w:val="21"/>
                <w:szCs w:val="21"/>
                <w:highlight w:val="none"/>
              </w:rPr>
              <w:t>，确保线路正常运行；</w:t>
            </w:r>
          </w:p>
          <w:p w14:paraId="19DEBDE4">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6.每季度对网络进行一次巡检，检查网络设备和主干光缆的运行情况，提交巡检报告；</w:t>
            </w:r>
          </w:p>
          <w:p w14:paraId="0BC4ED46">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7.当采购人网络需要扩展或升级时，负责提供相应解决方案；因供应商施工、网络割接等原因影响专线网络运行的，应当提前一天通知采购人，并且尽快消除故障、恢复通信线路；</w:t>
            </w:r>
          </w:p>
          <w:p w14:paraId="25C19A74">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8.供应商应具备专业维护力量，本地专业维护人员人数≥4人，提供365×24小时的售后服务响应。</w:t>
            </w:r>
          </w:p>
        </w:tc>
      </w:tr>
      <w:tr w14:paraId="1278A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6FC8DA97">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▲报价包含</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7516BA64">
            <w:pPr>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竞标报价是履行合同的最终价格，即满足全部采购需求所应提供的服务，以及伴随的货物和工程（如有）的价格；包括竞标服务、货物、工程的成本、运输（含保险）、安装（如有）、调试、检验、技术服务、培训、税费等所有费用，其他不可预见的费用由供应商自行承担风险。</w:t>
            </w:r>
          </w:p>
        </w:tc>
      </w:tr>
      <w:tr w14:paraId="649E8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2C4E0D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CF523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本项目应执行国家相关标准、行业标准、地方标准或者其他标准、规范，按照采购文件、供应商的</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文件以及采购合同要求开展验收；</w:t>
            </w:r>
          </w:p>
          <w:p w14:paraId="00C824B2">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.服务期内每半年提供一次服务总结，全面总结服务期间的通讯状况，分析总结通讯服务中断事件、服务升级、例行巡检、服务事项增减等情况，</w:t>
            </w:r>
            <w:r>
              <w:rPr>
                <w:rFonts w:hint="eastAsia" w:ascii="宋体" w:hAnsi="宋体" w:eastAsia="宋体" w:cs="宋体"/>
                <w:b/>
                <w:bCs/>
                <w:color w:val="auto"/>
                <w:sz w:val="21"/>
                <w:szCs w:val="21"/>
                <w:highlight w:val="none"/>
              </w:rPr>
              <w:t>列出清单，</w:t>
            </w:r>
            <w:r>
              <w:rPr>
                <w:rFonts w:hint="eastAsia" w:ascii="宋体" w:hAnsi="宋体" w:cs="宋体"/>
                <w:b/>
                <w:bCs/>
                <w:color w:val="auto"/>
                <w:sz w:val="21"/>
                <w:szCs w:val="21"/>
                <w:highlight w:val="none"/>
                <w:lang w:val="en-US" w:eastAsia="zh-CN"/>
              </w:rPr>
              <w:t>将服务期内</w:t>
            </w:r>
            <w:r>
              <w:rPr>
                <w:rFonts w:hint="eastAsia" w:ascii="宋体" w:hAnsi="宋体" w:cs="宋体"/>
                <w:b/>
                <w:bCs/>
                <w:color w:val="auto"/>
                <w:sz w:val="21"/>
                <w:szCs w:val="21"/>
                <w:highlight w:val="none"/>
                <w:lang w:eastAsia="zh-CN"/>
              </w:rPr>
              <w:t>所有资料按要求规范装订整理成册，</w:t>
            </w:r>
            <w:r>
              <w:rPr>
                <w:rFonts w:hint="eastAsia" w:ascii="宋体" w:hAnsi="宋体" w:eastAsia="宋体" w:cs="宋体"/>
                <w:b/>
                <w:bCs/>
                <w:color w:val="auto"/>
                <w:sz w:val="21"/>
                <w:szCs w:val="21"/>
                <w:highlight w:val="none"/>
              </w:rPr>
              <w:t>作为采购人验收的依据之一。供应商不能按规定交付相关材料，导致采购人无法确认供应商交付结果的，必须负责补齐，否则视为未按合同约定交付货物和相应的服务。</w:t>
            </w:r>
          </w:p>
          <w:p w14:paraId="7755E208">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其他未尽事项按照《关于印发广西壮族自治区政府采购项目履约验收管理办法的通知》[桂财采〔2015〕22号]以及《财政部关于进一步加强政府采购需求和履约验收管理的指导意见》[财库〔2016〕205号]规定执行。</w:t>
            </w:r>
          </w:p>
          <w:p w14:paraId="4157CF9D">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验收费用由</w:t>
            </w:r>
            <w:r>
              <w:rPr>
                <w:rFonts w:hint="eastAsia" w:ascii="宋体" w:hAnsi="宋体" w:eastAsia="宋体" w:cs="宋体"/>
                <w:b/>
                <w:bCs/>
                <w:color w:val="auto"/>
                <w:sz w:val="21"/>
                <w:szCs w:val="21"/>
                <w:highlight w:val="none"/>
                <w:lang w:val="en-US" w:eastAsia="zh-CN"/>
              </w:rPr>
              <w:t>成交</w:t>
            </w:r>
            <w:r>
              <w:rPr>
                <w:rFonts w:hint="eastAsia" w:ascii="宋体" w:hAnsi="宋体" w:eastAsia="宋体" w:cs="宋体"/>
                <w:b/>
                <w:bCs/>
                <w:color w:val="auto"/>
                <w:sz w:val="21"/>
                <w:szCs w:val="21"/>
                <w:highlight w:val="none"/>
              </w:rPr>
              <w:t>供应商承担，在验收过程中发现供应商有违约问题的，采购人可暂缓资金结算，待违约问题解决后，方可办理资金结算事宜。</w:t>
            </w:r>
          </w:p>
        </w:tc>
      </w:tr>
      <w:tr w14:paraId="6FBB7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188BAD85">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二、与实现项目目标相关的其他要求</w:t>
            </w:r>
          </w:p>
        </w:tc>
      </w:tr>
      <w:tr w14:paraId="6AE19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0FF7F30F">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的履约能力要求</w:t>
            </w:r>
          </w:p>
        </w:tc>
      </w:tr>
      <w:tr w14:paraId="38ACA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DAD6D8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质量要求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99CEA29">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竞标</w:t>
            </w:r>
            <w:r>
              <w:rPr>
                <w:rFonts w:hint="eastAsia" w:ascii="宋体" w:hAnsi="宋体" w:cs="宋体"/>
                <w:color w:val="auto"/>
                <w:sz w:val="21"/>
                <w:szCs w:val="21"/>
                <w:highlight w:val="none"/>
                <w:lang w:eastAsia="zh-CN"/>
              </w:rPr>
              <w:t>服务过程中设计</w:t>
            </w:r>
            <w:r>
              <w:rPr>
                <w:rFonts w:hint="eastAsia" w:ascii="宋体" w:hAnsi="宋体" w:eastAsia="宋体" w:cs="宋体"/>
                <w:color w:val="auto"/>
                <w:sz w:val="21"/>
                <w:szCs w:val="21"/>
                <w:highlight w:val="none"/>
              </w:rPr>
              <w:t>货物及其所有零部件、配件必须是符合国家有关质量和安全强制要求和标准的产品。</w:t>
            </w:r>
          </w:p>
        </w:tc>
      </w:tr>
      <w:tr w14:paraId="17A7C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5345EC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包装和运输（如有）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6D772897">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无</w:t>
            </w:r>
          </w:p>
        </w:tc>
      </w:tr>
      <w:tr w14:paraId="7120D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3ADFA16">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保险（如有）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17F39D3E">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无</w:t>
            </w:r>
          </w:p>
        </w:tc>
      </w:tr>
      <w:tr w14:paraId="7A65A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405FBCF4">
            <w:pPr>
              <w:spacing w:line="360" w:lineRule="auto"/>
              <w:jc w:val="center"/>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管理体系要求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67B396A">
            <w:pPr>
              <w:spacing w:line="360" w:lineRule="auto"/>
              <w:jc w:val="left"/>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无</w:t>
            </w:r>
          </w:p>
        </w:tc>
      </w:tr>
      <w:tr w14:paraId="7936F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6646668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4D0D43A">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4798E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3FA2FCCC">
            <w:pPr>
              <w:spacing w:line="360" w:lineRule="auto"/>
              <w:jc w:val="center"/>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保险（如有）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16A9054">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无</w:t>
            </w:r>
          </w:p>
        </w:tc>
      </w:tr>
      <w:tr w14:paraId="6830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463814C5">
            <w:pPr>
              <w:spacing w:line="360" w:lineRule="auto"/>
              <w:ind w:left="285" w:hanging="285"/>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rPr>
              <w:t>其他技术及服务要求</w:t>
            </w:r>
          </w:p>
        </w:tc>
      </w:tr>
      <w:tr w14:paraId="3BBB9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8"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3C6A31A8">
            <w:pPr>
              <w:spacing w:line="360" w:lineRule="auto"/>
              <w:ind w:firstLine="42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文件中提供的</w:t>
            </w:r>
            <w:r>
              <w:rPr>
                <w:rFonts w:hint="eastAsia" w:ascii="宋体" w:hAnsi="宋体" w:eastAsia="宋体" w:cs="宋体"/>
                <w:color w:val="auto"/>
                <w:sz w:val="21"/>
                <w:szCs w:val="21"/>
                <w:highlight w:val="none"/>
              </w:rPr>
              <w:t>项目服务方案【包括但不限于项目技术方案、项目实施服务方案、售后服务方案等】</w:t>
            </w:r>
            <w:r>
              <w:rPr>
                <w:rFonts w:hint="eastAsia" w:ascii="宋体" w:hAnsi="宋体" w:eastAsia="宋体" w:cs="宋体"/>
                <w:b w:val="0"/>
                <w:bCs w:val="0"/>
                <w:color w:val="auto"/>
                <w:sz w:val="21"/>
                <w:szCs w:val="21"/>
                <w:highlight w:val="none"/>
              </w:rPr>
              <w:t>。</w:t>
            </w:r>
          </w:p>
        </w:tc>
      </w:tr>
    </w:tbl>
    <w:p w14:paraId="079971A0">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clear="all"/>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（十四）物业管理。从业人员</w:t>
      </w:r>
      <w:r>
        <w:rPr>
          <w:b/>
          <w:bCs/>
          <w:color w:val="auto"/>
          <w:szCs w:val="21"/>
          <w:highlight w:val="none"/>
        </w:rPr>
        <w:t>1000</w:t>
      </w:r>
      <w:r>
        <w:rPr>
          <w:rFonts w:hint="eastAsia"/>
          <w:b/>
          <w:bCs/>
          <w:color w:val="auto"/>
          <w:szCs w:val="21"/>
          <w:highlight w:val="none"/>
        </w:rPr>
        <w:t>人以下或营业收入</w:t>
      </w:r>
      <w:r>
        <w:rPr>
          <w:b/>
          <w:bCs/>
          <w:color w:val="auto"/>
          <w:szCs w:val="21"/>
          <w:highlight w:val="none"/>
        </w:rPr>
        <w:t>5000</w:t>
      </w:r>
      <w:r>
        <w:rPr>
          <w:rFonts w:hint="eastAsia"/>
          <w:b/>
          <w:bCs/>
          <w:color w:val="auto"/>
          <w:szCs w:val="21"/>
          <w:highlight w:val="none"/>
        </w:rPr>
        <w:t>万元以下的为中小微型企业。其中，从业人员</w:t>
      </w:r>
      <w:r>
        <w:rPr>
          <w:b/>
          <w:bCs/>
          <w:color w:val="auto"/>
          <w:szCs w:val="21"/>
          <w:highlight w:val="none"/>
        </w:rPr>
        <w:t>300</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万元及以上的为中型企业；从业人员</w:t>
      </w:r>
      <w:r>
        <w:rPr>
          <w:b/>
          <w:bCs/>
          <w:color w:val="auto"/>
          <w:szCs w:val="21"/>
          <w:highlight w:val="none"/>
        </w:rPr>
        <w:t>100</w:t>
      </w:r>
      <w:r>
        <w:rPr>
          <w:rFonts w:hint="eastAsia"/>
          <w:b/>
          <w:bCs/>
          <w:color w:val="auto"/>
          <w:szCs w:val="21"/>
          <w:highlight w:val="none"/>
        </w:rPr>
        <w:t>人及以上，且营业收入</w:t>
      </w:r>
      <w:r>
        <w:rPr>
          <w:b/>
          <w:bCs/>
          <w:color w:val="auto"/>
          <w:szCs w:val="21"/>
          <w:highlight w:val="none"/>
        </w:rPr>
        <w:t>500</w:t>
      </w:r>
      <w:r>
        <w:rPr>
          <w:rFonts w:hint="eastAsia"/>
          <w:b/>
          <w:bCs/>
          <w:color w:val="auto"/>
          <w:szCs w:val="21"/>
          <w:highlight w:val="none"/>
        </w:rPr>
        <w:t>万元及以上的为小型企业；从业人员</w:t>
      </w:r>
      <w:r>
        <w:rPr>
          <w:b/>
          <w:bCs/>
          <w:color w:val="auto"/>
          <w:szCs w:val="21"/>
          <w:highlight w:val="none"/>
        </w:rPr>
        <w:t>100</w:t>
      </w:r>
      <w:r>
        <w:rPr>
          <w:rFonts w:hint="eastAsia"/>
          <w:b/>
          <w:bCs/>
          <w:color w:val="auto"/>
          <w:szCs w:val="21"/>
          <w:highlight w:val="none"/>
        </w:rPr>
        <w:t>人以下或营业收入</w:t>
      </w:r>
      <w:r>
        <w:rPr>
          <w:b/>
          <w:bCs/>
          <w:color w:val="auto"/>
          <w:szCs w:val="21"/>
          <w:highlight w:val="none"/>
        </w:rPr>
        <w:t>500</w:t>
      </w:r>
      <w:r>
        <w:rPr>
          <w:rFonts w:hint="eastAsia"/>
          <w:b/>
          <w:bCs/>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1" w:name="_Toc6929"/>
      <w:r>
        <w:rPr>
          <w:rFonts w:hint="eastAsia" w:ascii="宋体" w:hAnsi="宋体" w:cs="宋体"/>
          <w:color w:val="auto"/>
          <w:highlight w:val="none"/>
        </w:rPr>
        <w:t>第四章 评审程序、评审方法和评审标准</w:t>
      </w:r>
      <w:bookmarkEnd w:id="41"/>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napToGrid w:val="0"/>
        <w:spacing w:line="360" w:lineRule="auto"/>
        <w:rPr>
          <w:rFonts w:hint="eastAsia" w:ascii="宋体" w:hAnsi="宋体" w:cs="宋体"/>
          <w:b/>
          <w:bCs/>
          <w:color w:val="auto"/>
          <w:sz w:val="21"/>
          <w:szCs w:val="21"/>
          <w:highlight w:val="none"/>
          <w:lang w:eastAsia="zh-CN"/>
        </w:rPr>
      </w:pPr>
      <w:r>
        <w:rPr>
          <w:rFonts w:hint="eastAsia" w:ascii="宋体" w:hAnsi="宋体" w:cs="宋体"/>
          <w:color w:val="auto"/>
          <w:szCs w:val="21"/>
          <w:highlight w:val="none"/>
        </w:rPr>
        <w:t>（1）查询渠道： “信用中国”网站(www.creditchina.gov.cn)、中国政府采购网(www.ccgp.gov.cn)</w:t>
      </w:r>
      <w:r>
        <w:rPr>
          <w:rFonts w:hint="eastAsia" w:ascii="宋体" w:hAnsi="宋体" w:cs="宋体"/>
          <w:b/>
          <w:bCs/>
          <w:color w:val="auto"/>
          <w:sz w:val="21"/>
          <w:szCs w:val="21"/>
          <w:highlight w:val="none"/>
          <w:lang w:eastAsia="zh-CN"/>
        </w:rPr>
        <w:t>、中国执行信息公开网（https://zxgk.court.gov.cn/shixin/）。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w:t>
      </w:r>
      <w:r>
        <w:rPr>
          <w:rFonts w:hint="eastAsia" w:ascii="宋体" w:hAnsi="宋体" w:cs="宋体"/>
          <w:b/>
          <w:bCs/>
          <w:color w:val="auto"/>
          <w:sz w:val="21"/>
          <w:szCs w:val="21"/>
          <w:highlight w:val="none"/>
          <w:lang w:eastAsia="zh-CN"/>
        </w:rPr>
        <w:t>、中国执行信息公开网（https://zxgk.court.gov.cn/shixin/）</w:t>
      </w:r>
      <w:r>
        <w:rPr>
          <w:rFonts w:hint="eastAsia" w:ascii="宋体" w:hAnsi="宋体" w:cs="宋体"/>
          <w:color w:val="auto"/>
          <w:szCs w:val="21"/>
          <w:highlight w:val="none"/>
        </w:rPr>
        <w:t>被列入</w:t>
      </w:r>
      <w:r>
        <w:rPr>
          <w:rFonts w:hint="eastAsia" w:ascii="宋体" w:hAnsi="宋体" w:cs="宋体"/>
          <w:b/>
          <w:bCs/>
          <w:color w:val="auto"/>
          <w:sz w:val="21"/>
          <w:szCs w:val="21"/>
          <w:highlight w:val="none"/>
          <w:lang w:val="en-US" w:eastAsia="zh-CN"/>
        </w:rPr>
        <w:t>被执行人、</w:t>
      </w:r>
      <w:r>
        <w:rPr>
          <w:rFonts w:hint="eastAsia" w:ascii="宋体" w:hAnsi="宋体" w:cs="宋体"/>
          <w:color w:val="auto"/>
          <w:szCs w:val="21"/>
          <w:highlight w:val="none"/>
        </w:rPr>
        <w:t>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w:t>
      </w:r>
      <w:r>
        <w:rPr>
          <w:rFonts w:hint="eastAsia" w:ascii="宋体" w:hAnsi="宋体" w:cs="宋体"/>
          <w:b/>
          <w:bCs/>
          <w:color w:val="auto"/>
          <w:sz w:val="21"/>
          <w:szCs w:val="21"/>
          <w:highlight w:val="none"/>
          <w:lang w:val="en-US" w:eastAsia="zh-CN"/>
        </w:rPr>
        <w:t>被执行人、</w:t>
      </w:r>
      <w:r>
        <w:rPr>
          <w:rFonts w:hint="eastAsia" w:ascii="宋体" w:hAnsi="宋体"/>
          <w:color w:val="auto"/>
          <w:szCs w:val="21"/>
          <w:highlight w:val="none"/>
        </w:rPr>
        <w:t>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2"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2"/>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3"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3"/>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4" w:name="_Hlk42596405"/>
      <w:r>
        <w:rPr>
          <w:rFonts w:hint="eastAsia" w:ascii="宋体" w:hAnsi="宋体" w:cs="宋体"/>
          <w:color w:val="auto"/>
          <w:szCs w:val="21"/>
          <w:highlight w:val="none"/>
        </w:rPr>
        <w:t>分项竞标报价（包含首次报价、最后报价）</w:t>
      </w:r>
      <w:bookmarkEnd w:id="44"/>
      <w:bookmarkStart w:id="45" w:name="_Hlk42596276"/>
      <w:r>
        <w:rPr>
          <w:rFonts w:hint="eastAsia" w:ascii="宋体" w:hAnsi="宋体" w:cs="宋体"/>
          <w:color w:val="auto"/>
          <w:szCs w:val="21"/>
          <w:highlight w:val="none"/>
        </w:rPr>
        <w:t>超过磋商文件分项采购预算金额或者最高限价的</w:t>
      </w:r>
      <w:bookmarkEnd w:id="45"/>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500FC4A0">
      <w:pPr>
        <w:spacing w:line="360" w:lineRule="auto"/>
        <w:ind w:firstLine="420"/>
        <w:rPr>
          <w:rFonts w:hint="eastAsia" w:ascii="宋体" w:hAnsi="宋体" w:cs="宋体"/>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tbl>
      <w:tblPr>
        <w:tblStyle w:val="31"/>
        <w:tblpPr w:leftFromText="180" w:rightFromText="180" w:vertAnchor="text" w:horzAnchor="page" w:tblpX="1242" w:tblpY="787"/>
        <w:tblOverlap w:val="never"/>
        <w:tblW w:w="498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124"/>
        <w:gridCol w:w="7051"/>
        <w:gridCol w:w="1025"/>
        <w:gridCol w:w="28"/>
      </w:tblGrid>
      <w:tr w14:paraId="7CE1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pct"/>
          <w:trHeight w:val="223"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14:paraId="6A74325C">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476BD489">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w:t>
            </w:r>
          </w:p>
          <w:p w14:paraId="41AB6CE4">
            <w:pPr>
              <w:spacing w:line="40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因素</w:t>
            </w:r>
            <w:r>
              <w:rPr>
                <w:rFonts w:hint="eastAsia" w:ascii="宋体" w:hAnsi="宋体" w:cs="宋体"/>
                <w:b/>
                <w:bCs/>
                <w:color w:val="auto"/>
                <w:szCs w:val="21"/>
                <w:highlight w:val="none"/>
                <w:lang w:eastAsia="zh-CN"/>
              </w:rPr>
              <w:t>及</w:t>
            </w:r>
          </w:p>
        </w:tc>
        <w:tc>
          <w:tcPr>
            <w:tcW w:w="3589" w:type="pct"/>
            <w:tcBorders>
              <w:top w:val="single" w:color="auto" w:sz="4" w:space="0"/>
              <w:left w:val="single" w:color="auto" w:sz="4" w:space="0"/>
              <w:bottom w:val="single" w:color="auto" w:sz="4" w:space="0"/>
              <w:right w:val="single" w:color="auto" w:sz="4" w:space="0"/>
            </w:tcBorders>
            <w:noWrap w:val="0"/>
            <w:vAlign w:val="center"/>
          </w:tcPr>
          <w:p w14:paraId="3FB47EEF">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评分内容</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231A1C23">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满分</w:t>
            </w:r>
          </w:p>
        </w:tc>
      </w:tr>
      <w:tr w14:paraId="74B6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pct"/>
          <w:trHeight w:val="90"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14:paraId="4CD35A8C">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33517D02">
            <w:pPr>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价格分</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10分</w:t>
            </w:r>
            <w:r>
              <w:rPr>
                <w:rFonts w:hint="eastAsia" w:ascii="宋体" w:hAnsi="宋体" w:cs="宋体"/>
                <w:b/>
                <w:color w:val="auto"/>
                <w:szCs w:val="21"/>
                <w:highlight w:val="none"/>
                <w:lang w:eastAsia="zh-CN"/>
              </w:rPr>
              <w:t>）</w:t>
            </w:r>
          </w:p>
        </w:tc>
        <w:tc>
          <w:tcPr>
            <w:tcW w:w="3589" w:type="pct"/>
            <w:tcBorders>
              <w:top w:val="single" w:color="auto" w:sz="4" w:space="0"/>
              <w:left w:val="single" w:color="auto" w:sz="4" w:space="0"/>
              <w:bottom w:val="single" w:color="auto" w:sz="4" w:space="0"/>
              <w:right w:val="single" w:color="auto" w:sz="4" w:space="0"/>
            </w:tcBorders>
            <w:noWrap w:val="0"/>
            <w:vAlign w:val="top"/>
          </w:tcPr>
          <w:p w14:paraId="18A2E5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（1）评标报价为供应商的</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进行政策性扣除后的价格，评标报价只是作为评审时使用。最终</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的</w:t>
            </w:r>
            <w:r>
              <w:rPr>
                <w:rFonts w:hint="eastAsia" w:ascii="宋体" w:hAnsi="宋体" w:cs="宋体"/>
                <w:color w:val="auto"/>
                <w:szCs w:val="21"/>
                <w:highlight w:val="none"/>
                <w:lang w:eastAsia="zh-CN"/>
              </w:rPr>
              <w:t>成交金额</w:t>
            </w:r>
            <w:r>
              <w:rPr>
                <w:rFonts w:hint="eastAsia" w:ascii="宋体" w:hAnsi="宋体" w:cs="宋体"/>
                <w:color w:val="auto"/>
                <w:szCs w:val="21"/>
                <w:highlight w:val="none"/>
              </w:rPr>
              <w:t>等于</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（如有修正，以确认修正后的</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为准）。</w:t>
            </w:r>
          </w:p>
          <w:p w14:paraId="42532E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（2）政府采购政策性扣除计算方法</w:t>
            </w:r>
          </w:p>
          <w:p w14:paraId="7CE50E9E">
            <w:pPr>
              <w:spacing w:line="360" w:lineRule="auto"/>
              <w:ind w:firstLine="369" w:firstLineChars="176"/>
              <w:rPr>
                <w:rFonts w:ascii="宋体" w:hAnsi="宋体" w:cs="宋体"/>
                <w:color w:val="auto"/>
                <w:szCs w:val="21"/>
                <w:highlight w:val="none"/>
              </w:rPr>
            </w:pPr>
            <w:r>
              <w:rPr>
                <w:rFonts w:hint="eastAsia" w:ascii="宋体" w:hAnsi="宋体" w:cs="宋体"/>
                <w:color w:val="auto"/>
                <w:szCs w:val="21"/>
                <w:highlight w:val="none"/>
              </w:rPr>
              <w:t>根据《政府采购促进中小企业发展管理办法》（财库〔2020〕46号）及《广西壮族自治区财政厅关于持续优化政府采购营商环境推动高质量发展的通知》（桂财采〔2024〕55号）的规定，供应商在其投标文件中提供《中小企业声明函》，且其投标提供的服务由小微企业承接的，对供应商的</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给予10%的扣除，扣除后的价格为评标报价，即评标报价=</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×（1-10%）。除上述情况外，评标报价=</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w:t>
            </w:r>
          </w:p>
          <w:p w14:paraId="1B8382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BE031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3A881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本项目不涉及</w:t>
            </w:r>
            <w:r>
              <w:rPr>
                <w:rFonts w:hint="eastAsia" w:ascii="宋体" w:hAnsi="宋体" w:cs="宋体"/>
                <w:color w:val="auto"/>
                <w:szCs w:val="21"/>
                <w:highlight w:val="none"/>
              </w:rPr>
              <w:t>本国产品政策性扣除。</w:t>
            </w:r>
          </w:p>
          <w:p w14:paraId="1B8695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（6）以进入比较与评价环节的最低的评标报价为基准价，基准价得分为</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分</w:t>
            </w:r>
            <w:r>
              <w:rPr>
                <w:rFonts w:hint="eastAsia" w:ascii="宋体" w:hAnsi="宋体" w:cs="宋体"/>
                <w:color w:val="auto"/>
                <w:szCs w:val="21"/>
                <w:highlight w:val="none"/>
              </w:rPr>
              <w:t>。</w:t>
            </w:r>
          </w:p>
          <w:p w14:paraId="118164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（7）价格分计算公式：</w:t>
            </w:r>
          </w:p>
          <w:p w14:paraId="37624B7A">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报价得分=（基准价/评标报价）×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分</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4CC6AE2F">
            <w:pPr>
              <w:spacing w:line="400" w:lineRule="exact"/>
              <w:jc w:val="center"/>
              <w:rPr>
                <w:rFonts w:hint="eastAsia" w:ascii="宋体" w:hAnsi="宋体" w:cs="宋体"/>
                <w:bCs/>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分</w:t>
            </w:r>
          </w:p>
        </w:tc>
      </w:tr>
      <w:tr w14:paraId="347B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14:paraId="167C587B">
            <w:pPr>
              <w:widowControl/>
              <w:spacing w:line="40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2</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7EEC25AA">
            <w:pPr>
              <w:widowControl/>
              <w:spacing w:line="40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技术分</w:t>
            </w:r>
          </w:p>
        </w:tc>
        <w:tc>
          <w:tcPr>
            <w:tcW w:w="3589" w:type="pct"/>
            <w:tcBorders>
              <w:top w:val="single" w:color="auto" w:sz="4" w:space="0"/>
              <w:left w:val="single" w:color="auto" w:sz="4" w:space="0"/>
              <w:bottom w:val="single" w:color="auto" w:sz="4" w:space="0"/>
              <w:right w:val="single" w:color="auto" w:sz="4" w:space="0"/>
            </w:tcBorders>
            <w:noWrap w:val="0"/>
            <w:vAlign w:val="center"/>
          </w:tcPr>
          <w:p w14:paraId="529362A6">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457DA596">
            <w:pPr>
              <w:widowControl/>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技术分总分值</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72分</w:t>
            </w:r>
            <w:r>
              <w:rPr>
                <w:rFonts w:hint="eastAsia" w:ascii="宋体" w:hAnsi="宋体" w:cs="宋体"/>
                <w:b/>
                <w:color w:val="auto"/>
                <w:szCs w:val="21"/>
                <w:highlight w:val="none"/>
                <w:lang w:eastAsia="zh-CN"/>
              </w:rPr>
              <w:t>）</w:t>
            </w:r>
          </w:p>
        </w:tc>
      </w:tr>
      <w:tr w14:paraId="4D05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14:paraId="0DD684E3">
            <w:pPr>
              <w:widowControl/>
              <w:spacing w:line="400" w:lineRule="exact"/>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2.1</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6BD087AF">
            <w:pPr>
              <w:adjustRightInd w:val="0"/>
              <w:spacing w:line="390" w:lineRule="exact"/>
              <w:ind w:left="-105" w:leftChars="-50" w:right="-105" w:rightChars="-50"/>
              <w:jc w:val="center"/>
              <w:textAlignment w:val="baseline"/>
              <w:rPr>
                <w:rFonts w:hint="eastAsia" w:ascii="宋体" w:hAnsi="宋体" w:cs="宋体"/>
                <w:b/>
                <w:bCs w:val="0"/>
                <w:color w:val="auto"/>
                <w:szCs w:val="21"/>
                <w:highlight w:val="none"/>
              </w:rPr>
            </w:pPr>
            <w:r>
              <w:rPr>
                <w:rFonts w:hint="eastAsia" w:ascii="宋体" w:hAnsi="宋体"/>
                <w:b/>
                <w:bCs w:val="0"/>
                <w:color w:val="auto"/>
                <w:highlight w:val="none"/>
              </w:rPr>
              <w:t>项目技术方案分（满分24分）</w:t>
            </w:r>
          </w:p>
        </w:tc>
        <w:tc>
          <w:tcPr>
            <w:tcW w:w="7050" w:type="dxa"/>
            <w:tcBorders>
              <w:top w:val="single" w:color="auto" w:sz="4" w:space="0"/>
              <w:left w:val="single" w:color="auto" w:sz="4" w:space="0"/>
              <w:bottom w:val="single" w:color="auto" w:sz="4" w:space="0"/>
              <w:right w:val="single" w:color="auto" w:sz="4" w:space="0"/>
            </w:tcBorders>
            <w:noWrap w:val="0"/>
            <w:vAlign w:val="center"/>
          </w:tcPr>
          <w:p w14:paraId="647C12A2">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由</w:t>
            </w:r>
            <w:r>
              <w:rPr>
                <w:rFonts w:hint="eastAsia" w:ascii="宋体" w:hAnsi="宋体"/>
                <w:bCs/>
                <w:color w:val="auto"/>
                <w:highlight w:val="none"/>
                <w:lang w:eastAsia="zh-CN"/>
              </w:rPr>
              <w:t>磋商小组</w:t>
            </w:r>
            <w:r>
              <w:rPr>
                <w:rFonts w:hint="eastAsia" w:ascii="宋体" w:hAnsi="宋体"/>
                <w:bCs/>
                <w:color w:val="auto"/>
                <w:highlight w:val="none"/>
              </w:rPr>
              <w:t>在打分前根据响应文件中的项目技术方案等内容，由</w:t>
            </w:r>
            <w:r>
              <w:rPr>
                <w:rFonts w:hint="eastAsia" w:ascii="宋体" w:hAnsi="宋体"/>
                <w:bCs/>
                <w:color w:val="auto"/>
                <w:highlight w:val="none"/>
                <w:lang w:eastAsia="zh-CN"/>
              </w:rPr>
              <w:t>磋商小组</w:t>
            </w:r>
            <w:r>
              <w:rPr>
                <w:rFonts w:hint="eastAsia" w:ascii="宋体" w:hAnsi="宋体"/>
                <w:bCs/>
                <w:color w:val="auto"/>
                <w:highlight w:val="none"/>
              </w:rPr>
              <w:t>独立打分。</w:t>
            </w:r>
          </w:p>
          <w:p w14:paraId="332F4867">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一档（6分）：根据项目服务采购需求，提供的</w:t>
            </w:r>
            <w:r>
              <w:rPr>
                <w:rFonts w:ascii="宋体" w:hAnsi="宋体"/>
                <w:bCs/>
                <w:color w:val="auto"/>
                <w:highlight w:val="none"/>
              </w:rPr>
              <w:t>项目技术</w:t>
            </w:r>
            <w:r>
              <w:rPr>
                <w:rFonts w:hint="eastAsia" w:ascii="宋体" w:hAnsi="宋体"/>
                <w:bCs/>
                <w:color w:val="auto"/>
                <w:highlight w:val="none"/>
              </w:rPr>
              <w:t>方案有线路规划设计、线路承载技术介绍内容，综合评定满足采购文件项目需求的。</w:t>
            </w:r>
          </w:p>
          <w:p w14:paraId="3A27E3FB">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二档（12分）：一档基础上，提供的</w:t>
            </w:r>
            <w:r>
              <w:rPr>
                <w:rFonts w:ascii="宋体" w:hAnsi="宋体"/>
                <w:bCs/>
                <w:color w:val="auto"/>
                <w:highlight w:val="none"/>
              </w:rPr>
              <w:t>项目技术</w:t>
            </w:r>
            <w:r>
              <w:rPr>
                <w:rFonts w:hint="eastAsia" w:ascii="宋体" w:hAnsi="宋体"/>
                <w:bCs/>
                <w:color w:val="auto"/>
                <w:highlight w:val="none"/>
              </w:rPr>
              <w:t>方案项目设计原则具有先进性、可靠性、安全性、扩展性、管理性，能够理解本项目的特点，项目需求分析满足本项目服务采购需求，建设方案详细、可行，线路具有稳定性和安全性，能保障业务系统不受影响。</w:t>
            </w:r>
          </w:p>
          <w:p w14:paraId="720A3E75">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三档（18分）：二档基础上，提供的</w:t>
            </w:r>
            <w:r>
              <w:rPr>
                <w:rFonts w:ascii="宋体" w:hAnsi="宋体"/>
                <w:bCs/>
                <w:color w:val="auto"/>
                <w:highlight w:val="none"/>
              </w:rPr>
              <w:t>项目技术</w:t>
            </w:r>
            <w:r>
              <w:rPr>
                <w:rFonts w:hint="eastAsia" w:ascii="宋体" w:hAnsi="宋体"/>
                <w:bCs/>
                <w:color w:val="auto"/>
                <w:highlight w:val="none"/>
              </w:rPr>
              <w:t>方案具体描述详细、针对性强、可行，完全满足本项目需求，具有很高的稳定性和安全性，能描述有整体方案思路设计、接入方式等内容。网络具备冗余备份、网络保护机制等优势能保障业务系统完全不受影响。</w:t>
            </w:r>
          </w:p>
          <w:p w14:paraId="653A98D7">
            <w:pPr>
              <w:widowControl/>
              <w:spacing w:line="390" w:lineRule="exact"/>
              <w:ind w:firstLine="420" w:firstLineChars="200"/>
              <w:rPr>
                <w:rFonts w:hint="eastAsia" w:ascii="宋体" w:hAnsi="宋体" w:cs="宋体"/>
                <w:b/>
                <w:color w:val="auto"/>
                <w:szCs w:val="21"/>
                <w:highlight w:val="none"/>
              </w:rPr>
            </w:pPr>
            <w:r>
              <w:rPr>
                <w:rFonts w:hint="eastAsia" w:ascii="宋体" w:hAnsi="宋体"/>
                <w:bCs/>
                <w:color w:val="auto"/>
                <w:highlight w:val="none"/>
              </w:rPr>
              <w:t>四档（24分）：三档基础上，提供的</w:t>
            </w:r>
            <w:r>
              <w:rPr>
                <w:rFonts w:ascii="宋体" w:hAnsi="宋体"/>
                <w:bCs/>
                <w:color w:val="auto"/>
                <w:highlight w:val="none"/>
              </w:rPr>
              <w:t>项目技术</w:t>
            </w:r>
            <w:r>
              <w:rPr>
                <w:rFonts w:hint="eastAsia" w:ascii="宋体" w:hAnsi="宋体"/>
                <w:bCs/>
                <w:color w:val="auto"/>
                <w:highlight w:val="none"/>
              </w:rPr>
              <w:t>方案有详细的</w:t>
            </w:r>
            <w:r>
              <w:rPr>
                <w:rFonts w:ascii="宋体" w:hAnsi="宋体"/>
                <w:bCs/>
                <w:color w:val="auto"/>
                <w:highlight w:val="none"/>
              </w:rPr>
              <w:t>项目技术</w:t>
            </w:r>
            <w:r>
              <w:rPr>
                <w:rFonts w:hint="eastAsia" w:ascii="宋体" w:hAnsi="宋体"/>
                <w:bCs/>
                <w:color w:val="auto"/>
                <w:highlight w:val="none"/>
              </w:rPr>
              <w:t>难点分析及合理化建议，</w:t>
            </w:r>
            <w:r>
              <w:rPr>
                <w:rFonts w:ascii="宋体" w:hAnsi="宋体"/>
                <w:bCs/>
                <w:color w:val="auto"/>
                <w:highlight w:val="none"/>
              </w:rPr>
              <w:t>技术</w:t>
            </w:r>
            <w:r>
              <w:rPr>
                <w:rFonts w:hint="eastAsia" w:ascii="宋体" w:hAnsi="宋体"/>
                <w:bCs/>
                <w:color w:val="auto"/>
                <w:highlight w:val="none"/>
              </w:rPr>
              <w:t>方案具备成熟的传输网络、线路具备安全性，可以描述实现物理双路由的功能、具备网络扩展性等优势及亮点，可采用基于分组复用、动态寻址方式的网络技术进行点对点专线组网，互联网出口提供抗DDOS攻击防护服务，鉴于国家重要机关对网络安全防护级别高要求，避免黑客通过互联网对国家机关网站、互联网应用攻击和篡改，提供互联网出口具备抗DDOS攻击防护能力，具备流量清洗能力。具备网络割接方案、备用通信方案，线路具有网络网速监测能力能保障业务系统完全不受影响。</w:t>
            </w:r>
          </w:p>
        </w:tc>
        <w:tc>
          <w:tcPr>
            <w:tcW w:w="1053" w:type="dxa"/>
            <w:gridSpan w:val="2"/>
            <w:tcBorders>
              <w:top w:val="single" w:color="auto" w:sz="4" w:space="0"/>
              <w:left w:val="single" w:color="auto" w:sz="4" w:space="0"/>
              <w:bottom w:val="single" w:color="auto" w:sz="4" w:space="0"/>
              <w:right w:val="single" w:color="auto" w:sz="4" w:space="0"/>
            </w:tcBorders>
            <w:noWrap w:val="0"/>
            <w:vAlign w:val="center"/>
          </w:tcPr>
          <w:p w14:paraId="5A312B47">
            <w:pPr>
              <w:spacing w:line="390" w:lineRule="exact"/>
              <w:jc w:val="center"/>
              <w:rPr>
                <w:rFonts w:hint="default" w:ascii="宋体" w:hAnsi="宋体" w:eastAsia="宋体" w:cs="宋体"/>
                <w:b/>
                <w:color w:val="auto"/>
                <w:szCs w:val="21"/>
                <w:highlight w:val="none"/>
                <w:lang w:val="en-US" w:eastAsia="zh-CN"/>
              </w:rPr>
            </w:pPr>
            <w:r>
              <w:rPr>
                <w:rFonts w:hint="eastAsia" w:ascii="宋体" w:hAnsi="宋体" w:cs="Tahoma"/>
                <w:color w:val="auto"/>
                <w:highlight w:val="none"/>
              </w:rPr>
              <w:t>24分</w:t>
            </w:r>
          </w:p>
        </w:tc>
      </w:tr>
      <w:tr w14:paraId="7C04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14:paraId="188F357B">
            <w:pPr>
              <w:widowControl/>
              <w:spacing w:line="400" w:lineRule="exact"/>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2.2</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D419946">
            <w:pPr>
              <w:snapToGrid w:val="0"/>
              <w:spacing w:line="400" w:lineRule="exact"/>
              <w:jc w:val="center"/>
              <w:rPr>
                <w:rFonts w:hint="eastAsia" w:ascii="宋体" w:hAnsi="宋体" w:cs="宋体"/>
                <w:b/>
                <w:bCs w:val="0"/>
                <w:color w:val="auto"/>
                <w:szCs w:val="21"/>
                <w:highlight w:val="none"/>
              </w:rPr>
            </w:pPr>
            <w:r>
              <w:rPr>
                <w:rFonts w:ascii="宋体" w:hAnsi="宋体"/>
                <w:b/>
                <w:bCs w:val="0"/>
                <w:color w:val="auto"/>
                <w:highlight w:val="none"/>
              </w:rPr>
              <w:t>项目实施服务方案</w:t>
            </w:r>
            <w:r>
              <w:rPr>
                <w:rFonts w:hint="eastAsia" w:ascii="宋体" w:hAnsi="宋体"/>
                <w:b/>
                <w:bCs w:val="0"/>
                <w:color w:val="auto"/>
                <w:highlight w:val="none"/>
              </w:rPr>
              <w:t>分（满分24分）</w:t>
            </w:r>
          </w:p>
        </w:tc>
        <w:tc>
          <w:tcPr>
            <w:tcW w:w="7050" w:type="dxa"/>
            <w:tcBorders>
              <w:top w:val="single" w:color="auto" w:sz="4" w:space="0"/>
              <w:left w:val="single" w:color="auto" w:sz="4" w:space="0"/>
              <w:bottom w:val="single" w:color="auto" w:sz="4" w:space="0"/>
              <w:right w:val="single" w:color="auto" w:sz="4" w:space="0"/>
            </w:tcBorders>
            <w:noWrap w:val="0"/>
            <w:vAlign w:val="center"/>
          </w:tcPr>
          <w:p w14:paraId="36228ED3">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由</w:t>
            </w:r>
            <w:r>
              <w:rPr>
                <w:rFonts w:hint="eastAsia" w:ascii="宋体" w:hAnsi="宋体"/>
                <w:bCs/>
                <w:color w:val="auto"/>
                <w:highlight w:val="none"/>
                <w:lang w:eastAsia="zh-CN"/>
              </w:rPr>
              <w:t>磋商小组</w:t>
            </w:r>
            <w:r>
              <w:rPr>
                <w:rFonts w:hint="eastAsia" w:ascii="宋体" w:hAnsi="宋体"/>
                <w:bCs/>
                <w:color w:val="auto"/>
                <w:highlight w:val="none"/>
              </w:rPr>
              <w:t>在打分前根据响应文件中的项目实施服务方案等内容，由</w:t>
            </w:r>
            <w:r>
              <w:rPr>
                <w:rFonts w:hint="eastAsia" w:ascii="宋体" w:hAnsi="宋体"/>
                <w:bCs/>
                <w:color w:val="auto"/>
                <w:highlight w:val="none"/>
                <w:lang w:eastAsia="zh-CN"/>
              </w:rPr>
              <w:t>磋商小组</w:t>
            </w:r>
            <w:r>
              <w:rPr>
                <w:rFonts w:hint="eastAsia" w:ascii="宋体" w:hAnsi="宋体"/>
                <w:bCs/>
                <w:color w:val="auto"/>
                <w:highlight w:val="none"/>
              </w:rPr>
              <w:t>独立打分。</w:t>
            </w:r>
          </w:p>
          <w:p w14:paraId="76C9FE9B">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一档（6分）：项目实施服务方案满足项目服务采购需求，有项目实施组织机构，具有安装调试方法，实施方案</w:t>
            </w:r>
            <w:r>
              <w:rPr>
                <w:rFonts w:hint="eastAsia" w:ascii="宋体" w:hAnsi="宋体"/>
                <w:bCs/>
                <w:color w:val="auto"/>
                <w:highlight w:val="none"/>
                <w:lang w:eastAsia="zh-CN"/>
              </w:rPr>
              <w:t>不具备</w:t>
            </w:r>
            <w:r>
              <w:rPr>
                <w:rFonts w:hint="eastAsia" w:ascii="宋体" w:hAnsi="宋体"/>
                <w:bCs/>
                <w:color w:val="auto"/>
                <w:highlight w:val="none"/>
              </w:rPr>
              <w:t>可操作性。</w:t>
            </w:r>
          </w:p>
          <w:p w14:paraId="40BC6A99">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二档（12分）：一档的基础上，有项目实施组织机构，具有合理的安装调试方法，工期划分合理，具有进度计划、项目实施管理文档计划、安全及质量保证措施，提供合理的工期保证措施，</w:t>
            </w:r>
            <w:r>
              <w:rPr>
                <w:rFonts w:ascii="宋体" w:hAnsi="宋体"/>
                <w:bCs/>
                <w:color w:val="auto"/>
                <w:highlight w:val="none"/>
              </w:rPr>
              <w:t>拟投入的施工服务人员不少于</w:t>
            </w:r>
            <w:r>
              <w:rPr>
                <w:rFonts w:hint="eastAsia" w:ascii="宋体" w:hAnsi="宋体"/>
                <w:bCs/>
                <w:color w:val="auto"/>
                <w:highlight w:val="none"/>
              </w:rPr>
              <w:t>4</w:t>
            </w:r>
            <w:r>
              <w:rPr>
                <w:rFonts w:ascii="宋体" w:hAnsi="宋体"/>
                <w:bCs/>
                <w:color w:val="auto"/>
                <w:highlight w:val="none"/>
              </w:rPr>
              <w:t>人</w:t>
            </w:r>
            <w:r>
              <w:rPr>
                <w:rFonts w:hint="eastAsia" w:ascii="宋体" w:hAnsi="宋体"/>
                <w:bCs/>
                <w:color w:val="auto"/>
                <w:highlight w:val="none"/>
              </w:rPr>
              <w:t>。</w:t>
            </w:r>
          </w:p>
          <w:p w14:paraId="21C47CF8">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三档（18分）：二档的基础上，有项目实施组织机构，具有合理的安装调试方法，工期划分合理，具有详细的进度计划、项目实施管理文档计划、安全及质量保证措施，提供合理的工期保证措施、项目应急预案，建议的安装、调试、验收方法或方案完善有效、优化细致、切实可行，</w:t>
            </w:r>
            <w:r>
              <w:rPr>
                <w:rFonts w:ascii="宋体" w:hAnsi="宋体"/>
                <w:bCs/>
                <w:color w:val="auto"/>
                <w:highlight w:val="none"/>
              </w:rPr>
              <w:t>拟投入的施工服务人员不少于</w:t>
            </w:r>
            <w:r>
              <w:rPr>
                <w:rFonts w:hint="eastAsia" w:ascii="宋体" w:hAnsi="宋体"/>
                <w:bCs/>
                <w:color w:val="auto"/>
                <w:highlight w:val="none"/>
              </w:rPr>
              <w:t>8</w:t>
            </w:r>
            <w:r>
              <w:rPr>
                <w:rFonts w:ascii="宋体" w:hAnsi="宋体"/>
                <w:bCs/>
                <w:color w:val="auto"/>
                <w:highlight w:val="none"/>
              </w:rPr>
              <w:t>人</w:t>
            </w:r>
            <w:r>
              <w:rPr>
                <w:rFonts w:hint="eastAsia" w:ascii="宋体" w:hAnsi="宋体"/>
                <w:bCs/>
                <w:color w:val="auto"/>
                <w:highlight w:val="none"/>
              </w:rPr>
              <w:t>。</w:t>
            </w:r>
          </w:p>
          <w:p w14:paraId="5737F2FD">
            <w:pPr>
              <w:widowControl/>
              <w:spacing w:line="390" w:lineRule="exact"/>
              <w:ind w:firstLine="420" w:firstLineChars="200"/>
              <w:rPr>
                <w:rFonts w:hint="eastAsia" w:ascii="宋体" w:hAnsi="宋体" w:cs="宋体"/>
                <w:b/>
                <w:color w:val="auto"/>
                <w:szCs w:val="21"/>
                <w:highlight w:val="none"/>
              </w:rPr>
            </w:pPr>
            <w:r>
              <w:rPr>
                <w:rFonts w:hint="eastAsia" w:ascii="宋体" w:hAnsi="宋体"/>
                <w:bCs/>
                <w:color w:val="auto"/>
                <w:highlight w:val="none"/>
              </w:rPr>
              <w:t>四档（24分）：三档基础上，提供的项目实施服务方案完整清晰，完全满足采购文件要求。工作安排和进度计划方案完整，能详细说明各个阶段工作安排和进度计划，提供实施进度计划和工期保证措施及赶工措施、服务实施安全保障措施、服务质量保证措施、项目风险管理措施、文明施工管理措施，技术服务、技术培训的服务内容和措施完善，</w:t>
            </w:r>
            <w:r>
              <w:rPr>
                <w:rFonts w:ascii="宋体" w:hAnsi="宋体"/>
                <w:bCs/>
                <w:color w:val="auto"/>
                <w:highlight w:val="none"/>
              </w:rPr>
              <w:t>拟投入</w:t>
            </w:r>
            <w:r>
              <w:rPr>
                <w:rFonts w:hint="eastAsia" w:ascii="宋体" w:hAnsi="宋体"/>
                <w:bCs/>
                <w:color w:val="auto"/>
                <w:highlight w:val="none"/>
              </w:rPr>
              <w:t>的</w:t>
            </w:r>
            <w:r>
              <w:rPr>
                <w:rFonts w:ascii="宋体" w:hAnsi="宋体"/>
                <w:bCs/>
                <w:color w:val="auto"/>
                <w:highlight w:val="none"/>
              </w:rPr>
              <w:t>施工服务人员</w:t>
            </w:r>
            <w:r>
              <w:rPr>
                <w:rFonts w:hint="eastAsia" w:ascii="宋体" w:hAnsi="宋体"/>
                <w:bCs/>
                <w:color w:val="auto"/>
                <w:highlight w:val="none"/>
              </w:rPr>
              <w:t>不</w:t>
            </w:r>
            <w:r>
              <w:rPr>
                <w:rFonts w:ascii="宋体" w:hAnsi="宋体"/>
                <w:bCs/>
                <w:color w:val="auto"/>
                <w:highlight w:val="none"/>
              </w:rPr>
              <w:t>少于</w:t>
            </w:r>
            <w:r>
              <w:rPr>
                <w:rFonts w:hint="eastAsia" w:ascii="宋体" w:hAnsi="宋体"/>
                <w:bCs/>
                <w:color w:val="auto"/>
                <w:highlight w:val="none"/>
              </w:rPr>
              <w:t>15</w:t>
            </w:r>
            <w:r>
              <w:rPr>
                <w:rFonts w:ascii="宋体" w:hAnsi="宋体"/>
                <w:bCs/>
                <w:color w:val="auto"/>
                <w:highlight w:val="none"/>
              </w:rPr>
              <w:t>人</w:t>
            </w:r>
            <w:r>
              <w:rPr>
                <w:rFonts w:hint="eastAsia" w:ascii="宋体" w:hAnsi="宋体"/>
                <w:bCs/>
                <w:color w:val="auto"/>
                <w:highlight w:val="none"/>
              </w:rPr>
              <w:t>，保证项目实施的技术力量和人力资源安排充足。</w:t>
            </w:r>
          </w:p>
        </w:tc>
        <w:tc>
          <w:tcPr>
            <w:tcW w:w="1053" w:type="dxa"/>
            <w:gridSpan w:val="2"/>
            <w:tcBorders>
              <w:top w:val="single" w:color="auto" w:sz="4" w:space="0"/>
              <w:left w:val="single" w:color="auto" w:sz="4" w:space="0"/>
              <w:bottom w:val="single" w:color="auto" w:sz="4" w:space="0"/>
              <w:right w:val="single" w:color="auto" w:sz="4" w:space="0"/>
            </w:tcBorders>
            <w:noWrap w:val="0"/>
            <w:vAlign w:val="center"/>
          </w:tcPr>
          <w:p w14:paraId="30EC2BC3">
            <w:pPr>
              <w:spacing w:line="390" w:lineRule="exact"/>
              <w:jc w:val="center"/>
              <w:rPr>
                <w:rFonts w:hint="default" w:ascii="宋体" w:hAnsi="宋体" w:eastAsia="宋体" w:cs="宋体"/>
                <w:b/>
                <w:color w:val="auto"/>
                <w:szCs w:val="21"/>
                <w:highlight w:val="none"/>
                <w:lang w:val="en-US" w:eastAsia="zh-CN"/>
              </w:rPr>
            </w:pPr>
            <w:r>
              <w:rPr>
                <w:rFonts w:hint="eastAsia" w:ascii="宋体" w:hAnsi="宋体" w:cs="Tahoma"/>
                <w:color w:val="auto"/>
                <w:highlight w:val="none"/>
              </w:rPr>
              <w:t>24分</w:t>
            </w:r>
          </w:p>
        </w:tc>
      </w:tr>
      <w:tr w14:paraId="2B04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14:paraId="4C21E5D3">
            <w:pPr>
              <w:spacing w:line="360" w:lineRule="auto"/>
              <w:ind w:firstLine="0"/>
              <w:jc w:val="center"/>
              <w:rPr>
                <w:rFonts w:hint="eastAsia" w:ascii="宋体" w:hAnsi="宋体" w:cs="宋体"/>
                <w:b/>
                <w:bCs w:val="0"/>
                <w:color w:val="auto"/>
                <w:szCs w:val="21"/>
                <w:highlight w:val="none"/>
              </w:rPr>
            </w:pPr>
            <w:r>
              <w:rPr>
                <w:rFonts w:hint="eastAsia" w:ascii="宋体" w:hAnsi="宋体" w:eastAsia="宋体" w:cs="宋体"/>
                <w:b/>
                <w:bCs w:val="0"/>
                <w:color w:val="auto"/>
                <w:highlight w:val="none"/>
                <w:lang w:val="en-US" w:eastAsia="zh-CN"/>
              </w:rPr>
              <w:t>2.3</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5F7526AB">
            <w:pPr>
              <w:snapToGrid w:val="0"/>
              <w:spacing w:line="400" w:lineRule="exact"/>
              <w:jc w:val="center"/>
              <w:rPr>
                <w:rFonts w:hint="eastAsia" w:ascii="宋体" w:hAnsi="宋体" w:eastAsia="宋体" w:cs="宋体"/>
                <w:b/>
                <w:bCs w:val="0"/>
                <w:color w:val="auto"/>
                <w:szCs w:val="21"/>
                <w:highlight w:val="none"/>
              </w:rPr>
            </w:pPr>
            <w:r>
              <w:rPr>
                <w:rFonts w:ascii="宋体" w:hAnsi="宋体"/>
                <w:b/>
                <w:bCs w:val="0"/>
                <w:color w:val="auto"/>
                <w:highlight w:val="none"/>
              </w:rPr>
              <w:t>售后服务方案</w:t>
            </w:r>
            <w:r>
              <w:rPr>
                <w:rFonts w:hint="eastAsia" w:ascii="宋体" w:hAnsi="宋体"/>
                <w:b/>
                <w:bCs w:val="0"/>
                <w:color w:val="auto"/>
                <w:highlight w:val="none"/>
              </w:rPr>
              <w:t>分（满分24分）</w:t>
            </w:r>
          </w:p>
        </w:tc>
        <w:tc>
          <w:tcPr>
            <w:tcW w:w="7050" w:type="dxa"/>
            <w:tcBorders>
              <w:top w:val="single" w:color="auto" w:sz="4" w:space="0"/>
              <w:left w:val="single" w:color="auto" w:sz="4" w:space="0"/>
              <w:bottom w:val="single" w:color="auto" w:sz="4" w:space="0"/>
              <w:right w:val="single" w:color="auto" w:sz="4" w:space="0"/>
            </w:tcBorders>
            <w:noWrap w:val="0"/>
            <w:vAlign w:val="center"/>
          </w:tcPr>
          <w:p w14:paraId="56FC1225">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由</w:t>
            </w:r>
            <w:r>
              <w:rPr>
                <w:rFonts w:hint="eastAsia" w:ascii="宋体" w:hAnsi="宋体"/>
                <w:bCs/>
                <w:color w:val="auto"/>
                <w:highlight w:val="none"/>
                <w:lang w:eastAsia="zh-CN"/>
              </w:rPr>
              <w:t>磋商小组</w:t>
            </w:r>
            <w:r>
              <w:rPr>
                <w:rFonts w:hint="eastAsia" w:ascii="宋体" w:hAnsi="宋体"/>
                <w:bCs/>
                <w:color w:val="auto"/>
                <w:highlight w:val="none"/>
              </w:rPr>
              <w:t>在打分前根据响应文件中的售后服务方案等内容，由</w:t>
            </w:r>
            <w:r>
              <w:rPr>
                <w:rFonts w:hint="eastAsia" w:ascii="宋体" w:hAnsi="宋体"/>
                <w:bCs/>
                <w:color w:val="auto"/>
                <w:highlight w:val="none"/>
                <w:lang w:eastAsia="zh-CN"/>
              </w:rPr>
              <w:t>磋商小组</w:t>
            </w:r>
            <w:r>
              <w:rPr>
                <w:rFonts w:hint="eastAsia" w:ascii="宋体" w:hAnsi="宋体"/>
                <w:bCs/>
                <w:color w:val="auto"/>
                <w:highlight w:val="none"/>
              </w:rPr>
              <w:t>独立打分。</w:t>
            </w:r>
          </w:p>
          <w:p w14:paraId="7FB2C921">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一档（6分）：拟投入售后服务人员少于2人，提供的售后服务方案仅有项目售后维护方案，能满足项目服务采购需求。</w:t>
            </w:r>
          </w:p>
          <w:p w14:paraId="56645BDE">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二档（12分）：一档基础上，拟投入售后服务人员少于4人，提供的售后服务方案包含有项目售后维护和应急保障方案，提供的服务达到项目服务采购需求。</w:t>
            </w:r>
          </w:p>
          <w:p w14:paraId="7ED63E6C">
            <w:pPr>
              <w:widowControl/>
              <w:spacing w:line="390" w:lineRule="exact"/>
              <w:ind w:firstLine="420" w:firstLineChars="200"/>
              <w:rPr>
                <w:rFonts w:hint="eastAsia" w:ascii="宋体" w:hAnsi="宋体"/>
                <w:bCs/>
                <w:color w:val="auto"/>
                <w:highlight w:val="none"/>
              </w:rPr>
            </w:pPr>
            <w:r>
              <w:rPr>
                <w:rFonts w:hint="eastAsia" w:ascii="宋体" w:hAnsi="宋体"/>
                <w:bCs/>
                <w:color w:val="auto"/>
                <w:highlight w:val="none"/>
              </w:rPr>
              <w:t>三档（18分）：二档基础上，拟投入售后服务人员不少于8人，提供的售后服务方案包含有廉洁承诺、保密承诺、项目售后维护、应急保障方案等，且描述了项目维护和应急保障方案的方法以及实现方式，方案可行贴切项目服务采购需求，保障应急响应措施有力。</w:t>
            </w:r>
          </w:p>
          <w:p w14:paraId="1CD2A3DA">
            <w:pPr>
              <w:widowControl/>
              <w:spacing w:line="390" w:lineRule="exact"/>
              <w:ind w:firstLine="420" w:firstLineChars="200"/>
              <w:rPr>
                <w:rFonts w:hint="eastAsia" w:ascii="宋体" w:hAnsi="宋体" w:cs="宋体"/>
                <w:b/>
                <w:color w:val="auto"/>
                <w:szCs w:val="21"/>
                <w:highlight w:val="none"/>
              </w:rPr>
            </w:pPr>
            <w:r>
              <w:rPr>
                <w:rFonts w:hint="eastAsia" w:ascii="宋体" w:hAnsi="宋体"/>
                <w:bCs/>
                <w:color w:val="auto"/>
                <w:highlight w:val="none"/>
              </w:rPr>
              <w:t>四档（24分）：三档基础上，拟投入售后服务人员不少于12人，提供的售后服务方案包含有廉洁承诺、保密承诺、项目售后维护、应急保障方案等，且描述了项目售后维护和应急保障方案的方法以及实现方式、售后服务机构及联系人、售后服务人员名单等资料详细，服务承诺和保障措施完整。售后服务承诺在2小时内赶到，遇地震等不可抗力因素除外，每个月至少提供 1 次上门咨询服务，方案可行准确满足项目服务采购需求。</w:t>
            </w:r>
          </w:p>
        </w:tc>
        <w:tc>
          <w:tcPr>
            <w:tcW w:w="1053" w:type="dxa"/>
            <w:gridSpan w:val="2"/>
            <w:tcBorders>
              <w:top w:val="single" w:color="auto" w:sz="4" w:space="0"/>
              <w:left w:val="single" w:color="auto" w:sz="4" w:space="0"/>
              <w:bottom w:val="single" w:color="auto" w:sz="4" w:space="0"/>
              <w:right w:val="single" w:color="auto" w:sz="4" w:space="0"/>
            </w:tcBorders>
            <w:noWrap w:val="0"/>
            <w:vAlign w:val="center"/>
          </w:tcPr>
          <w:p w14:paraId="731BD700">
            <w:pPr>
              <w:spacing w:line="390" w:lineRule="exact"/>
              <w:jc w:val="center"/>
              <w:rPr>
                <w:rFonts w:hint="default" w:ascii="宋体" w:hAnsi="宋体" w:eastAsia="宋体" w:cs="宋体"/>
                <w:b/>
                <w:color w:val="auto"/>
                <w:szCs w:val="21"/>
                <w:highlight w:val="none"/>
                <w:lang w:val="en-US" w:eastAsia="zh-CN"/>
              </w:rPr>
            </w:pPr>
            <w:r>
              <w:rPr>
                <w:rFonts w:hint="eastAsia" w:ascii="宋体" w:hAnsi="宋体" w:cs="Tahoma"/>
                <w:color w:val="auto"/>
                <w:highlight w:val="none"/>
              </w:rPr>
              <w:t>24分</w:t>
            </w:r>
          </w:p>
        </w:tc>
      </w:tr>
      <w:tr w14:paraId="1F95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14:paraId="611F067A">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3C30FD4F">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商务分</w:t>
            </w:r>
          </w:p>
        </w:tc>
        <w:tc>
          <w:tcPr>
            <w:tcW w:w="3589" w:type="pct"/>
            <w:tcBorders>
              <w:top w:val="single" w:color="auto" w:sz="4" w:space="0"/>
              <w:left w:val="single" w:color="auto" w:sz="4" w:space="0"/>
              <w:bottom w:val="single" w:color="auto" w:sz="4" w:space="0"/>
              <w:right w:val="single" w:color="auto" w:sz="4" w:space="0"/>
            </w:tcBorders>
            <w:noWrap w:val="0"/>
            <w:vAlign w:val="center"/>
          </w:tcPr>
          <w:p w14:paraId="6F3626BC">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566BE51A">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商务分总分值（</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分）</w:t>
            </w:r>
          </w:p>
        </w:tc>
      </w:tr>
      <w:tr w14:paraId="5285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2" w:type="dxa"/>
            <w:tcBorders>
              <w:top w:val="single" w:color="auto" w:sz="4" w:space="0"/>
              <w:left w:val="single" w:color="auto" w:sz="4" w:space="0"/>
              <w:bottom w:val="single" w:color="auto" w:sz="4" w:space="0"/>
              <w:right w:val="single" w:color="auto" w:sz="4" w:space="0"/>
            </w:tcBorders>
            <w:noWrap w:val="0"/>
            <w:vAlign w:val="center"/>
          </w:tcPr>
          <w:p w14:paraId="4B33946F">
            <w:pPr>
              <w:widowControl/>
              <w:spacing w:line="400" w:lineRule="exact"/>
              <w:jc w:val="center"/>
              <w:rPr>
                <w:rFonts w:hint="default" w:ascii="宋体" w:hAnsi="宋体" w:eastAsia="宋体" w:cs="宋体"/>
                <w:bCs/>
                <w:color w:val="auto"/>
                <w:szCs w:val="21"/>
                <w:highlight w:val="none"/>
                <w:lang w:val="en-US" w:eastAsia="zh-CN"/>
              </w:rPr>
            </w:pPr>
            <w:r>
              <w:rPr>
                <w:rFonts w:hint="eastAsia" w:ascii="宋体" w:hAnsi="宋体"/>
                <w:color w:val="auto"/>
                <w:kern w:val="0"/>
              </w:rPr>
              <w:t>3.1</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6F0AFCB8">
            <w:pPr>
              <w:snapToGrid w:val="0"/>
              <w:spacing w:line="400" w:lineRule="exact"/>
              <w:jc w:val="center"/>
              <w:rPr>
                <w:rFonts w:hint="eastAsia" w:ascii="宋体" w:hAnsi="宋体" w:cs="宋体"/>
                <w:b/>
                <w:bCs/>
                <w:color w:val="auto"/>
                <w:szCs w:val="21"/>
                <w:highlight w:val="none"/>
              </w:rPr>
            </w:pPr>
            <w:r>
              <w:rPr>
                <w:rFonts w:hint="eastAsia" w:ascii="宋体" w:hAnsi="宋体"/>
                <w:b/>
                <w:bCs w:val="0"/>
                <w:color w:val="auto"/>
              </w:rPr>
              <w:t>拟投入团队能力分（满分</w:t>
            </w:r>
            <w:r>
              <w:rPr>
                <w:rFonts w:hint="eastAsia" w:ascii="宋体" w:hAnsi="宋体"/>
                <w:b/>
                <w:bCs w:val="0"/>
                <w:color w:val="auto"/>
                <w:lang w:val="en-US" w:eastAsia="zh-CN"/>
              </w:rPr>
              <w:t>13</w:t>
            </w:r>
            <w:r>
              <w:rPr>
                <w:rFonts w:hint="eastAsia" w:ascii="宋体" w:hAnsi="宋体"/>
                <w:b/>
                <w:bCs w:val="0"/>
                <w:color w:val="auto"/>
              </w:rPr>
              <w:t>分）</w:t>
            </w:r>
          </w:p>
        </w:tc>
        <w:tc>
          <w:tcPr>
            <w:tcW w:w="7050" w:type="dxa"/>
            <w:tcBorders>
              <w:top w:val="single" w:color="auto" w:sz="4" w:space="0"/>
              <w:left w:val="single" w:color="auto" w:sz="4" w:space="0"/>
              <w:bottom w:val="single" w:color="auto" w:sz="4" w:space="0"/>
              <w:right w:val="single" w:color="auto" w:sz="4" w:space="0"/>
            </w:tcBorders>
            <w:noWrap w:val="0"/>
            <w:vAlign w:val="center"/>
          </w:tcPr>
          <w:p w14:paraId="7BE46421">
            <w:pPr>
              <w:widowControl/>
              <w:spacing w:line="39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（1）拟投入的施工服务人员，持有中级（或以上等级）工程师的：4名及以下的得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分，8名的得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分，12名及以上的得</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分。（本小项满分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p w14:paraId="31E15C54">
            <w:pPr>
              <w:widowControl/>
              <w:spacing w:line="39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备注：须提供相关证书</w:t>
            </w:r>
            <w:r>
              <w:rPr>
                <w:rFonts w:hint="eastAsia" w:ascii="宋体" w:hAnsi="宋体" w:cs="宋体"/>
                <w:color w:val="auto"/>
                <w:szCs w:val="21"/>
                <w:highlight w:val="none"/>
                <w:lang w:eastAsia="zh-CN"/>
              </w:rPr>
              <w:t>复印件或扫描件并加盖投标人电子公章</w:t>
            </w:r>
            <w:r>
              <w:rPr>
                <w:rFonts w:hint="eastAsia" w:ascii="宋体" w:hAnsi="宋体" w:cs="宋体"/>
                <w:color w:val="auto"/>
                <w:szCs w:val="21"/>
                <w:highlight w:val="none"/>
              </w:rPr>
              <w:t>。</w:t>
            </w:r>
          </w:p>
          <w:p w14:paraId="44D6293F">
            <w:pPr>
              <w:widowControl/>
              <w:spacing w:line="39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拟投入的售后服务负责人（1人）具备以下资质：具有高级信息系统项目管理师、中级数据库系统工程师、注册信息安全工程师（CISE）、售后服务高级管理师认证证书的，每提供1个有效期内的证书复印件，得1分；如同时提供具备上述4个有效期内的证书复印件的，得4分。（本小项满分4分）</w:t>
            </w:r>
          </w:p>
          <w:p w14:paraId="4BB34F34">
            <w:pPr>
              <w:widowControl/>
              <w:spacing w:line="39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备注：须提供相关证书</w:t>
            </w:r>
            <w:r>
              <w:rPr>
                <w:rFonts w:hint="eastAsia" w:ascii="宋体" w:hAnsi="宋体" w:cs="宋体"/>
                <w:color w:val="auto"/>
                <w:szCs w:val="21"/>
                <w:highlight w:val="none"/>
                <w:lang w:eastAsia="zh-CN"/>
              </w:rPr>
              <w:t>复印件或扫描件并加盖投标人电子公章</w:t>
            </w:r>
            <w:r>
              <w:rPr>
                <w:rFonts w:hint="eastAsia" w:ascii="宋体" w:hAnsi="宋体" w:cs="宋体"/>
                <w:color w:val="auto"/>
                <w:szCs w:val="21"/>
                <w:highlight w:val="none"/>
              </w:rPr>
              <w:t>。</w:t>
            </w:r>
          </w:p>
        </w:tc>
        <w:tc>
          <w:tcPr>
            <w:tcW w:w="1053" w:type="dxa"/>
            <w:gridSpan w:val="2"/>
            <w:tcBorders>
              <w:top w:val="single" w:color="auto" w:sz="4" w:space="0"/>
              <w:left w:val="single" w:color="auto" w:sz="4" w:space="0"/>
              <w:bottom w:val="single" w:color="auto" w:sz="4" w:space="0"/>
              <w:right w:val="single" w:color="auto" w:sz="4" w:space="0"/>
            </w:tcBorders>
            <w:noWrap w:val="0"/>
            <w:vAlign w:val="center"/>
          </w:tcPr>
          <w:p w14:paraId="258A515A">
            <w:pPr>
              <w:spacing w:line="390" w:lineRule="exact"/>
              <w:jc w:val="center"/>
              <w:rPr>
                <w:rFonts w:hint="eastAsia" w:ascii="宋体" w:hAnsi="宋体" w:eastAsia="宋体" w:cs="宋体"/>
                <w:b/>
                <w:color w:val="auto"/>
                <w:szCs w:val="21"/>
                <w:highlight w:val="none"/>
                <w:lang w:val="en-US" w:eastAsia="zh-CN"/>
              </w:rPr>
            </w:pPr>
            <w:r>
              <w:rPr>
                <w:rFonts w:hint="eastAsia" w:ascii="宋体" w:hAnsi="宋体" w:cs="Tahoma"/>
                <w:color w:val="auto"/>
                <w:kern w:val="0"/>
                <w:lang w:val="en-US" w:eastAsia="zh-CN"/>
              </w:rPr>
              <w:t>13</w:t>
            </w:r>
            <w:r>
              <w:rPr>
                <w:rFonts w:hint="eastAsia" w:ascii="宋体" w:hAnsi="宋体" w:cs="Tahoma"/>
                <w:color w:val="auto"/>
                <w:kern w:val="0"/>
              </w:rPr>
              <w:t>分</w:t>
            </w:r>
          </w:p>
        </w:tc>
      </w:tr>
      <w:tr w14:paraId="2CF2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14:paraId="1166B9F9">
            <w:pPr>
              <w:widowControl/>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bCs/>
                <w:color w:val="auto"/>
                <w:szCs w:val="21"/>
                <w:highlight w:val="none"/>
                <w:lang w:val="en-US" w:eastAsia="zh-CN"/>
              </w:rPr>
              <w:t>2</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70A479FA">
            <w:pPr>
              <w:widowControl/>
              <w:spacing w:line="40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业绩分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5分</w:t>
            </w:r>
            <w:r>
              <w:rPr>
                <w:rFonts w:hint="eastAsia" w:ascii="宋体" w:hAnsi="宋体" w:cs="宋体"/>
                <w:b/>
                <w:bCs/>
                <w:color w:val="auto"/>
                <w:szCs w:val="21"/>
                <w:highlight w:val="none"/>
                <w:lang w:eastAsia="zh-CN"/>
              </w:rPr>
              <w:t>）</w:t>
            </w:r>
          </w:p>
        </w:tc>
        <w:tc>
          <w:tcPr>
            <w:tcW w:w="3589" w:type="pct"/>
            <w:tcBorders>
              <w:top w:val="single" w:color="auto" w:sz="4" w:space="0"/>
              <w:left w:val="single" w:color="auto" w:sz="4" w:space="0"/>
              <w:bottom w:val="single" w:color="auto" w:sz="4" w:space="0"/>
              <w:right w:val="single" w:color="auto" w:sz="4" w:space="0"/>
            </w:tcBorders>
            <w:noWrap w:val="0"/>
            <w:vAlign w:val="center"/>
          </w:tcPr>
          <w:p w14:paraId="644D083A">
            <w:pPr>
              <w:widowControl/>
              <w:spacing w:line="400" w:lineRule="exact"/>
              <w:ind w:firstLine="420"/>
              <w:jc w:val="left"/>
              <w:rPr>
                <w:rFonts w:hint="eastAsia" w:ascii="宋体" w:hAnsi="宋体" w:cs="Courier New"/>
                <w:color w:val="auto"/>
                <w:szCs w:val="21"/>
                <w:highlight w:val="none"/>
                <w:u w:val="none"/>
              </w:rPr>
            </w:pPr>
            <w:r>
              <w:rPr>
                <w:rFonts w:hint="eastAsia" w:ascii="宋体" w:hAnsi="宋体" w:cs="Courier New"/>
                <w:color w:val="auto"/>
                <w:szCs w:val="21"/>
                <w:highlight w:val="none"/>
                <w:u w:val="none"/>
              </w:rPr>
              <w:t>202</w:t>
            </w:r>
            <w:r>
              <w:rPr>
                <w:rFonts w:hint="eastAsia" w:ascii="宋体" w:hAnsi="宋体" w:cs="Courier New"/>
                <w:color w:val="auto"/>
                <w:szCs w:val="21"/>
                <w:highlight w:val="none"/>
                <w:u w:val="none"/>
                <w:lang w:val="en-US" w:eastAsia="zh-CN"/>
              </w:rPr>
              <w:t>3</w:t>
            </w:r>
            <w:r>
              <w:rPr>
                <w:rFonts w:hint="eastAsia" w:ascii="宋体" w:hAnsi="宋体" w:cs="Courier New"/>
                <w:color w:val="auto"/>
                <w:szCs w:val="21"/>
                <w:highlight w:val="none"/>
                <w:u w:val="none"/>
              </w:rPr>
              <w:t>年</w:t>
            </w:r>
            <w:r>
              <w:rPr>
                <w:rFonts w:hint="eastAsia" w:ascii="宋体" w:hAnsi="宋体"/>
                <w:color w:val="auto"/>
                <w:szCs w:val="21"/>
                <w:highlight w:val="none"/>
                <w:u w:val="none"/>
              </w:rPr>
              <w:t>1</w:t>
            </w:r>
            <w:r>
              <w:rPr>
                <w:rFonts w:hint="eastAsia" w:ascii="宋体" w:hAnsi="宋体" w:cs="Courier New"/>
                <w:color w:val="auto"/>
                <w:szCs w:val="21"/>
                <w:highlight w:val="none"/>
                <w:u w:val="none"/>
              </w:rPr>
              <w:t>月</w:t>
            </w:r>
            <w:r>
              <w:rPr>
                <w:rFonts w:hint="eastAsia" w:ascii="宋体" w:hAnsi="宋体"/>
                <w:color w:val="auto"/>
                <w:szCs w:val="21"/>
                <w:highlight w:val="none"/>
                <w:u w:val="none"/>
              </w:rPr>
              <w:t>1</w:t>
            </w:r>
            <w:r>
              <w:rPr>
                <w:rFonts w:hint="eastAsia" w:ascii="宋体" w:hAnsi="宋体" w:cs="Courier New"/>
                <w:color w:val="auto"/>
                <w:szCs w:val="21"/>
                <w:highlight w:val="none"/>
                <w:u w:val="none"/>
              </w:rPr>
              <w:t>日以来</w:t>
            </w:r>
            <w:r>
              <w:rPr>
                <w:rFonts w:hint="eastAsia" w:ascii="宋体" w:hAnsi="宋体" w:cs="Courier New"/>
                <w:color w:val="auto"/>
                <w:szCs w:val="21"/>
                <w:highlight w:val="none"/>
              </w:rPr>
              <w:t>至响应文件递交截止</w:t>
            </w:r>
            <w:r>
              <w:rPr>
                <w:rFonts w:hint="eastAsia" w:ascii="宋体" w:hAnsi="宋体" w:cs="Courier New"/>
                <w:color w:val="auto"/>
                <w:szCs w:val="21"/>
                <w:highlight w:val="none"/>
                <w:lang w:eastAsia="zh-CN"/>
              </w:rPr>
              <w:t>时间</w:t>
            </w:r>
            <w:r>
              <w:rPr>
                <w:rFonts w:hint="eastAsia" w:ascii="宋体" w:hAnsi="宋体" w:cs="Courier New"/>
                <w:color w:val="auto"/>
                <w:szCs w:val="21"/>
                <w:highlight w:val="none"/>
              </w:rPr>
              <w:t>止，供应商承担过类似项目业绩</w:t>
            </w:r>
            <w:r>
              <w:rPr>
                <w:rFonts w:hint="eastAsia" w:ascii="宋体" w:hAnsi="宋体" w:cs="宋体"/>
                <w:color w:val="auto"/>
                <w:szCs w:val="21"/>
                <w:highlight w:val="none"/>
              </w:rPr>
              <w:t>，每一个得</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分。【以加盖公章的中标（成交）通知书或合同复印件（或扫描件）为准】</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6ECFC7A7">
            <w:pPr>
              <w:widowControl/>
              <w:spacing w:line="400" w:lineRule="exact"/>
              <w:jc w:val="center"/>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分</w:t>
            </w:r>
          </w:p>
        </w:tc>
      </w:tr>
      <w:tr w14:paraId="6CC0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3" w:type="pct"/>
            <w:gridSpan w:val="3"/>
            <w:tcBorders>
              <w:top w:val="single" w:color="auto" w:sz="4" w:space="0"/>
              <w:left w:val="single" w:color="auto" w:sz="4" w:space="0"/>
              <w:bottom w:val="single" w:color="auto" w:sz="4" w:space="0"/>
              <w:right w:val="single" w:color="auto" w:sz="4" w:space="0"/>
            </w:tcBorders>
            <w:noWrap w:val="0"/>
            <w:vAlign w:val="top"/>
          </w:tcPr>
          <w:p w14:paraId="2807C791">
            <w:pPr>
              <w:pStyle w:val="222"/>
              <w:spacing w:line="400" w:lineRule="exact"/>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总得分＝1＋2＋3</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4F1BBD0D">
            <w:pPr>
              <w:widowControl/>
              <w:spacing w:line="400" w:lineRule="exact"/>
              <w:jc w:val="center"/>
              <w:rPr>
                <w:rFonts w:hint="eastAsia" w:ascii="宋体" w:hAnsi="宋体" w:cs="宋体"/>
                <w:color w:val="auto"/>
                <w:szCs w:val="21"/>
                <w:highlight w:val="none"/>
              </w:rPr>
            </w:pPr>
          </w:p>
        </w:tc>
      </w:tr>
    </w:tbl>
    <w:p w14:paraId="0130BB0F">
      <w:pPr>
        <w:spacing w:line="400" w:lineRule="exact"/>
        <w:rPr>
          <w:rFonts w:hint="eastAsia" w:ascii="宋体" w:hAnsi="宋体" w:cs="宋体"/>
          <w:b/>
          <w:color w:val="auto"/>
          <w:szCs w:val="21"/>
          <w:highlight w:val="none"/>
        </w:rPr>
      </w:pP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61175EB">
      <w:pPr>
        <w:spacing w:line="360" w:lineRule="auto"/>
        <w:ind w:firstLine="420"/>
        <w:rPr>
          <w:rFonts w:hint="eastAsia" w:ascii="宋体" w:hAnsi="宋体"/>
          <w:color w:val="auto"/>
          <w:szCs w:val="21"/>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分由高到低排序）。评审得分、最后报价（不计算价格折扣）、技术得分、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p>
    <w:p w14:paraId="392919F3">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6" w:name="_Toc2188"/>
      <w:r>
        <w:rPr>
          <w:rFonts w:hint="eastAsia" w:ascii="宋体" w:hAnsi="宋体" w:cs="宋体"/>
          <w:color w:val="auto"/>
          <w:highlight w:val="none"/>
        </w:rPr>
        <w:t>第五章 响应文件格式</w:t>
      </w:r>
      <w:bookmarkEnd w:id="46"/>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w:t>
      </w:r>
      <w:r>
        <w:rPr>
          <w:rFonts w:hint="eastAsia" w:ascii="宋体" w:hAnsi="宋体" w:cs="宋体"/>
          <w:color w:val="auto"/>
          <w:sz w:val="24"/>
          <w:highlight w:val="none"/>
          <w:lang w:val="en-US" w:eastAsia="zh-CN"/>
        </w:rPr>
        <w:t>被执行人、</w:t>
      </w:r>
      <w:r>
        <w:rPr>
          <w:rFonts w:hint="eastAsia" w:ascii="宋体" w:hAnsi="宋体" w:cs="宋体"/>
          <w:color w:val="auto"/>
          <w:sz w:val="24"/>
          <w:highlight w:val="none"/>
        </w:rPr>
        <w:t>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b/>
          <w:color w:val="auto"/>
          <w:sz w:val="24"/>
          <w:highlight w:val="none"/>
        </w:rPr>
      </w:pPr>
      <w:r>
        <w:rPr>
          <w:rFonts w:hint="eastAsia" w:ascii="宋体" w:hAnsi="宋体" w:cs="宋体"/>
          <w:color w:val="auto"/>
          <w:sz w:val="24"/>
          <w:highlight w:val="none"/>
        </w:rPr>
        <w:t>供应商（公章或电子签章）：</w:t>
      </w:r>
    </w:p>
    <w:p w14:paraId="4E986944">
      <w:pPr>
        <w:spacing w:line="360" w:lineRule="auto"/>
        <w:ind w:right="420"/>
        <w:contextualSpacing/>
        <w:jc w:val="left"/>
        <w:rPr>
          <w:rFonts w:hint="eastAsia" w:ascii="宋体" w:hAnsi="宋体" w:cs="宋体"/>
          <w:b/>
          <w:bCs/>
          <w:color w:val="auto"/>
          <w:sz w:val="24"/>
          <w:highlight w:val="none"/>
        </w:rPr>
      </w:pP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2DEFF4D5">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rPr>
              <w:t>报价（元）</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综合信息化服务</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5D19D032">
            <w:pPr>
              <w:spacing w:line="360" w:lineRule="auto"/>
              <w:contextualSpacing/>
              <w:rPr>
                <w:rFonts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 xml:space="preserve">       </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3FD784F3">
            <w:pPr>
              <w:spacing w:line="500" w:lineRule="exact"/>
              <w:rPr>
                <w:rFonts w:hint="eastAsia" w:ascii="宋体" w:hAnsi="宋体" w:cs="宋体"/>
                <w:b/>
                <w:color w:val="auto"/>
                <w:sz w:val="24"/>
                <w:highlight w:val="none"/>
                <w:u w:val="single"/>
              </w:rPr>
            </w:pPr>
            <w:r>
              <w:rPr>
                <w:rFonts w:hint="eastAsia" w:ascii="宋体" w:hAnsi="宋体" w:eastAsia="宋体" w:cs="宋体"/>
                <w:color w:val="auto"/>
                <w:sz w:val="24"/>
                <w:highlight w:val="none"/>
              </w:rPr>
              <w:t>人民币合计金额（大写）</w:t>
            </w:r>
            <w:r>
              <w:rPr>
                <w:rFonts w:hint="eastAsia" w:ascii="宋体" w:hAnsi="宋体" w:eastAsia="宋体" w:cs="宋体"/>
                <w:color w:val="auto"/>
                <w:sz w:val="24"/>
                <w:highlight w:val="none"/>
                <w:u w:val="single"/>
              </w:rPr>
              <w:t>：                    元整（¥           ）</w:t>
            </w:r>
            <w:r>
              <w:rPr>
                <w:rFonts w:hint="eastAsia" w:ascii="宋体" w:hAnsi="宋体" w:eastAsia="宋体" w:cs="宋体"/>
                <w:color w:val="auto"/>
                <w:sz w:val="24"/>
                <w:highlight w:val="none"/>
              </w:rPr>
              <w:t xml:space="preserve">  </w:t>
            </w:r>
            <w:r>
              <w:rPr>
                <w:rFonts w:hint="eastAsia" w:ascii="宋体" w:hAnsi="宋体" w:cs="宋体"/>
                <w:color w:val="auto"/>
                <w:szCs w:val="21"/>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bl>
    <w:p w14:paraId="5F3DA392">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（供应商名称）（以下简称我单位）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w:t>
      </w:r>
      <w:r>
        <w:rPr>
          <w:rFonts w:hint="eastAsia" w:ascii="宋体" w:hAnsi="宋体" w:cs="宋体"/>
          <w:color w:val="auto"/>
          <w:sz w:val="24"/>
          <w:highlight w:val="none"/>
          <w:lang w:val="en-US" w:eastAsia="zh-CN"/>
        </w:rPr>
        <w:t>我单位</w:t>
      </w:r>
      <w:r>
        <w:rPr>
          <w:rFonts w:hint="eastAsia" w:ascii="宋体" w:hAnsi="宋体" w:cs="宋体"/>
          <w:color w:val="auto"/>
          <w:sz w:val="24"/>
          <w:highlight w:val="none"/>
        </w:rPr>
        <w:t>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w:t>
      </w:r>
      <w:r>
        <w:rPr>
          <w:rFonts w:hint="eastAsia" w:ascii="宋体" w:hAnsi="宋体" w:cs="宋体"/>
          <w:color w:val="auto"/>
          <w:sz w:val="24"/>
          <w:highlight w:val="none"/>
          <w:lang w:val="en-US" w:eastAsia="zh-CN"/>
        </w:rPr>
        <w:t>我单位</w:t>
      </w:r>
      <w:r>
        <w:rPr>
          <w:rFonts w:hint="eastAsia" w:ascii="宋体" w:hAnsi="宋体" w:cs="宋体"/>
          <w:color w:val="auto"/>
          <w:sz w:val="24"/>
          <w:highlight w:val="none"/>
        </w:rPr>
        <w:t>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w:t>
      </w:r>
      <w:r>
        <w:rPr>
          <w:rFonts w:hint="eastAsia" w:ascii="宋体" w:hAnsi="宋体" w:cs="宋体"/>
          <w:color w:val="auto"/>
          <w:sz w:val="24"/>
          <w:highlight w:val="none"/>
          <w:lang w:val="en-US" w:eastAsia="zh-CN"/>
        </w:rPr>
        <w:t>我单位</w:t>
      </w:r>
      <w:r>
        <w:rPr>
          <w:rFonts w:hint="eastAsia" w:ascii="宋体" w:hAnsi="宋体" w:cs="宋体"/>
          <w:color w:val="auto"/>
          <w:sz w:val="24"/>
          <w:highlight w:val="none"/>
        </w:rPr>
        <w:t>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我单位</w:t>
      </w:r>
      <w:r>
        <w:rPr>
          <w:rFonts w:hint="eastAsia" w:ascii="宋体" w:hAnsi="宋体" w:cs="宋体"/>
          <w:color w:val="auto"/>
          <w:sz w:val="24"/>
          <w:highlight w:val="none"/>
        </w:rPr>
        <w:t>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供应商（公章或电子签章）：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法定代表人（签字或盖章或电子签名）：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noWrap w:val="0"/>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8"/>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color w:val="auto"/>
          <w:szCs w:val="21"/>
          <w:highlight w:val="none"/>
        </w:rPr>
      </w:pPr>
      <w:r>
        <w:rPr>
          <w:rFonts w:hint="eastAsia" w:ascii="宋体" w:hAnsi="宋体" w:cs="宋体"/>
          <w:b/>
          <w:bCs/>
          <w:color w:val="auto"/>
          <w:sz w:val="24"/>
          <w:highlight w:val="none"/>
        </w:rPr>
        <w:t>其他文书、文件格式</w:t>
      </w: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7" w:name="_Toc28631"/>
      <w:r>
        <w:rPr>
          <w:rFonts w:hint="eastAsia" w:ascii="宋体" w:hAnsi="宋体" w:cs="宋体"/>
          <w:color w:val="auto"/>
          <w:highlight w:val="none"/>
        </w:rPr>
        <w:t>第六章 合同文本</w:t>
      </w:r>
      <w:bookmarkEnd w:id="47"/>
    </w:p>
    <w:p w14:paraId="3147F558">
      <w:pPr>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w:t>
      </w:r>
      <w:r>
        <w:rPr>
          <w:rFonts w:hint="eastAsia" w:ascii="宋体" w:hAnsi="宋体" w:cs="宋体"/>
          <w:b/>
          <w:bCs/>
          <w:i w:val="0"/>
          <w:iCs w:val="0"/>
          <w:color w:val="auto"/>
          <w:sz w:val="28"/>
          <w:szCs w:val="28"/>
          <w:highlight w:val="none"/>
        </w:rPr>
        <w:t>同</w:t>
      </w:r>
      <w:r>
        <w:rPr>
          <w:rFonts w:hint="eastAsia" w:ascii="宋体" w:hAnsi="宋体" w:cs="宋体"/>
          <w:b/>
          <w:bCs/>
          <w:color w:val="auto"/>
          <w:sz w:val="28"/>
          <w:szCs w:val="28"/>
          <w:highlight w:val="none"/>
        </w:rPr>
        <w:t>（格式）</w:t>
      </w:r>
    </w:p>
    <w:p w14:paraId="53D77AB8">
      <w:pPr>
        <w:pStyle w:val="259"/>
        <w:rPr>
          <w:rFonts w:hint="eastAsia" w:ascii="宋体" w:hAnsi="宋体" w:cs="宋体"/>
          <w:color w:val="auto"/>
          <w:highlight w:val="none"/>
        </w:rPr>
      </w:pPr>
    </w:p>
    <w:p w14:paraId="7521E685">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07253875">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lang w:val="en-US" w:eastAsia="zh-CN"/>
        </w:rPr>
        <w:t>平南县第二人民医院</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16BE02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1FF1E51F">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77A973C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E76E2E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根据《中华人民共和国政府采购法》、《中华人民共和国民法典》等法律、法规规定，按照磋商文件规定条款和乙方响应文件及其承诺，甲</w:t>
      </w:r>
      <w:r>
        <w:rPr>
          <w:rFonts w:hint="eastAsia" w:ascii="宋体" w:hAnsi="宋体" w:cs="宋体"/>
          <w:color w:val="auto"/>
          <w:szCs w:val="21"/>
          <w:highlight w:val="none"/>
          <w:lang w:eastAsia="zh-CN"/>
        </w:rPr>
        <w:t>、</w:t>
      </w:r>
      <w:r>
        <w:rPr>
          <w:rFonts w:hint="eastAsia" w:ascii="宋体" w:hAnsi="宋体" w:cs="宋体"/>
          <w:color w:val="auto"/>
          <w:szCs w:val="21"/>
          <w:highlight w:val="none"/>
        </w:rPr>
        <w:t>乙双方签订本合同。</w:t>
      </w:r>
    </w:p>
    <w:p w14:paraId="1B204A1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tbl>
      <w:tblPr>
        <w:tblStyle w:val="31"/>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764"/>
      </w:tblGrid>
      <w:tr w14:paraId="7942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F14250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EDC675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5D30A9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8577E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130FD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D8A49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  价</w:t>
            </w:r>
          </w:p>
          <w:p w14:paraId="37A659C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040F94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总  价</w:t>
            </w:r>
          </w:p>
          <w:p w14:paraId="529F1F4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r>
      <w:tr w14:paraId="2F65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697820B">
            <w:pPr>
              <w:spacing w:line="360" w:lineRule="auto"/>
              <w:jc w:val="center"/>
              <w:rPr>
                <w:rFonts w:hint="eastAsia"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FBE45AB">
            <w:pPr>
              <w:spacing w:line="360" w:lineRule="auto"/>
              <w:jc w:val="center"/>
              <w:rPr>
                <w:rFonts w:hint="eastAsia"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0829341">
            <w:pPr>
              <w:spacing w:line="360" w:lineRule="auto"/>
              <w:jc w:val="center"/>
              <w:rPr>
                <w:rFonts w:hint="eastAsia"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95EC50C">
            <w:pPr>
              <w:spacing w:line="360" w:lineRule="auto"/>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035ACF6">
            <w:pPr>
              <w:spacing w:line="360" w:lineRule="auto"/>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7E76C3D">
            <w:pPr>
              <w:spacing w:line="360" w:lineRule="auto"/>
              <w:jc w:val="center"/>
              <w:rPr>
                <w:rFonts w:hint="eastAsia" w:ascii="宋体" w:hAnsi="宋体" w:cs="宋体"/>
                <w:color w:val="auto"/>
                <w:szCs w:val="21"/>
                <w:highlight w:val="none"/>
              </w:rPr>
            </w:pPr>
          </w:p>
        </w:tc>
        <w:tc>
          <w:tcPr>
            <w:tcW w:w="1764" w:type="dxa"/>
            <w:tcBorders>
              <w:top w:val="single" w:color="auto" w:sz="4" w:space="0"/>
              <w:left w:val="single" w:color="auto" w:sz="4" w:space="0"/>
              <w:bottom w:val="single" w:color="auto" w:sz="4" w:space="0"/>
              <w:right w:val="single" w:color="auto" w:sz="4" w:space="0"/>
            </w:tcBorders>
            <w:noWrap w:val="0"/>
            <w:vAlign w:val="center"/>
          </w:tcPr>
          <w:p w14:paraId="4E031822">
            <w:pPr>
              <w:spacing w:line="360" w:lineRule="auto"/>
              <w:jc w:val="center"/>
              <w:rPr>
                <w:rFonts w:hint="eastAsia" w:ascii="宋体" w:hAnsi="宋体" w:cs="宋体"/>
                <w:color w:val="auto"/>
                <w:szCs w:val="21"/>
                <w:highlight w:val="none"/>
              </w:rPr>
            </w:pPr>
          </w:p>
        </w:tc>
      </w:tr>
      <w:tr w14:paraId="7090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127CAE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人民币合计金额（大写）：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r w14:paraId="72BC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714DD49A">
            <w:pPr>
              <w:spacing w:line="360" w:lineRule="auto"/>
              <w:rPr>
                <w:rFonts w:ascii="宋体" w:hAnsi="宋体" w:cs="宋体"/>
                <w:color w:val="auto"/>
                <w:szCs w:val="21"/>
                <w:highlight w:val="none"/>
              </w:rPr>
            </w:pPr>
            <w:r>
              <w:rPr>
                <w:rFonts w:hint="eastAsia" w:ascii="宋体" w:hAnsi="宋体" w:cs="宋体"/>
                <w:color w:val="auto"/>
                <w:szCs w:val="21"/>
                <w:highlight w:val="none"/>
              </w:rPr>
              <w:t>服务期限：</w:t>
            </w:r>
            <w:r>
              <w:rPr>
                <w:rFonts w:hint="eastAsia" w:ascii="宋体" w:hAnsi="宋体" w:cs="宋体"/>
                <w:color w:val="auto"/>
                <w:szCs w:val="21"/>
                <w:highlight w:val="none"/>
                <w:u w:val="single"/>
              </w:rPr>
              <w:t>自    年    月   日起至    年    月   日止。</w:t>
            </w:r>
          </w:p>
          <w:p w14:paraId="067B4D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34F5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18D34571">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备注：</w:t>
            </w:r>
            <w:r>
              <w:rPr>
                <w:rFonts w:hint="eastAsia" w:ascii="宋体" w:hAnsi="宋体" w:eastAsia="宋体" w:cs="宋体"/>
                <w:b w:val="0"/>
                <w:bCs w:val="0"/>
                <w:color w:val="auto"/>
                <w:sz w:val="21"/>
                <w:szCs w:val="21"/>
                <w:highlight w:val="none"/>
                <w:lang w:eastAsia="zh-CN"/>
              </w:rPr>
              <w:t>竞标报价是履行合同的最终价格，即满足全部采购需求所应提供的服务，以及伴随的货物和工程（如有）的价格；包括竞标服务、货物、工程的成本、运输（含保险）、安装（如有）、调试、检验、技术服务、培训、税费等所有费用，其他不可预见的费用由供应商自行承担风险。</w:t>
            </w:r>
          </w:p>
        </w:tc>
      </w:tr>
    </w:tbl>
    <w:p w14:paraId="1123C38A">
      <w:pPr>
        <w:spacing w:line="360" w:lineRule="auto"/>
        <w:ind w:firstLine="422"/>
        <w:rPr>
          <w:rFonts w:hint="eastAsia" w:ascii="宋体" w:hAnsi="宋体" w:cs="宋体"/>
          <w:b/>
          <w:color w:val="auto"/>
          <w:szCs w:val="21"/>
          <w:highlight w:val="none"/>
        </w:rPr>
      </w:pPr>
    </w:p>
    <w:p w14:paraId="1F62DAD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4085A159">
      <w:pPr>
        <w:tabs>
          <w:tab w:val="left" w:pos="180"/>
          <w:tab w:val="left" w:pos="1620"/>
        </w:tabs>
        <w:spacing w:line="312"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乙方所提供的服务及技术要求必须与响应文件承诺相一致，</w:t>
      </w:r>
      <w:r>
        <w:rPr>
          <w:rFonts w:hint="eastAsia" w:ascii="宋体" w:hAnsi="宋体" w:cs="宋体"/>
          <w:color w:val="auto"/>
          <w:szCs w:val="21"/>
          <w:highlight w:val="none"/>
          <w:lang w:val="en-US" w:eastAsia="zh-CN"/>
        </w:rPr>
        <w:t>乙方提供的货物质量“三包”，</w:t>
      </w:r>
      <w:r>
        <w:rPr>
          <w:rFonts w:hint="eastAsia" w:ascii="宋体" w:hAnsi="宋体" w:cs="宋体"/>
          <w:color w:val="auto"/>
          <w:szCs w:val="21"/>
          <w:highlight w:val="none"/>
        </w:rPr>
        <w:t>有国家强制性标准的，还必须符合国家强制性标准的规定，没有国家强制性标准但有其他强制性标准的，必须符合其他强制性标准的规定。</w:t>
      </w:r>
    </w:p>
    <w:p w14:paraId="49C4C734">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5CA3EC3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68D949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068E5EBA">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第四条　</w:t>
      </w:r>
      <w:r>
        <w:rPr>
          <w:rFonts w:hint="eastAsia" w:ascii="宋体" w:hAnsi="宋体"/>
          <w:b/>
          <w:color w:val="auto"/>
          <w:szCs w:val="21"/>
          <w:highlight w:val="none"/>
        </w:rPr>
        <w:t>验收、交付标准和方法</w:t>
      </w:r>
    </w:p>
    <w:p w14:paraId="7C9FFAA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1.验收标准和方法</w:t>
      </w:r>
    </w:p>
    <w:p w14:paraId="41485FFB">
      <w:pPr>
        <w:spacing w:line="360" w:lineRule="auto"/>
        <w:ind w:firstLine="420"/>
        <w:rPr>
          <w:rFonts w:hint="eastAsia" w:ascii="宋体" w:hAnsi="宋体"/>
          <w:i/>
          <w:color w:val="auto"/>
          <w:szCs w:val="21"/>
          <w:highlight w:val="none"/>
        </w:rPr>
      </w:pPr>
      <w:r>
        <w:rPr>
          <w:rFonts w:hint="eastAsia" w:ascii="宋体" w:hAnsi="宋体"/>
          <w:color w:val="auto"/>
          <w:szCs w:val="21"/>
          <w:highlight w:val="none"/>
        </w:rPr>
        <w:t>（1）验收标准：</w:t>
      </w:r>
      <w:r>
        <w:rPr>
          <w:rFonts w:hint="eastAsia" w:ascii="宋体" w:hAnsi="宋体" w:eastAsia="宋体" w:cs="宋体"/>
          <w:bCs/>
          <w:color w:val="auto"/>
          <w:sz w:val="21"/>
          <w:szCs w:val="21"/>
          <w:highlight w:val="none"/>
        </w:rPr>
        <w:t>符合现行国家相关标准、行业标准、地方标准或者其他标准、规范。</w:t>
      </w:r>
    </w:p>
    <w:p w14:paraId="478E005F">
      <w:pPr>
        <w:spacing w:line="360" w:lineRule="auto"/>
        <w:ind w:firstLine="420"/>
        <w:rPr>
          <w:rFonts w:ascii="宋体" w:hAnsi="宋体"/>
          <w:color w:val="auto"/>
          <w:szCs w:val="21"/>
          <w:highlight w:val="none"/>
        </w:rPr>
      </w:pPr>
      <w:r>
        <w:rPr>
          <w:rFonts w:hint="eastAsia" w:ascii="宋体" w:hAnsi="宋体"/>
          <w:color w:val="auto"/>
          <w:szCs w:val="21"/>
          <w:highlight w:val="none"/>
        </w:rPr>
        <w:t>（2）验收程序及方法：</w:t>
      </w:r>
    </w:p>
    <w:p w14:paraId="326F6F96">
      <w:pPr>
        <w:spacing w:line="360" w:lineRule="auto"/>
        <w:ind w:firstLine="420"/>
        <w:rPr>
          <w:rFonts w:ascii="宋体" w:hAnsi="宋体"/>
          <w:color w:val="auto"/>
          <w:szCs w:val="21"/>
          <w:highlight w:val="none"/>
        </w:rPr>
      </w:pPr>
      <w:r>
        <w:rPr>
          <w:rFonts w:hint="eastAsia" w:ascii="宋体" w:hAnsi="宋体"/>
          <w:color w:val="auto"/>
          <w:szCs w:val="21"/>
          <w:highlight w:val="none"/>
          <w:lang w:eastAsia="zh-CN"/>
        </w:rPr>
        <w:t>①</w:t>
      </w:r>
      <w:r>
        <w:rPr>
          <w:rFonts w:hint="eastAsia" w:ascii="宋体" w:hAnsi="宋体"/>
          <w:color w:val="auto"/>
          <w:szCs w:val="21"/>
          <w:highlight w:val="none"/>
        </w:rPr>
        <w:t>乙方履行完合同义务后，书面向甲方提交验收申请。</w:t>
      </w:r>
    </w:p>
    <w:p w14:paraId="66886E42">
      <w:pPr>
        <w:spacing w:line="360" w:lineRule="auto"/>
        <w:ind w:firstLine="420"/>
        <w:rPr>
          <w:rFonts w:hint="eastAsia" w:ascii="宋体" w:hAnsi="宋体"/>
          <w:color w:val="auto"/>
          <w:szCs w:val="21"/>
          <w:highlight w:val="none"/>
        </w:rPr>
      </w:pPr>
      <w:r>
        <w:rPr>
          <w:rFonts w:hint="eastAsia" w:ascii="宋体" w:hAnsi="宋体"/>
          <w:color w:val="auto"/>
          <w:szCs w:val="21"/>
          <w:highlight w:val="none"/>
          <w:lang w:eastAsia="zh-CN"/>
        </w:rPr>
        <w:t>②</w:t>
      </w:r>
      <w:r>
        <w:rPr>
          <w:rFonts w:hint="eastAsia" w:ascii="宋体" w:hAnsi="宋体"/>
          <w:color w:val="auto"/>
          <w:szCs w:val="21"/>
          <w:highlight w:val="none"/>
        </w:rPr>
        <w:t>甲方收到乙方验收申请之日起7个工作日内组织验收，并提出验收意见，逾期不验收的，视同验收合格。甲方委托第三方机构组织项目验收的，其验收时间以该项目验收方案确定的验收时间为准。</w:t>
      </w:r>
    </w:p>
    <w:p w14:paraId="7B125A7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3）负责本项目验收的单位按下列第</w:t>
      </w:r>
      <w:r>
        <w:rPr>
          <w:rFonts w:hint="eastAsia" w:ascii="宋体" w:hAnsi="宋体"/>
          <w:color w:val="auto"/>
          <w:szCs w:val="21"/>
          <w:highlight w:val="none"/>
          <w:u w:val="single"/>
        </w:rPr>
        <w:t>①</w:t>
      </w:r>
      <w:r>
        <w:rPr>
          <w:rFonts w:hint="eastAsia" w:ascii="宋体" w:hAnsi="宋体"/>
          <w:color w:val="auto"/>
          <w:szCs w:val="21"/>
          <w:highlight w:val="none"/>
        </w:rPr>
        <w:t>种方式确定：</w:t>
      </w:r>
    </w:p>
    <w:p w14:paraId="0CBABB2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①甲方自行组织</w:t>
      </w:r>
    </w:p>
    <w:p w14:paraId="052C9C63">
      <w:pPr>
        <w:spacing w:line="360" w:lineRule="auto"/>
        <w:ind w:firstLine="420"/>
        <w:rPr>
          <w:rFonts w:ascii="宋体" w:hAnsi="宋体"/>
          <w:color w:val="auto"/>
          <w:szCs w:val="21"/>
          <w:highlight w:val="none"/>
        </w:rPr>
      </w:pPr>
      <w:r>
        <w:rPr>
          <w:rFonts w:hint="eastAsia" w:ascii="宋体" w:hAnsi="宋体"/>
          <w:color w:val="auto"/>
          <w:szCs w:val="21"/>
          <w:highlight w:val="none"/>
        </w:rPr>
        <w:t>②甲方委托的第三方机构组织</w:t>
      </w:r>
    </w:p>
    <w:p w14:paraId="552A5268">
      <w:pPr>
        <w:spacing w:line="360" w:lineRule="auto"/>
        <w:ind w:firstLine="420"/>
        <w:rPr>
          <w:rFonts w:ascii="宋体" w:hAnsi="宋体"/>
          <w:color w:val="auto"/>
          <w:szCs w:val="21"/>
          <w:highlight w:val="none"/>
        </w:rPr>
      </w:pPr>
      <w:r>
        <w:rPr>
          <w:rFonts w:hint="eastAsia" w:ascii="宋体" w:hAnsi="宋体"/>
          <w:color w:val="auto"/>
          <w:szCs w:val="21"/>
          <w:highlight w:val="none"/>
        </w:rPr>
        <w:t>4）本项目验收由验收小组按照采购合同约定对每一项技术和商务要求的履约情况进行确认。</w:t>
      </w:r>
    </w:p>
    <w:p w14:paraId="1567BF12">
      <w:pPr>
        <w:spacing w:line="360" w:lineRule="auto"/>
        <w:ind w:firstLine="420"/>
        <w:rPr>
          <w:rFonts w:hint="eastAsia" w:ascii="宋体" w:hAnsi="宋体" w:cs="宋体"/>
          <w:color w:val="auto"/>
          <w:sz w:val="24"/>
          <w:highlight w:val="none"/>
        </w:rPr>
      </w:pPr>
      <w:r>
        <w:rPr>
          <w:rFonts w:hint="eastAsia" w:ascii="宋体" w:hAnsi="宋体"/>
          <w:color w:val="auto"/>
          <w:szCs w:val="21"/>
          <w:highlight w:val="none"/>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20A9496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6）验收过程中所产生的一切费用均由</w:t>
      </w:r>
      <w:r>
        <w:rPr>
          <w:rFonts w:hint="eastAsia" w:ascii="宋体" w:hAnsi="宋体"/>
          <w:color w:val="auto"/>
          <w:szCs w:val="21"/>
          <w:highlight w:val="none"/>
          <w:u w:val="single"/>
        </w:rPr>
        <w:t>乙方</w:t>
      </w:r>
      <w:r>
        <w:rPr>
          <w:rFonts w:hint="eastAsia" w:ascii="宋体" w:hAnsi="宋体"/>
          <w:color w:val="auto"/>
          <w:szCs w:val="21"/>
          <w:highlight w:val="none"/>
        </w:rPr>
        <w:t>承担。</w:t>
      </w:r>
    </w:p>
    <w:p w14:paraId="6B33D43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7）</w:t>
      </w:r>
      <w:r>
        <w:rPr>
          <w:rFonts w:hint="eastAsia"/>
          <w:color w:val="auto"/>
          <w:highlight w:val="none"/>
        </w:rPr>
        <w:t>验收书一式</w:t>
      </w:r>
      <w:r>
        <w:rPr>
          <w:rStyle w:val="254"/>
          <w:rFonts w:hint="eastAsia"/>
          <w:color w:val="auto"/>
          <w:highlight w:val="none"/>
        </w:rPr>
        <w:t xml:space="preserve"> </w:t>
      </w:r>
      <w:r>
        <w:rPr>
          <w:rStyle w:val="254"/>
          <w:rFonts w:hint="eastAsia"/>
          <w:color w:val="auto"/>
          <w:highlight w:val="none"/>
          <w:u w:val="single"/>
        </w:rPr>
        <w:t xml:space="preserve"> 4  </w:t>
      </w:r>
      <w:r>
        <w:rPr>
          <w:rFonts w:hint="eastAsia"/>
          <w:color w:val="auto"/>
          <w:highlight w:val="none"/>
        </w:rPr>
        <w:t>份，甲乙双方各执</w:t>
      </w:r>
      <w:r>
        <w:rPr>
          <w:rStyle w:val="254"/>
          <w:rFonts w:hint="eastAsia"/>
          <w:color w:val="auto"/>
          <w:highlight w:val="none"/>
          <w:u w:val="single"/>
        </w:rPr>
        <w:t xml:space="preserve"> 2  </w:t>
      </w:r>
      <w:r>
        <w:rPr>
          <w:rFonts w:hint="eastAsia"/>
          <w:color w:val="auto"/>
          <w:highlight w:val="none"/>
        </w:rPr>
        <w:t>份、受托第三方机构</w:t>
      </w:r>
      <w:r>
        <w:rPr>
          <w:rStyle w:val="254"/>
          <w:rFonts w:hint="eastAsia"/>
          <w:color w:val="auto"/>
          <w:highlight w:val="none"/>
          <w:u w:val="single"/>
        </w:rPr>
        <w:t xml:space="preserve"> /  </w:t>
      </w:r>
      <w:r>
        <w:rPr>
          <w:rFonts w:hint="eastAsia"/>
          <w:color w:val="auto"/>
          <w:highlight w:val="none"/>
        </w:rPr>
        <w:t>份（如有）</w:t>
      </w:r>
      <w:r>
        <w:rPr>
          <w:rFonts w:hint="eastAsia" w:ascii="宋体" w:hAnsi="宋体"/>
          <w:color w:val="auto"/>
          <w:szCs w:val="21"/>
          <w:highlight w:val="none"/>
        </w:rPr>
        <w:t xml:space="preserve">。 </w:t>
      </w:r>
    </w:p>
    <w:p w14:paraId="11860337">
      <w:pPr>
        <w:spacing w:line="360" w:lineRule="auto"/>
        <w:ind w:firstLine="420"/>
        <w:rPr>
          <w:rFonts w:ascii="宋体" w:hAnsi="宋体"/>
          <w:color w:val="auto"/>
          <w:szCs w:val="21"/>
          <w:highlight w:val="none"/>
        </w:rPr>
      </w:pPr>
      <w:r>
        <w:rPr>
          <w:rFonts w:hint="eastAsia" w:ascii="宋体" w:hAnsi="宋体"/>
          <w:color w:val="auto"/>
          <w:szCs w:val="21"/>
          <w:highlight w:val="none"/>
        </w:rPr>
        <w:t>8）验收结论不合格的，乙方应自收到验收书后10日内及时予以解决。经乙方对验收结论不合格的货物进行整改后，仍然达不到要求的，经双方协商，可按以下办法处理：</w:t>
      </w:r>
    </w:p>
    <w:p w14:paraId="581E7037">
      <w:pPr>
        <w:spacing w:line="360" w:lineRule="auto"/>
        <w:ind w:firstLine="420"/>
        <w:rPr>
          <w:rFonts w:ascii="宋体" w:hAnsi="宋体"/>
          <w:color w:val="auto"/>
          <w:szCs w:val="21"/>
          <w:highlight w:val="none"/>
        </w:rPr>
      </w:pPr>
      <w:r>
        <w:rPr>
          <w:rFonts w:hint="eastAsia" w:ascii="宋体" w:hAnsi="宋体"/>
          <w:color w:val="auto"/>
          <w:szCs w:val="21"/>
          <w:highlight w:val="none"/>
        </w:rPr>
        <w:t>①更换：由乙方承担所发生的全部费用。</w:t>
      </w:r>
    </w:p>
    <w:p w14:paraId="4C6CCAC2">
      <w:pPr>
        <w:spacing w:line="360" w:lineRule="auto"/>
        <w:ind w:firstLine="420"/>
        <w:rPr>
          <w:rFonts w:ascii="宋体" w:hAnsi="宋体"/>
          <w:color w:val="auto"/>
          <w:szCs w:val="21"/>
          <w:highlight w:val="none"/>
        </w:rPr>
      </w:pPr>
      <w:r>
        <w:rPr>
          <w:rFonts w:hint="eastAsia" w:ascii="宋体" w:hAnsi="宋体"/>
          <w:color w:val="auto"/>
          <w:szCs w:val="21"/>
          <w:highlight w:val="none"/>
        </w:rPr>
        <w:t>②贬值处理：由甲乙双方合议定价。</w:t>
      </w:r>
    </w:p>
    <w:p w14:paraId="57772351">
      <w:pPr>
        <w:spacing w:line="360" w:lineRule="auto"/>
        <w:ind w:firstLine="420"/>
        <w:rPr>
          <w:rFonts w:hint="eastAsia" w:ascii="宋体" w:hAnsi="宋体"/>
          <w:color w:val="auto"/>
          <w:highlight w:val="none"/>
        </w:rPr>
      </w:pPr>
      <w:r>
        <w:rPr>
          <w:rFonts w:hint="eastAsia" w:ascii="宋体" w:hAnsi="宋体"/>
          <w:color w:val="auto"/>
          <w:highlight w:val="none"/>
        </w:rPr>
        <w:t>2.交付标准和方法</w:t>
      </w:r>
    </w:p>
    <w:p w14:paraId="5A8A5BF9">
      <w:pPr>
        <w:spacing w:line="360" w:lineRule="auto"/>
        <w:ind w:firstLine="420"/>
        <w:rPr>
          <w:rFonts w:hint="eastAsia" w:ascii="宋体" w:hAnsi="宋体"/>
          <w:color w:val="auto"/>
          <w:szCs w:val="21"/>
          <w:highlight w:val="none"/>
        </w:rPr>
      </w:pPr>
      <w:r>
        <w:rPr>
          <w:rFonts w:hint="eastAsia" w:ascii="宋体" w:hAnsi="宋体"/>
          <w:color w:val="auto"/>
          <w:highlight w:val="none"/>
        </w:rPr>
        <w:t>（1）</w:t>
      </w:r>
      <w:r>
        <w:rPr>
          <w:rFonts w:hint="eastAsia" w:ascii="宋体" w:hAnsi="宋体"/>
          <w:color w:val="auto"/>
          <w:szCs w:val="21"/>
          <w:highlight w:val="none"/>
        </w:rPr>
        <w:t>验收结论合格的，乙方应自收到验收书后5日内向甲方交付使用。</w:t>
      </w:r>
    </w:p>
    <w:p w14:paraId="1631D005">
      <w:pPr>
        <w:spacing w:line="360" w:lineRule="auto"/>
        <w:ind w:firstLine="420"/>
        <w:rPr>
          <w:rFonts w:hint="eastAsia" w:ascii="宋体" w:hAnsi="宋体" w:cs="宋体"/>
          <w:color w:val="auto"/>
          <w:szCs w:val="21"/>
          <w:highlight w:val="none"/>
        </w:rPr>
      </w:pPr>
      <w:r>
        <w:rPr>
          <w:rFonts w:hint="eastAsia" w:ascii="宋体" w:hAnsi="宋体"/>
          <w:color w:val="auto"/>
          <w:highlight w:val="none"/>
        </w:rPr>
        <w:t>（2）</w:t>
      </w:r>
      <w:r>
        <w:rPr>
          <w:rFonts w:hint="eastAsia" w:ascii="宋体" w:hAnsi="宋体"/>
          <w:i w:val="0"/>
          <w:iCs w:val="0"/>
          <w:color w:val="auto"/>
          <w:highlight w:val="none"/>
        </w:rPr>
        <w:t>伴随货物的，其所有权和风险自交付时起由乙方转移至甲方，货物交付给甲方之前所有风险、安全责任及造成的一切损失（包含但不限于货物损毁、灭失、运输人员及第三者人身财产损害等）均由乙方承担。</w:t>
      </w:r>
    </w:p>
    <w:p w14:paraId="5FABBCDB">
      <w:pPr>
        <w:spacing w:line="360" w:lineRule="auto"/>
        <w:ind w:firstLine="422"/>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3C9AE167">
      <w:pPr>
        <w:spacing w:line="360" w:lineRule="auto"/>
        <w:ind w:firstLine="420" w:firstLineChars="200"/>
        <w:rPr>
          <w:rFonts w:hint="eastAsia" w:ascii="宋体" w:hAnsi="宋体" w:eastAsia="宋体" w:cs="Times New Roman"/>
          <w:color w:val="auto"/>
          <w:highlight w:val="none"/>
          <w:u w:val="single"/>
        </w:rPr>
      </w:pPr>
      <w:r>
        <w:rPr>
          <w:rFonts w:hint="eastAsia" w:ascii="宋体" w:hAnsi="宋体" w:eastAsia="宋体" w:cs="宋体"/>
          <w:color w:val="auto"/>
          <w:sz w:val="21"/>
          <w:szCs w:val="21"/>
          <w:highlight w:val="none"/>
          <w:u w:val="single"/>
        </w:rPr>
        <w:t>付款方式</w:t>
      </w:r>
      <w:r>
        <w:rPr>
          <w:rFonts w:hint="eastAsia" w:ascii="宋体" w:hAnsi="宋体" w:cs="宋体"/>
          <w:color w:val="auto"/>
          <w:sz w:val="21"/>
          <w:szCs w:val="21"/>
          <w:highlight w:val="none"/>
          <w:u w:val="single"/>
          <w:lang w:eastAsia="zh-CN"/>
        </w:rPr>
        <w:t>：详见采购文件</w:t>
      </w:r>
      <w:r>
        <w:rPr>
          <w:rFonts w:hint="eastAsia" w:ascii="宋体" w:hAnsi="宋体" w:eastAsia="宋体" w:cs="宋体"/>
          <w:color w:val="auto"/>
          <w:sz w:val="21"/>
          <w:szCs w:val="21"/>
          <w:highlight w:val="none"/>
          <w:u w:val="single"/>
        </w:rPr>
        <w:t>。</w:t>
      </w:r>
    </w:p>
    <w:p w14:paraId="555B8F59">
      <w:pPr>
        <w:spacing w:line="360" w:lineRule="auto"/>
        <w:ind w:firstLine="422"/>
        <w:rPr>
          <w:rFonts w:hint="eastAsia" w:eastAsia="宋体"/>
          <w:color w:val="auto"/>
          <w:highlight w:val="none"/>
          <w:lang w:eastAsia="zh-CN"/>
        </w:rPr>
      </w:pPr>
      <w:r>
        <w:rPr>
          <w:rFonts w:hint="eastAsia" w:ascii="宋体" w:hAnsi="宋体" w:cs="宋体"/>
          <w:b/>
          <w:color w:val="auto"/>
          <w:szCs w:val="21"/>
          <w:highlight w:val="none"/>
        </w:rPr>
        <w:t>第七条　履约保证金：</w:t>
      </w:r>
      <w:r>
        <w:rPr>
          <w:rFonts w:hint="eastAsia" w:ascii="宋体" w:hAnsi="宋体" w:cs="宋体"/>
          <w:b/>
          <w:color w:val="auto"/>
          <w:szCs w:val="21"/>
          <w:highlight w:val="none"/>
          <w:lang w:eastAsia="zh-CN"/>
        </w:rPr>
        <w:t>无。</w:t>
      </w:r>
    </w:p>
    <w:p w14:paraId="318DF41C">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35E29F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14:paraId="7805A64B">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0449FCF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1、由于甲方的原因造成合同不能如期履行的，双方可根据具体情况顺延合同的履行期，对乙方因此遭受的损失， 甲方应予以补偿。</w:t>
      </w:r>
    </w:p>
    <w:p w14:paraId="34EA41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2、乙方应按照本合同约定的时间要求提供服务，每逾期一日的，按</w:t>
      </w:r>
      <w:r>
        <w:rPr>
          <w:rFonts w:hint="eastAsia" w:ascii="宋体" w:hAnsi="宋体" w:cs="宋体"/>
          <w:color w:val="auto"/>
          <w:szCs w:val="21"/>
          <w:highlight w:val="none"/>
          <w:lang w:eastAsia="zh-CN"/>
        </w:rPr>
        <w:t>未履行</w:t>
      </w:r>
      <w:r>
        <w:rPr>
          <w:rFonts w:hint="eastAsia" w:ascii="宋体" w:hAnsi="宋体" w:cs="宋体"/>
          <w:color w:val="auto"/>
          <w:szCs w:val="21"/>
          <w:highlight w:val="none"/>
        </w:rPr>
        <w:t>合同额的 1‰向甲方支付违约金，逾期超过 5 日的，甲方有权解除本合同，乙方应按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的10%向甲方支付违约金，造成甲方损失的，乙方还需承担赔偿责任。在履行合同过程中，如因乙方编制进度、质量等原因导致甲方受到上级部门批评或通报， 甲方可视情</w:t>
      </w:r>
      <w:r>
        <w:rPr>
          <w:rFonts w:hint="eastAsia" w:ascii="宋体" w:hAnsi="宋体" w:cs="宋体"/>
          <w:color w:val="auto"/>
          <w:szCs w:val="21"/>
          <w:highlight w:val="none"/>
          <w:lang w:eastAsia="zh-CN"/>
        </w:rPr>
        <w:t>况</w:t>
      </w:r>
      <w:r>
        <w:rPr>
          <w:rFonts w:hint="eastAsia" w:ascii="宋体" w:hAnsi="宋体" w:cs="宋体"/>
          <w:color w:val="auto"/>
          <w:szCs w:val="21"/>
          <w:highlight w:val="none"/>
        </w:rPr>
        <w:t>扣除乙方部分报酬，但最高不超过</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的10%。</w:t>
      </w:r>
    </w:p>
    <w:p w14:paraId="4DF4B83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3、如因第三方提出对乙方提供的服务成果提出专利权、商标权或其他知识产权的侵权之诉，则一切法律责任由乙方承担， 甲方可视情</w:t>
      </w:r>
      <w:r>
        <w:rPr>
          <w:rFonts w:hint="eastAsia" w:ascii="宋体" w:hAnsi="宋体" w:cs="宋体"/>
          <w:color w:val="auto"/>
          <w:szCs w:val="21"/>
          <w:highlight w:val="none"/>
          <w:lang w:eastAsia="zh-CN"/>
        </w:rPr>
        <w:t>况</w:t>
      </w:r>
      <w:r>
        <w:rPr>
          <w:rFonts w:hint="eastAsia" w:ascii="宋体" w:hAnsi="宋体" w:cs="宋体"/>
          <w:color w:val="auto"/>
          <w:szCs w:val="21"/>
          <w:highlight w:val="none"/>
        </w:rPr>
        <w:t>扣除乙方部分报酬，但最高不超过</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的10%，造成甲方损失的，乙方还需承担赔偿责任。</w:t>
      </w:r>
    </w:p>
    <w:p w14:paraId="54E6A80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4、如乙方未经甲方允许，将合同项下义务全部或者部分</w:t>
      </w:r>
      <w:r>
        <w:rPr>
          <w:rFonts w:hint="eastAsia" w:ascii="宋体" w:hAnsi="宋体" w:cs="宋体"/>
          <w:color w:val="auto"/>
          <w:szCs w:val="21"/>
          <w:highlight w:val="none"/>
          <w:lang w:val="en-US" w:eastAsia="zh-CN"/>
        </w:rPr>
        <w:t>转包、分包给</w:t>
      </w:r>
      <w:r>
        <w:rPr>
          <w:rFonts w:hint="eastAsia" w:ascii="宋体" w:hAnsi="宋体" w:cs="宋体"/>
          <w:color w:val="auto"/>
          <w:szCs w:val="21"/>
          <w:highlight w:val="none"/>
        </w:rPr>
        <w:t>第三方履行的，甲方有权解除本合同，乙方应按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10%向甲方支付违约金，造成甲方损失的，乙方还需承担赔偿责任。</w:t>
      </w:r>
    </w:p>
    <w:p w14:paraId="4FB957B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5、乙方提供的服务不满足采购文件基本合同要求或经验收不合格的，甲方有权解除合同，乙方应按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的10%向甲方支付违约金，造成甲方损失的，乙方还需承担赔偿责任。</w:t>
      </w:r>
    </w:p>
    <w:p w14:paraId="7ACACF08">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乙方违反本合同中约定的义务，经甲方正式书面通知后7天内仍未纠正其违约行为的，甲方有权以书面通知形式单方解除本合同，并有权要求乙方承担由此给甲方带来的一切实际损失，包括但不限于因此产生的所有阶段的律师费、诉讼费、保全费、保单保函费、评估鉴定费、公告费、审计费、差旅费等。</w:t>
      </w:r>
    </w:p>
    <w:p w14:paraId="50C4084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550E87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57E0040">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rPr>
        <w:t>2、不可抗力事件发生后，应立</w:t>
      </w:r>
      <w:r>
        <w:rPr>
          <w:rFonts w:hint="eastAsia" w:ascii="宋体" w:hAnsi="宋体" w:eastAsia="宋体" w:cs="宋体"/>
          <w:color w:val="auto"/>
          <w:szCs w:val="21"/>
          <w:highlight w:val="none"/>
        </w:rPr>
        <w:t>即通知对方，并寄送有关权威机构出具的证明。</w:t>
      </w:r>
    </w:p>
    <w:p w14:paraId="34F096F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2B38EEF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4.在服务期间，如</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单方面提前终止合同，则视为</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自动放弃</w:t>
      </w:r>
      <w:r>
        <w:rPr>
          <w:rFonts w:hint="eastAsia" w:ascii="宋体" w:hAnsi="宋体" w:cs="宋体"/>
          <w:color w:val="auto"/>
          <w:szCs w:val="21"/>
          <w:highlight w:val="none"/>
          <w:lang w:eastAsia="zh-CN"/>
        </w:rPr>
        <w:t>项目的</w:t>
      </w:r>
      <w:r>
        <w:rPr>
          <w:rFonts w:hint="eastAsia" w:ascii="宋体" w:hAnsi="宋体" w:eastAsia="宋体" w:cs="宋体"/>
          <w:color w:val="auto"/>
          <w:szCs w:val="21"/>
          <w:highlight w:val="none"/>
        </w:rPr>
        <w:t>投资、收益权，且</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无权要求</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做任何赔偿或补偿。</w:t>
      </w:r>
    </w:p>
    <w:p w14:paraId="33325C6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5.在服务期间，因政策性因素，如</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单方面提前终止合同，</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对</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不作任何赔偿。</w:t>
      </w:r>
    </w:p>
    <w:p w14:paraId="5AEA9E10">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108A4C7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19B07D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w:t>
      </w:r>
      <w:r>
        <w:rPr>
          <w:rFonts w:hint="eastAsia" w:ascii="宋体" w:hAnsi="宋体" w:cs="宋体"/>
          <w:color w:val="auto"/>
          <w:szCs w:val="21"/>
          <w:highlight w:val="none"/>
          <w:lang w:eastAsia="zh-CN"/>
        </w:rPr>
        <w:t>、</w:t>
      </w:r>
      <w:r>
        <w:rPr>
          <w:rFonts w:hint="eastAsia" w:ascii="宋体" w:hAnsi="宋体" w:cs="宋体"/>
          <w:color w:val="auto"/>
          <w:szCs w:val="21"/>
          <w:highlight w:val="none"/>
        </w:rPr>
        <w:t>乙双方应首先通过友好协商解决，如果协商不能解决，可向甲方所在地人民法院提起诉讼。</w:t>
      </w:r>
    </w:p>
    <w:p w14:paraId="4B7AA7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2B7759D3">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20E92DF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2799249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2、合同执行中涉及采购资金和采购内容修改或者补充的，须经财政部门审批，并签订书面补充协议报财政部门备案，方可作为主合同不可分割的一部分。</w:t>
      </w:r>
    </w:p>
    <w:p w14:paraId="09F3793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3、本合同未尽事宜，双方另行签订补充协议，补充协议是合同的组成部分。</w:t>
      </w:r>
    </w:p>
    <w:p w14:paraId="59C30B3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41DD72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w:t>
      </w:r>
      <w:r>
        <w:rPr>
          <w:rFonts w:hint="eastAsia" w:ascii="宋体" w:hAnsi="宋体" w:cs="宋体"/>
          <w:color w:val="auto"/>
          <w:szCs w:val="21"/>
          <w:highlight w:val="none"/>
          <w:lang w:eastAsia="zh-CN"/>
        </w:rPr>
        <w:t>、</w:t>
      </w:r>
      <w:r>
        <w:rPr>
          <w:rFonts w:hint="eastAsia" w:ascii="宋体" w:hAnsi="宋体" w:cs="宋体"/>
          <w:color w:val="auto"/>
          <w:szCs w:val="21"/>
          <w:highlight w:val="none"/>
        </w:rPr>
        <w:t>乙双方不得擅自变更、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或者终止。</w:t>
      </w:r>
    </w:p>
    <w:p w14:paraId="667FB6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B0E225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四</w:t>
      </w:r>
      <w:r>
        <w:rPr>
          <w:rFonts w:hint="eastAsia" w:ascii="宋体" w:hAnsi="宋体" w:cs="宋体"/>
          <w:b/>
          <w:color w:val="auto"/>
          <w:szCs w:val="21"/>
          <w:highlight w:val="none"/>
        </w:rPr>
        <w:t>条　签订本合同依据</w:t>
      </w:r>
    </w:p>
    <w:p w14:paraId="2231FC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444C6F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2、竞标报价表；</w:t>
      </w:r>
    </w:p>
    <w:p w14:paraId="2D7759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3、商务要求响应偏离表和技术要求响应偏离表；</w:t>
      </w:r>
    </w:p>
    <w:p w14:paraId="5749397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4、服务承诺；</w:t>
      </w:r>
    </w:p>
    <w:p w14:paraId="4484091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5、响应文件中的其他相关文件。</w:t>
      </w:r>
    </w:p>
    <w:p w14:paraId="233412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6、上述合同文件互相补充和解释。如果合同文件之间存在矛盾或者不一致之处，以上述文件的排列顺序在先者为准。</w:t>
      </w:r>
    </w:p>
    <w:p w14:paraId="3570FE35">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第十六条　</w:t>
      </w:r>
      <w:r>
        <w:rPr>
          <w:rFonts w:hint="eastAsia" w:ascii="宋体" w:hAnsi="宋体" w:cs="宋体"/>
          <w:color w:val="auto"/>
          <w:szCs w:val="21"/>
          <w:highlight w:val="none"/>
        </w:rPr>
        <w:t>本合同一式陆份，具有同等法律效力，甲乙双方各叁份（可根据需要另增加）。</w:t>
      </w:r>
    </w:p>
    <w:p w14:paraId="6CD170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31"/>
        <w:tblpPr w:leftFromText="180" w:rightFromText="180" w:vertAnchor="text" w:horzAnchor="margin" w:tblpXSpec="left" w:tblpY="2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5090"/>
      </w:tblGrid>
      <w:tr w14:paraId="4BBE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73097B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6089FDC8">
            <w:pPr>
              <w:spacing w:line="360" w:lineRule="auto"/>
              <w:rPr>
                <w:rFonts w:hint="eastAsia" w:ascii="宋体" w:hAnsi="宋体" w:cs="宋体"/>
                <w:color w:val="auto"/>
                <w:szCs w:val="21"/>
                <w:highlight w:val="none"/>
              </w:rPr>
            </w:pPr>
          </w:p>
          <w:p w14:paraId="34202293">
            <w:pPr>
              <w:spacing w:line="360" w:lineRule="auto"/>
              <w:rPr>
                <w:rFonts w:hint="eastAsia" w:ascii="宋体" w:hAnsi="宋体" w:cs="宋体"/>
                <w:color w:val="auto"/>
                <w:szCs w:val="21"/>
                <w:highlight w:val="none"/>
              </w:rPr>
            </w:pPr>
          </w:p>
          <w:p w14:paraId="157B2CCA">
            <w:pPr>
              <w:spacing w:line="360" w:lineRule="auto"/>
              <w:ind w:firstLine="945"/>
              <w:jc w:val="right"/>
              <w:rPr>
                <w:rFonts w:hint="eastAsia" w:ascii="宋体" w:hAnsi="宋体" w:cs="宋体"/>
                <w:color w:val="auto"/>
                <w:szCs w:val="21"/>
                <w:highlight w:val="none"/>
              </w:rPr>
            </w:pPr>
          </w:p>
          <w:p w14:paraId="5037E11C">
            <w:pPr>
              <w:spacing w:line="360" w:lineRule="auto"/>
              <w:ind w:firstLine="945"/>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D560DF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711A48EF">
            <w:pPr>
              <w:spacing w:line="360" w:lineRule="auto"/>
              <w:rPr>
                <w:rFonts w:hint="eastAsia" w:ascii="宋体" w:hAnsi="宋体" w:cs="宋体"/>
                <w:color w:val="auto"/>
                <w:szCs w:val="21"/>
                <w:highlight w:val="none"/>
              </w:rPr>
            </w:pPr>
          </w:p>
          <w:p w14:paraId="02910A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6177FC4">
            <w:pPr>
              <w:spacing w:line="360" w:lineRule="auto"/>
              <w:jc w:val="right"/>
              <w:rPr>
                <w:rFonts w:hint="eastAsia" w:ascii="宋体" w:hAnsi="宋体" w:cs="宋体"/>
                <w:color w:val="auto"/>
                <w:szCs w:val="21"/>
                <w:highlight w:val="none"/>
              </w:rPr>
            </w:pPr>
          </w:p>
          <w:p w14:paraId="37E3DCBB">
            <w:pPr>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0657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6F4591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2923F67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r>
      <w:tr w14:paraId="09D7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9CAF6C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59506A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w:t>
            </w:r>
          </w:p>
        </w:tc>
      </w:tr>
      <w:tr w14:paraId="528A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FEAAC7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A55111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w:t>
            </w:r>
          </w:p>
        </w:tc>
      </w:tr>
      <w:tr w14:paraId="61C9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BE7FB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467A5B0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0D57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197B12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FCEF6A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r>
      <w:tr w14:paraId="39F8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122F4F5">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098C1A1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2D2A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71FF20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4FF0FFF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775F61F4">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iconfon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2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_x0000_s723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vuNntxgEAAKgDAAAOAAAAAAAAAAEAIAAAAB4BAABkcnMvZTJvRG9jLnht&#10;bFBLBQYAAAAABgAGAFkBAABWBQ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409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_x0000_s409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9RD+8cBAACoAwAADgAAAAAAAAABACAAAAAeAQAAZHJzL2Uyb0RvYy54&#10;bWxQSwUGAAAAAAYABgBZAQAAVwU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shape>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8CEB78"/>
    <w:multiLevelType w:val="multilevel"/>
    <w:tmpl w:val="EB8CEB78"/>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DCEB5C1"/>
    <w:multiLevelType w:val="singleLevel"/>
    <w:tmpl w:val="0DCEB5C1"/>
    <w:lvl w:ilvl="0" w:tentative="0">
      <w:start w:val="1"/>
      <w:numFmt w:val="chineseCounting"/>
      <w:suff w:val="nothing"/>
      <w:lvlText w:val="（%1）"/>
      <w:lvlJc w:val="left"/>
      <w:rPr>
        <w:rFonts w:hint="eastAsia"/>
      </w:rPr>
    </w:lvl>
  </w:abstractNum>
  <w:abstractNum w:abstractNumId="2">
    <w:nsid w:val="7EFFCA5F"/>
    <w:multiLevelType w:val="multilevel"/>
    <w:tmpl w:val="7EFFCA5F"/>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useAltKinsokuLineBreakRules/>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234F8"/>
    <w:rsid w:val="02F5092E"/>
    <w:rsid w:val="05276DF3"/>
    <w:rsid w:val="05583088"/>
    <w:rsid w:val="060C0EF2"/>
    <w:rsid w:val="06D25D4A"/>
    <w:rsid w:val="07144FDC"/>
    <w:rsid w:val="07524CC5"/>
    <w:rsid w:val="07837727"/>
    <w:rsid w:val="078610D0"/>
    <w:rsid w:val="09C3538C"/>
    <w:rsid w:val="0A4D5A6C"/>
    <w:rsid w:val="0BB712B6"/>
    <w:rsid w:val="0BD017D8"/>
    <w:rsid w:val="0BF45AAC"/>
    <w:rsid w:val="0C09601A"/>
    <w:rsid w:val="0CD12C3D"/>
    <w:rsid w:val="0CF351B8"/>
    <w:rsid w:val="0CF50757"/>
    <w:rsid w:val="11BB73DB"/>
    <w:rsid w:val="12AB2D39"/>
    <w:rsid w:val="138C0BA8"/>
    <w:rsid w:val="16420B08"/>
    <w:rsid w:val="16FE7155"/>
    <w:rsid w:val="194F2F2E"/>
    <w:rsid w:val="1B352C19"/>
    <w:rsid w:val="1B3E503B"/>
    <w:rsid w:val="1B737516"/>
    <w:rsid w:val="1C057BD0"/>
    <w:rsid w:val="1CDE0A3B"/>
    <w:rsid w:val="1DC12C8F"/>
    <w:rsid w:val="1E300367"/>
    <w:rsid w:val="1EA90432"/>
    <w:rsid w:val="1EDD6BE3"/>
    <w:rsid w:val="1FFD29F3"/>
    <w:rsid w:val="20D26998"/>
    <w:rsid w:val="21DA565B"/>
    <w:rsid w:val="2248703F"/>
    <w:rsid w:val="22FB1FE8"/>
    <w:rsid w:val="230D35C8"/>
    <w:rsid w:val="23A33C69"/>
    <w:rsid w:val="23BC2032"/>
    <w:rsid w:val="25284930"/>
    <w:rsid w:val="257B469E"/>
    <w:rsid w:val="25E44647"/>
    <w:rsid w:val="26825798"/>
    <w:rsid w:val="276F6846"/>
    <w:rsid w:val="283A60D4"/>
    <w:rsid w:val="29471828"/>
    <w:rsid w:val="29737029"/>
    <w:rsid w:val="2ADA512F"/>
    <w:rsid w:val="2D9F0956"/>
    <w:rsid w:val="2E0C7512"/>
    <w:rsid w:val="2E7454DC"/>
    <w:rsid w:val="2ED0406E"/>
    <w:rsid w:val="2EE33A6A"/>
    <w:rsid w:val="301E3CBA"/>
    <w:rsid w:val="3203475A"/>
    <w:rsid w:val="34F94A89"/>
    <w:rsid w:val="353F0863"/>
    <w:rsid w:val="36C50230"/>
    <w:rsid w:val="38000901"/>
    <w:rsid w:val="3C3C2D43"/>
    <w:rsid w:val="3F4F785D"/>
    <w:rsid w:val="3F884457"/>
    <w:rsid w:val="42862F6A"/>
    <w:rsid w:val="433E55F2"/>
    <w:rsid w:val="45390767"/>
    <w:rsid w:val="454D27D4"/>
    <w:rsid w:val="45B912BB"/>
    <w:rsid w:val="46155346"/>
    <w:rsid w:val="46805F22"/>
    <w:rsid w:val="47AE0F10"/>
    <w:rsid w:val="47C742BD"/>
    <w:rsid w:val="49553696"/>
    <w:rsid w:val="4A325785"/>
    <w:rsid w:val="4A81517F"/>
    <w:rsid w:val="4ABA3F9A"/>
    <w:rsid w:val="4EA84268"/>
    <w:rsid w:val="4FB7F651"/>
    <w:rsid w:val="4FEB4D54"/>
    <w:rsid w:val="517911CC"/>
    <w:rsid w:val="52317CD4"/>
    <w:rsid w:val="529F795B"/>
    <w:rsid w:val="53407165"/>
    <w:rsid w:val="54844A61"/>
    <w:rsid w:val="54B8170F"/>
    <w:rsid w:val="54D93FEA"/>
    <w:rsid w:val="55B47996"/>
    <w:rsid w:val="55BD684B"/>
    <w:rsid w:val="56270168"/>
    <w:rsid w:val="5C320F4C"/>
    <w:rsid w:val="5C5B211B"/>
    <w:rsid w:val="5E4BA765"/>
    <w:rsid w:val="5EFB7155"/>
    <w:rsid w:val="5F6F8765"/>
    <w:rsid w:val="5FBD5758"/>
    <w:rsid w:val="5FEB0458"/>
    <w:rsid w:val="607466A0"/>
    <w:rsid w:val="609B3C2C"/>
    <w:rsid w:val="613876CD"/>
    <w:rsid w:val="61AE524A"/>
    <w:rsid w:val="62150DEA"/>
    <w:rsid w:val="625E54DB"/>
    <w:rsid w:val="628D3DE6"/>
    <w:rsid w:val="62D56310"/>
    <w:rsid w:val="64336B20"/>
    <w:rsid w:val="65312DB1"/>
    <w:rsid w:val="6576317F"/>
    <w:rsid w:val="65F004D2"/>
    <w:rsid w:val="66430FEE"/>
    <w:rsid w:val="688D02FE"/>
    <w:rsid w:val="697C3968"/>
    <w:rsid w:val="6BEF0FA9"/>
    <w:rsid w:val="6C2E79B8"/>
    <w:rsid w:val="6DAC1227"/>
    <w:rsid w:val="71A07B6F"/>
    <w:rsid w:val="71B45B26"/>
    <w:rsid w:val="724063E2"/>
    <w:rsid w:val="72E915DE"/>
    <w:rsid w:val="72EC5FBA"/>
    <w:rsid w:val="73353A6C"/>
    <w:rsid w:val="74A54C22"/>
    <w:rsid w:val="760266EC"/>
    <w:rsid w:val="76D2007E"/>
    <w:rsid w:val="76E40BD9"/>
    <w:rsid w:val="7B6A44CF"/>
    <w:rsid w:val="7CB606DC"/>
    <w:rsid w:val="7D1E420E"/>
    <w:rsid w:val="7D83198E"/>
    <w:rsid w:val="7E725B75"/>
    <w:rsid w:val="7F276396"/>
    <w:rsid w:val="7FFE7C73"/>
    <w:rsid w:val="9B6F4965"/>
    <w:rsid w:val="B7FB5C1D"/>
    <w:rsid w:val="B7FFEF41"/>
    <w:rsid w:val="BBDF9AE3"/>
    <w:rsid w:val="CF7BB0E2"/>
    <w:rsid w:val="E3778D48"/>
    <w:rsid w:val="EBBA5039"/>
    <w:rsid w:val="FD4EF8C7"/>
    <w:rsid w:val="FDBFC27D"/>
    <w:rsid w:val="FFF556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24"/>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8"/>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9"/>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70"/>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71"/>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72"/>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3"/>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4"/>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5"/>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Body Text"/>
    <w:basedOn w:val="1"/>
    <w:next w:val="15"/>
    <w:unhideWhenUsed/>
    <w:qFormat/>
    <w:uiPriority w:val="0"/>
    <w:pPr>
      <w:spacing w:after="120"/>
    </w:pPr>
  </w:style>
  <w:style w:type="paragraph" w:styleId="15">
    <w:name w:val="Body Text 2"/>
    <w:basedOn w:val="1"/>
    <w:next w:val="14"/>
    <w:qFormat/>
    <w:uiPriority w:val="0"/>
    <w:pPr>
      <w:jc w:val="left"/>
    </w:pPr>
    <w:rPr>
      <w:rFonts w:ascii="仿宋_GB2312" w:hAnsi="宋体" w:eastAsia="仿宋_GB2312"/>
      <w:szCs w:val="22"/>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toc 8"/>
    <w:basedOn w:val="1"/>
    <w:next w:val="1"/>
    <w:unhideWhenUsed/>
    <w:qFormat/>
    <w:uiPriority w:val="39"/>
    <w:pPr>
      <w:spacing w:after="100"/>
      <w:ind w:left="1540"/>
    </w:pPr>
  </w:style>
  <w:style w:type="paragraph" w:styleId="19">
    <w:name w:val="endnote text"/>
    <w:basedOn w:val="1"/>
    <w:link w:val="192"/>
    <w:semiHidden/>
    <w:unhideWhenUsed/>
    <w:qFormat/>
    <w:uiPriority w:val="99"/>
    <w:pPr>
      <w:spacing w:after="0" w:line="240" w:lineRule="auto"/>
    </w:pPr>
    <w:rPr>
      <w:sz w:val="20"/>
      <w:szCs w:val="20"/>
    </w:rPr>
  </w:style>
  <w:style w:type="paragraph" w:styleId="20">
    <w:name w:val="footer"/>
    <w:basedOn w:val="1"/>
    <w:link w:val="190"/>
    <w:unhideWhenUsed/>
    <w:qFormat/>
    <w:uiPriority w:val="99"/>
    <w:pPr>
      <w:tabs>
        <w:tab w:val="center" w:pos="4844"/>
        <w:tab w:val="right" w:pos="9689"/>
      </w:tabs>
      <w:spacing w:after="0" w:line="240" w:lineRule="auto"/>
    </w:pPr>
  </w:style>
  <w:style w:type="paragraph" w:styleId="21">
    <w:name w:val="header"/>
    <w:basedOn w:val="1"/>
    <w:link w:val="189"/>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7"/>
    <w:qFormat/>
    <w:uiPriority w:val="11"/>
    <w:rPr>
      <w:color w:val="585858" w:themeColor="text1" w:themeTint="A6"/>
      <w:spacing w:val="15"/>
      <w:sz w:val="28"/>
      <w:szCs w:val="28"/>
    </w:rPr>
  </w:style>
  <w:style w:type="paragraph" w:styleId="25">
    <w:name w:val="footnote text"/>
    <w:basedOn w:val="1"/>
    <w:link w:val="191"/>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rPr>
  </w:style>
  <w:style w:type="character" w:styleId="39">
    <w:name w:val="footnote reference"/>
    <w:basedOn w:val="33"/>
    <w:semiHidden/>
    <w:unhideWhenUsed/>
    <w:qFormat/>
    <w:uiPriority w:val="99"/>
    <w:rPr>
      <w:vertAlign w:val="superscript"/>
    </w:rPr>
  </w:style>
  <w:style w:type="paragraph" w:customStyle="1" w:styleId="40">
    <w:name w:val="正文文本1"/>
    <w:basedOn w:val="1"/>
    <w:next w:val="41"/>
    <w:link w:val="205"/>
    <w:unhideWhenUsed/>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7">
    <w:name w:val="Heading 1 Char"/>
    <w:basedOn w:val="33"/>
    <w:link w:val="2"/>
    <w:qFormat/>
    <w:uiPriority w:val="9"/>
    <w:rPr>
      <w:rFonts w:ascii="Arial" w:hAnsi="Arial" w:eastAsia="Arial" w:cs="Arial"/>
      <w:color w:val="366091" w:themeColor="accent1" w:themeShade="BF"/>
      <w:sz w:val="40"/>
      <w:szCs w:val="40"/>
    </w:rPr>
  </w:style>
  <w:style w:type="character" w:customStyle="1" w:styleId="168">
    <w:name w:val="Heading 2 Char"/>
    <w:basedOn w:val="33"/>
    <w:link w:val="3"/>
    <w:qFormat/>
    <w:uiPriority w:val="9"/>
    <w:rPr>
      <w:rFonts w:ascii="Arial" w:hAnsi="Arial" w:eastAsia="Arial" w:cs="Arial"/>
      <w:color w:val="366091" w:themeColor="accent1" w:themeShade="BF"/>
      <w:sz w:val="32"/>
      <w:szCs w:val="32"/>
    </w:rPr>
  </w:style>
  <w:style w:type="character" w:customStyle="1" w:styleId="169">
    <w:name w:val="Heading 3 Char"/>
    <w:basedOn w:val="33"/>
    <w:link w:val="4"/>
    <w:qFormat/>
    <w:uiPriority w:val="9"/>
    <w:rPr>
      <w:rFonts w:ascii="Arial" w:hAnsi="Arial" w:eastAsia="Arial" w:cs="Arial"/>
      <w:color w:val="366091" w:themeColor="accent1" w:themeShade="BF"/>
      <w:sz w:val="28"/>
      <w:szCs w:val="28"/>
    </w:rPr>
  </w:style>
  <w:style w:type="character" w:customStyle="1" w:styleId="170">
    <w:name w:val="Heading 4 Char"/>
    <w:basedOn w:val="33"/>
    <w:link w:val="5"/>
    <w:qFormat/>
    <w:uiPriority w:val="9"/>
    <w:rPr>
      <w:rFonts w:ascii="Arial" w:hAnsi="Arial" w:eastAsia="Arial" w:cs="Arial"/>
      <w:i/>
      <w:iCs/>
      <w:color w:val="366091" w:themeColor="accent1" w:themeShade="BF"/>
    </w:rPr>
  </w:style>
  <w:style w:type="character" w:customStyle="1" w:styleId="171">
    <w:name w:val="Heading 5 Char"/>
    <w:basedOn w:val="33"/>
    <w:link w:val="6"/>
    <w:qFormat/>
    <w:uiPriority w:val="9"/>
    <w:rPr>
      <w:rFonts w:ascii="Arial" w:hAnsi="Arial" w:eastAsia="Arial" w:cs="Arial"/>
      <w:color w:val="366091" w:themeColor="accent1" w:themeShade="BF"/>
    </w:rPr>
  </w:style>
  <w:style w:type="character" w:customStyle="1" w:styleId="172">
    <w:name w:val="Heading 6 Char"/>
    <w:basedOn w:val="33"/>
    <w:link w:val="7"/>
    <w:qFormat/>
    <w:uiPriority w:val="9"/>
    <w:rPr>
      <w:rFonts w:ascii="Arial" w:hAnsi="Arial" w:eastAsia="Arial" w:cs="Arial"/>
      <w:i/>
      <w:iCs/>
      <w:color w:val="585858" w:themeColor="text1" w:themeTint="A6"/>
    </w:rPr>
  </w:style>
  <w:style w:type="character" w:customStyle="1" w:styleId="173">
    <w:name w:val="Heading 7 Char"/>
    <w:basedOn w:val="33"/>
    <w:link w:val="8"/>
    <w:qFormat/>
    <w:uiPriority w:val="9"/>
    <w:rPr>
      <w:rFonts w:ascii="Arial" w:hAnsi="Arial" w:eastAsia="Arial" w:cs="Arial"/>
      <w:color w:val="585858" w:themeColor="text1" w:themeTint="A6"/>
    </w:rPr>
  </w:style>
  <w:style w:type="character" w:customStyle="1" w:styleId="174">
    <w:name w:val="Heading 8 Char"/>
    <w:basedOn w:val="33"/>
    <w:link w:val="9"/>
    <w:qFormat/>
    <w:uiPriority w:val="9"/>
    <w:rPr>
      <w:rFonts w:ascii="Arial" w:hAnsi="Arial" w:eastAsia="Arial" w:cs="Arial"/>
      <w:i/>
      <w:iCs/>
      <w:color w:val="262626" w:themeColor="text1" w:themeTint="D8"/>
    </w:rPr>
  </w:style>
  <w:style w:type="character" w:customStyle="1" w:styleId="175">
    <w:name w:val="Heading 9 Char"/>
    <w:basedOn w:val="33"/>
    <w:link w:val="10"/>
    <w:qFormat/>
    <w:uiPriority w:val="9"/>
    <w:rPr>
      <w:rFonts w:ascii="Arial" w:hAnsi="Arial" w:eastAsia="Arial" w:cs="Arial"/>
      <w:i/>
      <w:iCs/>
      <w:color w:val="262626" w:themeColor="text1" w:themeTint="D8"/>
    </w:rPr>
  </w:style>
  <w:style w:type="character" w:customStyle="1" w:styleId="176">
    <w:name w:val="Title Char"/>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themeColor="text1" w:themeTint="A6"/>
      <w:spacing w:val="15"/>
      <w:sz w:val="28"/>
      <w:szCs w:val="28"/>
    </w:rPr>
  </w:style>
  <w:style w:type="paragraph" w:styleId="178">
    <w:name w:val="Quote"/>
    <w:basedOn w:val="1"/>
    <w:next w:val="1"/>
    <w:link w:val="179"/>
    <w:qFormat/>
    <w:uiPriority w:val="29"/>
    <w:pPr>
      <w:spacing w:before="160"/>
      <w:jc w:val="center"/>
    </w:pPr>
    <w:rPr>
      <w:i/>
      <w:iCs/>
      <w:color w:val="3F3F3F" w:themeColor="text1" w:themeTint="BF"/>
    </w:rPr>
  </w:style>
  <w:style w:type="character" w:customStyle="1" w:styleId="179">
    <w:name w:val="Quote Char"/>
    <w:basedOn w:val="33"/>
    <w:link w:val="178"/>
    <w:qFormat/>
    <w:uiPriority w:val="29"/>
    <w:rPr>
      <w:i/>
      <w:iCs/>
      <w:color w:val="3F3F3F" w:themeColor="text1" w:themeTint="BF"/>
    </w:rPr>
  </w:style>
  <w:style w:type="paragraph" w:styleId="180">
    <w:name w:val="List Paragraph"/>
    <w:basedOn w:val="1"/>
    <w:qFormat/>
    <w:uiPriority w:val="34"/>
    <w:pPr>
      <w:ind w:left="720"/>
      <w:contextualSpacing/>
    </w:pPr>
  </w:style>
  <w:style w:type="character" w:customStyle="1" w:styleId="181">
    <w:name w:val="Intense Emphasis"/>
    <w:basedOn w:val="33"/>
    <w:qFormat/>
    <w:uiPriority w:val="21"/>
    <w:rPr>
      <w:i/>
      <w:iCs/>
      <w:color w:val="366091" w:themeColor="accent1" w:themeShade="BF"/>
    </w:rPr>
  </w:style>
  <w:style w:type="paragraph" w:styleId="182">
    <w:name w:val="Intense Quote"/>
    <w:basedOn w:val="1"/>
    <w:next w:val="1"/>
    <w:link w:val="183"/>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3">
    <w:name w:val="Intense Quote Char"/>
    <w:basedOn w:val="33"/>
    <w:link w:val="182"/>
    <w:qFormat/>
    <w:uiPriority w:val="30"/>
    <w:rPr>
      <w:i/>
      <w:iCs/>
      <w:color w:val="366091" w:themeColor="accent1" w:themeShade="BF"/>
    </w:rPr>
  </w:style>
  <w:style w:type="character" w:customStyle="1" w:styleId="184">
    <w:name w:val="Intense Reference"/>
    <w:basedOn w:val="33"/>
    <w:qFormat/>
    <w:uiPriority w:val="32"/>
    <w:rPr>
      <w:b/>
      <w:bCs/>
      <w:smallCaps/>
      <w:color w:val="366091" w:themeColor="accent1" w:themeShade="BF"/>
      <w:spacing w:val="5"/>
    </w:rPr>
  </w:style>
  <w:style w:type="paragraph" w:styleId="185">
    <w:name w:val="No Spacing"/>
    <w:basedOn w:val="1"/>
    <w:qFormat/>
    <w:uiPriority w:val="1"/>
    <w:pPr>
      <w:spacing w:after="0" w:line="240" w:lineRule="auto"/>
    </w:pPr>
  </w:style>
  <w:style w:type="character" w:customStyle="1" w:styleId="186">
    <w:name w:val="Subtle Emphasis"/>
    <w:basedOn w:val="33"/>
    <w:qFormat/>
    <w:uiPriority w:val="19"/>
    <w:rPr>
      <w:i/>
      <w:iCs/>
      <w:color w:val="3F3F3F" w:themeColor="text1" w:themeTint="BF"/>
    </w:rPr>
  </w:style>
  <w:style w:type="character" w:customStyle="1" w:styleId="187">
    <w:name w:val="Subtle Reference"/>
    <w:basedOn w:val="33"/>
    <w:qFormat/>
    <w:uiPriority w:val="31"/>
    <w:rPr>
      <w:smallCaps/>
      <w:color w:val="595959" w:themeColor="text1" w:themeTint="A5"/>
    </w:rPr>
  </w:style>
  <w:style w:type="character" w:customStyle="1" w:styleId="188">
    <w:name w:val="Book Title"/>
    <w:basedOn w:val="33"/>
    <w:qFormat/>
    <w:uiPriority w:val="33"/>
    <w:rPr>
      <w:b/>
      <w:bCs/>
      <w:i/>
      <w:iCs/>
      <w:spacing w:val="5"/>
    </w:rPr>
  </w:style>
  <w:style w:type="character" w:customStyle="1" w:styleId="189">
    <w:name w:val="Header Char"/>
    <w:basedOn w:val="33"/>
    <w:link w:val="21"/>
    <w:qFormat/>
    <w:uiPriority w:val="99"/>
  </w:style>
  <w:style w:type="character" w:customStyle="1" w:styleId="190">
    <w:name w:val="Footer Char"/>
    <w:basedOn w:val="33"/>
    <w:link w:val="20"/>
    <w:qFormat/>
    <w:uiPriority w:val="99"/>
  </w:style>
  <w:style w:type="character" w:customStyle="1" w:styleId="191">
    <w:name w:val="Footnote Text Char"/>
    <w:basedOn w:val="33"/>
    <w:link w:val="25"/>
    <w:semiHidden/>
    <w:qFormat/>
    <w:uiPriority w:val="99"/>
    <w:rPr>
      <w:sz w:val="20"/>
      <w:szCs w:val="20"/>
    </w:rPr>
  </w:style>
  <w:style w:type="character" w:customStyle="1" w:styleId="192">
    <w:name w:val="Endnote Text Char"/>
    <w:basedOn w:val="33"/>
    <w:link w:val="19"/>
    <w:semiHidden/>
    <w:qFormat/>
    <w:uiPriority w:val="99"/>
    <w:rPr>
      <w:sz w:val="20"/>
      <w:szCs w:val="20"/>
    </w:rPr>
  </w:style>
  <w:style w:type="character" w:styleId="193">
    <w:name w:val="Placeholder Text"/>
    <w:basedOn w:val="33"/>
    <w:semiHidden/>
    <w:qFormat/>
    <w:uiPriority w:val="99"/>
    <w:rPr>
      <w:color w:val="666666"/>
    </w:rPr>
  </w:style>
  <w:style w:type="paragraph" w:customStyle="1" w:styleId="194">
    <w:name w:val="TOC Heading"/>
    <w:unhideWhenUsed/>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link w:val="1"/>
    <w:unhideWhenUsed/>
    <w:qFormat/>
    <w:uiPriority w:val="1"/>
  </w:style>
  <w:style w:type="table" w:customStyle="1" w:styleId="204">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semiHidden/>
    <w:qFormat/>
    <w:uiPriority w:val="9"/>
    <w:rPr>
      <w:rFonts w:ascii="等线 Light" w:hAnsi="等线 Light" w:eastAsia="等线 Light" w:cs="Times New Roman"/>
      <w:sz w:val="24"/>
      <w:szCs w:val="24"/>
    </w:rPr>
  </w:style>
  <w:style w:type="paragraph" w:customStyle="1" w:styleId="209">
    <w:name w:val="目录 71"/>
    <w:basedOn w:val="1"/>
    <w:next w:val="1"/>
    <w:unhideWhenUsed/>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semiHidden/>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unhideWhenUsed/>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unhideWhenUsed/>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semiHidden/>
    <w:qFormat/>
    <w:uiPriority w:val="99"/>
    <w:rPr>
      <w:sz w:val="21"/>
      <w:szCs w:val="24"/>
    </w:rPr>
  </w:style>
  <w:style w:type="paragraph" w:customStyle="1" w:styleId="219">
    <w:name w:val="列表 21"/>
    <w:basedOn w:val="1"/>
    <w:unhideWhenUsed/>
    <w:qFormat/>
    <w:uiPriority w:val="99"/>
    <w:pPr>
      <w:ind w:left="100" w:hanging="200"/>
      <w:contextualSpacing/>
    </w:pPr>
  </w:style>
  <w:style w:type="paragraph" w:customStyle="1" w:styleId="220">
    <w:name w:val="目录 51"/>
    <w:basedOn w:val="1"/>
    <w:next w:val="1"/>
    <w:unhideWhenUsed/>
    <w:qFormat/>
    <w:uiPriority w:val="39"/>
    <w:pPr>
      <w:ind w:left="1680"/>
    </w:pPr>
    <w:rPr>
      <w:rFonts w:ascii="Calibri" w:hAnsi="Calibri" w:eastAsia="宋体" w:cs="Times New Roman"/>
      <w:szCs w:val="22"/>
    </w:rPr>
  </w:style>
  <w:style w:type="paragraph" w:customStyle="1" w:styleId="221">
    <w:name w:val="目录 31"/>
    <w:basedOn w:val="1"/>
    <w:next w:val="1"/>
    <w:unhideWhenUsed/>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unhideWhenUsed/>
    <w:qFormat/>
    <w:uiPriority w:val="39"/>
    <w:pPr>
      <w:ind w:left="2940"/>
    </w:pPr>
    <w:rPr>
      <w:rFonts w:ascii="Calibri" w:hAnsi="Calibri" w:eastAsia="宋体" w:cs="Times New Roman"/>
      <w:szCs w:val="22"/>
    </w:rPr>
  </w:style>
  <w:style w:type="paragraph" w:customStyle="1" w:styleId="225">
    <w:name w:val="日期1"/>
    <w:basedOn w:val="1"/>
    <w:next w:val="1"/>
    <w:link w:val="226"/>
    <w:unhideWhenUsed/>
    <w:qFormat/>
    <w:uiPriority w:val="99"/>
    <w:pPr>
      <w:ind w:left="100"/>
    </w:pPr>
  </w:style>
  <w:style w:type="character" w:customStyle="1" w:styleId="226">
    <w:name w:val="日期 Char"/>
    <w:link w:val="225"/>
    <w:semiHidden/>
    <w:qFormat/>
    <w:uiPriority w:val="99"/>
    <w:rPr>
      <w:rFonts w:ascii="Times New Roman" w:hAnsi="Times New Roman"/>
      <w:sz w:val="21"/>
      <w:szCs w:val="24"/>
    </w:rPr>
  </w:style>
  <w:style w:type="paragraph" w:customStyle="1" w:styleId="227">
    <w:name w:val="批注框文本1"/>
    <w:basedOn w:val="1"/>
    <w:semiHidden/>
    <w:qFormat/>
    <w:uiPriority w:val="0"/>
    <w:rPr>
      <w:sz w:val="18"/>
      <w:szCs w:val="18"/>
    </w:rPr>
  </w:style>
  <w:style w:type="paragraph" w:customStyle="1" w:styleId="228">
    <w:name w:val="页脚1"/>
    <w:basedOn w:val="1"/>
    <w:link w:val="229"/>
    <w:unhideWhenUsed/>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unhideWhenUsed/>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unhideWhenUsed/>
    <w:qFormat/>
    <w:uiPriority w:val="39"/>
  </w:style>
  <w:style w:type="paragraph" w:customStyle="1" w:styleId="234">
    <w:name w:val="目录 41"/>
    <w:basedOn w:val="1"/>
    <w:next w:val="1"/>
    <w:unhideWhenUsed/>
    <w:qFormat/>
    <w:uiPriority w:val="39"/>
    <w:pPr>
      <w:ind w:left="1260"/>
    </w:pPr>
    <w:rPr>
      <w:rFonts w:ascii="Calibri" w:hAnsi="Calibri" w:eastAsia="宋体" w:cs="Times New Roman"/>
      <w:szCs w:val="22"/>
    </w:rPr>
  </w:style>
  <w:style w:type="paragraph" w:customStyle="1" w:styleId="235">
    <w:name w:val="目录 61"/>
    <w:basedOn w:val="1"/>
    <w:next w:val="1"/>
    <w:unhideWhenUsed/>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unhideWhenUsed/>
    <w:qFormat/>
    <w:uiPriority w:val="39"/>
    <w:pPr>
      <w:tabs>
        <w:tab w:val="right" w:leader="dot" w:pos="8296"/>
      </w:tabs>
      <w:ind w:left="420"/>
    </w:pPr>
  </w:style>
  <w:style w:type="paragraph" w:customStyle="1" w:styleId="238">
    <w:name w:val="目录 91"/>
    <w:basedOn w:val="1"/>
    <w:next w:val="1"/>
    <w:unhideWhenUsed/>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bidi="ar"/>
    </w:rPr>
  </w:style>
  <w:style w:type="paragraph" w:customStyle="1" w:styleId="241">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unhideWhenUsed/>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link w:val="1"/>
    <w:qFormat/>
    <w:uiPriority w:val="22"/>
    <w:rPr>
      <w:b/>
    </w:rPr>
  </w:style>
  <w:style w:type="character" w:customStyle="1" w:styleId="249">
    <w:name w:val="页码1"/>
    <w:link w:val="1"/>
    <w:qFormat/>
    <w:uiPriority w:val="0"/>
  </w:style>
  <w:style w:type="character" w:customStyle="1" w:styleId="250">
    <w:name w:val="已访问的超链接1"/>
    <w:basedOn w:val="203"/>
    <w:link w:val="1"/>
    <w:unhideWhenUsed/>
    <w:qFormat/>
    <w:uiPriority w:val="99"/>
    <w:rPr>
      <w:color w:val="337AB7"/>
      <w:u w:val="none"/>
    </w:rPr>
  </w:style>
  <w:style w:type="character" w:customStyle="1" w:styleId="251">
    <w:name w:val="HTML 定义1"/>
    <w:basedOn w:val="203"/>
    <w:link w:val="1"/>
    <w:unhideWhenUsed/>
    <w:qFormat/>
    <w:uiPriority w:val="99"/>
    <w:rPr>
      <w:i/>
    </w:rPr>
  </w:style>
  <w:style w:type="character" w:customStyle="1" w:styleId="252">
    <w:name w:val="超链接1"/>
    <w:basedOn w:val="203"/>
    <w:link w:val="1"/>
    <w:unhideWhenUsed/>
    <w:qFormat/>
    <w:uiPriority w:val="99"/>
    <w:rPr>
      <w:color w:val="337AB7"/>
      <w:u w:val="none"/>
    </w:rPr>
  </w:style>
  <w:style w:type="character" w:customStyle="1" w:styleId="253">
    <w:name w:val="HTML 代码1"/>
    <w:basedOn w:val="203"/>
    <w:link w:val="1"/>
    <w:unhideWhenUsed/>
    <w:qFormat/>
    <w:uiPriority w:val="99"/>
    <w:rPr>
      <w:rFonts w:ascii="Consolas" w:hAnsi="Consolas" w:eastAsia="Consolas" w:cs="Consolas"/>
      <w:color w:val="C7254E"/>
      <w:sz w:val="21"/>
      <w:szCs w:val="21"/>
      <w:shd w:val="clear" w:color="auto" w:fill="F9F2F4"/>
    </w:rPr>
  </w:style>
  <w:style w:type="character" w:customStyle="1" w:styleId="254">
    <w:name w:val="批注引用1"/>
    <w:link w:val="1"/>
    <w:qFormat/>
    <w:uiPriority w:val="0"/>
    <w:rPr>
      <w:sz w:val="21"/>
      <w:szCs w:val="21"/>
    </w:rPr>
  </w:style>
  <w:style w:type="character" w:customStyle="1" w:styleId="255">
    <w:name w:val="HTML 键盘1"/>
    <w:basedOn w:val="203"/>
    <w:link w:val="1"/>
    <w:unhideWhenUsed/>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link w:val="1"/>
    <w:unhideWhenUsed/>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qFormat/>
    <w:uiPriority w:val="0"/>
    <w:pPr>
      <w:widowControl w:val="0"/>
    </w:pPr>
    <w:rPr>
      <w:rFonts w:hint="default" w:ascii="Times New Roman" w:hAnsi="Times New Roman" w:eastAsia="宋体" w:cs="Calibri"/>
      <w:color w:val="000000"/>
      <w:sz w:val="24"/>
      <w:szCs w:val="24"/>
      <w:lang w:val="en-US" w:eastAsia="zh-CN" w:bidi="ar-SA"/>
    </w:rPr>
  </w:style>
  <w:style w:type="character" w:customStyle="1" w:styleId="260">
    <w:name w:val="nth-child(2)1"/>
    <w:basedOn w:val="203"/>
    <w:link w:val="1"/>
    <w:qFormat/>
    <w:uiPriority w:val="0"/>
    <w:rPr>
      <w:b/>
      <w:sz w:val="24"/>
      <w:szCs w:val="24"/>
    </w:rPr>
  </w:style>
  <w:style w:type="character" w:customStyle="1" w:styleId="261">
    <w:name w:val="批注文字 Char"/>
    <w:link w:val="1"/>
    <w:qFormat/>
    <w:uiPriority w:val="0"/>
    <w:rPr>
      <w:rFonts w:ascii="Times New Roman" w:hAnsi="Times New Roman"/>
      <w:sz w:val="21"/>
      <w:szCs w:val="24"/>
    </w:rPr>
  </w:style>
  <w:style w:type="character" w:customStyle="1" w:styleId="262">
    <w:name w:val="页眉 Char1"/>
    <w:link w:val="1"/>
    <w:semiHidden/>
    <w:qFormat/>
    <w:uiPriority w:val="99"/>
    <w:rPr>
      <w:sz w:val="18"/>
      <w:szCs w:val="18"/>
    </w:rPr>
  </w:style>
  <w:style w:type="character" w:customStyle="1" w:styleId="263">
    <w:name w:val="cert"/>
    <w:basedOn w:val="203"/>
    <w:link w:val="1"/>
    <w:qFormat/>
    <w:uiPriority w:val="0"/>
    <w:rPr>
      <w:sz w:val="18"/>
      <w:szCs w:val="18"/>
    </w:rPr>
  </w:style>
  <w:style w:type="character" w:customStyle="1" w:styleId="264">
    <w:name w:val="ing1"/>
    <w:basedOn w:val="203"/>
    <w:link w:val="1"/>
    <w:qFormat/>
    <w:uiPriority w:val="0"/>
    <w:rPr>
      <w:color w:val="00B882"/>
    </w:rPr>
  </w:style>
  <w:style w:type="character" w:customStyle="1" w:styleId="265">
    <w:name w:val="ing"/>
    <w:basedOn w:val="203"/>
    <w:link w:val="1"/>
    <w:qFormat/>
    <w:uiPriority w:val="0"/>
    <w:rPr>
      <w:color w:val="00B882"/>
    </w:rPr>
  </w:style>
  <w:style w:type="character" w:customStyle="1" w:styleId="266">
    <w:name w:val="bg-icon2"/>
    <w:basedOn w:val="203"/>
    <w:link w:val="1"/>
    <w:qFormat/>
    <w:uiPriority w:val="0"/>
    <w:rPr>
      <w:color w:val="00B28E"/>
    </w:rPr>
  </w:style>
  <w:style w:type="character" w:customStyle="1" w:styleId="267">
    <w:name w:val="纯文本 Char"/>
    <w:link w:val="1"/>
    <w:qFormat/>
    <w:uiPriority w:val="0"/>
    <w:rPr>
      <w:rFonts w:ascii="宋体" w:hAnsi="Courier New" w:eastAsia="宋体" w:cs="Courier New"/>
      <w:szCs w:val="21"/>
    </w:rPr>
  </w:style>
  <w:style w:type="character" w:customStyle="1" w:styleId="268">
    <w:name w:val="default-color"/>
    <w:basedOn w:val="203"/>
    <w:link w:val="1"/>
    <w:qFormat/>
    <w:uiPriority w:val="0"/>
  </w:style>
  <w:style w:type="character" w:customStyle="1" w:styleId="269">
    <w:name w:val="hover"/>
    <w:basedOn w:val="203"/>
    <w:link w:val="1"/>
    <w:qFormat/>
    <w:uiPriority w:val="0"/>
    <w:rPr>
      <w:color w:val="00B882"/>
      <w:u w:val="single"/>
    </w:rPr>
  </w:style>
  <w:style w:type="character" w:customStyle="1" w:styleId="270">
    <w:name w:val="正文文本 Char"/>
    <w:link w:val="1"/>
    <w:qFormat/>
    <w:uiPriority w:val="0"/>
    <w:rPr>
      <w:rFonts w:ascii="Times New Roman" w:hAnsi="Times New Roman"/>
      <w:sz w:val="21"/>
      <w:szCs w:val="24"/>
    </w:rPr>
  </w:style>
  <w:style w:type="character" w:customStyle="1" w:styleId="271">
    <w:name w:val="before13"/>
    <w:basedOn w:val="203"/>
    <w:link w:val="1"/>
    <w:qFormat/>
    <w:uiPriority w:val="0"/>
  </w:style>
  <w:style w:type="character" w:customStyle="1" w:styleId="272">
    <w:name w:val="icons14"/>
    <w:basedOn w:val="203"/>
    <w:link w:val="1"/>
    <w:qFormat/>
    <w:uiPriority w:val="0"/>
  </w:style>
  <w:style w:type="character" w:customStyle="1" w:styleId="273">
    <w:name w:val="纯文本 字符1"/>
    <w:link w:val="1"/>
    <w:qFormat/>
    <w:uiPriority w:val="0"/>
    <w:rPr>
      <w:rFonts w:ascii="宋体" w:hAnsi="Courier New"/>
    </w:rPr>
  </w:style>
  <w:style w:type="character" w:customStyle="1" w:styleId="274">
    <w:name w:val="NormalCharacter1"/>
    <w:link w:val="1"/>
    <w:qFormat/>
    <w:uiPriority w:val="0"/>
  </w:style>
  <w:style w:type="character" w:customStyle="1" w:styleId="275">
    <w:name w:val="fontstyle01"/>
    <w:basedOn w:val="203"/>
    <w:link w:val="1"/>
    <w:qFormat/>
    <w:uiPriority w:val="0"/>
    <w:rPr>
      <w:rFonts w:hint="eastAsia" w:ascii="宋体" w:hAnsi="宋体" w:eastAsia="宋体" w:cs="宋体"/>
      <w:color w:val="000000"/>
      <w:sz w:val="22"/>
      <w:szCs w:val="22"/>
    </w:rPr>
  </w:style>
  <w:style w:type="character" w:customStyle="1" w:styleId="276">
    <w:name w:val="more1"/>
    <w:basedOn w:val="203"/>
    <w:link w:val="1"/>
    <w:qFormat/>
    <w:uiPriority w:val="0"/>
    <w:rPr>
      <w:color w:val="666666"/>
      <w:sz w:val="12"/>
      <w:szCs w:val="12"/>
    </w:rPr>
  </w:style>
  <w:style w:type="character" w:customStyle="1" w:styleId="277">
    <w:name w:val="apple-style-span"/>
    <w:link w:val="1"/>
    <w:qFormat/>
    <w:uiPriority w:val="0"/>
  </w:style>
  <w:style w:type="character" w:customStyle="1" w:styleId="278">
    <w:name w:val="fontstyle21"/>
    <w:basedOn w:val="203"/>
    <w:link w:val="1"/>
    <w:qFormat/>
    <w:uiPriority w:val="0"/>
    <w:rPr>
      <w:rFonts w:ascii="Calibri" w:hAnsi="Calibri" w:cs="Calibri"/>
      <w:color w:val="000000"/>
      <w:sz w:val="22"/>
      <w:szCs w:val="22"/>
    </w:rPr>
  </w:style>
  <w:style w:type="character" w:customStyle="1" w:styleId="279">
    <w:name w:val="hover1"/>
    <w:basedOn w:val="203"/>
    <w:link w:val="1"/>
    <w:qFormat/>
    <w:uiPriority w:val="0"/>
    <w:rPr>
      <w:color w:val="FFFFFF"/>
    </w:rPr>
  </w:style>
  <w:style w:type="character" w:customStyle="1" w:styleId="280">
    <w:name w:val="nth-child(2)"/>
    <w:basedOn w:val="203"/>
    <w:link w:val="1"/>
    <w:qFormat/>
    <w:uiPriority w:val="0"/>
    <w:rPr>
      <w:rFonts w:ascii="iconfont" w:hAnsi="iconfont" w:eastAsia="iconfont" w:cs="iconfont"/>
    </w:rPr>
  </w:style>
  <w:style w:type="character" w:customStyle="1" w:styleId="281">
    <w:name w:val="正文文本 (2) + 间距 -2 pt1"/>
    <w:link w:val="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2">
    <w:name w:val="nth-child(1)"/>
    <w:basedOn w:val="203"/>
    <w:link w:val="1"/>
    <w:qFormat/>
    <w:uiPriority w:val="0"/>
  </w:style>
  <w:style w:type="character" w:customStyle="1" w:styleId="283">
    <w:name w:val="before12"/>
    <w:basedOn w:val="203"/>
    <w:link w:val="1"/>
    <w:qFormat/>
    <w:uiPriority w:val="0"/>
  </w:style>
  <w:style w:type="character" w:customStyle="1" w:styleId="284">
    <w:name w:val="ing2"/>
    <w:basedOn w:val="203"/>
    <w:link w:val="1"/>
    <w:qFormat/>
    <w:uiPriority w:val="0"/>
    <w:rPr>
      <w:color w:val="FFFFFF"/>
    </w:rPr>
  </w:style>
  <w:style w:type="character" w:customStyle="1" w:styleId="285">
    <w:name w:val="标题 2 Char"/>
    <w:link w:val="1"/>
    <w:qFormat/>
    <w:uiPriority w:val="9"/>
    <w:rPr>
      <w:rFonts w:ascii="Cambria" w:hAnsi="Cambria" w:eastAsia="宋体" w:cs="Times New Roman"/>
      <w:b/>
      <w:bCs/>
      <w:sz w:val="32"/>
      <w:szCs w:val="32"/>
    </w:rPr>
  </w:style>
  <w:style w:type="character" w:customStyle="1" w:styleId="286">
    <w:name w:val="after"/>
    <w:basedOn w:val="203"/>
    <w:link w:val="1"/>
    <w:qFormat/>
    <w:uiPriority w:val="0"/>
  </w:style>
  <w:style w:type="character" w:customStyle="1" w:styleId="287">
    <w:name w:val="default-color1"/>
    <w:basedOn w:val="203"/>
    <w:link w:val="1"/>
    <w:qFormat/>
    <w:uiPriority w:val="0"/>
    <w:rPr>
      <w:sz w:val="16"/>
      <w:szCs w:val="16"/>
    </w:rPr>
  </w:style>
  <w:style w:type="character" w:customStyle="1" w:styleId="288">
    <w:name w:val="tip7"/>
    <w:basedOn w:val="203"/>
    <w:link w:val="1"/>
    <w:qFormat/>
    <w:uiPriority w:val="0"/>
  </w:style>
  <w:style w:type="character" w:customStyle="1" w:styleId="289">
    <w:name w:val="complete"/>
    <w:basedOn w:val="203"/>
    <w:link w:val="1"/>
    <w:qFormat/>
    <w:uiPriority w:val="0"/>
    <w:rPr>
      <w:shd w:val="clear" w:color="auto" w:fill="4BB7CE"/>
    </w:rPr>
  </w:style>
  <w:style w:type="character" w:customStyle="1" w:styleId="290">
    <w:name w:val="标题 8 Char"/>
    <w:link w:val="1"/>
    <w:qFormat/>
    <w:uiPriority w:val="0"/>
    <w:rPr>
      <w:rFonts w:ascii="Arial" w:hAnsi="Arial" w:eastAsia="黑体"/>
      <w:sz w:val="24"/>
      <w:szCs w:val="24"/>
    </w:rPr>
  </w:style>
  <w:style w:type="character" w:customStyle="1" w:styleId="291">
    <w:name w:val="textcontents"/>
    <w:link w:val="1"/>
    <w:qFormat/>
    <w:uiPriority w:val="0"/>
  </w:style>
  <w:style w:type="character" w:customStyle="1" w:styleId="292">
    <w:name w:val="nth-child(1)1"/>
    <w:basedOn w:val="203"/>
    <w:link w:val="1"/>
    <w:qFormat/>
    <w:uiPriority w:val="0"/>
  </w:style>
  <w:style w:type="character" w:customStyle="1" w:styleId="293">
    <w:name w:val="reservation4"/>
    <w:basedOn w:val="203"/>
    <w:link w:val="1"/>
    <w:qFormat/>
    <w:uiPriority w:val="0"/>
    <w:rPr>
      <w:color w:val="FF6E00"/>
    </w:rPr>
  </w:style>
  <w:style w:type="character" w:customStyle="1" w:styleId="294">
    <w:name w:val="text"/>
    <w:basedOn w:val="203"/>
    <w:link w:val="1"/>
    <w:qFormat/>
    <w:uiPriority w:val="0"/>
  </w:style>
  <w:style w:type="character" w:customStyle="1" w:styleId="295">
    <w:name w:val="纯文本 Char4"/>
    <w:link w:val="1"/>
    <w:qFormat/>
    <w:uiPriority w:val="0"/>
    <w:rPr>
      <w:rFonts w:ascii="宋体" w:hAnsi="Courier New" w:cs="Courier New"/>
      <w:szCs w:val="21"/>
    </w:rPr>
  </w:style>
  <w:style w:type="character" w:customStyle="1" w:styleId="296">
    <w:name w:val="pause-close2"/>
    <w:basedOn w:val="203"/>
    <w:link w:val="1"/>
    <w:qFormat/>
    <w:uiPriority w:val="0"/>
  </w:style>
  <w:style w:type="character" w:customStyle="1" w:styleId="297">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paragraph" w:customStyle="1" w:styleId="298">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299">
    <w:name w:val="reply-text"/>
    <w:basedOn w:val="1"/>
    <w:qFormat/>
    <w:uiPriority w:val="0"/>
    <w:pPr>
      <w:spacing w:before="100" w:beforeAutospacing="0" w:line="250" w:lineRule="atLeast"/>
      <w:jc w:val="left"/>
    </w:pPr>
    <w:rPr>
      <w:sz w:val="16"/>
      <w:szCs w:val="16"/>
      <w:lang w:val="en-US" w:eastAsia="zh-CN" w:bidi="ar"/>
    </w:rPr>
  </w:style>
  <w:style w:type="paragraph" w:customStyle="1" w:styleId="300">
    <w:name w:val="默认段落字体 Para Char Char Char Char Char Char Char Char Char1 Char Char Char Char"/>
    <w:basedOn w:val="1"/>
    <w:qFormat/>
    <w:uiPriority w:val="0"/>
    <w:rPr>
      <w:rFonts w:ascii="Tahoma" w:hAnsi="Tahoma"/>
      <w:sz w:val="24"/>
      <w:szCs w:val="20"/>
    </w:rPr>
  </w:style>
  <w:style w:type="paragraph" w:customStyle="1" w:styleId="301">
    <w:name w:val="正文2"/>
    <w:basedOn w:val="1"/>
    <w:qFormat/>
    <w:uiPriority w:val="0"/>
    <w:pPr>
      <w:spacing w:before="156" w:line="360" w:lineRule="auto"/>
      <w:ind w:firstLine="510"/>
    </w:pPr>
    <w:rPr>
      <w:sz w:val="24"/>
      <w:szCs w:val="20"/>
    </w:rPr>
  </w:style>
  <w:style w:type="paragraph" w:customStyle="1" w:styleId="302">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3">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4">
    <w:name w:val="reply-text2"/>
    <w:basedOn w:val="1"/>
    <w:qFormat/>
    <w:uiPriority w:val="0"/>
    <w:pPr>
      <w:ind w:right="800"/>
      <w:jc w:val="left"/>
    </w:pPr>
    <w:rPr>
      <w:sz w:val="14"/>
      <w:szCs w:val="14"/>
      <w:lang w:val="en-US" w:eastAsia="zh-CN" w:bidi="ar"/>
    </w:rPr>
  </w:style>
  <w:style w:type="paragraph" w:customStyle="1" w:styleId="305">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6">
    <w:name w:val="批注文字1"/>
    <w:basedOn w:val="1"/>
    <w:qFormat/>
    <w:uiPriority w:val="1624"/>
    <w:pPr>
      <w:jc w:val="left"/>
    </w:pPr>
  </w:style>
  <w:style w:type="paragraph" w:customStyle="1" w:styleId="307">
    <w:name w:val="表格文字115"/>
    <w:basedOn w:val="1"/>
    <w:qFormat/>
    <w:uiPriority w:val="0"/>
    <w:pPr>
      <w:jc w:val="left"/>
    </w:pPr>
    <w:rPr>
      <w:bCs/>
      <w:spacing w:val="10"/>
      <w:sz w:val="24"/>
    </w:rPr>
  </w:style>
  <w:style w:type="paragraph" w:customStyle="1" w:styleId="308">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9">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列表段落"/>
    <w:basedOn w:val="1"/>
    <w:qFormat/>
    <w:uiPriority w:val="34"/>
    <w:pPr>
      <w:ind w:firstLine="420"/>
    </w:pPr>
  </w:style>
  <w:style w:type="paragraph" w:customStyle="1" w:styleId="311">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2">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3">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4">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5">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6">
    <w:name w:val="样式 标题 2 + 宋体"/>
    <w:basedOn w:val="196"/>
    <w:qFormat/>
    <w:uiPriority w:val="99"/>
    <w:rPr>
      <w:rFonts w:ascii="宋体" w:hAnsi="宋体"/>
      <w:sz w:val="30"/>
    </w:rPr>
  </w:style>
  <w:style w:type="paragraph" w:customStyle="1" w:styleId="317">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8">
    <w:name w:val="正文-公1"/>
    <w:basedOn w:val="1"/>
    <w:qFormat/>
    <w:uiPriority w:val="99"/>
    <w:pPr>
      <w:ind w:firstLine="200"/>
    </w:pPr>
  </w:style>
  <w:style w:type="paragraph" w:customStyle="1" w:styleId="319">
    <w:name w:val="表格文字"/>
    <w:basedOn w:val="1"/>
    <w:next w:val="40"/>
    <w:qFormat/>
    <w:uiPriority w:val="0"/>
    <w:pPr>
      <w:spacing w:before="25" w:after="25"/>
      <w:jc w:val="left"/>
    </w:pPr>
    <w:rPr>
      <w:bCs/>
      <w:spacing w:val="10"/>
      <w:sz w:val="24"/>
      <w:szCs w:val="20"/>
    </w:rPr>
  </w:style>
  <w:style w:type="table" w:customStyle="1" w:styleId="320">
    <w:name w:val="Table Normal"/>
    <w:unhideWhenUsed/>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1">
    <w:name w:val="Table Text"/>
    <w:basedOn w:val="1"/>
    <w:semiHidden/>
    <w:qFormat/>
    <w:uiPriority w:val="0"/>
    <w:rPr>
      <w:rFonts w:ascii="宋体" w:hAnsi="宋体" w:eastAsia="宋体" w:cs="宋体"/>
      <w:sz w:val="21"/>
      <w:szCs w:val="21"/>
      <w:lang w:val="en-US" w:eastAsia="en-US" w:bidi="ar-SA"/>
    </w:rPr>
  </w:style>
  <w:style w:type="paragraph" w:customStyle="1" w:styleId="322">
    <w:name w:val="正文格式"/>
    <w:basedOn w:val="1"/>
    <w:qFormat/>
    <w:uiPriority w:val="0"/>
    <w:pPr>
      <w:widowControl/>
      <w:spacing w:line="400" w:lineRule="atLeast"/>
      <w:ind w:firstLine="482"/>
    </w:pPr>
    <w:rPr>
      <w:sz w:val="24"/>
    </w:rPr>
  </w:style>
  <w:style w:type="paragraph" w:customStyle="1" w:styleId="323">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4">
    <w:name w:val="font51"/>
    <w:link w:val="1"/>
    <w:qFormat/>
    <w:uiPriority w:val="0"/>
    <w:rPr>
      <w:rFonts w:hint="eastAsia" w:ascii="宋体" w:hAnsi="宋体" w:eastAsia="宋体" w:cs="宋体"/>
      <w:color w:val="000000"/>
      <w:sz w:val="21"/>
      <w:szCs w:val="21"/>
      <w:u w:val="none"/>
    </w:rPr>
  </w:style>
  <w:style w:type="table" w:customStyle="1" w:styleId="325">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6">
    <w:name w:val="正文缩进1"/>
    <w:basedOn w:val="1"/>
    <w:qFormat/>
    <w:uiPriority w:val="0"/>
    <w:pPr>
      <w:ind w:firstLine="420"/>
    </w:pPr>
    <w:rPr>
      <w:szCs w:val="20"/>
    </w:rPr>
  </w:style>
  <w:style w:type="paragraph" w:customStyle="1" w:styleId="327">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b42096d8-3101-4d76-abdc-5ad63e90b091</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7c0e4682-9437-40de-a166-4c0d9bd8dd65</errorID>
      <errorWord>：</errorWord>
      <group>L1_Format</group>
      <groupName>格式问题</groupName>
      <ability>L2_HalfPunc_CN</ability>
      <abilityName/>
      <candidateList>
        <item>:</item>
      </candidateList>
      <explain>文本全半角错误。</explain>
      <paraID>2F1B2104</paraID>
      <start>47</start>
      <end>48</end>
      <status>unmodified</status>
      <modifiedWord/>
      <trackRevisions>false</trackRevisions>
    </reviewItem>
    <reviewItem>
      <errorID>f4fa01ee-70ad-4cf4-a2e2-7495e08ae1e2</errorID>
      <errorWord>/）</errorWord>
      <group>L1_Punc</group>
      <groupName>标点问题</groupName>
      <ability>L2_Punc_CN</ability>
      <abilityName/>
      <candidateList>
        <item>）</item>
      </candidateList>
      <explain/>
      <paraID>2F1B2104</paraID>
      <start>74</start>
      <end>76</end>
      <status>unmodified</status>
      <modifiedWord/>
      <trackRevisions>false</trackRevisions>
    </reviewItem>
    <reviewItem>
      <errorID>5ff562f6-d658-4b5e-87fb-dfa833429700</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a5008954-1511-408e-8119-38239f005007</errorID>
      <errorWord>：/</errorWord>
      <group>L1_Punc</group>
      <groupName>标点问题</groupName>
      <ability>L2_Punc_CN</ability>
      <abilityName/>
      <candidateList>
        <item>：</item>
      </candidateList>
      <explain/>
      <paraID>23BB0FEA</paraID>
      <start>2</start>
      <end>4</end>
      <status>unmodified</status>
      <modifiedWord/>
      <trackRevisions>false</trackRevisions>
    </reviewItem>
    <reviewItem>
      <errorID>45ac4dc4-19a5-42b2-8abd-64c231949756</errorID>
      <errorWord>财政部</errorWord>
      <group>L1_Knowledge</group>
      <groupName>知识性问题</groupName>
      <ability>L2_Organization</ability>
      <abilityName>机构检查</abilityName>
      <candidateList/>
      <explain>[财政部]应在[民政部]之后</explain>
      <paraID>2E6CED6F</paraID>
      <start>140</start>
      <end>143</end>
      <status>unmodified</status>
      <modifiedWord/>
      <trackRevisions>false</trackRevisions>
    </reviewItem>
    <reviewItem>
      <errorID>ad9d42b3-ccf4-4cb1-bad0-c9b109fcbb30</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26b702f3-473d-4e30-a436-733891f142f0</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b46cea7b-83d8-4085-8523-122b601a27d9</errorID>
      <errorWord>：</errorWord>
      <group>L1_Format</group>
      <groupName>格式问题</groupName>
      <ability>L2_HalfPunc_CN</ability>
      <abilityName/>
      <candidateList>
        <item>:</item>
      </candidateList>
      <explain>文本全半角错误。</explain>
      <paraID>6A743D53</paraID>
      <start>36</start>
      <end>37</end>
      <status>unmodified</status>
      <modifiedWord/>
      <trackRevisions>false</trackRevisions>
    </reviewItem>
    <reviewItem>
      <errorID>85026834-bb55-4b5b-8662-25b7f7e98545</errorID>
      <errorWord>：</errorWord>
      <group>L1_Format</group>
      <groupName>格式问题</groupName>
      <ability>L2_HalfPunc_CN</ability>
      <abilityName/>
      <candidateList>
        <item>:</item>
      </candidateList>
      <explain>文本全半角错误。</explain>
      <paraID>6A743D53</paraID>
      <start>45</start>
      <end>46</end>
      <status>unmodified</status>
      <modifiedWord/>
      <trackRevisions>false</trackRevisions>
    </reviewItem>
    <reviewItem>
      <errorID>4aaf0a6a-efef-4958-99b7-45a10ff19b15</errorID>
      <errorWord>：</errorWord>
      <group>L1_Format</group>
      <groupName>格式问题</groupName>
      <ability>L2_HalfPunc_CN</ability>
      <abilityName/>
      <candidateList>
        <item>:</item>
      </candidateList>
      <explain>文本全半角错误。</explain>
      <paraID>6A743D53</paraID>
      <start>51</start>
      <end>52</end>
      <status>unmodified</status>
      <modifiedWord/>
      <trackRevisions>false</trackRevisions>
    </reviewItem>
    <reviewItem>
      <errorID>4e778b84-6592-4129-b335-2a8ccd7cbd12</errorID>
      <errorWord>：</errorWord>
      <group>L1_Format</group>
      <groupName>格式问题</groupName>
      <ability>L2_HalfPunc_CN</ability>
      <abilityName/>
      <candidateList>
        <item>:</item>
      </candidateList>
      <explain>文本全半角错误。</explain>
      <paraID>3DEFC863</paraID>
      <start>22</start>
      <end>23</end>
      <status>unmodified</status>
      <modifiedWord/>
      <trackRevisions>false</trackRevisions>
    </reviewItem>
    <reviewItem>
      <errorID>53731635-5dc6-479d-97d5-5e2d16cab91f</errorID>
      <errorWord>/）</errorWord>
      <group>L1_Punc</group>
      <groupName>标点问题</groupName>
      <ability>L2_Punc_CN</ability>
      <abilityName/>
      <candidateList>
        <item>）</item>
      </candidateList>
      <explain/>
      <paraID>3DEFC863</paraID>
      <start>49</start>
      <end>51</end>
      <status>unmodified</status>
      <modifiedWord/>
      <trackRevisions>false</trackRevisions>
    </reviewItem>
    <reviewItem>
      <errorID>3354c485-cc0d-4253-b8ce-234a7ed02f56</errorID>
      <errorWord>：</errorWord>
      <group>L1_Format</group>
      <groupName>格式问题</groupName>
      <ability>L2_HalfPunc_CN</ability>
      <abilityName/>
      <candidateList>
        <item>:</item>
      </candidateList>
      <explain>文本全半角错误。</explain>
      <paraID>6A784642</paraID>
      <start>54</start>
      <end>55</end>
      <status>unmodified</status>
      <modifiedWord/>
      <trackRevisions>false</trackRevisions>
    </reviewItem>
    <reviewItem>
      <errorID>5f47eb9a-a4e6-4ecb-9321-1072f1864c74</errorID>
      <errorWord>/）</errorWord>
      <group>L1_Punc</group>
      <groupName>标点问题</groupName>
      <ability>L2_Punc_CN</ability>
      <abilityName/>
      <candidateList>
        <item>）</item>
      </candidateList>
      <explain/>
      <paraID>6A784642</paraID>
      <start>81</start>
      <end>83</end>
      <status>unmodified</status>
      <modifiedWord/>
      <trackRevisions>false</trackRevisions>
    </reviewItem>
    <reviewItem>
      <errorID>a27cb856-3c5d-4d26-bf23-9399f02bf6af</errorID>
      <errorWord>-</errorWord>
      <group>L1_Format</group>
      <groupName>格式问题</groupName>
      <ability>L2_HalfPunc_CN</ability>
      <abilityName/>
      <candidateList>
        <item>－</item>
      </candidateList>
      <explain>文本全半角错误。</explain>
      <paraID>6A784642</paraID>
      <start>83</start>
      <end>84</end>
      <status>unmodified</status>
      <modifiedWord/>
      <trackRevisions>false</trackRevisions>
    </reviewItem>
    <reviewItem>
      <errorID>2a59b56e-a199-4811-91ec-5c16d199c32d</errorID>
      <errorWord>：</errorWord>
      <group>L1_Format</group>
      <groupName>格式问题</groupName>
      <ability>L2_HalfPunc_CN</ability>
      <abilityName/>
      <candidateList>
        <item>:</item>
      </candidateList>
      <explain>文本全半角错误。</explain>
      <paraID>3B9A4135</paraID>
      <start>22</start>
      <end>23</end>
      <status>unmodified</status>
      <modifiedWord/>
      <trackRevisions>false</trackRevisions>
    </reviewItem>
    <reviewItem>
      <errorID>0f36fa64-3757-46f3-82dd-fa49da7457f0</errorID>
      <errorWord>/）</errorWord>
      <group>L1_Punc</group>
      <groupName>标点问题</groupName>
      <ability>L2_Punc_CN</ability>
      <abilityName/>
      <candidateList>
        <item>）</item>
      </candidateList>
      <explain/>
      <paraID>3B9A4135</paraID>
      <start>49</start>
      <end>51</end>
      <status>unmodified</status>
      <modifiedWord/>
      <trackRevisions>false</trackRevisions>
    </reviewItem>
    <reviewItem>
      <errorID>00432078-64ec-416e-83e7-69baccfafcc2</errorID>
      <errorWord>：</errorWord>
      <group>L1_Format</group>
      <groupName>格式问题</groupName>
      <ability>L2_HalfPunc_CN</ability>
      <abilityName/>
      <candidateList>
        <item>:</item>
      </candidateList>
      <explain>文本全半角错误。</explain>
      <paraID>62B7C378</paraID>
      <start>20</start>
      <end>21</end>
      <status>unmodified</status>
      <modifiedWord/>
      <trackRevisions>false</trackRevisions>
    </reviewItem>
    <reviewItem>
      <errorID>5a26021a-b17d-43b8-ac02-a6b2a0308844</errorID>
      <errorWord>/）</errorWord>
      <group>L1_Punc</group>
      <groupName>标点问题</groupName>
      <ability>L2_Punc_CN</ability>
      <abilityName/>
      <candidateList>
        <item>）</item>
      </candidateList>
      <explain/>
      <paraID>62B7C378</paraID>
      <start>47</start>
      <end>49</end>
      <status>unmodified</status>
      <modifiedWord/>
      <trackRevisions>false</trackRevisions>
    </reviewItem>
    <reviewItem>
      <errorID>8061fb2d-b3d4-4ca6-b53b-207f273d456a</errorID>
      <errorWord>：</errorWord>
      <group>L1_Format</group>
      <groupName>格式问题</groupName>
      <ability>L2_HalfPunc_CN</ability>
      <abilityName/>
      <candidateList>
        <item>:</item>
      </candidateList>
      <explain>文本全半角错误。</explain>
      <paraID>7F8FD6AC</paraID>
      <start>4</start>
      <end>5</end>
      <status>unmodified</status>
      <modifiedWord/>
      <trackRevisions>false</trackRevisions>
    </reviewItem>
    <reviewItem>
      <errorID>ac60b7ba-d931-4df3-9054-03064bbc33a5</errorID>
      <errorWord>：</errorWord>
      <group>L1_Format</group>
      <groupName>格式问题</groupName>
      <ability>L2_HalfPunc_CN</ability>
      <abilityName/>
      <candidateList>
        <item>:</item>
      </candidateList>
      <explain>文本全半角错误。</explain>
      <paraID>7F8FD6AC</paraID>
      <start>36</start>
      <end>37</end>
      <status>unmodified</status>
      <modifiedWord/>
      <trackRevisions>false</trackRevisions>
    </reviewItem>
    <reviewItem>
      <errorID>423e6499-b041-4209-8edf-04549db1e454</errorID>
      <errorWord>：</errorWord>
      <group>L1_Format</group>
      <groupName>格式问题</groupName>
      <ability>L2_HalfPunc_CN</ability>
      <abilityName/>
      <candidateList>
        <item>:</item>
      </candidateList>
      <explain>文本全半角错误。</explain>
      <paraID>7F8FD6AC</paraID>
      <start>75</start>
      <end>76</end>
      <status>unmodified</status>
      <modifiedWord/>
      <trackRevisions>false</trackRevisions>
    </reviewItem>
    <reviewItem>
      <errorID>a0727eb5-73ef-4b4c-b3d8-d2c68e41e6eb</errorID>
      <errorWord>：</errorWord>
      <group>L1_Format</group>
      <groupName>格式问题</groupName>
      <ability>L2_HalfPunc_CN</ability>
      <abilityName/>
      <candidateList>
        <item>:</item>
      </candidateList>
      <explain>文本全半角错误。</explain>
      <paraID>33B80B42</paraID>
      <start>35</start>
      <end>36</end>
      <status>unmodified</status>
      <modifiedWord/>
      <trackRevisions>false</trackRevisions>
    </reviewItem>
    <reviewItem>
      <errorID>fe46225d-7c96-4cb4-9c87-e0565212c900</errorID>
      <errorWord>/）</errorWord>
      <group>L1_Punc</group>
      <groupName>标点问题</groupName>
      <ability>L2_Punc_CN</ability>
      <abilityName/>
      <candidateList>
        <item>）</item>
      </candidateList>
      <explain/>
      <paraID>33B80B42</paraID>
      <start>62</start>
      <end>64</end>
      <status>unmodified</status>
      <modifiedWord/>
      <trackRevisions>false</trackRevisions>
    </reviewItem>
    <reviewItem>
      <errorID>165a0d90-b6ff-472b-ad24-140daf27ac7c</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db85986e-05e4-4e13-8232-c59d56c952f3</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12e823a2-eb57-4134-b7fb-adcf0335c762</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086f53b3-d387-415a-928d-5819dbc21843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27766e21-cda6-49cb-9a51-e2ecf722cec4</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5bfde28d-dfbc-418d-8c63-6ce4d05079fc</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7fa33fcd-7846-4b27-88ba-36c850570d0c</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7102aa66-eaa9-4e89-9e45-602377d07e1f</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22947ba1-0028-4af4-ad80-b8b914ef59b3</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8c19b745-4541-4561-8aef-3224652de3ab</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e3adba2b-cf30-4ca8-90c9-4ffa7a1792b3</errorID>
      <errorWord>)</errorWord>
      <group>L1_Format</group>
      <groupName>格式问题</groupName>
      <ability>L2_HalfPunc_CN</ability>
      <abilityName/>
      <candidateList>
        <item>）</item>
      </candidateList>
      <explain>文本全半角错误。</explain>
      <paraID>15672702</paraID>
      <start>103</start>
      <end>104</end>
      <status>unmodified</status>
      <modifiedWord/>
      <trackRevisions>false</trackRevisions>
    </reviewItem>
    <reviewItem>
      <errorID>15af5a37-6bc8-4f98-bc02-959a99b76cc4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390A29FB</paraID>
      <start>36</start>
      <end>37</end>
      <status>unmodified</status>
      <modifiedWord/>
      <trackRevisions>false</trackRevisions>
    </reviewItem>
    <reviewItem>
      <errorID>f868101b-0ab8-4e89-8d59-3425404c3b05</errorID>
      <errorWord>录入到</errorWord>
      <group>L1_Word</group>
      <groupName>字词问题</groupName>
      <ability>L2_Typo</ability>
      <abilityName>字词错误</abilityName>
      <candidateList>
        <item>录入</item>
      </candidateList>
      <explain>〈动〉把文字等输入到计算机里：～员｜平均每分钟～一百个汉字。</explain>
      <paraID>45504F92</paraID>
      <start>33</start>
      <end>36</end>
      <status>unmodified</status>
      <modifiedWord/>
      <trackRevisions>false</trackRevisions>
    </reviewItem>
    <reviewItem>
      <errorID>a9814b17-a87f-4336-b15b-68b79ed3b3f1</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30A04162</paraID>
      <start>52</start>
      <end>54</end>
      <status>unmodified</status>
      <modifiedWord/>
      <trackRevisions>false</trackRevisions>
    </reviewItem>
    <reviewItem>
      <errorID>2f6149a4-d103-4ea7-ba97-d59f68777cf1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CB16E08</paraID>
      <start>111</start>
      <end>112</end>
      <status>unmodified</status>
      <modifiedWord/>
      <trackRevisions>false</trackRevisions>
    </reviewItem>
    <reviewItem>
      <errorID>036f4251-04c3-431f-9ecc-8458e10359c7</errorID>
      <errorWord>依托于</errorWord>
      <group>L1_Word</group>
      <groupName>字词问题</groupName>
      <ability>L2_Typo</ability>
      <abilityName>字词错误</abilityName>
      <candidateList>
        <item>依托</item>
      </candidateList>
      <explain/>
      <paraID>1C6AAA3C</paraID>
      <start>43</start>
      <end>46</end>
      <status>unmodified</status>
      <modifiedWord/>
      <trackRevisions>false</trackRevisions>
    </reviewItem>
    <reviewItem>
      <errorID>9abc40c5-d200-4bea-b23e-c84c3f299340</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3870AAD5</paraID>
      <start>52</start>
      <end>54</end>
      <status>unmodified</status>
      <modifiedWord/>
      <trackRevisions>false</trackRevisions>
    </reviewItem>
    <reviewItem>
      <errorID>1b0bb774-c25a-4bed-9f21-3dc43ebdbd1d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11C6520A</paraID>
      <start>64</start>
      <end>67</end>
      <status>unmodified</status>
      <modifiedWord/>
      <trackRevisions>false</trackRevisions>
    </reviewItem>
    <reviewItem>
      <errorID>7e687540-6f0c-40d7-8928-643ad5a7398d</errorID>
      <errorWord>(</errorWord>
      <group>L1_Format</group>
      <groupName>格式问题</groupName>
      <ability>L2_HalfPunc_CN</ability>
      <abilityName/>
      <candidateList>
        <item>（</item>
      </candidateList>
      <explain>文本全半角错误。</explain>
      <paraID>11C6520A</paraID>
      <start>75</start>
      <end>76</end>
      <status>unmodified</status>
      <modifiedWord/>
      <trackRevisions>false</trackRevisions>
    </reviewItem>
    <reviewItem>
      <errorID>8a9b1c98-a167-4315-84a7-a9cf14dca0b3</errorID>
      <errorWord>)</errorWord>
      <group>L1_Format</group>
      <groupName>格式问题</groupName>
      <ability>L2_HalfPunc_CN</ability>
      <abilityName/>
      <candidateList>
        <item>）</item>
      </candidateList>
      <explain>文本全半角错误。</explain>
      <paraID>11C6520A</paraID>
      <start>78</start>
      <end>79</end>
      <status>unmodified</status>
      <modifiedWord/>
      <trackRevisions>false</trackRevisions>
    </reviewItem>
    <reviewItem>
      <errorID>b26cafc8-23e1-4290-8f5b-27d723f99377</errorID>
      <errorWord>(</errorWord>
      <group>L1_Format</group>
      <groupName>格式问题</groupName>
      <ability>L2_HalfPunc_CN</ability>
      <abilityName/>
      <candidateList>
        <item>（</item>
      </candidateList>
      <explain>文本全半角错误。</explain>
      <paraID>10126276</paraID>
      <start>46</start>
      <end>47</end>
      <status>unmodified</status>
      <modifiedWord/>
      <trackRevisions>false</trackRevisions>
    </reviewItem>
    <reviewItem>
      <errorID>f9ca0644-56d0-4367-b117-0caf2e973555</errorID>
      <errorWord>)</errorWord>
      <group>L1_Format</group>
      <groupName>格式问题</groupName>
      <ability>L2_HalfPunc_CN</ability>
      <abilityName/>
      <candidateList>
        <item>）</item>
      </candidateList>
      <explain>文本全半角错误。</explain>
      <paraID>10126276</paraID>
      <start>58</start>
      <end>59</end>
      <status>unmodified</status>
      <modifiedWord/>
      <trackRevisions>false</trackRevisions>
    </reviewItem>
    <reviewItem>
      <errorID>bba58e0d-725a-4706-994b-49c6043076db</errorID>
      <errorWord>(</errorWord>
      <group>L1_Format</group>
      <groupName>格式问题</groupName>
      <ability>L2_HalfPunc_CN</ability>
      <abilityName/>
      <candidateList>
        <item>（</item>
      </candidateList>
      <explain>文本全半角错误。</explain>
      <paraID>7E8E1FAB</paraID>
      <start>17</start>
      <end>18</end>
      <status>unmodified</status>
      <modifiedWord/>
      <trackRevisions>false</trackRevisions>
    </reviewItem>
    <reviewItem>
      <errorID>4f5c732b-0407-48f1-bc8e-1e045a531f58</errorID>
      <errorWord>)</errorWord>
      <group>L1_Format</group>
      <groupName>格式问题</groupName>
      <ability>L2_HalfPunc_CN</ability>
      <abilityName/>
      <candidateList>
        <item>）</item>
      </candidateList>
      <explain>文本全半角错误。</explain>
      <paraID>7E8E1FAB</paraID>
      <start>40</start>
      <end>41</end>
      <status>unmodified</status>
      <modifiedWord/>
      <trackRevisions>false</trackRevisions>
    </reviewItem>
    <reviewItem>
      <errorID>5d392a80-5e79-4a56-bcf5-32cb85b958ab</errorID>
      <errorWord>(</errorWord>
      <group>L1_Format</group>
      <groupName>格式问题</groupName>
      <ability>L2_HalfPunc_CN</ability>
      <abilityName/>
      <candidateList>
        <item>（</item>
      </candidateList>
      <explain>文本全半角错误。</explain>
      <paraID>7E8E1FAB</paraID>
      <start>49</start>
      <end>50</end>
      <status>unmodified</status>
      <modifiedWord/>
      <trackRevisions>false</trackRevisions>
    </reviewItem>
    <reviewItem>
      <errorID>14549752-a267-42ef-9a35-26da6438087f</errorID>
      <errorWord>)</errorWord>
      <group>L1_Format</group>
      <groupName>格式问题</groupName>
      <ability>L2_HalfPunc_CN</ability>
      <abilityName/>
      <candidateList>
        <item>）</item>
      </candidateList>
      <explain>文本全半角错误。</explain>
      <paraID>7E8E1FAB</paraID>
      <start>65</start>
      <end>66</end>
      <status>unmodified</status>
      <modifiedWord/>
      <trackRevisions>false</trackRevisions>
    </reviewItem>
    <reviewItem>
      <errorID>274cf4a4-594d-4395-b3c5-c74f851234fc</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 2B0F5F2</paraID>
      <start>19</start>
      <end>21</end>
      <status>unmodified</status>
      <modifiedWord/>
      <trackRevisions>false</trackRevisions>
    </reviewItem>
    <reviewItem>
      <errorID>38620335-de84-43ce-b4c9-069d3d48666a</errorID>
      <errorWord>-</errorWord>
      <group>L1_Format</group>
      <groupName>格式问题</groupName>
      <ability>L2_HalfPunc_CN</ability>
      <abilityName/>
      <candidateList>
        <item>－</item>
      </candidateList>
      <explain>文本全半角错误。</explain>
      <paraID>454341E8</paraID>
      <start>20</start>
      <end>21</end>
      <status>unmodified</status>
      <modifiedWord/>
      <trackRevisions>false</trackRevisions>
    </reviewItem>
    <reviewItem>
      <errorID>16bb6ec6-74ef-43cf-96c1-d49fbc7a91ae</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746e0907-59ee-4211-ade8-2b2cc3060c48</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acb19c6c-34f6-4da8-8194-af498df80773</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c7d9b022-11d4-4b01-be0e-51c062ef4ddc</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d1ccd119-29ed-4d0e-92c5-184da135d6e0</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00f2e87c-9520-4c31-945e-51b1c9ea02e8</errorID>
      <errorWord>(</errorWord>
      <group>L1_Format</group>
      <groupName>格式问题</groupName>
      <ability>L2_HalfPunc_CN</ability>
      <abilityName/>
      <candidateList>
        <item>（</item>
      </candidateList>
      <explain>文本全半角错误。</explain>
      <paraID>5FC3D3D7</paraID>
      <start>56</start>
      <end>57</end>
      <status>unmodified</status>
      <modifiedWord/>
      <trackRevisions>false</trackRevisions>
    </reviewItem>
    <reviewItem>
      <errorID>750122a1-09e1-4c4c-ba36-333f5830e3af</errorID>
      <errorWord>)</errorWord>
      <group>L1_Format</group>
      <groupName>格式问题</groupName>
      <ability>L2_HalfPunc_CN</ability>
      <abilityName/>
      <candidateList>
        <item>）</item>
      </candidateList>
      <explain>文本全半角错误。</explain>
      <paraID>5FC3D3D7</paraID>
      <start>73</start>
      <end>74</end>
      <status>unmodified</status>
      <modifiedWord/>
      <trackRevisions>false</trackRevisions>
    </reviewItem>
    <reviewItem>
      <errorID>0a212aaa-8b05-4af8-b4eb-4d5d1eb75b58</errorID>
      <errorWord>(</errorWord>
      <group>L1_Format</group>
      <groupName>格式问题</groupName>
      <ability>L2_HalfPunc_CN</ability>
      <abilityName/>
      <candidateList>
        <item>（</item>
      </candidateList>
      <explain>文本全半角错误。</explain>
      <paraID>65423459</paraID>
      <start>52</start>
      <end>53</end>
      <status>unmodified</status>
      <modifiedWord/>
      <trackRevisions>false</trackRevisions>
    </reviewItem>
    <reviewItem>
      <errorID>0960eb03-c34b-4e2e-ae4f-47ad1b0e643a</errorID>
      <errorWord>)</errorWord>
      <group>L1_Format</group>
      <groupName>格式问题</groupName>
      <ability>L2_HalfPunc_CN</ability>
      <abilityName/>
      <candidateList>
        <item>）</item>
      </candidateList>
      <explain>文本全半角错误。</explain>
      <paraID>65423459</paraID>
      <start>68</start>
      <end>69</end>
      <status>unmodified</status>
      <modifiedWord/>
      <trackRevisions>false</trackRevisions>
    </reviewItem>
    <reviewItem>
      <errorID>175200ba-5cb0-43b1-bbc1-3e5609b8e07c</errorID>
      <errorWord>)</errorWord>
      <group>L1_Format</group>
      <groupName>格式问题</groupName>
      <ability>L2_HalfPunc_CN</ability>
      <abilityName/>
      <candidateList>
        <item>）</item>
      </candidateList>
      <explain>文本全半角错误。</explain>
      <paraID>65423459</paraID>
      <start>94</start>
      <end>95</end>
      <status>unmodified</status>
      <modifiedWord/>
      <trackRevisions>false</trackRevisions>
    </reviewItem>
    <reviewItem>
      <errorID>f7d4d46c-fdc0-41a1-9328-42cff04385b2</errorID>
      <errorWord>(</errorWord>
      <group>L1_Format</group>
      <groupName>格式问题</groupName>
      <ability>L2_HalfPunc_CN</ability>
      <abilityName/>
      <candidateList>
        <item>（</item>
      </candidateList>
      <explain>文本全半角错误。</explain>
      <paraID> C72EF00</paraID>
      <start>53</start>
      <end>54</end>
      <status>unmodified</status>
      <modifiedWord/>
      <trackRevisions>false</trackRevisions>
    </reviewItem>
    <reviewItem>
      <errorID>2432605d-d4ce-4ca1-8f97-830d0ab1d4a2</errorID>
      <errorWord>)</errorWord>
      <group>L1_Format</group>
      <groupName>格式问题</groupName>
      <ability>L2_HalfPunc_CN</ability>
      <abilityName/>
      <candidateList>
        <item>）</item>
      </candidateList>
      <explain>文本全半角错误。</explain>
      <paraID> C72EF00</paraID>
      <start>69</start>
      <end>70</end>
      <status>unmodified</status>
      <modifiedWord/>
      <trackRevisions>false</trackRevisions>
    </reviewItem>
    <reviewItem>
      <errorID>a7326095-c5c7-4cbf-99ac-84172490dbb4</errorID>
      <errorWord>)</errorWord>
      <group>L1_Format</group>
      <groupName>格式问题</groupName>
      <ability>L2_HalfPunc_CN</ability>
      <abilityName/>
      <candidateList>
        <item>）</item>
      </candidateList>
      <explain>文本全半角错误。</explain>
      <paraID> C72EF00</paraID>
      <start>96</start>
      <end>97</end>
      <status>unmodified</status>
      <modifiedWord/>
      <trackRevisions>false</trackRevisions>
    </reviewItem>
    <reviewItem>
      <errorID>d35cac0c-cb78-4dc0-867f-9d73c6194c5b</errorID>
      <errorWord>，</errorWord>
      <group>L1_Word</group>
      <groupName>字词问题</groupName>
      <ability>L2_Typo</ability>
      <abilityName>字词错误</abilityName>
      <candidateList>
        <item>，具</item>
      </candidateList>
      <explain/>
      <paraID>37B4A8A4</paraID>
      <start>52</start>
      <end>53</end>
      <status>unmodified</status>
      <modifiedWord/>
      <trackRevisions>false</trackRevisions>
    </reviewItem>
    <reviewItem>
      <errorID>cbbb6504-b0db-4694-87a6-efe3f99a219e</errorID>
      <errorWord>，</errorWord>
      <group>L1_Word</group>
      <groupName>字词问题</groupName>
      <ability>L2_Typo</ability>
      <abilityName>字词错误</abilityName>
      <candidateList>
        <item>，具</item>
      </candidateList>
      <explain/>
      <paraID>2994326C</paraID>
      <start>53</start>
      <end>54</end>
      <status>unmodified</status>
      <modifiedWord/>
      <trackRevisions>false</trackRevisions>
    </reviewItem>
    <reviewItem>
      <errorID>3935e428-68f6-4d8a-9596-41d7c722e48b</errorID>
      <errorWord>提高</errorWord>
      <group>L1_Grammar</group>
      <groupName>语法问题</groupName>
      <ability>L2_Grammar</ability>
      <abilityName>语法错误</abilityName>
      <candidateList>
        <item>增强</item>
      </candidateList>
      <explain>“提高～意识”搭配不当，建议修改为“增强～意识”。</explain>
      <paraID>7149644E</paraID>
      <start>116</start>
      <end>118</end>
      <status>unmodified</status>
      <modifiedWord/>
      <trackRevisions>false</trackRevisions>
    </reviewItem>
    <reviewItem>
      <errorID>d857afaa-efcf-456c-9573-34528fb7e47b</errorID>
      <errorWord>(</errorWord>
      <group>L1_Format</group>
      <groupName>格式问题</groupName>
      <ability>L2_HalfPunc_CN</ability>
      <abilityName/>
      <candidateList>
        <item>（</item>
      </candidateList>
      <explain>文本全半角错误。</explain>
      <paraID>7EEDD631</paraID>
      <start>55</start>
      <end>56</end>
      <status>unmodified</status>
      <modifiedWord/>
      <trackRevisions>false</trackRevisions>
    </reviewItem>
    <reviewItem>
      <errorID>4091ca23-5c5f-488e-bbf4-a8bea2ca6bab</errorID>
      <errorWord>(</errorWord>
      <group>L1_Format</group>
      <groupName>格式问题</groupName>
      <ability>L2_HalfPunc_CN</ability>
      <abilityName/>
      <candidateList>
        <item>（</item>
      </candidateList>
      <explain>文本全半角错误。</explain>
      <paraID>7EEDD631</paraID>
      <start>69</start>
      <end>70</end>
      <status>unmodified</status>
      <modifiedWord/>
      <trackRevisions>false</trackRevisions>
    </reviewItem>
    <reviewItem>
      <errorID>37cd3943-4c0c-4b7a-bd26-005eade145a1</errorID>
      <errorWord>(</errorWord>
      <group>L1_Format</group>
      <groupName>格式问题</groupName>
      <ability>L2_HalfPunc_CN</ability>
      <abilityName/>
      <candidateList>
        <item>（</item>
      </candidateList>
      <explain>文本全半角错误。</explain>
      <paraID>5073675F</paraID>
      <start>55</start>
      <end>56</end>
      <status>unmodified</status>
      <modifiedWord/>
      <trackRevisions>false</trackRevisions>
    </reviewItem>
    <reviewItem>
      <errorID>54920153-ce9f-4b38-accc-85fa02c46fdb</errorID>
      <errorWord>(</errorWord>
      <group>L1_Format</group>
      <groupName>格式问题</groupName>
      <ability>L2_HalfPunc_CN</ability>
      <abilityName/>
      <candidateList>
        <item>（</item>
      </candidateList>
      <explain>文本全半角错误。</explain>
      <paraID>5073675F</paraID>
      <start>69</start>
      <end>70</end>
      <status>unmodified</status>
      <modifiedWord/>
      <trackRevisions>false</trackRevisions>
    </reviewItem>
    <reviewItem>
      <errorID>753933d8-8663-4f48-9266-ea31d85b33d1</errorID>
      <errorWord>(</errorWord>
      <group>L1_Format</group>
      <groupName>格式问题</groupName>
      <ability>L2_HalfPunc_CN</ability>
      <abilityName/>
      <candidateList>
        <item>（</item>
      </candidateList>
      <explain>文本全半角错误。</explain>
      <paraID> 8699ACA</paraID>
      <start>4</start>
      <end>5</end>
      <status>unmodified</status>
      <modifiedWord/>
      <trackRevisions>false</trackRevisions>
    </reviewItem>
    <reviewItem>
      <errorID>0277164f-9fc5-4b7f-bdab-2928821dd7ff</errorID>
      <errorWord>)</errorWord>
      <group>L1_Format</group>
      <groupName>格式问题</groupName>
      <ability>L2_HalfPunc_CN</ability>
      <abilityName/>
      <candidateList>
        <item>）</item>
      </candidateList>
      <explain>文本全半角错误。</explain>
      <paraID> 8699ACA</paraID>
      <start>6</start>
      <end>7</end>
      <status>unmodified</status>
      <modifiedWord/>
      <trackRevisions>false</trackRevisions>
    </reviewItem>
    <reviewItem>
      <errorID>99340b7d-b58f-43e4-8fe5-4a4fbc9ffbf4</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fd4c12dc-0bc5-4d64-914d-45190ab60291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6f2f4388-7a0b-4d3d-a2ea-28410bce97ca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2E76E2EC</paraID>
      <start>15</start>
      <end>18</end>
      <status>unmodified</status>
      <modifiedWord/>
      <trackRevisions>false</trackRevisions>
    </reviewItem>
    <reviewItem>
      <errorID>31f5e97a-dd84-4d69-bee4-77e74f681628</errorID>
      <errorWord>法律、法规</errorWord>
      <group>L1_Word</group>
      <groupName>字词问题</groupName>
      <ability>L2_Typo</ability>
      <abilityName>字词错误</abilityName>
      <candidateList>
        <item>法律法规</item>
      </candidateList>
      <explain/>
      <paraID>2E76E2EC</paraID>
      <start>30</start>
      <end>35</end>
      <status>unmodified</status>
      <modifiedWord/>
      <trackRevisions>false</trackRevisions>
    </reviewItem>
    <reviewItem>
      <errorID>d6c1ac02-41d1-475c-b7b6-a7278f35f605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5CA3EC3F</paraID>
      <start>0</start>
      <end>2</end>
      <status>unmodified</status>
      <modifiedWord/>
      <trackRevisions>false</trackRevisions>
    </reviewItem>
    <reviewItem>
      <errorID>c4761b16-fa93-4a9b-aaa1-5cd6cc2256f1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68D94943</paraID>
      <start>0</start>
      <end>2</end>
      <status>unmodified</status>
      <modifiedWord/>
      <trackRevisions>false</trackRevisions>
    </reviewItem>
    <reviewItem>
      <errorID>a01054a2-0b86-4fc4-8738-3ccd9f5a8335</errorID>
      <errorWord>因为</errorWord>
      <group>L1_Word</group>
      <groupName>字词问题</groupName>
      <ability>L2_Typo</ability>
      <abilityName>字词错误</abilityName>
      <candidateList>
        <item>因</item>
      </candidateList>
      <explain/>
      <paraID>68D94943</paraID>
      <start>118</start>
      <end>120</end>
      <status>unmodified</status>
      <modifiedWord/>
      <trackRevisions>false</trackRevisions>
    </reviewItem>
    <reviewItem>
      <errorID>0e514d52-7f2c-4f8d-9f52-5646403078c6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449FCF6</paraID>
      <start>0</start>
      <end>2</end>
      <status>unmodified</status>
      <modifiedWord/>
      <trackRevisions>false</trackRevisions>
    </reviewItem>
    <reviewItem>
      <errorID>36766ebb-c9ce-4152-b55f-0618e1f9820f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34EA4161</paraID>
      <start>0</start>
      <end>2</end>
      <status>unmodified</status>
      <modifiedWord/>
      <trackRevisions>false</trackRevisions>
    </reviewItem>
    <reviewItem>
      <errorID>574dbe0a-c4cb-4bac-b8af-281140e36099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4DF4B835</paraID>
      <start>0</start>
      <end>2</end>
      <status>unmodified</status>
      <modifiedWord/>
      <trackRevisions>false</trackRevisions>
    </reviewItem>
    <reviewItem>
      <errorID>c4c070d9-0083-4e2e-a7a5-24e751f2a105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54E6A801</paraID>
      <start>0</start>
      <end>2</end>
      <status>unmodified</status>
      <modifiedWord/>
      <trackRevisions>false</trackRevisions>
    </reviewItem>
    <reviewItem>
      <errorID>0487186d-1e85-420e-962e-0b4f09ef4bbe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4FB957B9</paraID>
      <start>0</start>
      <end>2</end>
      <status>unmodified</status>
      <modifiedWord/>
      <trackRevisions>false</trackRevisions>
    </reviewItem>
    <reviewItem>
      <errorID>d2d5d449-63f8-477b-a3d7-2085a5402d37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550E871B</paraID>
      <start>0</start>
      <end>2</end>
      <status>unmodified</status>
      <modifiedWord/>
      <trackRevisions>false</trackRevisions>
    </reviewItem>
    <reviewItem>
      <errorID>919152f6-72eb-429a-a2eb-65da9af601f4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657E0040</paraID>
      <start>0</start>
      <end>2</end>
      <status>unmodified</status>
      <modifiedWord/>
      <trackRevisions>false</trackRevisions>
    </reviewItem>
    <reviewItem>
      <errorID>a8923b38-8cfa-4d72-a117-d89110897693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34F096FB</paraID>
      <start>0</start>
      <end>2</end>
      <status>unmodified</status>
      <modifiedWord/>
      <trackRevisions>false</trackRevisions>
    </reviewItem>
    <reviewItem>
      <errorID>e2692e39-a084-4b76-b580-865bf5f3b118</errorID>
      <errorWord>作任何赔偿</errorWord>
      <group>L1_Word</group>
      <groupName>字词问题</groupName>
      <ability>L2_Alias</ability>
      <abilityName>也作/曾用词</abilityName>
      <candidateList>
        <item>做任何赔偿</item>
      </candidateList>
      <explain>词汇[作任何赔偿]为不规范表述或旧称，其规范书面表述为[做任何赔偿]。</explain>
      <paraID>33325C60</paraID>
      <start>34</start>
      <end>39</end>
      <status>unmodified</status>
      <modifiedWord/>
      <trackRevisions>false</trackRevisions>
    </reviewItem>
    <reviewItem>
      <errorID>0d5e45e5-6de1-4b48-891d-8c7bd32275d0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108A4C77</paraID>
      <start>0</start>
      <end>2</end>
      <status>unmodified</status>
      <modifiedWord/>
      <trackRevisions>false</trackRevisions>
    </reviewItem>
    <reviewItem>
      <errorID>fe48c778-eebc-4206-a0eb-7e36ff7cd0fc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19B07D12</paraID>
      <start>0</start>
      <end>2</end>
      <status>unmodified</status>
      <modifiedWord/>
      <trackRevisions>false</trackRevisions>
    </reviewItem>
    <reviewItem>
      <errorID>cade2e44-3e98-4752-b08f-f105627f1a9a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4B7AA7ED</paraID>
      <start>0</start>
      <end>2</end>
      <status>unmodified</status>
      <modifiedWord/>
      <trackRevisions>false</trackRevisions>
    </reviewItem>
    <reviewItem>
      <errorID>341aa562-e4ef-48ac-9c79-c32990bcc5e0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20E92DF1</paraID>
      <start>0</start>
      <end>2</end>
      <status>unmodified</status>
      <modifiedWord/>
      <trackRevisions>false</trackRevisions>
    </reviewItem>
    <reviewItem>
      <errorID>e94e0651-8eb5-4459-aa47-5bc4a82f6a76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27992491</paraID>
      <start>0</start>
      <end>2</end>
      <status>unmodified</status>
      <modifiedWord/>
      <trackRevisions>false</trackRevisions>
    </reviewItem>
    <reviewItem>
      <errorID>2939d2de-b436-495f-8b8a-546554074f13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9F3793D</paraID>
      <start>0</start>
      <end>2</end>
      <status>unmodified</status>
      <modifiedWord/>
      <trackRevisions>false</trackRevisions>
    </reviewItem>
    <reviewItem>
      <errorID>44636846-4810-43cb-896a-a851b3c43f61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41DD720E</paraID>
      <start>0</start>
      <end>2</end>
      <status>unmodified</status>
      <modifiedWord/>
      <trackRevisions>false</trackRevisions>
    </reviewItem>
    <reviewItem>
      <errorID>d6c66846-c846-4b09-9e5a-9e06fcdcaa6e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667FB6F2</paraID>
      <start>0</start>
      <end>2</end>
      <status>unmodified</status>
      <modifiedWord/>
      <trackRevisions>false</trackRevisions>
    </reviewItem>
    <reviewItem>
      <errorID>60240137-51f4-46f5-a3f8-295eb4daba02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2231FC37</paraID>
      <start>0</start>
      <end>2</end>
      <status>unmodified</status>
      <modifiedWord/>
      <trackRevisions>false</trackRevisions>
    </reviewItem>
    <reviewItem>
      <errorID>9a0a4758-4f54-4104-90fe-e976a47bdf41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444C6FED</paraID>
      <start>0</start>
      <end>2</end>
      <status>unmodified</status>
      <modifiedWord/>
      <trackRevisions>false</trackRevisions>
    </reviewItem>
    <reviewItem>
      <errorID>80fa3248-2eba-44ff-80da-d25879e4f2b2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2D775955</paraID>
      <start>0</start>
      <end>2</end>
      <status>unmodified</status>
      <modifiedWord/>
      <trackRevisions>false</trackRevisions>
    </reviewItem>
    <reviewItem>
      <errorID>fbddb68c-1aaa-4f36-ac19-52f841ac2fcf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57493979</paraID>
      <start>0</start>
      <end>2</end>
      <status>unmodified</status>
      <modifiedWord/>
      <trackRevisions>false</trackRevisions>
    </reviewItem>
    <reviewItem>
      <errorID>9cd6ff2b-a1f6-43e6-bf74-c8d8f94f0bd1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4484091C</paraID>
      <start>0</start>
      <end>2</end>
      <status>unmodified</status>
      <modifiedWord/>
      <trackRevisions>false</trackRevisions>
    </reviewItem>
    <reviewItem>
      <errorID>c85777b9-e44a-4f13-b0a8-b9ffa387e097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233412F4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f9a3e9-84a9-4417-919d-0eb74215f450}">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65</Pages>
  <Words>14888</Words>
  <Characters>15893</Characters>
  <TotalTime>96</TotalTime>
  <ScaleCrop>false</ScaleCrop>
  <LinksUpToDate>false</LinksUpToDate>
  <CharactersWithSpaces>16017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2021-06-09T19:25:00Z</dcterms:created>
  <dc:creator>唐</dc:creator>
  <cp:lastModifiedBy>Administrator</cp:lastModifiedBy>
  <dcterms:modified xsi:type="dcterms:W3CDTF">2026-08-25T03:22:52Z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eyJoZGlkIjoiMjVhNDRiOGEyMGZmNzFiZTcwNDRmMjJiNDY1Y2ViNDEifQ==</vt:lpwstr>
  </property>
  <property fmtid="{D5CDD505-2E9C-101B-9397-08002B2CF9AE}" pid="3" name="KSOProductBuildVer">
    <vt:lpwstr>2052-12.1.0.28043</vt:lpwstr>
  </property>
  <property fmtid="{D5CDD505-2E9C-101B-9397-08002B2CF9AE}" pid="4" name="ICV">
    <vt:lpwstr>009E1407FE204BA5BDAF1006F3C3571D_12</vt:lpwstr>
  </property>
</Properties>
</file>