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B3E8">
      <w:pPr>
        <w:spacing w:line="360" w:lineRule="auto"/>
        <w:jc w:val="center"/>
        <w:rPr>
          <w:rFonts w:hint="eastAsia" w:ascii="方正小标宋简体" w:hAnsi="宋体" w:eastAsia="方正小标宋简体"/>
          <w:color w:val="auto"/>
          <w:sz w:val="52"/>
          <w:szCs w:val="52"/>
          <w:highlight w:val="none"/>
        </w:rPr>
      </w:pPr>
      <w:bookmarkStart w:id="379" w:name="_GoBack"/>
      <w:bookmarkEnd w:id="379"/>
    </w:p>
    <w:p w14:paraId="5317BEBF">
      <w:pPr>
        <w:spacing w:line="360" w:lineRule="auto"/>
        <w:jc w:val="center"/>
        <w:rPr>
          <w:rFonts w:hint="eastAsia" w:ascii="方正小标宋简体" w:hAnsi="方正小标宋简体" w:eastAsia="方正小标宋简体" w:cs="方正小标宋简体"/>
          <w:color w:val="auto"/>
          <w:sz w:val="52"/>
          <w:szCs w:val="52"/>
          <w:highlight w:val="none"/>
        </w:rPr>
      </w:pPr>
      <w:r>
        <w:rPr>
          <w:rFonts w:hint="eastAsia" w:ascii="方正小标宋简体" w:hAnsi="宋体" w:eastAsia="方正小标宋简体"/>
          <w:color w:val="auto"/>
          <w:sz w:val="52"/>
          <w:szCs w:val="52"/>
          <w:highlight w:val="none"/>
        </w:rPr>
        <w:t>云之龙咨询集团有限公司</w:t>
      </w:r>
    </w:p>
    <w:p w14:paraId="50FD7BC7">
      <w:pPr>
        <w:spacing w:line="360" w:lineRule="auto"/>
        <w:jc w:val="center"/>
        <w:rPr>
          <w:rFonts w:hint="eastAsia" w:ascii="方正小标宋简体" w:hAnsi="方正小标宋简体" w:eastAsia="方正小标宋简体" w:cs="方正小标宋简体"/>
          <w:b/>
          <w:color w:val="auto"/>
          <w:sz w:val="44"/>
          <w:szCs w:val="44"/>
          <w:highlight w:val="none"/>
        </w:rPr>
      </w:pPr>
    </w:p>
    <w:p w14:paraId="27826BB1">
      <w:pPr>
        <w:spacing w:before="156" w:line="360" w:lineRule="auto"/>
        <w:jc w:val="center"/>
        <w:rPr>
          <w:rFonts w:hint="eastAsia"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竞争性磋商文件</w:t>
      </w:r>
    </w:p>
    <w:p w14:paraId="516A3C71">
      <w:pPr>
        <w:spacing w:before="156" w:line="360" w:lineRule="auto"/>
        <w:jc w:val="center"/>
        <w:rPr>
          <w:rFonts w:hint="eastAsia"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14:paraId="739D9E67">
      <w:pPr>
        <w:spacing w:line="360" w:lineRule="auto"/>
        <w:rPr>
          <w:rFonts w:hint="eastAsia" w:ascii="仿宋_GB2312" w:hAnsi="宋体" w:eastAsia="仿宋_GB2312"/>
          <w:color w:val="auto"/>
          <w:sz w:val="30"/>
          <w:szCs w:val="72"/>
          <w:highlight w:val="none"/>
        </w:rPr>
      </w:pPr>
    </w:p>
    <w:p w14:paraId="51F6C103">
      <w:pPr>
        <w:pStyle w:val="25"/>
        <w:spacing w:line="360" w:lineRule="auto"/>
        <w:ind w:firstLine="904"/>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bookmarkStart w:id="0" w:name="REVIEW_AI_BM_AI_11989_4_5_0"/>
      <w:r>
        <w:rPr>
          <w:rFonts w:hint="eastAsia" w:ascii="宋体" w:hAnsi="宋体" w:eastAsia="宋体" w:cs="宋体"/>
          <w:b/>
          <w:bCs/>
          <w:color w:val="auto"/>
          <w:sz w:val="30"/>
          <w:szCs w:val="30"/>
          <w:highlight w:val="none"/>
          <w:shd w:val="clear" w:color="FFFFFF" w:fill="FFFFFF"/>
        </w:rPr>
        <w:t>贵港市覃塘区人民医院门急诊综合楼</w:t>
      </w:r>
      <w:bookmarkEnd w:id="0"/>
    </w:p>
    <w:p w14:paraId="00D2D014">
      <w:pPr>
        <w:pStyle w:val="25"/>
        <w:spacing w:line="360" w:lineRule="auto"/>
        <w:ind w:firstLine="2500"/>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lang w:eastAsia="zh-CN"/>
        </w:rPr>
        <w:t>消防安全评估整改项目</w:t>
      </w:r>
    </w:p>
    <w:p w14:paraId="32855014">
      <w:pPr>
        <w:spacing w:line="360" w:lineRule="auto"/>
        <w:ind w:firstLine="859"/>
        <w:rPr>
          <w:rFonts w:hint="eastAsia" w:ascii="宋体" w:hAnsi="宋体" w:eastAsia="宋体" w:cs="宋体"/>
          <w:color w:val="auto"/>
          <w:sz w:val="30"/>
          <w:szCs w:val="72"/>
          <w:highlight w:val="none"/>
          <w:lang w:eastAsia="zh-CN"/>
        </w:rPr>
      </w:pPr>
      <w:r>
        <w:rPr>
          <w:rFonts w:hint="eastAsia" w:ascii="宋体" w:hAnsi="宋体" w:eastAsia="宋体" w:cs="宋体"/>
          <w:b/>
          <w:bCs/>
          <w:color w:val="auto"/>
          <w:sz w:val="30"/>
          <w:szCs w:val="30"/>
          <w:highlight w:val="none"/>
        </w:rPr>
        <w:t>项目编号：</w:t>
      </w:r>
      <w:r>
        <w:rPr>
          <w:rFonts w:hint="eastAsia" w:ascii="宋体" w:hAnsi="宋体" w:cs="宋体"/>
          <w:b/>
          <w:color w:val="auto"/>
          <w:sz w:val="30"/>
          <w:szCs w:val="48"/>
          <w:highlight w:val="none"/>
          <w:lang w:eastAsia="zh-CN"/>
        </w:rPr>
        <w:t>GGZC2026-C2-040066-YZLZ</w:t>
      </w:r>
    </w:p>
    <w:p w14:paraId="3F5DEDAD">
      <w:pPr>
        <w:pStyle w:val="25"/>
        <w:spacing w:line="360" w:lineRule="auto"/>
        <w:ind w:firstLine="859"/>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 购 人：</w:t>
      </w:r>
      <w:r>
        <w:rPr>
          <w:rFonts w:hint="eastAsia" w:ascii="宋体" w:hAnsi="宋体" w:eastAsia="宋体" w:cs="宋体"/>
          <w:b/>
          <w:bCs/>
          <w:color w:val="auto"/>
          <w:sz w:val="30"/>
          <w:szCs w:val="30"/>
          <w:highlight w:val="none"/>
          <w:lang w:eastAsia="zh-CN"/>
        </w:rPr>
        <w:t>贵港市覃塘区人民医院</w:t>
      </w:r>
    </w:p>
    <w:p w14:paraId="1173E619">
      <w:pPr>
        <w:pStyle w:val="25"/>
        <w:spacing w:line="360" w:lineRule="auto"/>
        <w:ind w:firstLine="859"/>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采购代理机构：云之龙咨询集团有限公司</w:t>
      </w:r>
    </w:p>
    <w:p w14:paraId="264EF997">
      <w:pPr>
        <w:pStyle w:val="25"/>
        <w:spacing w:line="360" w:lineRule="auto"/>
        <w:ind w:firstLine="1125"/>
        <w:rPr>
          <w:rFonts w:hint="eastAsia" w:ascii="宋体" w:hAnsi="宋体" w:eastAsia="宋体" w:cs="宋体"/>
          <w:b/>
          <w:bCs/>
          <w:color w:val="auto"/>
          <w:sz w:val="30"/>
          <w:szCs w:val="30"/>
          <w:highlight w:val="none"/>
        </w:rPr>
      </w:pPr>
    </w:p>
    <w:p w14:paraId="3EC9EBA6">
      <w:pPr>
        <w:pStyle w:val="25"/>
        <w:spacing w:line="360" w:lineRule="auto"/>
        <w:rPr>
          <w:rFonts w:hint="eastAsia" w:ascii="宋体" w:hAnsi="宋体" w:eastAsia="宋体" w:cs="宋体"/>
          <w:b/>
          <w:bCs/>
          <w:color w:val="auto"/>
          <w:sz w:val="30"/>
          <w:szCs w:val="30"/>
          <w:highlight w:val="none"/>
        </w:rPr>
      </w:pPr>
    </w:p>
    <w:p w14:paraId="63621851">
      <w:pPr>
        <w:pStyle w:val="25"/>
        <w:spacing w:line="360" w:lineRule="auto"/>
        <w:jc w:val="center"/>
        <w:rPr>
          <w:rFonts w:hint="eastAsia" w:ascii="宋体" w:hAnsi="宋体" w:eastAsia="宋体" w:cs="宋体"/>
          <w:color w:val="auto"/>
          <w:szCs w:val="20"/>
          <w:highlight w:val="none"/>
        </w:rPr>
      </w:pPr>
      <w:r>
        <w:rPr>
          <w:rFonts w:hint="eastAsia" w:ascii="宋体" w:hAnsi="宋体" w:eastAsia="宋体" w:cs="宋体"/>
          <w:b/>
          <w:bCs/>
          <w:color w:val="auto"/>
          <w:sz w:val="30"/>
          <w:szCs w:val="30"/>
          <w:highlight w:val="none"/>
        </w:rPr>
        <w:t>202</w:t>
      </w:r>
      <w:r>
        <w:rPr>
          <w:rFonts w:hint="eastAsia" w:ascii="宋体" w:hAnsi="宋体" w:eastAsia="宋体" w:cs="宋体"/>
          <w:b/>
          <w:bCs/>
          <w:color w:val="auto"/>
          <w:sz w:val="30"/>
          <w:szCs w:val="30"/>
          <w:highlight w:val="none"/>
          <w:lang w:val="en-US" w:eastAsia="zh-CN"/>
        </w:rPr>
        <w:t>6</w:t>
      </w:r>
      <w:r>
        <w:rPr>
          <w:rFonts w:hint="eastAsia" w:ascii="宋体" w:hAnsi="宋体" w:eastAsia="宋体" w:cs="宋体"/>
          <w:b/>
          <w:bCs/>
          <w:color w:val="auto"/>
          <w:sz w:val="30"/>
          <w:szCs w:val="30"/>
          <w:highlight w:val="none"/>
        </w:rPr>
        <w:t>年</w:t>
      </w:r>
      <w:r>
        <w:rPr>
          <w:rFonts w:hint="eastAsia" w:ascii="宋体" w:hAnsi="宋体" w:eastAsia="宋体" w:cs="宋体"/>
          <w:b/>
          <w:bCs/>
          <w:color w:val="auto"/>
          <w:sz w:val="30"/>
          <w:szCs w:val="30"/>
          <w:highlight w:val="none"/>
          <w:lang w:val="en-US" w:eastAsia="zh-CN"/>
        </w:rPr>
        <w:t>9</w:t>
      </w:r>
      <w:r>
        <w:rPr>
          <w:rFonts w:hint="eastAsia" w:ascii="宋体" w:hAnsi="宋体" w:eastAsia="宋体" w:cs="宋体"/>
          <w:b/>
          <w:bCs/>
          <w:color w:val="auto"/>
          <w:sz w:val="30"/>
          <w:szCs w:val="30"/>
          <w:highlight w:val="none"/>
        </w:rPr>
        <w:t>月</w:t>
      </w:r>
    </w:p>
    <w:p w14:paraId="454BD389">
      <w:pPr>
        <w:spacing w:line="360" w:lineRule="auto"/>
        <w:jc w:val="center"/>
        <w:rPr>
          <w:rFonts w:hint="eastAsia" w:ascii="宋体" w:hAnsi="宋体" w:eastAsia="宋体" w:cs="宋体"/>
          <w:b/>
          <w:color w:val="auto"/>
          <w:sz w:val="44"/>
          <w:szCs w:val="44"/>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sectPr>
      </w:pPr>
    </w:p>
    <w:p w14:paraId="19745B25">
      <w:pPr>
        <w:spacing w:line="360" w:lineRule="auto"/>
        <w:jc w:val="center"/>
        <w:rPr>
          <w:rFonts w:hint="eastAsia" w:ascii="宋体" w:hAnsi="宋体"/>
          <w:b/>
          <w:color w:val="auto"/>
          <w:sz w:val="44"/>
          <w:szCs w:val="44"/>
          <w:highlight w:val="none"/>
        </w:rPr>
      </w:pPr>
    </w:p>
    <w:p w14:paraId="1AAC3826">
      <w:pPr>
        <w:spacing w:line="360" w:lineRule="auto"/>
        <w:jc w:val="center"/>
        <w:rPr>
          <w:rFonts w:hint="eastAsia" w:ascii="宋体" w:hAnsi="宋体"/>
          <w:b/>
          <w:color w:val="auto"/>
          <w:sz w:val="44"/>
          <w:szCs w:val="44"/>
          <w:highlight w:val="none"/>
        </w:rPr>
      </w:pPr>
    </w:p>
    <w:p w14:paraId="5A433D1C">
      <w:pPr>
        <w:spacing w:line="360" w:lineRule="auto"/>
        <w:jc w:val="center"/>
        <w:rPr>
          <w:rFonts w:hint="eastAsia" w:ascii="宋体" w:hAnsi="宋体"/>
          <w:b/>
          <w:color w:val="auto"/>
          <w:sz w:val="44"/>
          <w:szCs w:val="44"/>
          <w:highlight w:val="none"/>
        </w:rPr>
      </w:pPr>
    </w:p>
    <w:p w14:paraId="08FF0F22">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3BF42F18">
      <w:pPr>
        <w:spacing w:line="400" w:lineRule="exact"/>
        <w:jc w:val="center"/>
        <w:rPr>
          <w:rFonts w:hint="eastAsia" w:ascii="宋体" w:hAnsi="宋体"/>
          <w:b/>
          <w:color w:val="auto"/>
          <w:sz w:val="44"/>
          <w:szCs w:val="44"/>
          <w:highlight w:val="none"/>
        </w:rPr>
      </w:pPr>
    </w:p>
    <w:p w14:paraId="1A83CB06">
      <w:pPr>
        <w:pStyle w:val="32"/>
        <w:tabs>
          <w:tab w:val="right" w:leader="dot" w:pos="8879"/>
        </w:tabs>
        <w:spacing w:line="480" w:lineRule="auto"/>
        <w:rPr>
          <w:color w:val="auto"/>
          <w:sz w:val="30"/>
          <w:szCs w:val="30"/>
          <w:highlight w:val="none"/>
        </w:rPr>
      </w:pPr>
      <w:r>
        <w:rPr>
          <w:rFonts w:ascii="宋体" w:hAnsi="宋体"/>
          <w:b/>
          <w:color w:val="auto"/>
          <w:sz w:val="30"/>
          <w:szCs w:val="30"/>
          <w:highlight w:val="none"/>
        </w:rPr>
        <w:fldChar w:fldCharType="begin"/>
      </w:r>
      <w:r>
        <w:rPr>
          <w:rFonts w:hint="eastAsia" w:ascii="宋体" w:hAnsi="宋体"/>
          <w:b/>
          <w:color w:val="auto"/>
          <w:sz w:val="30"/>
          <w:szCs w:val="30"/>
          <w:highlight w:val="none"/>
        </w:rPr>
        <w:instrText xml:space="preserve">TOC \o "1-3" \h \z \u</w:instrText>
      </w:r>
      <w:r>
        <w:rPr>
          <w:rFonts w:ascii="宋体" w:hAnsi="宋体"/>
          <w:b/>
          <w:color w:val="auto"/>
          <w:sz w:val="30"/>
          <w:szCs w:val="30"/>
          <w:highlight w:val="none"/>
        </w:rPr>
        <w:fldChar w:fldCharType="separate"/>
      </w: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_Toc25518 </w:instrText>
      </w:r>
      <w:r>
        <w:rPr>
          <w:rFonts w:ascii="宋体" w:hAnsi="宋体"/>
          <w:color w:val="auto"/>
          <w:sz w:val="30"/>
          <w:szCs w:val="30"/>
          <w:highlight w:val="none"/>
        </w:rPr>
        <w:fldChar w:fldCharType="separate"/>
      </w:r>
      <w:r>
        <w:rPr>
          <w:rFonts w:hint="eastAsia"/>
          <w:color w:val="auto"/>
          <w:sz w:val="30"/>
          <w:szCs w:val="30"/>
          <w:highlight w:val="none"/>
        </w:rPr>
        <w:t>第一章</w:t>
      </w:r>
      <w:r>
        <w:rPr>
          <w:rFonts w:hint="eastAsia"/>
          <w:color w:val="auto"/>
          <w:sz w:val="30"/>
          <w:szCs w:val="30"/>
          <w:highlight w:val="none"/>
          <w:lang w:val="en-US" w:eastAsia="zh-CN"/>
        </w:rPr>
        <w:t xml:space="preserve">  </w:t>
      </w:r>
      <w:r>
        <w:rPr>
          <w:rFonts w:hint="eastAsia"/>
          <w:color w:val="auto"/>
          <w:sz w:val="30"/>
          <w:szCs w:val="30"/>
          <w:highlight w:val="none"/>
        </w:rPr>
        <w:t>竞争性磋商公告</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_Toc25518 \h </w:instrText>
      </w:r>
      <w:r>
        <w:rPr>
          <w:color w:val="auto"/>
          <w:sz w:val="30"/>
          <w:szCs w:val="30"/>
          <w:highlight w:val="none"/>
        </w:rPr>
        <w:fldChar w:fldCharType="separate"/>
      </w:r>
      <w:r>
        <w:rPr>
          <w:color w:val="auto"/>
          <w:sz w:val="30"/>
          <w:szCs w:val="30"/>
          <w:highlight w:val="none"/>
        </w:rPr>
        <w:t>1</w:t>
      </w:r>
      <w:r>
        <w:rPr>
          <w:color w:val="auto"/>
          <w:sz w:val="30"/>
          <w:szCs w:val="30"/>
          <w:highlight w:val="none"/>
        </w:rPr>
        <w:fldChar w:fldCharType="end"/>
      </w:r>
      <w:r>
        <w:rPr>
          <w:rFonts w:ascii="宋体" w:hAnsi="宋体"/>
          <w:color w:val="auto"/>
          <w:sz w:val="30"/>
          <w:szCs w:val="30"/>
          <w:highlight w:val="none"/>
        </w:rPr>
        <w:fldChar w:fldCharType="end"/>
      </w:r>
    </w:p>
    <w:p w14:paraId="61031C2D">
      <w:pPr>
        <w:pStyle w:val="32"/>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_Toc9573 </w:instrText>
      </w:r>
      <w:r>
        <w:rPr>
          <w:rFonts w:ascii="宋体" w:hAnsi="宋体"/>
          <w:color w:val="auto"/>
          <w:sz w:val="30"/>
          <w:szCs w:val="30"/>
          <w:highlight w:val="none"/>
        </w:rPr>
        <w:fldChar w:fldCharType="separate"/>
      </w:r>
      <w:r>
        <w:rPr>
          <w:rFonts w:hint="eastAsia"/>
          <w:color w:val="auto"/>
          <w:sz w:val="30"/>
          <w:szCs w:val="30"/>
          <w:highlight w:val="none"/>
        </w:rPr>
        <w:t>第二章</w:t>
      </w:r>
      <w:r>
        <w:rPr>
          <w:rFonts w:hint="eastAsia"/>
          <w:color w:val="auto"/>
          <w:sz w:val="30"/>
          <w:szCs w:val="30"/>
          <w:highlight w:val="none"/>
          <w:lang w:val="en-US" w:eastAsia="zh-CN"/>
        </w:rPr>
        <w:t xml:space="preserve">  </w:t>
      </w:r>
      <w:r>
        <w:rPr>
          <w:rFonts w:hint="eastAsia"/>
          <w:color w:val="auto"/>
          <w:sz w:val="30"/>
          <w:szCs w:val="30"/>
          <w:highlight w:val="none"/>
        </w:rPr>
        <w:t>供应商须知</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_Toc9573 \h </w:instrText>
      </w:r>
      <w:r>
        <w:rPr>
          <w:color w:val="auto"/>
          <w:sz w:val="30"/>
          <w:szCs w:val="30"/>
          <w:highlight w:val="none"/>
        </w:rPr>
        <w:fldChar w:fldCharType="separate"/>
      </w:r>
      <w:r>
        <w:rPr>
          <w:color w:val="auto"/>
          <w:sz w:val="30"/>
          <w:szCs w:val="30"/>
          <w:highlight w:val="none"/>
        </w:rPr>
        <w:t>5</w:t>
      </w:r>
      <w:r>
        <w:rPr>
          <w:color w:val="auto"/>
          <w:sz w:val="30"/>
          <w:szCs w:val="30"/>
          <w:highlight w:val="none"/>
        </w:rPr>
        <w:fldChar w:fldCharType="end"/>
      </w:r>
      <w:r>
        <w:rPr>
          <w:rFonts w:ascii="宋体" w:hAnsi="宋体"/>
          <w:color w:val="auto"/>
          <w:sz w:val="30"/>
          <w:szCs w:val="30"/>
          <w:highlight w:val="none"/>
        </w:rPr>
        <w:fldChar w:fldCharType="end"/>
      </w:r>
    </w:p>
    <w:p w14:paraId="7EE24027">
      <w:pPr>
        <w:pStyle w:val="32"/>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_Toc15281 </w:instrText>
      </w:r>
      <w:r>
        <w:rPr>
          <w:rFonts w:ascii="宋体" w:hAnsi="宋体"/>
          <w:color w:val="auto"/>
          <w:sz w:val="30"/>
          <w:szCs w:val="30"/>
          <w:highlight w:val="none"/>
        </w:rPr>
        <w:fldChar w:fldCharType="separate"/>
      </w:r>
      <w:r>
        <w:rPr>
          <w:rFonts w:hint="eastAsia" w:ascii="Times New Roman" w:hAnsi="Times New Roman" w:eastAsia="宋体" w:cs="Times New Roman"/>
          <w:color w:val="auto"/>
          <w:sz w:val="30"/>
          <w:szCs w:val="30"/>
          <w:highlight w:val="none"/>
        </w:rPr>
        <w:t xml:space="preserve">第三章 </w:t>
      </w:r>
      <w:r>
        <w:rPr>
          <w:rFonts w:hint="eastAsia" w:ascii="Times New Roman" w:hAnsi="Times New Roman" w:eastAsia="宋体" w:cs="Times New Roman"/>
          <w:color w:val="auto"/>
          <w:sz w:val="30"/>
          <w:szCs w:val="30"/>
          <w:highlight w:val="none"/>
          <w:lang w:val="en-US" w:eastAsia="zh-CN"/>
        </w:rPr>
        <w:t xml:space="preserve"> </w:t>
      </w:r>
      <w:r>
        <w:rPr>
          <w:rFonts w:hint="eastAsia" w:ascii="Times New Roman" w:hAnsi="Times New Roman" w:eastAsia="宋体" w:cs="Times New Roman"/>
          <w:color w:val="auto"/>
          <w:sz w:val="30"/>
          <w:szCs w:val="30"/>
          <w:highlight w:val="none"/>
        </w:rPr>
        <w:t>采购需求</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_Toc15281 \h </w:instrText>
      </w:r>
      <w:r>
        <w:rPr>
          <w:color w:val="auto"/>
          <w:sz w:val="30"/>
          <w:szCs w:val="30"/>
          <w:highlight w:val="none"/>
        </w:rPr>
        <w:fldChar w:fldCharType="separate"/>
      </w:r>
      <w:r>
        <w:rPr>
          <w:color w:val="auto"/>
          <w:sz w:val="30"/>
          <w:szCs w:val="30"/>
          <w:highlight w:val="none"/>
        </w:rPr>
        <w:t>21</w:t>
      </w:r>
      <w:r>
        <w:rPr>
          <w:color w:val="auto"/>
          <w:sz w:val="30"/>
          <w:szCs w:val="30"/>
          <w:highlight w:val="none"/>
        </w:rPr>
        <w:fldChar w:fldCharType="end"/>
      </w:r>
      <w:r>
        <w:rPr>
          <w:rFonts w:ascii="宋体" w:hAnsi="宋体"/>
          <w:color w:val="auto"/>
          <w:sz w:val="30"/>
          <w:szCs w:val="30"/>
          <w:highlight w:val="none"/>
        </w:rPr>
        <w:fldChar w:fldCharType="end"/>
      </w:r>
    </w:p>
    <w:p w14:paraId="11C3179B">
      <w:pPr>
        <w:pStyle w:val="32"/>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_Toc22571 </w:instrText>
      </w:r>
      <w:r>
        <w:rPr>
          <w:rFonts w:ascii="宋体" w:hAnsi="宋体"/>
          <w:color w:val="auto"/>
          <w:sz w:val="30"/>
          <w:szCs w:val="30"/>
          <w:highlight w:val="none"/>
        </w:rPr>
        <w:fldChar w:fldCharType="separate"/>
      </w:r>
      <w:r>
        <w:rPr>
          <w:rFonts w:hint="eastAsia" w:ascii="Times New Roman" w:hAnsi="Times New Roman" w:eastAsia="宋体" w:cs="Times New Roman"/>
          <w:color w:val="auto"/>
          <w:sz w:val="30"/>
          <w:szCs w:val="30"/>
          <w:highlight w:val="none"/>
        </w:rPr>
        <w:t>第四章  评审程序、评审方法和评审标准</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_Toc22571 \h </w:instrText>
      </w:r>
      <w:r>
        <w:rPr>
          <w:color w:val="auto"/>
          <w:sz w:val="30"/>
          <w:szCs w:val="30"/>
          <w:highlight w:val="none"/>
        </w:rPr>
        <w:fldChar w:fldCharType="separate"/>
      </w:r>
      <w:r>
        <w:rPr>
          <w:color w:val="auto"/>
          <w:sz w:val="30"/>
          <w:szCs w:val="30"/>
          <w:highlight w:val="none"/>
        </w:rPr>
        <w:t>24</w:t>
      </w:r>
      <w:r>
        <w:rPr>
          <w:color w:val="auto"/>
          <w:sz w:val="30"/>
          <w:szCs w:val="30"/>
          <w:highlight w:val="none"/>
        </w:rPr>
        <w:fldChar w:fldCharType="end"/>
      </w:r>
      <w:r>
        <w:rPr>
          <w:rFonts w:ascii="宋体" w:hAnsi="宋体"/>
          <w:color w:val="auto"/>
          <w:sz w:val="30"/>
          <w:szCs w:val="30"/>
          <w:highlight w:val="none"/>
        </w:rPr>
        <w:fldChar w:fldCharType="end"/>
      </w:r>
    </w:p>
    <w:p w14:paraId="19D39EA3">
      <w:pPr>
        <w:pStyle w:val="32"/>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_Toc20370 </w:instrText>
      </w:r>
      <w:r>
        <w:rPr>
          <w:rFonts w:ascii="宋体" w:hAnsi="宋体"/>
          <w:color w:val="auto"/>
          <w:sz w:val="30"/>
          <w:szCs w:val="30"/>
          <w:highlight w:val="none"/>
        </w:rPr>
        <w:fldChar w:fldCharType="separate"/>
      </w:r>
      <w:r>
        <w:rPr>
          <w:rFonts w:hint="eastAsia"/>
          <w:color w:val="auto"/>
          <w:sz w:val="30"/>
          <w:szCs w:val="30"/>
          <w:highlight w:val="none"/>
        </w:rPr>
        <w:t>第五章</w:t>
      </w:r>
      <w:r>
        <w:rPr>
          <w:rFonts w:hint="eastAsia"/>
          <w:color w:val="auto"/>
          <w:sz w:val="30"/>
          <w:szCs w:val="30"/>
          <w:highlight w:val="none"/>
          <w:lang w:val="en-US" w:eastAsia="zh-CN"/>
        </w:rPr>
        <w:t xml:space="preserve">  </w:t>
      </w:r>
      <w:r>
        <w:rPr>
          <w:rFonts w:hint="eastAsia"/>
          <w:color w:val="auto"/>
          <w:sz w:val="30"/>
          <w:szCs w:val="30"/>
          <w:highlight w:val="none"/>
        </w:rPr>
        <w:t>工程量清单及图纸</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_Toc20370 \h </w:instrText>
      </w:r>
      <w:r>
        <w:rPr>
          <w:color w:val="auto"/>
          <w:sz w:val="30"/>
          <w:szCs w:val="30"/>
          <w:highlight w:val="none"/>
        </w:rPr>
        <w:fldChar w:fldCharType="separate"/>
      </w:r>
      <w:r>
        <w:rPr>
          <w:color w:val="auto"/>
          <w:sz w:val="30"/>
          <w:szCs w:val="30"/>
          <w:highlight w:val="none"/>
        </w:rPr>
        <w:t>35</w:t>
      </w:r>
      <w:r>
        <w:rPr>
          <w:color w:val="auto"/>
          <w:sz w:val="30"/>
          <w:szCs w:val="30"/>
          <w:highlight w:val="none"/>
        </w:rPr>
        <w:fldChar w:fldCharType="end"/>
      </w:r>
      <w:r>
        <w:rPr>
          <w:rFonts w:ascii="宋体" w:hAnsi="宋体"/>
          <w:color w:val="auto"/>
          <w:sz w:val="30"/>
          <w:szCs w:val="30"/>
          <w:highlight w:val="none"/>
        </w:rPr>
        <w:fldChar w:fldCharType="end"/>
      </w:r>
    </w:p>
    <w:p w14:paraId="36C4D8DD">
      <w:pPr>
        <w:pStyle w:val="32"/>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_Toc21357 </w:instrText>
      </w:r>
      <w:r>
        <w:rPr>
          <w:rFonts w:ascii="宋体" w:hAnsi="宋体"/>
          <w:color w:val="auto"/>
          <w:sz w:val="30"/>
          <w:szCs w:val="30"/>
          <w:highlight w:val="none"/>
        </w:rPr>
        <w:fldChar w:fldCharType="separate"/>
      </w:r>
      <w:r>
        <w:rPr>
          <w:rFonts w:hint="eastAsia"/>
          <w:color w:val="auto"/>
          <w:sz w:val="30"/>
          <w:szCs w:val="30"/>
          <w:highlight w:val="none"/>
        </w:rPr>
        <w:t>第六章</w:t>
      </w:r>
      <w:r>
        <w:rPr>
          <w:rFonts w:hint="eastAsia"/>
          <w:color w:val="auto"/>
          <w:sz w:val="30"/>
          <w:szCs w:val="30"/>
          <w:highlight w:val="none"/>
          <w:lang w:val="en-US" w:eastAsia="zh-CN"/>
        </w:rPr>
        <w:t xml:space="preserve">  </w:t>
      </w:r>
      <w:r>
        <w:rPr>
          <w:rFonts w:hint="eastAsia"/>
          <w:color w:val="auto"/>
          <w:sz w:val="30"/>
          <w:szCs w:val="30"/>
          <w:highlight w:val="none"/>
        </w:rPr>
        <w:t>响应文件格式</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_Toc21357 \h </w:instrText>
      </w:r>
      <w:r>
        <w:rPr>
          <w:color w:val="auto"/>
          <w:sz w:val="30"/>
          <w:szCs w:val="30"/>
          <w:highlight w:val="none"/>
        </w:rPr>
        <w:fldChar w:fldCharType="separate"/>
      </w:r>
      <w:r>
        <w:rPr>
          <w:color w:val="auto"/>
          <w:sz w:val="30"/>
          <w:szCs w:val="30"/>
          <w:highlight w:val="none"/>
        </w:rPr>
        <w:t>41</w:t>
      </w:r>
      <w:r>
        <w:rPr>
          <w:color w:val="auto"/>
          <w:sz w:val="30"/>
          <w:szCs w:val="30"/>
          <w:highlight w:val="none"/>
        </w:rPr>
        <w:fldChar w:fldCharType="end"/>
      </w:r>
      <w:r>
        <w:rPr>
          <w:rFonts w:ascii="宋体" w:hAnsi="宋体"/>
          <w:color w:val="auto"/>
          <w:sz w:val="30"/>
          <w:szCs w:val="30"/>
          <w:highlight w:val="none"/>
        </w:rPr>
        <w:fldChar w:fldCharType="end"/>
      </w:r>
    </w:p>
    <w:p w14:paraId="6F80E6F1">
      <w:pPr>
        <w:pStyle w:val="32"/>
        <w:tabs>
          <w:tab w:val="right" w:leader="dot" w:pos="8879"/>
        </w:tabs>
        <w:spacing w:line="480" w:lineRule="auto"/>
        <w:rPr>
          <w:rFonts w:hint="eastAsia" w:ascii="宋体" w:hAnsi="宋体"/>
          <w:b/>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_Toc26619 </w:instrText>
      </w:r>
      <w:r>
        <w:rPr>
          <w:rFonts w:ascii="宋体" w:hAnsi="宋体"/>
          <w:color w:val="auto"/>
          <w:sz w:val="30"/>
          <w:szCs w:val="30"/>
          <w:highlight w:val="none"/>
        </w:rPr>
        <w:fldChar w:fldCharType="separate"/>
      </w:r>
      <w:r>
        <w:rPr>
          <w:rFonts w:hint="eastAsia"/>
          <w:color w:val="auto"/>
          <w:sz w:val="30"/>
          <w:szCs w:val="30"/>
          <w:highlight w:val="none"/>
        </w:rPr>
        <w:t>第七章</w:t>
      </w:r>
      <w:r>
        <w:rPr>
          <w:rFonts w:hint="eastAsia"/>
          <w:color w:val="auto"/>
          <w:sz w:val="30"/>
          <w:szCs w:val="30"/>
          <w:highlight w:val="none"/>
          <w:lang w:val="en-US" w:eastAsia="zh-CN"/>
        </w:rPr>
        <w:t xml:space="preserve">  </w:t>
      </w:r>
      <w:r>
        <w:rPr>
          <w:rFonts w:hint="eastAsia"/>
          <w:color w:val="auto"/>
          <w:sz w:val="30"/>
          <w:szCs w:val="30"/>
          <w:highlight w:val="none"/>
        </w:rPr>
        <w:t>合同文本</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_Toc26619 \h </w:instrText>
      </w:r>
      <w:r>
        <w:rPr>
          <w:color w:val="auto"/>
          <w:sz w:val="30"/>
          <w:szCs w:val="30"/>
          <w:highlight w:val="none"/>
        </w:rPr>
        <w:fldChar w:fldCharType="separate"/>
      </w:r>
      <w:r>
        <w:rPr>
          <w:color w:val="auto"/>
          <w:sz w:val="30"/>
          <w:szCs w:val="30"/>
          <w:highlight w:val="none"/>
        </w:rPr>
        <w:t>79</w:t>
      </w:r>
      <w:r>
        <w:rPr>
          <w:color w:val="auto"/>
          <w:sz w:val="30"/>
          <w:szCs w:val="30"/>
          <w:highlight w:val="none"/>
        </w:rPr>
        <w:fldChar w:fldCharType="end"/>
      </w:r>
      <w:r>
        <w:rPr>
          <w:rFonts w:ascii="宋体" w:hAnsi="宋体"/>
          <w:color w:val="auto"/>
          <w:sz w:val="30"/>
          <w:szCs w:val="30"/>
          <w:highlight w:val="none"/>
        </w:rPr>
        <w:fldChar w:fldCharType="end"/>
      </w:r>
      <w:r>
        <w:rPr>
          <w:rFonts w:ascii="宋体" w:hAnsi="宋体"/>
          <w:color w:val="auto"/>
          <w:sz w:val="30"/>
          <w:szCs w:val="30"/>
          <w:highlight w:val="none"/>
        </w:rPr>
        <w:fldChar w:fldCharType="end"/>
      </w:r>
    </w:p>
    <w:p w14:paraId="3F28A635">
      <w:pPr>
        <w:spacing w:line="480" w:lineRule="auto"/>
        <w:jc w:val="left"/>
        <w:rPr>
          <w:rFonts w:hint="eastAsia" w:ascii="宋体" w:hAnsi="宋体"/>
          <w:b/>
          <w:color w:val="auto"/>
          <w:sz w:val="30"/>
          <w:szCs w:val="30"/>
          <w:highlight w:val="none"/>
        </w:rPr>
      </w:pPr>
    </w:p>
    <w:p w14:paraId="157D266F">
      <w:pPr>
        <w:spacing w:line="400" w:lineRule="exact"/>
        <w:jc w:val="center"/>
        <w:rPr>
          <w:rFonts w:hint="eastAsia" w:ascii="宋体" w:hAnsi="宋体"/>
          <w:b/>
          <w:color w:val="auto"/>
          <w:sz w:val="32"/>
          <w:szCs w:val="32"/>
          <w:highlight w:val="none"/>
        </w:rPr>
      </w:pPr>
    </w:p>
    <w:p w14:paraId="7D38285E">
      <w:pPr>
        <w:spacing w:line="400" w:lineRule="exact"/>
        <w:jc w:val="center"/>
        <w:rPr>
          <w:rFonts w:hint="eastAsia" w:ascii="宋体" w:hAnsi="宋体"/>
          <w:b/>
          <w:color w:val="auto"/>
          <w:sz w:val="32"/>
          <w:szCs w:val="32"/>
          <w:highlight w:val="none"/>
        </w:rPr>
      </w:pPr>
    </w:p>
    <w:p w14:paraId="6E719941">
      <w:pPr>
        <w:spacing w:line="400" w:lineRule="exact"/>
        <w:jc w:val="center"/>
        <w:rPr>
          <w:rFonts w:hint="eastAsia" w:ascii="宋体" w:hAnsi="宋体"/>
          <w:b/>
          <w:color w:val="auto"/>
          <w:sz w:val="32"/>
          <w:szCs w:val="32"/>
          <w:highlight w:val="none"/>
        </w:rPr>
      </w:pPr>
    </w:p>
    <w:p w14:paraId="17113D3D">
      <w:pPr>
        <w:spacing w:line="400" w:lineRule="exact"/>
        <w:jc w:val="center"/>
        <w:rPr>
          <w:rFonts w:hint="eastAsia" w:ascii="宋体" w:hAnsi="宋体"/>
          <w:b/>
          <w:color w:val="auto"/>
          <w:sz w:val="32"/>
          <w:szCs w:val="32"/>
          <w:highlight w:val="none"/>
        </w:rPr>
      </w:pPr>
    </w:p>
    <w:p w14:paraId="0B6712EC">
      <w:pPr>
        <w:spacing w:line="400" w:lineRule="exact"/>
        <w:rPr>
          <w:rFonts w:hint="eastAsia" w:ascii="宋体" w:hAnsi="宋体"/>
          <w:b/>
          <w:color w:val="auto"/>
          <w:sz w:val="32"/>
          <w:szCs w:val="32"/>
          <w:highlight w:val="none"/>
        </w:rPr>
        <w:sectPr>
          <w:footerReference r:id="rId8" w:type="first"/>
          <w:footerReference r:id="rId7" w:type="default"/>
          <w:pgSz w:w="11906" w:h="16838"/>
          <w:pgMar w:top="1440" w:right="1440" w:bottom="1440" w:left="1587" w:header="851" w:footer="992" w:gutter="0"/>
          <w:pgNumType w:start="1"/>
          <w:cols w:space="720" w:num="1"/>
          <w:titlePg/>
        </w:sectPr>
      </w:pPr>
    </w:p>
    <w:p w14:paraId="0C4D9F56">
      <w:pPr>
        <w:pStyle w:val="3"/>
        <w:spacing w:after="340" w:line="360" w:lineRule="auto"/>
        <w:jc w:val="center"/>
        <w:rPr>
          <w:color w:val="auto"/>
          <w:highlight w:val="none"/>
        </w:rPr>
      </w:pPr>
      <w:bookmarkStart w:id="1" w:name="_Toc25518"/>
      <w:r>
        <w:rPr>
          <w:rFonts w:hint="eastAsia"/>
          <w:color w:val="auto"/>
          <w:highlight w:val="none"/>
        </w:rPr>
        <w:t>第一章竞争性磋商公告</w:t>
      </w:r>
      <w:bookmarkEnd w:id="1"/>
    </w:p>
    <w:p w14:paraId="18E6512E">
      <w:pPr>
        <w:spacing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竞争性磋商公告</w:t>
      </w:r>
    </w:p>
    <w:p w14:paraId="56C50842">
      <w:pPr>
        <w:spacing w:line="360" w:lineRule="auto"/>
        <w:rPr>
          <w:rFonts w:hint="eastAsia" w:ascii="宋体" w:hAnsi="宋体"/>
          <w:color w:val="auto"/>
          <w:szCs w:val="21"/>
          <w:highlight w:val="none"/>
        </w:rPr>
      </w:pPr>
    </w:p>
    <w:p w14:paraId="5FDAAECE">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color w:val="auto"/>
          <w:szCs w:val="21"/>
          <w:highlight w:val="none"/>
        </w:rPr>
      </w:pPr>
      <w:bookmarkStart w:id="2" w:name="_Hlk37430271"/>
      <w:r>
        <w:rPr>
          <w:rFonts w:hint="eastAsia" w:ascii="宋体" w:hAnsi="宋体"/>
          <w:color w:val="auto"/>
          <w:szCs w:val="21"/>
          <w:highlight w:val="none"/>
        </w:rPr>
        <w:t>项目概况</w:t>
      </w:r>
    </w:p>
    <w:p w14:paraId="63710514">
      <w:pPr>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color w:val="auto"/>
          <w:szCs w:val="21"/>
          <w:highlight w:val="none"/>
        </w:rPr>
      </w:pPr>
      <w:r>
        <w:rPr>
          <w:rFonts w:hint="eastAsia" w:ascii="宋体" w:hAnsi="宋体"/>
          <w:color w:val="auto"/>
          <w:szCs w:val="21"/>
          <w:highlight w:val="none"/>
          <w:u w:val="single"/>
          <w:lang w:eastAsia="zh-CN"/>
        </w:rPr>
        <w:t>贵港市覃塘区人民医院门急诊综合楼消防安全评估整改项目</w:t>
      </w:r>
      <w:r>
        <w:rPr>
          <w:rFonts w:hint="eastAsia" w:ascii="宋体" w:hAnsi="宋体"/>
          <w:color w:val="auto"/>
          <w:szCs w:val="21"/>
          <w:highlight w:val="none"/>
        </w:rPr>
        <w:t>的潜在供应商应在广西政府采购云平台（https://www.gcy.zfcg.gxzf.gov.cn）获取（下载）竞争性磋商文件，</w:t>
      </w:r>
      <w:bookmarkStart w:id="3" w:name="REVIEW_AI_BM_AI_11989_20_91_1"/>
      <w:r>
        <w:rPr>
          <w:rFonts w:hint="eastAsia" w:ascii="宋体" w:hAnsi="宋体"/>
          <w:color w:val="auto"/>
          <w:szCs w:val="21"/>
          <w:highlight w:val="none"/>
          <w:shd w:val="clear" w:color="FFFFFF" w:fill="FFFFFF"/>
        </w:rPr>
        <w:t>并于2026年</w:t>
      </w:r>
      <w:r>
        <w:rPr>
          <w:rFonts w:hint="eastAsia" w:ascii="宋体" w:hAnsi="宋体"/>
          <w:color w:val="auto"/>
          <w:szCs w:val="21"/>
          <w:highlight w:val="none"/>
          <w:shd w:val="clear" w:color="FFFFFF" w:fill="FFFFFF"/>
          <w:lang w:val="en-US" w:eastAsia="zh-CN"/>
        </w:rPr>
        <w:t>9</w:t>
      </w:r>
      <w:r>
        <w:rPr>
          <w:rFonts w:hint="eastAsia" w:ascii="宋体" w:hAnsi="宋体"/>
          <w:color w:val="auto"/>
          <w:szCs w:val="21"/>
          <w:highlight w:val="none"/>
          <w:shd w:val="clear" w:color="FFFFFF" w:fill="FFFFFF"/>
        </w:rPr>
        <w:t>月</w:t>
      </w:r>
      <w:r>
        <w:rPr>
          <w:rFonts w:hint="eastAsia" w:ascii="宋体" w:hAnsi="宋体"/>
          <w:color w:val="auto"/>
          <w:szCs w:val="21"/>
          <w:highlight w:val="none"/>
          <w:shd w:val="clear" w:color="FFFFFF" w:fill="FFFFFF"/>
          <w:lang w:val="en-US" w:eastAsia="zh-CN"/>
        </w:rPr>
        <w:t>29</w:t>
      </w:r>
      <w:r>
        <w:rPr>
          <w:rFonts w:hint="eastAsia" w:ascii="宋体" w:hAnsi="宋体"/>
          <w:color w:val="auto"/>
          <w:szCs w:val="21"/>
          <w:highlight w:val="none"/>
          <w:shd w:val="clear" w:color="FFFFFF" w:fill="FFFFFF"/>
        </w:rPr>
        <w:t>日</w:t>
      </w:r>
      <w:r>
        <w:rPr>
          <w:rFonts w:hint="eastAsia" w:ascii="宋体" w:hAnsi="宋体"/>
          <w:color w:val="auto"/>
          <w:szCs w:val="21"/>
          <w:highlight w:val="none"/>
          <w:shd w:val="clear" w:color="FFFFFF" w:fill="FFFFFF"/>
          <w:lang w:val="en-US" w:eastAsia="zh-CN"/>
        </w:rPr>
        <w:t>15</w:t>
      </w:r>
      <w:r>
        <w:rPr>
          <w:rFonts w:hint="eastAsia" w:ascii="宋体" w:hAnsi="宋体"/>
          <w:color w:val="auto"/>
          <w:szCs w:val="21"/>
          <w:highlight w:val="none"/>
          <w:shd w:val="clear" w:color="FFFFFF" w:fill="FFFFFF"/>
        </w:rPr>
        <w:t>时</w:t>
      </w:r>
      <w:r>
        <w:rPr>
          <w:rFonts w:hint="eastAsia" w:ascii="宋体" w:hAnsi="宋体"/>
          <w:color w:val="auto"/>
          <w:szCs w:val="21"/>
          <w:highlight w:val="none"/>
          <w:shd w:val="clear" w:color="FFFFFF" w:fill="FFFFFF"/>
          <w:lang w:val="en-US" w:eastAsia="zh-CN"/>
        </w:rPr>
        <w:t>3</w:t>
      </w:r>
      <w:r>
        <w:rPr>
          <w:rFonts w:hint="eastAsia" w:ascii="宋体" w:hAnsi="宋体"/>
          <w:color w:val="auto"/>
          <w:szCs w:val="21"/>
          <w:highlight w:val="none"/>
          <w:shd w:val="clear" w:color="FFFFFF" w:fill="FFFFFF"/>
        </w:rPr>
        <w:t>0分（北京时间）前提交（上传）响应文件</w:t>
      </w:r>
      <w:bookmarkEnd w:id="3"/>
      <w:r>
        <w:rPr>
          <w:rFonts w:hint="eastAsia" w:ascii="宋体" w:hAnsi="宋体"/>
          <w:color w:val="auto"/>
          <w:szCs w:val="21"/>
          <w:highlight w:val="none"/>
        </w:rPr>
        <w:t>。</w:t>
      </w:r>
    </w:p>
    <w:p w14:paraId="01DCADDB">
      <w:pPr>
        <w:spacing w:line="360" w:lineRule="auto"/>
        <w:rPr>
          <w:rFonts w:hint="eastAsia" w:ascii="宋体" w:hAnsi="宋体"/>
          <w:color w:val="auto"/>
          <w:szCs w:val="21"/>
          <w:highlight w:val="none"/>
        </w:rPr>
      </w:pPr>
    </w:p>
    <w:p w14:paraId="0A065905">
      <w:pPr>
        <w:spacing w:line="360" w:lineRule="auto"/>
        <w:ind w:firstLine="354"/>
        <w:rPr>
          <w:rFonts w:hint="eastAsia" w:ascii="黑体" w:hAnsi="黑体" w:eastAsia="黑体"/>
          <w:b/>
          <w:color w:val="auto"/>
          <w:sz w:val="24"/>
          <w:highlight w:val="none"/>
        </w:rPr>
      </w:pPr>
      <w:bookmarkStart w:id="4" w:name="_Toc71365905"/>
      <w:bookmarkStart w:id="5" w:name="_Toc28359089"/>
      <w:bookmarkStart w:id="6" w:name="_Toc28359012"/>
      <w:bookmarkStart w:id="7" w:name="_Toc44229878"/>
      <w:bookmarkStart w:id="8" w:name="_Toc35393798"/>
      <w:bookmarkStart w:id="9" w:name="_Toc35393629"/>
      <w:r>
        <w:rPr>
          <w:rFonts w:hint="eastAsia" w:ascii="黑体" w:hAnsi="黑体" w:eastAsia="黑体"/>
          <w:b/>
          <w:color w:val="auto"/>
          <w:sz w:val="24"/>
          <w:highlight w:val="none"/>
        </w:rPr>
        <w:t>一、项目基本情况</w:t>
      </w:r>
      <w:bookmarkEnd w:id="4"/>
      <w:bookmarkEnd w:id="5"/>
      <w:bookmarkEnd w:id="6"/>
      <w:bookmarkEnd w:id="7"/>
      <w:bookmarkEnd w:id="8"/>
      <w:bookmarkEnd w:id="9"/>
    </w:p>
    <w:p w14:paraId="3091B99C">
      <w:pPr>
        <w:spacing w:line="312" w:lineRule="auto"/>
        <w:ind w:firstLine="420"/>
        <w:rPr>
          <w:rFonts w:hint="eastAsia" w:ascii="宋体" w:hAnsi="宋体" w:cs="宋体"/>
          <w:color w:val="auto"/>
          <w:highlight w:val="none"/>
        </w:rPr>
      </w:pPr>
      <w:r>
        <w:rPr>
          <w:rFonts w:hint="eastAsia" w:ascii="宋体" w:hAnsi="宋体" w:cs="宋体"/>
          <w:color w:val="auto"/>
          <w:highlight w:val="none"/>
        </w:rPr>
        <w:t>项目编号：</w:t>
      </w:r>
      <w:r>
        <w:rPr>
          <w:rFonts w:hint="eastAsia" w:ascii="宋体" w:hAnsi="宋体" w:cs="宋体"/>
          <w:color w:val="auto"/>
          <w:highlight w:val="none"/>
          <w:shd w:val="clear" w:color="FFFFFF" w:fill="FFFFFF"/>
          <w:lang w:eastAsia="zh-CN"/>
        </w:rPr>
        <w:t>GGZC2026-C2-040066-YZLZ</w:t>
      </w:r>
      <w:r>
        <w:rPr>
          <w:rFonts w:hint="eastAsia" w:ascii="宋体" w:hAnsi="宋体" w:cs="宋体"/>
          <w:color w:val="auto"/>
          <w:highlight w:val="none"/>
        </w:rPr>
        <w:t xml:space="preserve">     </w:t>
      </w:r>
    </w:p>
    <w:p w14:paraId="618A6742">
      <w:pPr>
        <w:spacing w:line="312"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项目名称：</w:t>
      </w:r>
      <w:bookmarkStart w:id="10" w:name="REVIEW_AI_BM_AI_11989_23_5_3"/>
      <w:r>
        <w:rPr>
          <w:rFonts w:hint="eastAsia" w:ascii="宋体" w:hAnsi="宋体" w:cs="宋体"/>
          <w:color w:val="auto"/>
          <w:highlight w:val="none"/>
          <w:shd w:val="clear" w:color="FFFFFF" w:fill="FFFFFF"/>
        </w:rPr>
        <w:t>贵港市覃塘区人民医院门急诊综合楼消防安全评估整改项目</w:t>
      </w:r>
      <w:bookmarkEnd w:id="10"/>
    </w:p>
    <w:p w14:paraId="15A83884">
      <w:pPr>
        <w:spacing w:line="312" w:lineRule="auto"/>
        <w:ind w:firstLine="420"/>
        <w:rPr>
          <w:rFonts w:hint="eastAsia" w:ascii="宋体" w:hAnsi="宋体" w:cs="宋体"/>
          <w:color w:val="auto"/>
          <w:highlight w:val="none"/>
        </w:rPr>
      </w:pPr>
      <w:r>
        <w:rPr>
          <w:rFonts w:hint="eastAsia" w:ascii="宋体" w:hAnsi="宋体" w:cs="宋体"/>
          <w:color w:val="auto"/>
          <w:highlight w:val="none"/>
        </w:rPr>
        <w:t>采购方式：竞争性磋商</w:t>
      </w:r>
    </w:p>
    <w:p w14:paraId="718CE08A">
      <w:pPr>
        <w:spacing w:line="312"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预算金额（元）：</w:t>
      </w:r>
      <w:r>
        <w:rPr>
          <w:rFonts w:hint="eastAsia" w:ascii="宋体" w:hAnsi="宋体" w:cs="宋体"/>
          <w:color w:val="auto"/>
          <w:highlight w:val="none"/>
          <w:lang w:eastAsia="zh-CN"/>
        </w:rPr>
        <w:t>721225.00</w:t>
      </w:r>
    </w:p>
    <w:p w14:paraId="448EFE00">
      <w:pPr>
        <w:spacing w:line="312"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最高限价（元）：</w:t>
      </w:r>
      <w:r>
        <w:rPr>
          <w:rFonts w:hint="eastAsia" w:ascii="宋体" w:hAnsi="宋体" w:cs="宋体"/>
          <w:color w:val="auto"/>
          <w:highlight w:val="none"/>
          <w:lang w:eastAsia="zh-CN"/>
        </w:rPr>
        <w:t>721225.00</w:t>
      </w:r>
    </w:p>
    <w:p w14:paraId="3CB3272F">
      <w:pPr>
        <w:spacing w:line="312" w:lineRule="auto"/>
        <w:ind w:firstLine="420"/>
        <w:rPr>
          <w:rFonts w:hint="eastAsia" w:ascii="宋体" w:hAnsi="宋体" w:cs="宋体"/>
          <w:color w:val="auto"/>
          <w:highlight w:val="none"/>
        </w:rPr>
      </w:pPr>
      <w:r>
        <w:rPr>
          <w:rFonts w:hint="eastAsia" w:ascii="宋体" w:hAnsi="宋体" w:cs="宋体"/>
          <w:color w:val="auto"/>
          <w:highlight w:val="none"/>
        </w:rPr>
        <w:t>采购需求：</w:t>
      </w:r>
    </w:p>
    <w:p w14:paraId="6857D0F7">
      <w:pPr>
        <w:spacing w:line="312" w:lineRule="auto"/>
        <w:ind w:firstLine="420"/>
        <w:rPr>
          <w:rFonts w:hint="eastAsia" w:ascii="宋体" w:hAnsi="宋体" w:cs="宋体"/>
          <w:color w:val="auto"/>
          <w:highlight w:val="none"/>
        </w:rPr>
      </w:pPr>
      <w:r>
        <w:rPr>
          <w:rFonts w:hint="eastAsia" w:ascii="宋体" w:hAnsi="宋体" w:cs="宋体"/>
          <w:color w:val="auto"/>
          <w:highlight w:val="none"/>
        </w:rPr>
        <w:t>标项名称：</w:t>
      </w:r>
      <w:r>
        <w:rPr>
          <w:rFonts w:hint="eastAsia" w:ascii="宋体" w:hAnsi="宋体" w:cs="宋体"/>
          <w:color w:val="auto"/>
          <w:highlight w:val="none"/>
          <w:lang w:eastAsia="zh-CN"/>
        </w:rPr>
        <w:t>贵港市覃塘区人民医院门急诊综合楼消防安全评估整改项目</w:t>
      </w:r>
    </w:p>
    <w:p w14:paraId="0BF886AD">
      <w:pPr>
        <w:spacing w:line="312" w:lineRule="auto"/>
        <w:ind w:firstLine="420"/>
        <w:rPr>
          <w:rFonts w:hint="eastAsia" w:ascii="宋体" w:hAnsi="宋体" w:cs="宋体"/>
          <w:color w:val="auto"/>
          <w:highlight w:val="none"/>
        </w:rPr>
      </w:pPr>
      <w:r>
        <w:rPr>
          <w:rFonts w:hint="eastAsia" w:ascii="宋体" w:hAnsi="宋体" w:cs="宋体"/>
          <w:color w:val="auto"/>
          <w:highlight w:val="none"/>
        </w:rPr>
        <w:t>数量：</w:t>
      </w:r>
      <w:bookmarkStart w:id="11" w:name="REVIEW_AI_BM_AI_11989_29_3_4"/>
      <w:r>
        <w:rPr>
          <w:rFonts w:hint="eastAsia" w:ascii="宋体" w:hAnsi="宋体" w:cs="宋体"/>
          <w:color w:val="auto"/>
          <w:highlight w:val="none"/>
          <w:shd w:val="clear" w:color="FFFFFF" w:fill="FFFFFF"/>
        </w:rPr>
        <w:t>1项</w:t>
      </w:r>
      <w:bookmarkEnd w:id="11"/>
    </w:p>
    <w:p w14:paraId="58534063">
      <w:pPr>
        <w:spacing w:line="312" w:lineRule="auto"/>
        <w:ind w:firstLine="420"/>
        <w:rPr>
          <w:rFonts w:hint="eastAsia" w:ascii="宋体" w:hAnsi="宋体" w:eastAsia="宋体" w:cs="宋体"/>
          <w:color w:val="auto"/>
          <w:highlight w:val="none"/>
          <w:lang w:eastAsia="zh-CN"/>
        </w:rPr>
      </w:pPr>
      <w:r>
        <w:rPr>
          <w:rFonts w:hint="eastAsia" w:ascii="宋体" w:hAnsi="宋体" w:cs="宋体"/>
          <w:color w:val="auto"/>
          <w:highlight w:val="none"/>
        </w:rPr>
        <w:t>预算金额（元）：</w:t>
      </w:r>
      <w:r>
        <w:rPr>
          <w:rFonts w:hint="eastAsia" w:ascii="宋体" w:hAnsi="宋体" w:cs="宋体"/>
          <w:color w:val="auto"/>
          <w:highlight w:val="none"/>
          <w:lang w:eastAsia="zh-CN"/>
        </w:rPr>
        <w:t>721225.00</w:t>
      </w:r>
    </w:p>
    <w:p w14:paraId="0CD9EFE2">
      <w:pPr>
        <w:spacing w:line="312" w:lineRule="auto"/>
        <w:ind w:firstLine="420"/>
        <w:rPr>
          <w:rFonts w:hint="eastAsia" w:ascii="宋体" w:hAnsi="宋体" w:eastAsia="宋体"/>
          <w:color w:val="auto"/>
          <w:szCs w:val="21"/>
          <w:highlight w:val="none"/>
          <w:lang w:eastAsia="zh-CN"/>
        </w:rPr>
      </w:pPr>
      <w:r>
        <w:rPr>
          <w:rFonts w:hint="eastAsia" w:ascii="宋体" w:hAnsi="宋体" w:cs="宋体"/>
          <w:color w:val="auto"/>
          <w:szCs w:val="21"/>
          <w:highlight w:val="none"/>
        </w:rPr>
        <w:t>简要规格描述或项目基本概况介绍、用途：贵港市覃塘区人民医院门急诊综合楼消防安全评估整改项目</w:t>
      </w:r>
      <w:r>
        <w:rPr>
          <w:rFonts w:hint="eastAsia" w:ascii="宋体" w:hAnsi="宋体" w:cs="宋体"/>
          <w:color w:val="auto"/>
          <w:szCs w:val="21"/>
          <w:highlight w:val="none"/>
          <w:lang w:val="en-US" w:eastAsia="zh-CN"/>
        </w:rPr>
        <w:t>1项</w:t>
      </w:r>
      <w:r>
        <w:rPr>
          <w:rFonts w:hint="eastAsia" w:ascii="宋体" w:hAnsi="宋体" w:cs="宋体"/>
          <w:color w:val="auto"/>
          <w:szCs w:val="21"/>
          <w:highlight w:val="none"/>
        </w:rPr>
        <w:t>，工程质量等级要求达到国家施工质量验收规范合格标准</w:t>
      </w:r>
      <w:r>
        <w:rPr>
          <w:rFonts w:hint="eastAsia" w:ascii="宋体" w:hAnsi="宋体" w:cs="宋体"/>
          <w:color w:val="auto"/>
          <w:szCs w:val="21"/>
          <w:highlight w:val="none"/>
          <w:lang w:eastAsia="zh-CN"/>
        </w:rPr>
        <w:t>；详见招标控制价及图纸。</w:t>
      </w:r>
    </w:p>
    <w:p w14:paraId="1FD46361">
      <w:pPr>
        <w:spacing w:line="360" w:lineRule="auto"/>
        <w:ind w:firstLine="420"/>
        <w:rPr>
          <w:rFonts w:hint="eastAsia" w:ascii="宋体" w:hAnsi="宋体" w:eastAsia="宋体"/>
          <w:color w:val="auto"/>
          <w:szCs w:val="21"/>
          <w:highlight w:val="none"/>
          <w:u w:val="single"/>
          <w:lang w:eastAsia="zh-CN"/>
        </w:rPr>
      </w:pPr>
      <w:r>
        <w:rPr>
          <w:rFonts w:hint="eastAsia" w:ascii="宋体" w:hAnsi="宋体"/>
          <w:color w:val="auto"/>
          <w:szCs w:val="21"/>
          <w:highlight w:val="none"/>
        </w:rPr>
        <w:t>合同履行期限：</w:t>
      </w:r>
      <w:r>
        <w:rPr>
          <w:rFonts w:hint="eastAsia" w:ascii="宋体" w:hAnsi="宋体"/>
          <w:color w:val="auto"/>
          <w:szCs w:val="21"/>
          <w:highlight w:val="none"/>
          <w:lang w:eastAsia="zh-CN"/>
        </w:rPr>
        <w:t>要求工期为40日历天。</w:t>
      </w:r>
    </w:p>
    <w:p w14:paraId="31F5558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本项目不接受联合体。</w:t>
      </w:r>
    </w:p>
    <w:p w14:paraId="2BDE2AD4">
      <w:pPr>
        <w:spacing w:line="360" w:lineRule="auto"/>
        <w:ind w:firstLine="354"/>
        <w:rPr>
          <w:rFonts w:hint="eastAsia" w:ascii="黑体" w:hAnsi="黑体" w:eastAsia="黑体"/>
          <w:b/>
          <w:color w:val="auto"/>
          <w:sz w:val="24"/>
          <w:highlight w:val="none"/>
        </w:rPr>
      </w:pPr>
      <w:bookmarkStart w:id="12" w:name="_Toc44229879"/>
      <w:bookmarkStart w:id="13" w:name="_Toc35393799"/>
      <w:bookmarkStart w:id="14" w:name="_Toc28359013"/>
      <w:bookmarkStart w:id="15" w:name="_Toc71365906"/>
      <w:bookmarkStart w:id="16" w:name="_Toc35393630"/>
      <w:bookmarkStart w:id="17" w:name="_Toc28359090"/>
      <w:r>
        <w:rPr>
          <w:rFonts w:hint="eastAsia" w:ascii="黑体" w:hAnsi="黑体" w:eastAsia="黑体"/>
          <w:b/>
          <w:color w:val="auto"/>
          <w:sz w:val="24"/>
          <w:highlight w:val="none"/>
        </w:rPr>
        <w:t>二、申请人的资格条件：</w:t>
      </w:r>
      <w:bookmarkEnd w:id="12"/>
      <w:bookmarkEnd w:id="13"/>
      <w:bookmarkEnd w:id="14"/>
      <w:bookmarkEnd w:id="15"/>
      <w:bookmarkEnd w:id="16"/>
      <w:bookmarkEnd w:id="17"/>
    </w:p>
    <w:p w14:paraId="051DCF40">
      <w:pPr>
        <w:spacing w:line="360" w:lineRule="auto"/>
        <w:ind w:firstLine="420"/>
        <w:rPr>
          <w:rFonts w:hint="eastAsia" w:ascii="宋体" w:hAnsi="宋体"/>
          <w:color w:val="auto"/>
          <w:szCs w:val="21"/>
          <w:highlight w:val="none"/>
        </w:rPr>
      </w:pPr>
      <w:bookmarkStart w:id="18" w:name="_Toc35393631"/>
      <w:bookmarkStart w:id="19" w:name="_Toc44229880"/>
      <w:bookmarkStart w:id="20" w:name="_Toc35393800"/>
      <w:bookmarkStart w:id="21" w:name="_Toc28359091"/>
      <w:bookmarkStart w:id="22" w:name="_Toc28359014"/>
      <w:r>
        <w:rPr>
          <w:rFonts w:hint="eastAsia" w:ascii="宋体" w:hAnsi="宋体"/>
          <w:color w:val="auto"/>
          <w:szCs w:val="21"/>
          <w:highlight w:val="none"/>
        </w:rPr>
        <w:t>1.满足《中华人民共和国政府采购法》第二十二条规定；</w:t>
      </w:r>
    </w:p>
    <w:p w14:paraId="7D162E21">
      <w:pPr>
        <w:spacing w:line="360" w:lineRule="auto"/>
        <w:ind w:firstLine="420"/>
        <w:rPr>
          <w:rStyle w:val="59"/>
          <w:color w:val="auto"/>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s="宋体"/>
          <w:b/>
          <w:bCs/>
          <w:color w:val="auto"/>
          <w:szCs w:val="21"/>
          <w:highlight w:val="none"/>
        </w:rPr>
        <w:t>本项目属于专门面向中小企业采购的项目；供应商对应符合《政府采购促进中小企业发展管理办法》（财库〔2020〕46号）要求的中小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p>
    <w:p w14:paraId="390D938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3.本项目的特定资格要求：</w:t>
      </w:r>
    </w:p>
    <w:p w14:paraId="6280107E">
      <w:pPr>
        <w:spacing w:line="360" w:lineRule="auto"/>
        <w:ind w:firstLine="420"/>
        <w:rPr>
          <w:rFonts w:hint="eastAsia" w:ascii="宋体" w:hAnsi="宋体"/>
          <w:color w:val="auto"/>
          <w:szCs w:val="21"/>
          <w:highlight w:val="none"/>
          <w:lang w:val="en-US" w:eastAsia="zh-CN"/>
        </w:rPr>
      </w:pPr>
      <w:r>
        <w:rPr>
          <w:rFonts w:hint="eastAsia" w:ascii="宋体" w:hAnsi="宋体" w:eastAsia="黑体"/>
          <w:color w:val="auto"/>
          <w:szCs w:val="21"/>
          <w:highlight w:val="none"/>
          <w:lang w:val="en-US" w:eastAsia="zh-CN"/>
        </w:rPr>
        <w:t>（</w:t>
      </w:r>
      <w:r>
        <w:rPr>
          <w:rFonts w:hint="eastAsia" w:ascii="宋体" w:hAnsi="宋体"/>
          <w:color w:val="auto"/>
          <w:szCs w:val="21"/>
          <w:highlight w:val="none"/>
          <w:lang w:val="en-US" w:eastAsia="zh-CN"/>
        </w:rPr>
        <w:t>1）供应商须具备</w:t>
      </w:r>
      <w:r>
        <w:rPr>
          <w:rFonts w:hint="eastAsia" w:ascii="宋体" w:hAnsi="宋体"/>
          <w:b/>
          <w:bCs/>
          <w:color w:val="auto"/>
          <w:szCs w:val="21"/>
          <w:highlight w:val="none"/>
          <w:lang w:val="en-US" w:eastAsia="zh-CN"/>
        </w:rPr>
        <w:t>建筑工程施工总承包三级（含）以上资质</w:t>
      </w:r>
      <w:r>
        <w:rPr>
          <w:rFonts w:hint="eastAsia" w:ascii="宋体" w:hAnsi="宋体"/>
          <w:color w:val="auto"/>
          <w:szCs w:val="21"/>
          <w:highlight w:val="none"/>
          <w:lang w:val="en-US" w:eastAsia="zh-CN"/>
        </w:rPr>
        <w:t>，具备有效的安全生产许可证，并在人员、设备、资金等方面具备相应的施工能力。</w:t>
      </w:r>
    </w:p>
    <w:p w14:paraId="76225EB3">
      <w:pPr>
        <w:spacing w:line="360" w:lineRule="auto"/>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（2）拟投入本工程的技术负责人具有</w:t>
      </w:r>
      <w:r>
        <w:rPr>
          <w:rFonts w:hint="eastAsia" w:ascii="宋体" w:hAnsi="宋体"/>
          <w:b/>
          <w:bCs/>
          <w:color w:val="auto"/>
          <w:szCs w:val="21"/>
          <w:highlight w:val="none"/>
          <w:lang w:val="en-US" w:eastAsia="zh-CN"/>
        </w:rPr>
        <w:t>建筑工程专业</w:t>
      </w:r>
      <w:r>
        <w:rPr>
          <w:rFonts w:hint="eastAsia" w:ascii="宋体" w:hAnsi="宋体"/>
          <w:color w:val="auto"/>
          <w:szCs w:val="21"/>
          <w:highlight w:val="none"/>
          <w:lang w:val="en-US" w:eastAsia="zh-CN"/>
        </w:rPr>
        <w:t>工程师及以上职称。</w:t>
      </w:r>
    </w:p>
    <w:p w14:paraId="4B6327CD">
      <w:pPr>
        <w:spacing w:line="360" w:lineRule="auto"/>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（3）供应商拟派的项目经理须具备</w:t>
      </w:r>
      <w:r>
        <w:rPr>
          <w:rFonts w:hint="eastAsia" w:ascii="宋体" w:hAnsi="宋体"/>
          <w:b/>
          <w:bCs/>
          <w:color w:val="auto"/>
          <w:szCs w:val="21"/>
          <w:highlight w:val="none"/>
          <w:lang w:val="en-US" w:eastAsia="zh-CN"/>
        </w:rPr>
        <w:t>建筑工程专业贰级(含)以上</w:t>
      </w:r>
      <w:r>
        <w:rPr>
          <w:rFonts w:hint="eastAsia" w:ascii="宋体" w:hAnsi="宋体"/>
          <w:color w:val="auto"/>
          <w:szCs w:val="21"/>
          <w:highlight w:val="none"/>
          <w:lang w:val="en-US" w:eastAsia="zh-CN"/>
        </w:rPr>
        <w:t>注册建造师执业资格及有效的安全生产考核合格证书（B类）。</w:t>
      </w:r>
    </w:p>
    <w:p w14:paraId="69CD91FB">
      <w:pPr>
        <w:spacing w:line="360" w:lineRule="auto"/>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拟投入本项目的专职安全生产管理人员须具备有效的安全生产考核合格证书（C类），人数符合住房和城乡建设部《建筑施工企业、工程项目安全生产管理机构设置及安全生产管理人员配备办法》建质规〔2025〕3号的规定</w:t>
      </w:r>
      <w:bookmarkStart w:id="23" w:name="REVIEW_AI_BM_AI_11989_41_103_5"/>
      <w:r>
        <w:rPr>
          <w:rFonts w:hint="eastAsia" w:ascii="宋体" w:hAnsi="宋体"/>
          <w:color w:val="auto"/>
          <w:szCs w:val="21"/>
          <w:highlight w:val="none"/>
          <w:shd w:val="clear" w:color="FFFFFF" w:fill="FFFFFF"/>
          <w:lang w:val="en-US" w:eastAsia="zh-CN"/>
        </w:rPr>
        <w:t>不少于1人</w:t>
      </w:r>
      <w:bookmarkEnd w:id="23"/>
      <w:r>
        <w:rPr>
          <w:rFonts w:hint="eastAsia" w:ascii="宋体" w:hAnsi="宋体"/>
          <w:color w:val="auto"/>
          <w:szCs w:val="21"/>
          <w:highlight w:val="none"/>
          <w:lang w:val="en-US" w:eastAsia="zh-CN"/>
        </w:rPr>
        <w:t>。</w:t>
      </w:r>
    </w:p>
    <w:p w14:paraId="052088BE">
      <w:pPr>
        <w:spacing w:line="360" w:lineRule="auto"/>
        <w:ind w:firstLine="420"/>
        <w:rPr>
          <w:rFonts w:hint="default"/>
          <w:color w:val="auto"/>
          <w:highlight w:val="none"/>
          <w:lang w:val="en-US"/>
        </w:rPr>
      </w:pPr>
      <w:r>
        <w:rPr>
          <w:rFonts w:hint="eastAsia" w:ascii="宋体" w:hAnsi="宋体"/>
          <w:b/>
          <w:bCs/>
          <w:color w:val="auto"/>
          <w:szCs w:val="21"/>
          <w:highlight w:val="none"/>
          <w:lang w:val="en-US" w:eastAsia="zh-CN"/>
        </w:rPr>
        <w:t>注：本项目不接受有在建、已中标/成交未开工或已列为其他项目中标候选人第一名的建造师和专职安全生产管理人员作为项目经理和专职安全生产管理人员（符合《广西壮族自治区建筑市场诚信卡管理暂行办法》第十六条第一款及桂建管﹝2016﹞70号、桂建管〔2020〕11号文除外）</w:t>
      </w:r>
    </w:p>
    <w:p w14:paraId="4C2A8956">
      <w:pPr>
        <w:spacing w:line="360" w:lineRule="auto"/>
        <w:ind w:firstLine="354"/>
        <w:rPr>
          <w:rFonts w:hint="eastAsia" w:ascii="黑体" w:hAnsi="黑体" w:eastAsia="黑体"/>
          <w:b/>
          <w:color w:val="auto"/>
          <w:sz w:val="24"/>
          <w:highlight w:val="none"/>
        </w:rPr>
      </w:pPr>
      <w:bookmarkStart w:id="24" w:name="_Toc71365907"/>
      <w:r>
        <w:rPr>
          <w:rFonts w:hint="eastAsia" w:ascii="黑体" w:hAnsi="黑体" w:eastAsia="黑体"/>
          <w:b/>
          <w:color w:val="auto"/>
          <w:sz w:val="24"/>
          <w:highlight w:val="none"/>
        </w:rPr>
        <w:t>三、获取竞争性磋商文件</w:t>
      </w:r>
      <w:bookmarkEnd w:id="18"/>
      <w:bookmarkEnd w:id="19"/>
      <w:bookmarkEnd w:id="20"/>
      <w:bookmarkEnd w:id="21"/>
      <w:bookmarkEnd w:id="22"/>
      <w:bookmarkEnd w:id="24"/>
    </w:p>
    <w:p w14:paraId="16E37772">
      <w:pPr>
        <w:spacing w:line="300" w:lineRule="auto"/>
        <w:ind w:firstLine="420"/>
        <w:rPr>
          <w:rFonts w:hint="eastAsia" w:ascii="宋体" w:hAnsi="宋体" w:cs="宋体"/>
          <w:bCs/>
          <w:color w:val="auto"/>
          <w:szCs w:val="21"/>
          <w:highlight w:val="none"/>
        </w:rPr>
      </w:pPr>
      <w:bookmarkStart w:id="25" w:name="_Toc28359015"/>
      <w:bookmarkStart w:id="26" w:name="_Toc35393632"/>
      <w:bookmarkStart w:id="27" w:name="_Toc35393801"/>
      <w:bookmarkStart w:id="28" w:name="_Toc28359092"/>
      <w:bookmarkStart w:id="29" w:name="_Toc44229881"/>
      <w:r>
        <w:rPr>
          <w:rFonts w:hint="eastAsia" w:ascii="宋体" w:hAnsi="宋体" w:cs="宋体"/>
          <w:bCs/>
          <w:color w:val="auto"/>
          <w:szCs w:val="21"/>
          <w:highlight w:val="none"/>
        </w:rPr>
        <w:t>时间：</w:t>
      </w:r>
      <w:r>
        <w:rPr>
          <w:rFonts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15</w:t>
      </w:r>
      <w:r>
        <w:rPr>
          <w:rFonts w:hint="eastAsia" w:ascii="宋体" w:hAnsi="宋体"/>
          <w:bCs/>
          <w:color w:val="auto"/>
          <w:szCs w:val="21"/>
          <w:highlight w:val="none"/>
        </w:rPr>
        <w:t>日</w:t>
      </w:r>
      <w:r>
        <w:rPr>
          <w:rFonts w:hint="eastAsia" w:ascii="宋体" w:hAnsi="宋体" w:cs="宋体"/>
          <w:bCs/>
          <w:color w:val="auto"/>
          <w:szCs w:val="21"/>
          <w:highlight w:val="none"/>
        </w:rPr>
        <w:t>至</w:t>
      </w:r>
      <w:r>
        <w:rPr>
          <w:rFonts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21</w:t>
      </w:r>
      <w:r>
        <w:rPr>
          <w:rFonts w:hint="eastAsia" w:ascii="宋体" w:hAnsi="宋体"/>
          <w:bCs/>
          <w:color w:val="auto"/>
          <w:szCs w:val="21"/>
          <w:highlight w:val="none"/>
        </w:rPr>
        <w:t>日</w:t>
      </w:r>
      <w:r>
        <w:rPr>
          <w:rFonts w:hint="eastAsia" w:ascii="宋体" w:hAnsi="宋体" w:cs="宋体"/>
          <w:bCs/>
          <w:color w:val="auto"/>
          <w:szCs w:val="21"/>
          <w:highlight w:val="none"/>
        </w:rPr>
        <w:t>，</w:t>
      </w:r>
      <w:r>
        <w:rPr>
          <w:rFonts w:hint="eastAsia" w:ascii="宋体" w:hAnsi="宋体" w:cs="宋体"/>
          <w:color w:val="auto"/>
          <w:szCs w:val="21"/>
          <w:highlight w:val="none"/>
        </w:rPr>
        <w:t>每天上午00：00至12：00，下午12：00至23：59（北京时间，法定节假日除外）</w:t>
      </w:r>
    </w:p>
    <w:p w14:paraId="2F6A03AB">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地点：广西政府采购云平台（https://www.gcy.zfcg.gxzf.gov.cn）</w:t>
      </w:r>
    </w:p>
    <w:p w14:paraId="111B73E4">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制作需要基于广西政府采购云平台获取的磋商文件编制，</w:t>
      </w:r>
      <w:r>
        <w:rPr>
          <w:rFonts w:hint="eastAsia" w:ascii="宋体" w:hAnsi="宋体" w:cs="宋体"/>
          <w:bCs/>
          <w:color w:val="auto"/>
          <w:szCs w:val="21"/>
          <w:highlight w:val="none"/>
        </w:rPr>
        <w:t>通过其他方式获取磋商文件的，将有可能导致供应商无法在广西政府采购云平台编制及上传响应文件。</w:t>
      </w:r>
    </w:p>
    <w:p w14:paraId="6539B137">
      <w:pPr>
        <w:spacing w:line="360" w:lineRule="auto"/>
        <w:ind w:firstLine="420"/>
        <w:rPr>
          <w:rFonts w:hint="eastAsia"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color w:val="auto"/>
          <w:szCs w:val="21"/>
          <w:highlight w:val="none"/>
        </w:rPr>
        <w:t>0元</w:t>
      </w:r>
    </w:p>
    <w:p w14:paraId="71507E71">
      <w:pPr>
        <w:spacing w:line="360" w:lineRule="auto"/>
        <w:ind w:firstLine="354"/>
        <w:rPr>
          <w:rFonts w:hint="eastAsia" w:ascii="黑体" w:hAnsi="黑体" w:eastAsia="黑体"/>
          <w:b/>
          <w:color w:val="auto"/>
          <w:sz w:val="24"/>
          <w:highlight w:val="none"/>
        </w:rPr>
      </w:pPr>
      <w:bookmarkStart w:id="30" w:name="_Toc71365908"/>
      <w:r>
        <w:rPr>
          <w:rFonts w:hint="eastAsia" w:ascii="黑体" w:hAnsi="黑体" w:eastAsia="黑体"/>
          <w:b/>
          <w:color w:val="auto"/>
          <w:sz w:val="24"/>
          <w:highlight w:val="none"/>
        </w:rPr>
        <w:t>四、响应文件提交</w:t>
      </w:r>
      <w:bookmarkEnd w:id="25"/>
      <w:bookmarkEnd w:id="26"/>
      <w:bookmarkEnd w:id="27"/>
      <w:bookmarkEnd w:id="28"/>
      <w:bookmarkEnd w:id="29"/>
      <w:bookmarkEnd w:id="30"/>
    </w:p>
    <w:p w14:paraId="380FB1BB">
      <w:pPr>
        <w:spacing w:line="360" w:lineRule="auto"/>
        <w:ind w:firstLine="420"/>
        <w:rPr>
          <w:rFonts w:hint="eastAsia" w:ascii="宋体" w:hAnsi="宋体"/>
          <w:bCs/>
          <w:color w:val="auto"/>
          <w:szCs w:val="21"/>
          <w:highlight w:val="none"/>
        </w:rPr>
      </w:pPr>
      <w:bookmarkStart w:id="31" w:name="_Toc35393633"/>
      <w:bookmarkStart w:id="32" w:name="_Toc28359093"/>
      <w:bookmarkStart w:id="33" w:name="_Toc35393802"/>
      <w:bookmarkStart w:id="34" w:name="_Toc28359016"/>
      <w:bookmarkStart w:id="35" w:name="_Toc44229882"/>
      <w:r>
        <w:rPr>
          <w:rFonts w:hint="eastAsia" w:ascii="宋体" w:hAnsi="宋体"/>
          <w:color w:val="auto"/>
          <w:szCs w:val="21"/>
          <w:highlight w:val="none"/>
        </w:rPr>
        <w:t>截止时间：</w:t>
      </w:r>
      <w:r>
        <w:rPr>
          <w:rFonts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29</w:t>
      </w:r>
      <w:r>
        <w:rPr>
          <w:rFonts w:hint="eastAsia" w:ascii="宋体" w:hAnsi="宋体"/>
          <w:bCs/>
          <w:color w:val="auto"/>
          <w:szCs w:val="21"/>
          <w:highlight w:val="none"/>
        </w:rPr>
        <w:t>日</w:t>
      </w:r>
      <w:r>
        <w:rPr>
          <w:rFonts w:hint="eastAsia" w:ascii="宋体" w:hAnsi="宋体"/>
          <w:bCs/>
          <w:color w:val="auto"/>
          <w:szCs w:val="21"/>
          <w:highlight w:val="none"/>
          <w:lang w:val="en-US" w:eastAsia="zh-CN"/>
        </w:rPr>
        <w:t>15</w:t>
      </w:r>
      <w:r>
        <w:rPr>
          <w:rFonts w:hint="eastAsia" w:ascii="宋体" w:hAnsi="宋体"/>
          <w:bCs/>
          <w:color w:val="auto"/>
          <w:szCs w:val="21"/>
          <w:highlight w:val="none"/>
        </w:rPr>
        <w:t>时</w:t>
      </w:r>
      <w:r>
        <w:rPr>
          <w:rFonts w:hint="eastAsia" w:ascii="宋体" w:hAnsi="宋体"/>
          <w:bCs/>
          <w:color w:val="auto"/>
          <w:szCs w:val="21"/>
          <w:highlight w:val="none"/>
          <w:lang w:val="en-US" w:eastAsia="zh-CN"/>
        </w:rPr>
        <w:t>3</w:t>
      </w:r>
      <w:r>
        <w:rPr>
          <w:rFonts w:ascii="宋体" w:hAnsi="宋体"/>
          <w:bCs/>
          <w:color w:val="auto"/>
          <w:szCs w:val="21"/>
          <w:highlight w:val="none"/>
        </w:rPr>
        <w:t>0</w:t>
      </w:r>
      <w:r>
        <w:rPr>
          <w:rFonts w:hint="eastAsia" w:ascii="宋体" w:hAnsi="宋体"/>
          <w:bCs/>
          <w:color w:val="auto"/>
          <w:szCs w:val="21"/>
          <w:highlight w:val="none"/>
        </w:rPr>
        <w:t>分（北京时间）</w:t>
      </w:r>
    </w:p>
    <w:p w14:paraId="4D22365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348C690D">
      <w:pPr>
        <w:spacing w:line="360" w:lineRule="auto"/>
        <w:ind w:firstLine="354"/>
        <w:rPr>
          <w:rFonts w:hint="eastAsia" w:ascii="黑体" w:hAnsi="黑体" w:eastAsia="黑体"/>
          <w:b/>
          <w:color w:val="auto"/>
          <w:sz w:val="24"/>
          <w:highlight w:val="none"/>
        </w:rPr>
      </w:pPr>
      <w:bookmarkStart w:id="36" w:name="_Toc71365909"/>
      <w:r>
        <w:rPr>
          <w:rFonts w:hint="eastAsia" w:ascii="黑体" w:hAnsi="黑体" w:eastAsia="黑体"/>
          <w:b/>
          <w:color w:val="auto"/>
          <w:sz w:val="24"/>
          <w:highlight w:val="none"/>
        </w:rPr>
        <w:t>五、响应文件开启</w:t>
      </w:r>
      <w:bookmarkEnd w:id="31"/>
      <w:bookmarkEnd w:id="32"/>
      <w:bookmarkEnd w:id="33"/>
      <w:bookmarkEnd w:id="34"/>
      <w:bookmarkEnd w:id="35"/>
      <w:bookmarkEnd w:id="36"/>
    </w:p>
    <w:p w14:paraId="09A6D458">
      <w:pPr>
        <w:spacing w:line="360" w:lineRule="auto"/>
        <w:ind w:firstLine="420"/>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ascii="宋体" w:hAnsi="宋体"/>
          <w:bCs/>
          <w:color w:val="auto"/>
          <w:szCs w:val="21"/>
          <w:highlight w:val="none"/>
        </w:rPr>
        <w:t>202</w:t>
      </w:r>
      <w:r>
        <w:rPr>
          <w:rFonts w:hint="eastAsia" w:ascii="宋体" w:hAnsi="宋体"/>
          <w:bCs/>
          <w:color w:val="auto"/>
          <w:szCs w:val="21"/>
          <w:highlight w:val="none"/>
          <w:lang w:val="en-US" w:eastAsia="zh-CN"/>
        </w:rPr>
        <w:t>6</w:t>
      </w:r>
      <w:r>
        <w:rPr>
          <w:rFonts w:hint="eastAsia" w:ascii="宋体" w:hAnsi="宋体"/>
          <w:bCs/>
          <w:color w:val="auto"/>
          <w:szCs w:val="21"/>
          <w:highlight w:val="none"/>
        </w:rPr>
        <w:t>年</w:t>
      </w:r>
      <w:r>
        <w:rPr>
          <w:rFonts w:hint="eastAsia" w:ascii="宋体" w:hAnsi="宋体"/>
          <w:bCs/>
          <w:color w:val="auto"/>
          <w:szCs w:val="21"/>
          <w:highlight w:val="none"/>
          <w:lang w:val="en-US" w:eastAsia="zh-CN"/>
        </w:rPr>
        <w:t>9</w:t>
      </w:r>
      <w:r>
        <w:rPr>
          <w:rFonts w:hint="eastAsia" w:ascii="宋体" w:hAnsi="宋体"/>
          <w:bCs/>
          <w:color w:val="auto"/>
          <w:szCs w:val="21"/>
          <w:highlight w:val="none"/>
        </w:rPr>
        <w:t>月</w:t>
      </w:r>
      <w:r>
        <w:rPr>
          <w:rFonts w:hint="eastAsia" w:ascii="宋体" w:hAnsi="宋体"/>
          <w:bCs/>
          <w:color w:val="auto"/>
          <w:szCs w:val="21"/>
          <w:highlight w:val="none"/>
          <w:lang w:val="en-US" w:eastAsia="zh-CN"/>
        </w:rPr>
        <w:t>29</w:t>
      </w:r>
      <w:r>
        <w:rPr>
          <w:rFonts w:hint="eastAsia" w:ascii="宋体" w:hAnsi="宋体"/>
          <w:bCs/>
          <w:color w:val="auto"/>
          <w:szCs w:val="21"/>
          <w:highlight w:val="none"/>
        </w:rPr>
        <w:t>日</w:t>
      </w:r>
      <w:r>
        <w:rPr>
          <w:rFonts w:hint="eastAsia" w:ascii="宋体" w:hAnsi="宋体"/>
          <w:bCs/>
          <w:color w:val="auto"/>
          <w:szCs w:val="21"/>
          <w:highlight w:val="none"/>
          <w:lang w:val="en-US" w:eastAsia="zh-CN"/>
        </w:rPr>
        <w:t>15</w:t>
      </w:r>
      <w:r>
        <w:rPr>
          <w:rFonts w:hint="eastAsia" w:ascii="宋体" w:hAnsi="宋体"/>
          <w:bCs/>
          <w:color w:val="auto"/>
          <w:szCs w:val="21"/>
          <w:highlight w:val="none"/>
        </w:rPr>
        <w:t>时</w:t>
      </w:r>
      <w:r>
        <w:rPr>
          <w:rFonts w:hint="eastAsia" w:ascii="宋体" w:hAnsi="宋体"/>
          <w:bCs/>
          <w:color w:val="auto"/>
          <w:szCs w:val="21"/>
          <w:highlight w:val="none"/>
          <w:lang w:val="en-US" w:eastAsia="zh-CN"/>
        </w:rPr>
        <w:t>3</w:t>
      </w:r>
      <w:r>
        <w:rPr>
          <w:rFonts w:ascii="宋体" w:hAnsi="宋体"/>
          <w:bCs/>
          <w:color w:val="auto"/>
          <w:szCs w:val="21"/>
          <w:highlight w:val="none"/>
        </w:rPr>
        <w:t>0</w:t>
      </w:r>
      <w:r>
        <w:rPr>
          <w:rFonts w:hint="eastAsia" w:ascii="宋体" w:hAnsi="宋体"/>
          <w:bCs/>
          <w:color w:val="auto"/>
          <w:szCs w:val="21"/>
          <w:highlight w:val="none"/>
        </w:rPr>
        <w:t>分（北京时间）</w:t>
      </w:r>
    </w:p>
    <w:p w14:paraId="602CE56B">
      <w:pPr>
        <w:spacing w:line="360" w:lineRule="auto"/>
        <w:ind w:firstLine="42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356A3594">
      <w:pPr>
        <w:spacing w:line="360" w:lineRule="auto"/>
        <w:ind w:firstLine="354"/>
        <w:rPr>
          <w:rFonts w:hint="eastAsia" w:ascii="黑体" w:hAnsi="黑体" w:eastAsia="黑体"/>
          <w:b/>
          <w:color w:val="auto"/>
          <w:sz w:val="24"/>
          <w:highlight w:val="none"/>
        </w:rPr>
      </w:pPr>
      <w:bookmarkStart w:id="37" w:name="_Toc35393634"/>
      <w:bookmarkStart w:id="38" w:name="_Toc28359094"/>
      <w:bookmarkStart w:id="39" w:name="_Toc28359017"/>
      <w:bookmarkStart w:id="40" w:name="_Toc35393803"/>
      <w:bookmarkStart w:id="41" w:name="_Toc71365910"/>
      <w:bookmarkStart w:id="42" w:name="_Toc44229883"/>
      <w:r>
        <w:rPr>
          <w:rFonts w:hint="eastAsia" w:ascii="黑体" w:hAnsi="黑体" w:eastAsia="黑体"/>
          <w:b/>
          <w:color w:val="auto"/>
          <w:sz w:val="24"/>
          <w:highlight w:val="none"/>
        </w:rPr>
        <w:t>六、公告期限</w:t>
      </w:r>
      <w:bookmarkEnd w:id="37"/>
      <w:bookmarkEnd w:id="38"/>
      <w:bookmarkEnd w:id="39"/>
      <w:bookmarkEnd w:id="40"/>
      <w:bookmarkEnd w:id="41"/>
      <w:bookmarkEnd w:id="42"/>
    </w:p>
    <w:p w14:paraId="4696445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自本公告发布之日起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w:t>
      </w:r>
    </w:p>
    <w:p w14:paraId="0DC85B5B">
      <w:pPr>
        <w:spacing w:line="360" w:lineRule="auto"/>
        <w:ind w:firstLine="354"/>
        <w:rPr>
          <w:rFonts w:hint="eastAsia" w:ascii="黑体" w:hAnsi="黑体" w:eastAsia="黑体"/>
          <w:b/>
          <w:color w:val="auto"/>
          <w:sz w:val="24"/>
          <w:highlight w:val="none"/>
        </w:rPr>
      </w:pPr>
      <w:bookmarkStart w:id="43" w:name="_Toc71365911"/>
      <w:bookmarkStart w:id="44" w:name="_Toc35393635"/>
      <w:bookmarkStart w:id="45" w:name="_Toc44229884"/>
      <w:bookmarkStart w:id="46" w:name="_Toc35393804"/>
      <w:r>
        <w:rPr>
          <w:rFonts w:hint="eastAsia" w:ascii="黑体" w:hAnsi="黑体" w:eastAsia="黑体"/>
          <w:b/>
          <w:color w:val="auto"/>
          <w:sz w:val="24"/>
          <w:highlight w:val="none"/>
        </w:rPr>
        <w:t>七、其他补充事宜</w:t>
      </w:r>
      <w:bookmarkEnd w:id="43"/>
      <w:bookmarkEnd w:id="44"/>
      <w:bookmarkEnd w:id="45"/>
      <w:bookmarkEnd w:id="46"/>
    </w:p>
    <w:p w14:paraId="5A6569CE">
      <w:pPr>
        <w:spacing w:line="360" w:lineRule="auto"/>
        <w:ind w:firstLine="420"/>
        <w:rPr>
          <w:rFonts w:hint="eastAsia" w:ascii="宋体" w:hAnsi="宋体" w:cs="宋体"/>
          <w:color w:val="auto"/>
          <w:szCs w:val="21"/>
          <w:highlight w:val="none"/>
        </w:rPr>
      </w:pPr>
      <w:bookmarkStart w:id="47" w:name="_Toc28359095"/>
      <w:bookmarkStart w:id="48" w:name="_Toc35393636"/>
      <w:bookmarkStart w:id="49" w:name="_Toc35393805"/>
      <w:bookmarkStart w:id="50" w:name="_Toc44229885"/>
      <w:bookmarkStart w:id="51" w:name="_Toc28359018"/>
      <w:r>
        <w:rPr>
          <w:rFonts w:hint="eastAsia" w:ascii="宋体" w:hAnsi="宋体" w:cs="宋体"/>
          <w:color w:val="auto"/>
          <w:szCs w:val="21"/>
          <w:highlight w:val="none"/>
        </w:rPr>
        <w:t>1.磋商保证金：无</w:t>
      </w:r>
    </w:p>
    <w:p w14:paraId="7F98E311">
      <w:pPr>
        <w:spacing w:line="360" w:lineRule="auto"/>
        <w:ind w:firstLine="420"/>
        <w:rPr>
          <w:rFonts w:hint="eastAsia"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highlight w:val="none"/>
        </w:rPr>
        <w:t>本项目需要落实的政府采购政策：</w:t>
      </w:r>
    </w:p>
    <w:p w14:paraId="274BFE3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4B3B4A4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）政府采购促进残疾人就业政策。</w:t>
      </w:r>
    </w:p>
    <w:p w14:paraId="3C9DABD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）政府采购支持监狱企业发展。</w:t>
      </w:r>
    </w:p>
    <w:p w14:paraId="20E0A57A">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（4）强制采购节能产品；优先采购节能产品、环境标志产品。</w:t>
      </w:r>
    </w:p>
    <w:p w14:paraId="07D6037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3.网上查询地址</w:t>
      </w:r>
    </w:p>
    <w:p w14:paraId="384FB416">
      <w:pPr>
        <w:spacing w:line="360" w:lineRule="auto"/>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http://www.ccgp.gov.cn（中国政府采购网）、http://zfcg.gxzf.gov.cn/（广西壮族自治区政府采购网）、http://ggzy.jgswj.gxzf.gov.cn/ggggzy/全国公共资源交易平台（广西·贵港）</w:t>
      </w:r>
      <w:r>
        <w:rPr>
          <w:rFonts w:hint="eastAsia" w:ascii="宋体" w:hAnsi="宋体" w:cs="宋体"/>
          <w:color w:val="auto"/>
          <w:szCs w:val="21"/>
          <w:highlight w:val="none"/>
          <w:lang w:eastAsia="zh-CN"/>
        </w:rPr>
        <w:t>。</w:t>
      </w:r>
    </w:p>
    <w:p w14:paraId="64BC913F">
      <w:pPr>
        <w:keepNext w:val="0"/>
        <w:keepLines w:val="0"/>
        <w:pageBreakBefore w:val="0"/>
        <w:widowControl w:val="0"/>
        <w:bidi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4.监督部门</w:t>
      </w:r>
    </w:p>
    <w:p w14:paraId="0F0622D2">
      <w:pPr>
        <w:widowControl/>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 xml:space="preserve">名  称：贵港市覃塘区财政局政府采购监督综合股 </w:t>
      </w:r>
    </w:p>
    <w:p w14:paraId="36DEA3AF">
      <w:pPr>
        <w:keepNext w:val="0"/>
        <w:keepLines w:val="0"/>
        <w:pageBreakBefore w:val="0"/>
        <w:widowControl w:val="0"/>
        <w:bidi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电  话：0775-4721505</w:t>
      </w:r>
    </w:p>
    <w:p w14:paraId="769C58D5">
      <w:pPr>
        <w:keepNext w:val="0"/>
        <w:keepLines w:val="0"/>
        <w:pageBreakBefore w:val="0"/>
        <w:widowControl w:val="0"/>
        <w:bidi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708D21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6.未被“信用中国”（www.creditchina.gov.cn）、中国政府采购网（www.ccgp.gov.cn）列入失信被执行人、重大税收违法失信主体、政府采购严重违法失信行为记录名单。</w:t>
      </w:r>
    </w:p>
    <w:p w14:paraId="5871DB1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7.供应商竞标注意事项</w:t>
      </w:r>
    </w:p>
    <w:p w14:paraId="22EE9D15">
      <w:pPr>
        <w:widowControl/>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w:t>
      </w:r>
      <w:r>
        <w:rPr>
          <w:rFonts w:hint="eastAsia" w:ascii="宋体" w:hAnsi="宋体"/>
          <w:color w:val="auto"/>
          <w:sz w:val="18"/>
          <w:szCs w:val="18"/>
          <w:highlight w:val="none"/>
        </w:rPr>
        <w:t>https：//www.gcy.zfcg.gxzf.gov.cn/</w:t>
      </w:r>
      <w:r>
        <w:rPr>
          <w:rFonts w:hint="eastAsia" w:ascii="宋体" w:hAnsi="宋体"/>
          <w:color w:val="auto"/>
          <w:szCs w:val="21"/>
          <w:highlight w:val="none"/>
        </w:rPr>
        <w:t>）实行在线电子竞标，供应商应按照本项目</w:t>
      </w:r>
      <w:bookmarkStart w:id="52" w:name="REVIEW_AI_BM_AI_11989_70_82_6"/>
      <w:r>
        <w:rPr>
          <w:rFonts w:hint="eastAsia" w:ascii="宋体" w:hAnsi="宋体"/>
          <w:color w:val="auto"/>
          <w:szCs w:val="21"/>
          <w:highlight w:val="none"/>
          <w:shd w:val="clear" w:color="FFFFFF" w:fill="FFFFFF"/>
        </w:rPr>
        <w:t>竞争性磋商文件</w:t>
      </w:r>
      <w:bookmarkEnd w:id="52"/>
      <w:r>
        <w:rPr>
          <w:rFonts w:hint="eastAsia" w:ascii="宋体" w:hAnsi="宋体"/>
          <w:color w:val="auto"/>
          <w:szCs w:val="21"/>
          <w:highlight w:val="none"/>
        </w:rPr>
        <w:t>和广西政府采购云平台的要求编制、加密后在</w:t>
      </w:r>
      <w:bookmarkStart w:id="53" w:name="REVIEW_AI_BM_AI_11989_70_109_7"/>
      <w:r>
        <w:rPr>
          <w:rFonts w:hint="eastAsia" w:ascii="宋体" w:hAnsi="宋体"/>
          <w:color w:val="auto"/>
          <w:szCs w:val="21"/>
          <w:highlight w:val="none"/>
          <w:shd w:val="clear" w:color="FFFFFF" w:fill="FFFFFF"/>
        </w:rPr>
        <w:t>提交响应文件截止时间前</w:t>
      </w:r>
      <w:bookmarkEnd w:id="53"/>
      <w:r>
        <w:rPr>
          <w:rFonts w:hint="eastAsia" w:ascii="宋体" w:hAnsi="宋体"/>
          <w:color w:val="auto"/>
          <w:szCs w:val="21"/>
          <w:highlight w:val="none"/>
        </w:rPr>
        <w:t>通过网络上传至广西政府采购云平台（加密的电子响应文件是指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w:t>
      </w:r>
      <w:bookmarkStart w:id="54" w:name="REVIEW_AI_BM_AI_11989_70_243_8"/>
      <w:r>
        <w:rPr>
          <w:rFonts w:hint="eastAsia" w:ascii="宋体" w:hAnsi="宋体"/>
          <w:color w:val="auto"/>
          <w:szCs w:val="21"/>
          <w:highlight w:val="none"/>
          <w:shd w:val="clear" w:color="FFFFFF" w:fill="FFFFFF"/>
        </w:rPr>
        <w:t>投标</w:t>
      </w:r>
      <w:bookmarkEnd w:id="54"/>
      <w:r>
        <w:rPr>
          <w:rFonts w:hint="eastAsia" w:ascii="宋体" w:hAnsi="宋体"/>
          <w:color w:val="auto"/>
          <w:szCs w:val="21"/>
          <w:highlight w:val="none"/>
        </w:rPr>
        <w:t>－</w:t>
      </w:r>
      <w:r>
        <w:rPr>
          <w:rFonts w:hint="eastAsia"/>
          <w:color w:val="auto"/>
          <w:highlight w:val="none"/>
        </w:rPr>
        <w:t>政府采购项目电子交易管理操作指南－供应商</w:t>
      </w:r>
      <w:r>
        <w:rPr>
          <w:rFonts w:hint="eastAsia" w:ascii="宋体" w:hAnsi="宋体"/>
          <w:color w:val="auto"/>
          <w:szCs w:val="21"/>
          <w:highlight w:val="none"/>
        </w:rPr>
        <w:t>”查看电子竞标具体操作流程。</w:t>
      </w:r>
    </w:p>
    <w:p w14:paraId="370CEA0C">
      <w:pPr>
        <w:widowControl/>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057BA9C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742CDB7B">
      <w:pPr>
        <w:widowControl/>
        <w:spacing w:line="360" w:lineRule="auto"/>
        <w:ind w:firstLine="42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77ECF39E">
      <w:pPr>
        <w:spacing w:line="360" w:lineRule="auto"/>
        <w:ind w:firstLine="308"/>
        <w:rPr>
          <w:rFonts w:hint="eastAsia" w:ascii="黑体" w:hAnsi="黑体" w:eastAsia="黑体"/>
          <w:b/>
          <w:color w:val="auto"/>
          <w:sz w:val="24"/>
          <w:highlight w:val="none"/>
        </w:rPr>
      </w:pPr>
      <w:r>
        <w:rPr>
          <w:rFonts w:hint="eastAsia" w:ascii="宋体" w:hAnsi="宋体"/>
          <w:bCs/>
          <w:color w:val="auto"/>
          <w:szCs w:val="21"/>
          <w:highlight w:val="none"/>
        </w:rPr>
        <w:t>（4）供应商需要在具备有摄像头及语音功能且互联网网络状况良好的电脑登录广西政府采购云平台远程开标大厅参与本次磋商，否则后果自负。</w:t>
      </w:r>
    </w:p>
    <w:p w14:paraId="584AF101">
      <w:pPr>
        <w:spacing w:line="360" w:lineRule="auto"/>
        <w:ind w:firstLine="354"/>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2"/>
      <w:bookmarkEnd w:id="47"/>
      <w:bookmarkEnd w:id="48"/>
      <w:bookmarkEnd w:id="49"/>
      <w:bookmarkEnd w:id="50"/>
      <w:bookmarkEnd w:id="51"/>
    </w:p>
    <w:p w14:paraId="4E0C8FE6">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1.采购人信息</w:t>
      </w:r>
    </w:p>
    <w:p w14:paraId="52F950E8">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名    称：</w:t>
      </w:r>
      <w:r>
        <w:rPr>
          <w:rFonts w:hint="eastAsia" w:ascii="宋体" w:hAnsi="宋体" w:cs="Arial"/>
          <w:color w:val="auto"/>
          <w:szCs w:val="21"/>
          <w:highlight w:val="none"/>
          <w:lang w:eastAsia="zh-CN"/>
        </w:rPr>
        <w:t>贵港市覃塘区人民医院</w:t>
      </w:r>
      <w:r>
        <w:rPr>
          <w:rFonts w:hint="eastAsia" w:ascii="宋体" w:hAnsi="宋体" w:cs="Arial"/>
          <w:color w:val="auto"/>
          <w:szCs w:val="21"/>
          <w:highlight w:val="none"/>
        </w:rPr>
        <w:t>　</w:t>
      </w:r>
    </w:p>
    <w:p w14:paraId="41A1B2C4">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地    址：</w:t>
      </w:r>
      <w:bookmarkStart w:id="55" w:name="REVIEW_AI_BM_AI_11989_78_4_9"/>
      <w:r>
        <w:rPr>
          <w:rFonts w:hint="eastAsia" w:ascii="宋体" w:hAnsi="宋体" w:cs="Arial"/>
          <w:color w:val="auto"/>
          <w:szCs w:val="21"/>
          <w:highlight w:val="none"/>
          <w:shd w:val="clear" w:color="FFFFFF" w:fill="FFFFFF"/>
        </w:rPr>
        <w:t>贵港市覃塘区覃塘镇中山大道638号</w:t>
      </w:r>
      <w:bookmarkEnd w:id="55"/>
      <w:r>
        <w:rPr>
          <w:rFonts w:hint="eastAsia" w:ascii="宋体" w:hAnsi="宋体" w:cs="Arial"/>
          <w:color w:val="auto"/>
          <w:szCs w:val="21"/>
          <w:highlight w:val="none"/>
        </w:rPr>
        <w:t xml:space="preserve"> </w:t>
      </w:r>
    </w:p>
    <w:p w14:paraId="7353E4EA">
      <w:pPr>
        <w:spacing w:line="360" w:lineRule="auto"/>
        <w:ind w:firstLine="420"/>
        <w:rPr>
          <w:rFonts w:hint="eastAsia" w:ascii="宋体" w:hAnsi="宋体" w:eastAsia="宋体" w:cs="Arial"/>
          <w:color w:val="auto"/>
          <w:szCs w:val="21"/>
          <w:highlight w:val="none"/>
          <w:lang w:eastAsia="zh-CN"/>
        </w:rPr>
      </w:pPr>
      <w:r>
        <w:rPr>
          <w:rFonts w:hint="eastAsia" w:ascii="宋体" w:hAnsi="宋体" w:cs="Arial"/>
          <w:color w:val="auto"/>
          <w:szCs w:val="21"/>
          <w:highlight w:val="none"/>
        </w:rPr>
        <w:t>项目联系人：</w:t>
      </w:r>
      <w:bookmarkStart w:id="56" w:name="REVIEW_AI_BM_AI_11989_79_6_10"/>
      <w:r>
        <w:rPr>
          <w:rFonts w:hint="eastAsia" w:ascii="宋体" w:hAnsi="宋体" w:cs="Arial"/>
          <w:color w:val="auto"/>
          <w:szCs w:val="21"/>
          <w:highlight w:val="none"/>
          <w:shd w:val="clear" w:color="FFFFFF" w:fill="FFFFFF"/>
        </w:rPr>
        <w:t>张秋英</w:t>
      </w:r>
      <w:bookmarkEnd w:id="56"/>
    </w:p>
    <w:p w14:paraId="3339AA45">
      <w:pPr>
        <w:spacing w:line="360" w:lineRule="auto"/>
        <w:ind w:firstLine="420"/>
        <w:rPr>
          <w:rFonts w:hint="eastAsia" w:ascii="宋体" w:hAnsi="宋体" w:cs="Arial"/>
          <w:color w:val="auto"/>
          <w:szCs w:val="21"/>
          <w:highlight w:val="none"/>
          <w:lang w:eastAsia="zh-CN"/>
        </w:rPr>
      </w:pPr>
      <w:r>
        <w:rPr>
          <w:rFonts w:hint="eastAsia" w:ascii="宋体" w:hAnsi="宋体" w:cs="Arial"/>
          <w:color w:val="auto"/>
          <w:szCs w:val="21"/>
          <w:highlight w:val="none"/>
        </w:rPr>
        <w:t>联系方式：0775-4722428</w:t>
      </w:r>
    </w:p>
    <w:p w14:paraId="326646DA">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2.采购代理机构信息</w:t>
      </w:r>
    </w:p>
    <w:p w14:paraId="18B8F7D5">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名    称：　</w:t>
      </w:r>
      <w:bookmarkStart w:id="57" w:name="REVIEW_AI_BM_AI_11989_82_5_11"/>
      <w:r>
        <w:rPr>
          <w:rFonts w:hint="eastAsia" w:ascii="宋体" w:hAnsi="宋体" w:cs="Arial"/>
          <w:color w:val="auto"/>
          <w:szCs w:val="21"/>
          <w:highlight w:val="none"/>
          <w:shd w:val="clear" w:color="FFFFFF" w:fill="FFFFFF"/>
        </w:rPr>
        <w:t xml:space="preserve">云之龙咨询集团有限公司 </w:t>
      </w:r>
      <w:bookmarkEnd w:id="57"/>
    </w:p>
    <w:p w14:paraId="0B0869AB">
      <w:pPr>
        <w:spacing w:line="360" w:lineRule="auto"/>
        <w:ind w:firstLine="420"/>
        <w:rPr>
          <w:rFonts w:hint="eastAsia" w:ascii="宋体" w:hAnsi="宋体" w:cs="Arial"/>
          <w:color w:val="auto"/>
          <w:szCs w:val="21"/>
          <w:highlight w:val="none"/>
        </w:rPr>
      </w:pPr>
      <w:r>
        <w:rPr>
          <w:rFonts w:hint="eastAsia" w:ascii="宋体" w:hAnsi="宋体" w:cs="Arial"/>
          <w:color w:val="auto"/>
          <w:szCs w:val="21"/>
          <w:highlight w:val="none"/>
        </w:rPr>
        <w:t>地　　址：广西贵港市港北区荷城路 1132 号华泰官邸1栋6楼</w:t>
      </w:r>
    </w:p>
    <w:p w14:paraId="5CCA7CF1">
      <w:pPr>
        <w:spacing w:line="360" w:lineRule="auto"/>
        <w:ind w:firstLine="420"/>
        <w:rPr>
          <w:rFonts w:hint="eastAsia" w:ascii="宋体" w:hAnsi="宋体" w:eastAsia="宋体" w:cs="Arial"/>
          <w:color w:val="auto"/>
          <w:szCs w:val="21"/>
          <w:highlight w:val="none"/>
          <w:lang w:eastAsia="zh-CN"/>
        </w:rPr>
      </w:pPr>
      <w:r>
        <w:rPr>
          <w:rFonts w:hint="eastAsia" w:ascii="宋体" w:hAnsi="宋体" w:cs="Arial"/>
          <w:color w:val="auto"/>
          <w:szCs w:val="21"/>
          <w:highlight w:val="none"/>
        </w:rPr>
        <w:t>项目联系人：</w:t>
      </w:r>
      <w:bookmarkStart w:id="58" w:name="REVIEW_AI_BM_AI_11989_84_6_12"/>
      <w:r>
        <w:rPr>
          <w:rFonts w:hint="eastAsia" w:ascii="宋体" w:hAnsi="宋体" w:cs="Arial"/>
          <w:color w:val="auto"/>
          <w:szCs w:val="21"/>
          <w:highlight w:val="none"/>
          <w:shd w:val="clear" w:color="FFFFFF" w:fill="FFFFFF"/>
        </w:rPr>
        <w:t>徐律、廖喜平</w:t>
      </w:r>
      <w:bookmarkEnd w:id="58"/>
    </w:p>
    <w:p w14:paraId="5F280FC0">
      <w:pPr>
        <w:spacing w:line="360" w:lineRule="auto"/>
        <w:ind w:firstLine="420"/>
        <w:rPr>
          <w:rFonts w:ascii="方正小标宋简体" w:eastAsia="方正小标宋简体"/>
          <w:color w:val="auto"/>
          <w:sz w:val="32"/>
          <w:szCs w:val="32"/>
          <w:highlight w:val="none"/>
        </w:rPr>
      </w:pPr>
      <w:r>
        <w:rPr>
          <w:rFonts w:hint="eastAsia" w:ascii="宋体" w:hAnsi="宋体" w:cs="Arial"/>
          <w:color w:val="auto"/>
          <w:szCs w:val="21"/>
          <w:highlight w:val="none"/>
        </w:rPr>
        <w:t>项目联系方式： 0775-4565100、4569690</w:t>
      </w:r>
      <w:r>
        <w:rPr>
          <w:rFonts w:ascii="宋体" w:hAnsi="宋体" w:cs="Arial"/>
          <w:color w:val="auto"/>
          <w:szCs w:val="21"/>
          <w:highlight w:val="none"/>
        </w:rPr>
        <w:br w:type="page" w:clear="all"/>
      </w:r>
    </w:p>
    <w:p w14:paraId="1EF12FAA">
      <w:pPr>
        <w:pStyle w:val="3"/>
        <w:spacing w:before="300" w:after="300" w:line="360" w:lineRule="auto"/>
        <w:jc w:val="center"/>
        <w:rPr>
          <w:color w:val="auto"/>
          <w:highlight w:val="none"/>
        </w:rPr>
      </w:pPr>
      <w:bookmarkStart w:id="59" w:name="_Toc9573"/>
      <w:r>
        <w:rPr>
          <w:rFonts w:hint="eastAsia"/>
          <w:color w:val="auto"/>
          <w:highlight w:val="none"/>
        </w:rPr>
        <w:t>第二章供应商须知</w:t>
      </w:r>
      <w:bookmarkEnd w:id="59"/>
    </w:p>
    <w:p w14:paraId="25BE4A5A">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10371E03">
      <w:pPr>
        <w:spacing w:line="400" w:lineRule="exact"/>
        <w:jc w:val="center"/>
        <w:rPr>
          <w:rFonts w:hint="eastAsia" w:ascii="宋体" w:hAnsi="宋体"/>
          <w:b/>
          <w:color w:val="auto"/>
          <w:sz w:val="32"/>
          <w:szCs w:val="32"/>
          <w:highlight w:val="none"/>
        </w:rPr>
      </w:pPr>
    </w:p>
    <w:tbl>
      <w:tblPr>
        <w:tblStyle w:val="45"/>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3A245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tcPr>
          <w:p w14:paraId="2D871F3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7912" w:type="dxa"/>
            <w:noWrap w:val="0"/>
          </w:tcPr>
          <w:p w14:paraId="33C5A826">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6A728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85EC4E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912" w:type="dxa"/>
            <w:noWrap w:val="0"/>
            <w:vAlign w:val="center"/>
          </w:tcPr>
          <w:p w14:paraId="06B562F6">
            <w:pPr>
              <w:spacing w:line="360" w:lineRule="auto"/>
              <w:rPr>
                <w:rFonts w:hint="eastAsia" w:ascii="宋体" w:hAnsi="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r>
              <w:rPr>
                <w:rFonts w:hint="eastAsia" w:ascii="宋体" w:hAnsi="宋体"/>
                <w:color w:val="auto"/>
                <w:szCs w:val="21"/>
                <w:highlight w:val="none"/>
              </w:rPr>
              <w:t>或者邀请函</w:t>
            </w:r>
          </w:p>
          <w:p w14:paraId="77A226F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22BCF8D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6A4264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063A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5D745A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7912" w:type="dxa"/>
            <w:noWrap w:val="0"/>
            <w:vAlign w:val="center"/>
          </w:tcPr>
          <w:p w14:paraId="7E97483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否</w:t>
            </w:r>
          </w:p>
        </w:tc>
      </w:tr>
      <w:tr w14:paraId="193D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B13BF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7912" w:type="dxa"/>
            <w:noWrap w:val="0"/>
            <w:vAlign w:val="center"/>
          </w:tcPr>
          <w:p w14:paraId="0F93A8F7">
            <w:pPr>
              <w:pStyle w:val="17"/>
              <w:spacing w:line="360" w:lineRule="auto"/>
              <w:rPr>
                <w:rFonts w:hint="eastAsia" w:ascii="宋体" w:hAnsi="宋体" w:cs="宋体"/>
                <w:color w:val="auto"/>
                <w:szCs w:val="21"/>
                <w:highlight w:val="none"/>
              </w:rPr>
            </w:pPr>
            <w:r>
              <w:rPr>
                <w:rFonts w:hint="eastAsia" w:ascii="宋体" w:hAnsi="宋体"/>
                <w:color w:val="auto"/>
                <w:szCs w:val="21"/>
                <w:highlight w:val="none"/>
              </w:rPr>
              <w:t>不允许分包</w:t>
            </w:r>
          </w:p>
        </w:tc>
      </w:tr>
      <w:tr w14:paraId="697D8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2A9ECE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noWrap w:val="0"/>
            <w:vAlign w:val="center"/>
          </w:tcPr>
          <w:p w14:paraId="7BF27863">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200174C3">
            <w:pPr>
              <w:pStyle w:val="17"/>
              <w:spacing w:line="360" w:lineRule="auto"/>
              <w:rPr>
                <w:rFonts w:hint="eastAsia" w:ascii="宋体" w:hAnsi="宋体" w:cs="宋体"/>
                <w:color w:val="auto"/>
                <w:highlight w:val="none"/>
              </w:rPr>
            </w:pPr>
            <w:r>
              <w:rPr>
                <w:rFonts w:hint="eastAsia" w:ascii="宋体" w:hAnsi="宋体" w:cs="宋体"/>
                <w:color w:val="auto"/>
                <w:szCs w:val="21"/>
                <w:highlight w:val="none"/>
              </w:rPr>
              <w:t>1.法人或者其他组织的营业执照等证明文件（如营业执照或事业单位法人证书或执业许可证等），自然人的身份证复印件；</w:t>
            </w:r>
            <w:r>
              <w:rPr>
                <w:rFonts w:hint="eastAsia" w:ascii="宋体" w:hAnsi="宋体" w:cs="宋体"/>
                <w:b/>
                <w:bCs/>
                <w:color w:val="auto"/>
                <w:szCs w:val="21"/>
                <w:highlight w:val="none"/>
              </w:rPr>
              <w:t>（必须提供，否则响应文件按无效响应处理）</w:t>
            </w:r>
          </w:p>
          <w:p w14:paraId="72E92DFC">
            <w:pPr>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2.贵港市政府采购项目投标资格承诺函（格式后附）；</w:t>
            </w:r>
            <w:r>
              <w:rPr>
                <w:rFonts w:hint="eastAsia" w:ascii="宋体" w:hAnsi="宋体" w:cs="宋体"/>
                <w:b/>
                <w:bCs/>
                <w:color w:val="auto"/>
                <w:szCs w:val="21"/>
                <w:highlight w:val="none"/>
              </w:rPr>
              <w:t>（必须提供，否则响应文件按无效响应处理）</w:t>
            </w:r>
          </w:p>
          <w:p w14:paraId="769611E2">
            <w:pPr>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3.供应商直接控股、管理关系信息表（格式后附）；</w:t>
            </w:r>
            <w:r>
              <w:rPr>
                <w:rFonts w:hint="eastAsia" w:ascii="宋体" w:hAnsi="宋体" w:cs="宋体"/>
                <w:b/>
                <w:bCs/>
                <w:color w:val="auto"/>
                <w:szCs w:val="21"/>
                <w:highlight w:val="none"/>
              </w:rPr>
              <w:t>（必须提供，否则响应文件按无效响应处理）</w:t>
            </w:r>
          </w:p>
          <w:p w14:paraId="7638F652">
            <w:pPr>
              <w:spacing w:line="360" w:lineRule="auto"/>
              <w:jc w:val="left"/>
              <w:rPr>
                <w:rFonts w:hint="eastAsia" w:ascii="宋体" w:hAnsi="宋体"/>
                <w:color w:val="auto"/>
                <w:szCs w:val="21"/>
                <w:highlight w:val="none"/>
              </w:rPr>
            </w:pPr>
            <w:r>
              <w:rPr>
                <w:rFonts w:hint="eastAsia" w:ascii="宋体" w:hAnsi="宋体" w:cs="宋体"/>
                <w:color w:val="auto"/>
                <w:szCs w:val="21"/>
                <w:highlight w:val="none"/>
              </w:rPr>
              <w:t>4.竞标声明（格式后附）；</w:t>
            </w:r>
            <w:r>
              <w:rPr>
                <w:rFonts w:hint="eastAsia" w:ascii="宋体" w:hAnsi="宋体" w:cs="宋体"/>
                <w:b/>
                <w:bCs/>
                <w:color w:val="auto"/>
                <w:szCs w:val="21"/>
                <w:highlight w:val="none"/>
              </w:rPr>
              <w:t>（必须提供，否则响应文件按无效响应处理）</w:t>
            </w:r>
          </w:p>
          <w:p w14:paraId="024EA54C">
            <w:pPr>
              <w:spacing w:line="360" w:lineRule="auto"/>
              <w:jc w:val="left"/>
              <w:rPr>
                <w:rFonts w:hint="eastAsia" w:ascii="宋体" w:hAnsi="宋体" w:cs="宋体"/>
                <w:b/>
                <w:color w:val="auto"/>
                <w:szCs w:val="21"/>
                <w:highlight w:val="none"/>
              </w:rPr>
            </w:pPr>
            <w:r>
              <w:rPr>
                <w:rFonts w:hint="eastAsia" w:ascii="宋体" w:hAnsi="宋体"/>
                <w:color w:val="auto"/>
                <w:szCs w:val="21"/>
                <w:highlight w:val="none"/>
              </w:rPr>
              <w:t>5.供应商《中小企业声明函》或《残疾人福利性单位声明函》或监狱企业证明（由省级以上监狱管理局、戒毒管理局（含新疆生产建设兵团）出具的属于监狱企业的证明文件）；</w:t>
            </w:r>
            <w:r>
              <w:rPr>
                <w:rFonts w:hint="eastAsia" w:ascii="宋体" w:hAnsi="宋体" w:cs="宋体"/>
                <w:b/>
                <w:color w:val="auto"/>
                <w:szCs w:val="21"/>
                <w:highlight w:val="none"/>
              </w:rPr>
              <w:t>（必须提供，否则响应文件按无效响应处理）</w:t>
            </w:r>
          </w:p>
          <w:p w14:paraId="1E2811AE">
            <w:pPr>
              <w:spacing w:line="360" w:lineRule="auto"/>
              <w:rPr>
                <w:rFonts w:hint="eastAsia" w:ascii="宋体" w:hAnsi="宋体" w:cs="宋体"/>
                <w:b/>
                <w:color w:val="auto"/>
                <w:szCs w:val="21"/>
                <w:highlight w:val="none"/>
              </w:rPr>
            </w:pPr>
            <w:r>
              <w:rPr>
                <w:rFonts w:hint="eastAsia" w:ascii="宋体" w:hAnsi="宋体" w:cs="宋体"/>
                <w:bCs/>
                <w:color w:val="auto"/>
                <w:szCs w:val="21"/>
                <w:highlight w:val="none"/>
              </w:rPr>
              <w:t>6.特定</w:t>
            </w:r>
            <w:r>
              <w:rPr>
                <w:rFonts w:ascii="宋体" w:hAnsi="宋体" w:cs="宋体"/>
                <w:bCs/>
                <w:color w:val="auto"/>
                <w:szCs w:val="21"/>
                <w:highlight w:val="none"/>
              </w:rPr>
              <w:t>资格</w:t>
            </w:r>
            <w:r>
              <w:rPr>
                <w:rFonts w:hint="eastAsia" w:ascii="宋体" w:hAnsi="宋体" w:cs="宋体"/>
                <w:bCs/>
                <w:color w:val="auto"/>
                <w:szCs w:val="21"/>
                <w:highlight w:val="none"/>
              </w:rPr>
              <w:t>要求</w:t>
            </w:r>
            <w:r>
              <w:rPr>
                <w:rFonts w:ascii="宋体" w:hAnsi="宋体" w:cs="宋体"/>
                <w:bCs/>
                <w:color w:val="auto"/>
                <w:szCs w:val="21"/>
                <w:highlight w:val="none"/>
              </w:rPr>
              <w:t>：</w:t>
            </w:r>
            <w:r>
              <w:rPr>
                <w:rFonts w:hint="eastAsia" w:ascii="宋体" w:hAnsi="宋体"/>
                <w:b/>
                <w:color w:val="auto"/>
                <w:szCs w:val="21"/>
                <w:highlight w:val="none"/>
              </w:rPr>
              <w:t>【必须提供，否则响应文件按无效处理】</w:t>
            </w:r>
          </w:p>
          <w:p w14:paraId="023AF51E">
            <w:pPr>
              <w:spacing w:line="360" w:lineRule="auto"/>
              <w:ind w:firstLine="420"/>
              <w:rPr>
                <w:rFonts w:hint="eastAsia" w:ascii="宋体" w:hAnsi="宋体" w:eastAsia="宋体" w:cs="Times New Roman"/>
                <w:color w:val="auto"/>
                <w:szCs w:val="21"/>
                <w:highlight w:val="none"/>
              </w:rPr>
            </w:pPr>
            <w:r>
              <w:rPr>
                <w:rFonts w:hint="eastAsia" w:ascii="宋体" w:hAnsi="宋体"/>
                <w:color w:val="auto"/>
                <w:szCs w:val="21"/>
                <w:highlight w:val="none"/>
              </w:rPr>
              <w:t>（1）供应商具备建筑工程施工</w:t>
            </w:r>
            <w:r>
              <w:rPr>
                <w:rFonts w:ascii="宋体" w:hAnsi="宋体"/>
                <w:color w:val="auto"/>
                <w:szCs w:val="21"/>
                <w:highlight w:val="none"/>
              </w:rPr>
              <w:t>总承包三级</w:t>
            </w:r>
            <w:r>
              <w:rPr>
                <w:rFonts w:hint="eastAsia" w:ascii="宋体" w:hAnsi="宋体"/>
                <w:color w:val="auto"/>
                <w:szCs w:val="21"/>
                <w:highlight w:val="none"/>
              </w:rPr>
              <w:t>（含）以上资质证书、安全生产许可证复</w:t>
            </w:r>
            <w:r>
              <w:rPr>
                <w:rFonts w:hint="eastAsia" w:ascii="宋体" w:hAnsi="宋体" w:eastAsia="宋体" w:cs="Times New Roman"/>
                <w:color w:val="auto"/>
                <w:szCs w:val="21"/>
                <w:highlight w:val="none"/>
              </w:rPr>
              <w:t>印件或扫描件；</w:t>
            </w:r>
          </w:p>
          <w:p w14:paraId="0E748FEA">
            <w:pPr>
              <w:spacing w:line="360" w:lineRule="auto"/>
              <w:ind w:firstLine="42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拟投入本工程的技术负责人具有</w:t>
            </w:r>
            <w:r>
              <w:rPr>
                <w:rFonts w:hint="eastAsia" w:ascii="宋体" w:hAnsi="宋体"/>
                <w:color w:val="auto"/>
                <w:szCs w:val="21"/>
                <w:highlight w:val="none"/>
                <w:lang w:val="en-US" w:eastAsia="zh-CN"/>
              </w:rPr>
              <w:t>建筑工程专业</w:t>
            </w:r>
            <w:r>
              <w:rPr>
                <w:rFonts w:hint="eastAsia" w:ascii="宋体" w:hAnsi="宋体" w:eastAsia="宋体" w:cs="Times New Roman"/>
                <w:color w:val="auto"/>
                <w:szCs w:val="21"/>
                <w:highlight w:val="none"/>
              </w:rPr>
              <w:t>工程师及以上职称</w:t>
            </w:r>
            <w:r>
              <w:rPr>
                <w:rFonts w:hint="eastAsia" w:ascii="宋体" w:hAnsi="宋体"/>
                <w:color w:val="auto"/>
                <w:szCs w:val="21"/>
                <w:highlight w:val="none"/>
              </w:rPr>
              <w:t>复</w:t>
            </w:r>
            <w:r>
              <w:rPr>
                <w:rFonts w:hint="eastAsia" w:ascii="宋体" w:hAnsi="宋体" w:eastAsia="宋体" w:cs="Times New Roman"/>
                <w:color w:val="auto"/>
                <w:szCs w:val="21"/>
                <w:highlight w:val="none"/>
              </w:rPr>
              <w:t>印件或扫描件。</w:t>
            </w:r>
          </w:p>
          <w:p w14:paraId="2ADA2D28">
            <w:pPr>
              <w:spacing w:line="360" w:lineRule="auto"/>
              <w:ind w:firstLine="420"/>
              <w:rPr>
                <w:rFonts w:hint="eastAsia" w:ascii="宋体" w:hAnsi="宋体"/>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）供应商拟派的项目经理须具备建筑工程专业贰级(含)以</w:t>
            </w:r>
            <w:r>
              <w:rPr>
                <w:rFonts w:hint="eastAsia" w:ascii="宋体" w:hAnsi="宋体"/>
                <w:color w:val="auto"/>
                <w:szCs w:val="21"/>
                <w:highlight w:val="none"/>
              </w:rPr>
              <w:t>上注册建造师执业资格证书复</w:t>
            </w:r>
            <w:r>
              <w:rPr>
                <w:rFonts w:hint="eastAsia" w:ascii="宋体" w:hAnsi="宋体" w:eastAsia="宋体" w:cs="Times New Roman"/>
                <w:color w:val="auto"/>
                <w:szCs w:val="21"/>
                <w:highlight w:val="none"/>
              </w:rPr>
              <w:t>印件或扫描件</w:t>
            </w:r>
            <w:r>
              <w:rPr>
                <w:rFonts w:hint="eastAsia" w:ascii="宋体" w:hAnsi="宋体"/>
                <w:color w:val="auto"/>
                <w:szCs w:val="21"/>
                <w:highlight w:val="none"/>
              </w:rPr>
              <w:t>及有效的安全生产考核合格证书（B类）复</w:t>
            </w:r>
            <w:r>
              <w:rPr>
                <w:rFonts w:hint="eastAsia" w:ascii="宋体" w:hAnsi="宋体" w:eastAsia="宋体" w:cs="Times New Roman"/>
                <w:color w:val="auto"/>
                <w:szCs w:val="21"/>
                <w:highlight w:val="none"/>
              </w:rPr>
              <w:t>印件或扫描件</w:t>
            </w:r>
            <w:r>
              <w:rPr>
                <w:rFonts w:hint="eastAsia" w:ascii="宋体" w:hAnsi="宋体"/>
                <w:color w:val="auto"/>
                <w:szCs w:val="21"/>
                <w:highlight w:val="none"/>
              </w:rPr>
              <w:t>；</w:t>
            </w:r>
          </w:p>
          <w:p w14:paraId="1548C355">
            <w:pPr>
              <w:spacing w:line="360" w:lineRule="auto"/>
              <w:ind w:firstLine="420"/>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）拟投入本项目的专职安全生产管理人员须具备有效的安全生产考核合格证书（C类）证书</w:t>
            </w:r>
            <w:r>
              <w:rPr>
                <w:rFonts w:hint="eastAsia" w:ascii="宋体" w:hAnsi="宋体"/>
                <w:color w:val="auto"/>
                <w:szCs w:val="21"/>
                <w:highlight w:val="none"/>
              </w:rPr>
              <w:t>复</w:t>
            </w:r>
            <w:r>
              <w:rPr>
                <w:rFonts w:hint="eastAsia" w:ascii="宋体" w:hAnsi="宋体" w:eastAsia="宋体" w:cs="Times New Roman"/>
                <w:color w:val="auto"/>
                <w:szCs w:val="21"/>
                <w:highlight w:val="none"/>
              </w:rPr>
              <w:t>印件或扫描件</w:t>
            </w:r>
            <w:r>
              <w:rPr>
                <w:rFonts w:hint="eastAsia" w:ascii="宋体" w:hAnsi="宋体" w:cs="宋体"/>
                <w:color w:val="auto"/>
                <w:szCs w:val="21"/>
                <w:highlight w:val="none"/>
              </w:rPr>
              <w:t>。</w:t>
            </w:r>
          </w:p>
          <w:p w14:paraId="06E08555">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.除磋商文件规定必须提供以外，供应商认为需要提供的其他证明材料；</w:t>
            </w:r>
          </w:p>
          <w:p w14:paraId="6E67B3F1">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注：1.以上标明“必须提供”的材料属于扫描件的，必须加盖供应商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tc>
      </w:tr>
      <w:tr w14:paraId="77DDC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DB481F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7912" w:type="dxa"/>
            <w:noWrap w:val="0"/>
            <w:vAlign w:val="center"/>
          </w:tcPr>
          <w:p w14:paraId="60EAE5F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报价文件</w:t>
            </w:r>
          </w:p>
          <w:p w14:paraId="2E8499D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1.竞标函及竞标函附录（格式后附）；（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00E523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3D7F005">
            <w:pPr>
              <w:spacing w:line="360" w:lineRule="auto"/>
              <w:rPr>
                <w:rFonts w:hint="eastAsia"/>
                <w:color w:val="auto"/>
                <w:highlight w:val="none"/>
              </w:rPr>
            </w:pPr>
            <w:r>
              <w:rPr>
                <w:rFonts w:hint="eastAsia" w:ascii="宋体" w:hAnsi="宋体" w:cs="宋体"/>
                <w:color w:val="auto"/>
                <w:szCs w:val="21"/>
                <w:highlight w:val="none"/>
              </w:rPr>
              <w:t>3.已标价工程量清单；（</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07455DB">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.供应商认为需要提供的其他有关资料。</w:t>
            </w:r>
          </w:p>
        </w:tc>
      </w:tr>
      <w:tr w14:paraId="64616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833390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noWrap w:val="0"/>
            <w:vAlign w:val="center"/>
          </w:tcPr>
          <w:p w14:paraId="001E7A0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2C3B83B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2397115">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2.法定代表人身份证明书及法定代表人有效身份证正反面扫描件（格式后附）；（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0B3F3D0">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3.授权委托书及委托代理人有效身份证正反面扫描件（格式后附）；（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429D73D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4.施工组织设计（格式自拟）；（</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2D70F01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5.项目管理机构配备情况表及主要人员简历表（格式后附）；（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 xml:space="preserve">） </w:t>
            </w:r>
          </w:p>
          <w:p w14:paraId="60B69F8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6.供应商认为需要提供的其他有关资料。</w:t>
            </w:r>
          </w:p>
          <w:p w14:paraId="5912F8B3">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注：以上标明“必须提供”的材料属于扫描件的，必须加盖供应商电子签章，否则响应文件按无效处理。</w:t>
            </w:r>
          </w:p>
        </w:tc>
      </w:tr>
      <w:tr w14:paraId="09760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719136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15.1</w:t>
            </w:r>
          </w:p>
        </w:tc>
        <w:tc>
          <w:tcPr>
            <w:tcW w:w="7912" w:type="dxa"/>
            <w:noWrap w:val="0"/>
            <w:vAlign w:val="center"/>
          </w:tcPr>
          <w:p w14:paraId="780B3BD3">
            <w:pPr>
              <w:spacing w:line="360" w:lineRule="auto"/>
              <w:contextualSpacing/>
              <w:jc w:val="left"/>
              <w:rPr>
                <w:rFonts w:hint="eastAsia" w:ascii="宋体" w:hAnsi="宋体"/>
                <w:color w:val="auto"/>
                <w:szCs w:val="21"/>
                <w:highlight w:val="none"/>
              </w:rPr>
            </w:pPr>
            <w:r>
              <w:rPr>
                <w:rFonts w:hint="eastAsia" w:ascii="宋体" w:hAnsi="宋体"/>
                <w:color w:val="auto"/>
                <w:szCs w:val="21"/>
                <w:highlight w:val="none"/>
              </w:rPr>
              <w:t>竞标报价应按磋商文件中“竞标报价表”格式填写。</w:t>
            </w:r>
          </w:p>
        </w:tc>
      </w:tr>
      <w:tr w14:paraId="0DE75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6EA425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7912" w:type="dxa"/>
            <w:noWrap w:val="0"/>
            <w:vAlign w:val="center"/>
          </w:tcPr>
          <w:p w14:paraId="7732E727">
            <w:pPr>
              <w:numPr>
                <w:ilvl w:val="0"/>
                <w:numId w:val="0"/>
              </w:numPr>
              <w:spacing w:line="360" w:lineRule="auto"/>
              <w:contextualSpacing/>
              <w:jc w:val="left"/>
              <w:rPr>
                <w:rFonts w:hint="eastAsia" w:ascii="宋体" w:hAnsi="宋体" w:eastAsia="宋体" w:cs="宋体"/>
                <w:color w:val="auto"/>
                <w:szCs w:val="21"/>
                <w:highlight w:val="none"/>
                <w:lang w:eastAsia="zh-CN"/>
              </w:rPr>
            </w:pPr>
            <w:r>
              <w:rPr>
                <w:rFonts w:hint="eastAsia" w:ascii="宋体" w:hAnsi="宋体" w:cs="宋体"/>
                <w:b/>
                <w:bCs/>
                <w:color w:val="auto"/>
                <w:szCs w:val="21"/>
                <w:highlight w:val="none"/>
                <w:lang w:eastAsia="zh-CN"/>
              </w:rPr>
              <w:t>本项目</w:t>
            </w:r>
            <w:r>
              <w:rPr>
                <w:rFonts w:hint="eastAsia" w:ascii="宋体" w:hAnsi="宋体" w:cs="宋体"/>
                <w:b/>
                <w:bCs/>
                <w:color w:val="auto"/>
                <w:szCs w:val="21"/>
                <w:highlight w:val="none"/>
                <w:lang w:val="en-US" w:eastAsia="zh-CN"/>
              </w:rPr>
              <w:t>采用固定综合单价</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竞标报价是履行合同的最终价格，包括了为实施和完成合同工程所需的劳务、材料、机械、质检（自检）、安装、系统调试、垃圾清运、消防安全评估技术服务</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缺陷修复、管理、保险、税费、利润等费用，以及合同明示或暗示的所有责任、义务和一般风险。</w:t>
            </w:r>
          </w:p>
        </w:tc>
      </w:tr>
      <w:tr w14:paraId="03AB1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3F669DC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15.3</w:t>
            </w:r>
          </w:p>
        </w:tc>
        <w:tc>
          <w:tcPr>
            <w:tcW w:w="7912" w:type="dxa"/>
            <w:noWrap w:val="0"/>
            <w:vAlign w:val="center"/>
          </w:tcPr>
          <w:p w14:paraId="5EBFA7F1">
            <w:pPr>
              <w:spacing w:line="360" w:lineRule="auto"/>
              <w:contextualSpacing/>
              <w:jc w:val="left"/>
              <w:rPr>
                <w:rFonts w:hint="eastAsia" w:ascii="宋体" w:hAnsi="宋体"/>
                <w:color w:val="auto"/>
                <w:szCs w:val="21"/>
                <w:highlight w:val="none"/>
              </w:rPr>
            </w:pPr>
            <w:r>
              <w:rPr>
                <w:rFonts w:hint="eastAsia" w:cs="宋体"/>
                <w:color w:val="auto"/>
                <w:highlight w:val="none"/>
              </w:rPr>
              <w:t>本工程增值税计税方法：</w:t>
            </w:r>
            <w:r>
              <w:rPr>
                <w:rFonts w:hint="eastAsia" w:cs="宋体"/>
                <w:b/>
                <w:bCs/>
                <w:color w:val="auto"/>
                <w:highlight w:val="none"/>
              </w:rPr>
              <w:t>一般计税法</w:t>
            </w:r>
          </w:p>
        </w:tc>
      </w:tr>
      <w:tr w14:paraId="4B8A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10911D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noWrap w:val="0"/>
            <w:vAlign w:val="center"/>
          </w:tcPr>
          <w:p w14:paraId="13FD31A8">
            <w:pPr>
              <w:pStyle w:val="14"/>
              <w:widowControl w:val="0"/>
              <w:tabs>
                <w:tab w:val="clear" w:pos="454"/>
              </w:tabs>
              <w:spacing w:line="360" w:lineRule="auto"/>
              <w:ind w:left="283" w:hanging="283"/>
              <w:rPr>
                <w:rFonts w:hint="eastAsia" w:ascii="宋体" w:hAnsi="宋体" w:cs="宋体"/>
                <w:color w:val="auto"/>
                <w:sz w:val="21"/>
                <w:szCs w:val="21"/>
                <w:highlight w:val="none"/>
              </w:rPr>
            </w:pPr>
            <w:r>
              <w:rPr>
                <w:rFonts w:hint="eastAsia" w:ascii="宋体" w:hAnsi="宋体" w:cs="宋体"/>
                <w:color w:val="auto"/>
                <w:sz w:val="21"/>
                <w:szCs w:val="21"/>
                <w:highlight w:val="none"/>
              </w:rPr>
              <w:t>竞标有效期：自首次响应文件提交截止之日起</w:t>
            </w:r>
            <w:r>
              <w:rPr>
                <w:rFonts w:hint="eastAsia" w:ascii="宋体" w:hAnsi="宋体" w:cs="宋体"/>
                <w:color w:val="auto"/>
                <w:sz w:val="21"/>
                <w:szCs w:val="21"/>
                <w:highlight w:val="none"/>
                <w:u w:val="single"/>
              </w:rPr>
              <w:t>9</w:t>
            </w:r>
            <w:r>
              <w:rPr>
                <w:rFonts w:ascii="宋体" w:hAnsi="宋体" w:cs="宋体"/>
                <w:color w:val="auto"/>
                <w:sz w:val="21"/>
                <w:szCs w:val="21"/>
                <w:highlight w:val="none"/>
                <w:u w:val="single"/>
              </w:rPr>
              <w:t>0</w:t>
            </w:r>
            <w:r>
              <w:rPr>
                <w:rFonts w:hint="eastAsia" w:ascii="宋体" w:hAnsi="宋体" w:cs="宋体"/>
                <w:color w:val="auto"/>
                <w:sz w:val="21"/>
                <w:szCs w:val="21"/>
                <w:highlight w:val="none"/>
              </w:rPr>
              <w:t>日。</w:t>
            </w:r>
          </w:p>
        </w:tc>
      </w:tr>
      <w:tr w14:paraId="4F86A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992" w:type="dxa"/>
            <w:noWrap w:val="0"/>
            <w:vAlign w:val="center"/>
          </w:tcPr>
          <w:p w14:paraId="44F007D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7912" w:type="dxa"/>
            <w:noWrap w:val="0"/>
            <w:vAlign w:val="center"/>
          </w:tcPr>
          <w:p w14:paraId="47698DA9">
            <w:pPr>
              <w:spacing w:line="360" w:lineRule="auto"/>
              <w:rPr>
                <w:rFonts w:hint="eastAsia" w:ascii="宋体" w:hAnsi="宋体" w:cs="宋体"/>
                <w:b/>
                <w:color w:val="auto"/>
                <w:szCs w:val="21"/>
                <w:highlight w:val="none"/>
              </w:rPr>
            </w:pPr>
            <w:r>
              <w:rPr>
                <w:rFonts w:hint="eastAsia" w:ascii="宋体" w:hAnsi="宋体" w:cs="宋体"/>
                <w:bCs/>
                <w:color w:val="auto"/>
                <w:szCs w:val="21"/>
                <w:highlight w:val="none"/>
              </w:rPr>
              <w:t>磋商保证金：无</w:t>
            </w:r>
          </w:p>
        </w:tc>
      </w:tr>
      <w:tr w14:paraId="2541E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3110F2F">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19</w:t>
            </w:r>
          </w:p>
        </w:tc>
        <w:tc>
          <w:tcPr>
            <w:tcW w:w="7912" w:type="dxa"/>
            <w:noWrap w:val="0"/>
            <w:vAlign w:val="center"/>
          </w:tcPr>
          <w:p w14:paraId="508072F6">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1B7E6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662A82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912" w:type="dxa"/>
            <w:noWrap w:val="0"/>
            <w:vAlign w:val="center"/>
          </w:tcPr>
          <w:p w14:paraId="41D8DC85">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3790AEC3">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1294F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97DC02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912" w:type="dxa"/>
            <w:noWrap w:val="0"/>
            <w:vAlign w:val="center"/>
          </w:tcPr>
          <w:p w14:paraId="684171C8">
            <w:pPr>
              <w:spacing w:line="360" w:lineRule="auto"/>
              <w:jc w:val="left"/>
              <w:rPr>
                <w:rFonts w:hint="eastAsia" w:ascii="宋体" w:hAnsi="宋体" w:cs="宋体"/>
                <w:color w:val="auto"/>
                <w:szCs w:val="21"/>
                <w:highlight w:val="none"/>
                <w:u w:val="single"/>
              </w:rPr>
            </w:pPr>
            <w:bookmarkStart w:id="60" w:name="REVIEW_AI_BM_AI_11989_144_0_13"/>
            <w:r>
              <w:rPr>
                <w:color w:val="auto"/>
                <w:highlight w:val="none"/>
                <w:shd w:val="clear" w:color="FFFFFF" w:fill="FFFFFF"/>
              </w:rPr>
              <w:t>磋商小组的人数：3人。</w:t>
            </w:r>
            <w:bookmarkEnd w:id="60"/>
          </w:p>
        </w:tc>
      </w:tr>
      <w:tr w14:paraId="00B07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10D4C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noWrap w:val="0"/>
            <w:vAlign w:val="center"/>
          </w:tcPr>
          <w:p w14:paraId="0647150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6FFEAA3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hAnsi="宋体"/>
                <w:color w:val="auto"/>
                <w:highlight w:val="none"/>
                <w:u w:val="single"/>
              </w:rPr>
              <w:t>3</w:t>
            </w:r>
            <w:r>
              <w:rPr>
                <w:rFonts w:hAnsi="宋体"/>
                <w:color w:val="auto"/>
                <w:highlight w:val="none"/>
                <w:u w:val="single"/>
              </w:rPr>
              <w:t>0</w:t>
            </w:r>
            <w:r>
              <w:rPr>
                <w:rFonts w:hint="eastAsia" w:hAnsi="宋体"/>
                <w:color w:val="auto"/>
                <w:highlight w:val="none"/>
              </w:rPr>
              <w:t>分钟</w:t>
            </w:r>
          </w:p>
        </w:tc>
      </w:tr>
      <w:tr w14:paraId="772F0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noWrap w:val="0"/>
            <w:vAlign w:val="center"/>
          </w:tcPr>
          <w:p w14:paraId="68A48A0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7912" w:type="dxa"/>
            <w:noWrap w:val="0"/>
            <w:vAlign w:val="center"/>
          </w:tcPr>
          <w:p w14:paraId="0B50FEA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3D46E02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14:paraId="2AC6F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EE9C001">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7912" w:type="dxa"/>
            <w:noWrap w:val="0"/>
            <w:vAlign w:val="center"/>
          </w:tcPr>
          <w:p w14:paraId="1877E299">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☑本项目不收取履约保证金。</w:t>
            </w:r>
          </w:p>
        </w:tc>
      </w:tr>
      <w:tr w14:paraId="34A19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7D27543">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7912" w:type="dxa"/>
            <w:noWrap w:val="0"/>
            <w:vAlign w:val="center"/>
          </w:tcPr>
          <w:p w14:paraId="7FE93D77">
            <w:pPr>
              <w:spacing w:line="360" w:lineRule="auto"/>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31E7EBED">
            <w:pPr>
              <w:spacing w:line="360" w:lineRule="auto"/>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2952B9F1">
            <w:pPr>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40C45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495789A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7912" w:type="dxa"/>
            <w:noWrap w:val="0"/>
            <w:vAlign w:val="center"/>
          </w:tcPr>
          <w:p w14:paraId="3E49E42D">
            <w:pPr>
              <w:spacing w:line="360" w:lineRule="auto"/>
              <w:rPr>
                <w:rFonts w:hint="eastAsia" w:ascii="宋体" w:hAnsi="宋体"/>
                <w:color w:val="auto"/>
                <w:szCs w:val="21"/>
                <w:highlight w:val="none"/>
              </w:rPr>
            </w:pPr>
            <w:r>
              <w:rPr>
                <w:rFonts w:hint="eastAsia" w:ascii="宋体" w:hAnsi="宋体"/>
                <w:color w:val="auto"/>
                <w:szCs w:val="21"/>
                <w:highlight w:val="none"/>
              </w:rPr>
              <w:t>接收质疑函方式：以书面形式</w:t>
            </w:r>
          </w:p>
          <w:p w14:paraId="33C377E0">
            <w:pPr>
              <w:spacing w:line="360" w:lineRule="auto"/>
              <w:rPr>
                <w:rFonts w:hint="eastAsia" w:ascii="宋体" w:hAnsi="宋体"/>
                <w:color w:val="auto"/>
                <w:szCs w:val="21"/>
                <w:highlight w:val="none"/>
              </w:rPr>
            </w:pPr>
            <w:r>
              <w:rPr>
                <w:rFonts w:hint="eastAsia" w:ascii="宋体" w:hAnsi="宋体"/>
                <w:color w:val="auto"/>
                <w:szCs w:val="21"/>
                <w:highlight w:val="none"/>
              </w:rPr>
              <w:t>质疑联系部门：云之龙咨询集团有限公司招标部</w:t>
            </w:r>
          </w:p>
          <w:p w14:paraId="6CDAAAEF">
            <w:pPr>
              <w:spacing w:line="360" w:lineRule="auto"/>
              <w:rPr>
                <w:rFonts w:hint="eastAsia" w:ascii="宋体" w:hAnsi="宋体"/>
                <w:color w:val="auto"/>
                <w:szCs w:val="21"/>
                <w:highlight w:val="none"/>
              </w:rPr>
            </w:pPr>
            <w:r>
              <w:rPr>
                <w:rFonts w:hint="eastAsia" w:ascii="宋体" w:hAnsi="宋体"/>
                <w:color w:val="auto"/>
                <w:szCs w:val="21"/>
                <w:highlight w:val="none"/>
              </w:rPr>
              <w:t>联系电话：0775-4565100</w:t>
            </w:r>
          </w:p>
          <w:p w14:paraId="1BDC7582">
            <w:pPr>
              <w:spacing w:line="360" w:lineRule="auto"/>
              <w:rPr>
                <w:rFonts w:hint="eastAsia" w:ascii="宋体" w:hAnsi="宋体"/>
                <w:color w:val="auto"/>
                <w:szCs w:val="21"/>
                <w:highlight w:val="none"/>
              </w:rPr>
            </w:pPr>
            <w:r>
              <w:rPr>
                <w:rFonts w:hint="eastAsia" w:ascii="宋体" w:hAnsi="宋体"/>
                <w:color w:val="auto"/>
                <w:szCs w:val="21"/>
                <w:highlight w:val="none"/>
              </w:rPr>
              <w:t>通讯地址：广西贵港市港北区荷城路1132号华泰官邸1栋6楼</w:t>
            </w:r>
          </w:p>
          <w:p w14:paraId="7394B83E">
            <w:pPr>
              <w:spacing w:line="360" w:lineRule="auto"/>
              <w:rPr>
                <w:rFonts w:hint="eastAsia" w:ascii="宋体" w:hAnsi="宋体"/>
                <w:color w:val="auto"/>
                <w:szCs w:val="21"/>
                <w:highlight w:val="none"/>
              </w:rPr>
            </w:pPr>
            <w:r>
              <w:rPr>
                <w:rFonts w:hint="eastAsia" w:ascii="宋体" w:hAnsi="宋体"/>
                <w:color w:val="auto"/>
                <w:szCs w:val="21"/>
                <w:highlight w:val="none"/>
              </w:rPr>
              <w:t>业务时间：工作日每天上午8时00分到12时00分，下午3时00分到6时00分。</w:t>
            </w:r>
          </w:p>
        </w:tc>
      </w:tr>
      <w:tr w14:paraId="04C0A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1F18CBE">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32.1</w:t>
            </w:r>
          </w:p>
        </w:tc>
        <w:tc>
          <w:tcPr>
            <w:tcW w:w="7912" w:type="dxa"/>
            <w:noWrap w:val="0"/>
            <w:vAlign w:val="center"/>
          </w:tcPr>
          <w:p w14:paraId="7AB1013A">
            <w:pPr>
              <w:pStyle w:val="25"/>
              <w:spacing w:line="360" w:lineRule="auto"/>
              <w:rPr>
                <w:rFonts w:hint="eastAsia" w:hAnsi="宋体" w:cs="宋体"/>
                <w:color w:val="auto"/>
                <w:sz w:val="21"/>
                <w:highlight w:val="none"/>
              </w:rPr>
            </w:pPr>
            <w:r>
              <w:rPr>
                <w:rFonts w:hint="eastAsia" w:hAnsi="宋体" w:cs="宋体"/>
                <w:color w:val="auto"/>
                <w:sz w:val="21"/>
                <w:highlight w:val="none"/>
              </w:rPr>
              <w:t>1.采购代理费收取方式：</w:t>
            </w:r>
          </w:p>
          <w:p w14:paraId="738914B7">
            <w:pPr>
              <w:pStyle w:val="25"/>
              <w:spacing w:line="360" w:lineRule="auto"/>
              <w:rPr>
                <w:rFonts w:hint="eastAsia" w:hAnsi="宋体" w:cs="宋体"/>
                <w:color w:val="auto"/>
                <w:sz w:val="21"/>
                <w:highlight w:val="none"/>
              </w:rPr>
            </w:pPr>
            <w:r>
              <w:rPr>
                <w:rFonts w:hint="eastAsia" w:hAnsi="宋体" w:cs="宋体"/>
                <w:color w:val="auto"/>
                <w:sz w:val="21"/>
                <w:highlight w:val="none"/>
              </w:rPr>
              <w:t>☑本项目代理服务费由成交供应商向采购代理机构支付。</w:t>
            </w:r>
          </w:p>
          <w:p w14:paraId="6CEC9A0D">
            <w:pPr>
              <w:pStyle w:val="25"/>
              <w:spacing w:line="360" w:lineRule="auto"/>
              <w:rPr>
                <w:rFonts w:hint="eastAsia" w:hAnsi="宋体" w:cs="宋体"/>
                <w:color w:val="auto"/>
                <w:sz w:val="21"/>
                <w:highlight w:val="none"/>
              </w:rPr>
            </w:pPr>
            <w:r>
              <w:rPr>
                <w:rFonts w:hint="eastAsia" w:hAnsi="宋体" w:cs="宋体"/>
                <w:color w:val="auto"/>
                <w:sz w:val="21"/>
                <w:highlight w:val="none"/>
              </w:rPr>
              <w:t>□采购人支付。</w:t>
            </w:r>
          </w:p>
          <w:p w14:paraId="4BDEE261">
            <w:pPr>
              <w:pStyle w:val="25"/>
              <w:spacing w:line="360" w:lineRule="auto"/>
              <w:rPr>
                <w:rFonts w:hint="eastAsia" w:hAnsi="宋体" w:cs="宋体"/>
                <w:color w:val="auto"/>
                <w:sz w:val="21"/>
                <w:highlight w:val="none"/>
              </w:rPr>
            </w:pPr>
            <w:r>
              <w:rPr>
                <w:rFonts w:hint="eastAsia" w:hAnsi="宋体" w:cs="宋体"/>
                <w:color w:val="auto"/>
                <w:sz w:val="21"/>
                <w:highlight w:val="none"/>
              </w:rPr>
              <w:t>2.采购代理费收取标准：</w:t>
            </w:r>
          </w:p>
          <w:p w14:paraId="409F6E3E">
            <w:pPr>
              <w:pStyle w:val="25"/>
              <w:spacing w:line="360" w:lineRule="auto"/>
              <w:rPr>
                <w:rFonts w:hint="eastAsia" w:hAnsi="宋体" w:cs="宋体"/>
                <w:color w:val="auto"/>
                <w:sz w:val="21"/>
                <w:highlight w:val="none"/>
              </w:rPr>
            </w:pPr>
            <w:r>
              <w:rPr>
                <w:rFonts w:hint="eastAsia" w:hAnsi="宋体" w:cs="宋体"/>
                <w:color w:val="auto"/>
                <w:sz w:val="21"/>
                <w:highlight w:val="none"/>
              </w:rPr>
              <w:t>☑根据发改价格〔2015〕299号文，按固定金额收费标准，具体金额：人民币</w:t>
            </w:r>
            <w:r>
              <w:rPr>
                <w:rFonts w:hint="eastAsia" w:hAnsi="宋体" w:cs="宋体"/>
                <w:color w:val="auto"/>
                <w:sz w:val="21"/>
                <w:highlight w:val="none"/>
                <w:lang w:val="en-US" w:eastAsia="zh-CN"/>
              </w:rPr>
              <w:t>陆仟肆佰玖拾壹</w:t>
            </w:r>
            <w:r>
              <w:rPr>
                <w:rFonts w:hint="eastAsia" w:hAnsi="宋体" w:cs="宋体"/>
                <w:color w:val="auto"/>
                <w:sz w:val="21"/>
                <w:highlight w:val="none"/>
              </w:rPr>
              <w:t>元整(¥</w:t>
            </w:r>
            <w:r>
              <w:rPr>
                <w:rFonts w:hint="eastAsia" w:hAnsi="宋体" w:cs="宋体"/>
                <w:color w:val="auto"/>
                <w:sz w:val="21"/>
                <w:highlight w:val="none"/>
                <w:lang w:val="en-US" w:eastAsia="zh-CN"/>
              </w:rPr>
              <w:t>6491</w:t>
            </w:r>
            <w:r>
              <w:rPr>
                <w:rFonts w:hint="eastAsia" w:hAnsi="宋体" w:cs="宋体"/>
                <w:color w:val="auto"/>
                <w:sz w:val="21"/>
                <w:highlight w:val="none"/>
              </w:rPr>
              <w:t>.00)。</w:t>
            </w:r>
          </w:p>
          <w:p w14:paraId="3F55138B">
            <w:pPr>
              <w:pStyle w:val="25"/>
              <w:spacing w:line="360" w:lineRule="auto"/>
              <w:rPr>
                <w:rFonts w:hint="eastAsia" w:hAnsi="宋体" w:cs="宋体"/>
                <w:color w:val="auto"/>
                <w:sz w:val="21"/>
                <w:highlight w:val="none"/>
              </w:rPr>
            </w:pPr>
            <w:r>
              <w:rPr>
                <w:rFonts w:hint="eastAsia" w:hAnsi="宋体" w:cs="宋体"/>
                <w:color w:val="auto"/>
                <w:sz w:val="21"/>
                <w:highlight w:val="none"/>
              </w:rPr>
              <w:t>3. 采购代理费收取银行账户</w:t>
            </w:r>
          </w:p>
          <w:p w14:paraId="3DDB9F3A">
            <w:pPr>
              <w:pStyle w:val="25"/>
              <w:spacing w:line="360" w:lineRule="auto"/>
              <w:rPr>
                <w:rFonts w:hint="eastAsia" w:hAnsi="宋体" w:cs="宋体"/>
                <w:color w:val="auto"/>
                <w:sz w:val="21"/>
                <w:highlight w:val="none"/>
              </w:rPr>
            </w:pPr>
            <w:r>
              <w:rPr>
                <w:rFonts w:hint="eastAsia" w:hAnsi="宋体" w:cs="宋体"/>
                <w:color w:val="auto"/>
                <w:sz w:val="21"/>
                <w:highlight w:val="none"/>
              </w:rPr>
              <w:t>单位名称：</w:t>
            </w:r>
            <w:bookmarkStart w:id="61" w:name="REVIEW_AI_BM_AI_11989_170_5_14"/>
            <w:r>
              <w:rPr>
                <w:rFonts w:hint="eastAsia" w:hAnsi="宋体" w:cs="宋体"/>
                <w:color w:val="auto"/>
                <w:sz w:val="21"/>
                <w:highlight w:val="none"/>
                <w:shd w:val="clear" w:color="FFFFFF" w:fill="FFFFFF"/>
              </w:rPr>
              <w:t>云之龙咨询集团有限公司贵港分公司  </w:t>
            </w:r>
            <w:bookmarkEnd w:id="61"/>
          </w:p>
          <w:p w14:paraId="2D7844D8">
            <w:pPr>
              <w:pStyle w:val="25"/>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开户银行：</w:t>
            </w:r>
            <w:r>
              <w:rPr>
                <w:rFonts w:hint="eastAsia" w:hAnsi="宋体" w:cs="宋体"/>
                <w:color w:val="auto"/>
                <w:sz w:val="21"/>
                <w:highlight w:val="none"/>
                <w:lang w:eastAsia="zh-CN"/>
              </w:rPr>
              <w:t>中信银行股份有限公司南宁园湖支行</w:t>
            </w:r>
          </w:p>
          <w:p w14:paraId="79F5E4F6">
            <w:pPr>
              <w:pStyle w:val="25"/>
              <w:spacing w:line="360" w:lineRule="auto"/>
              <w:rPr>
                <w:rFonts w:hint="eastAsia" w:hAnsi="宋体" w:cs="宋体"/>
                <w:color w:val="auto"/>
                <w:sz w:val="21"/>
                <w:highlight w:val="none"/>
              </w:rPr>
            </w:pPr>
            <w:r>
              <w:rPr>
                <w:rFonts w:hint="eastAsia" w:hAnsi="宋体" w:cs="宋体"/>
                <w:color w:val="auto"/>
                <w:sz w:val="21"/>
                <w:highlight w:val="none"/>
              </w:rPr>
              <w:t>银行账号：8113001015100158012</w:t>
            </w:r>
          </w:p>
          <w:p w14:paraId="695DB10B">
            <w:pPr>
              <w:pStyle w:val="25"/>
              <w:spacing w:line="360" w:lineRule="auto"/>
              <w:rPr>
                <w:rFonts w:hint="eastAsia" w:hAnsi="宋体" w:cs="宋体"/>
                <w:color w:val="auto"/>
                <w:sz w:val="21"/>
                <w:highlight w:val="none"/>
              </w:rPr>
            </w:pPr>
            <w:r>
              <w:rPr>
                <w:rFonts w:hint="eastAsia" w:hAnsi="宋体" w:cs="宋体"/>
                <w:color w:val="auto"/>
                <w:sz w:val="21"/>
                <w:highlight w:val="none"/>
              </w:rPr>
              <w:t>行号：302611029137</w:t>
            </w:r>
          </w:p>
        </w:tc>
      </w:tr>
      <w:tr w14:paraId="4DF6D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E7EDD4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noWrap w:val="0"/>
            <w:vAlign w:val="center"/>
          </w:tcPr>
          <w:p w14:paraId="33FB9209">
            <w:pPr>
              <w:pStyle w:val="25"/>
              <w:spacing w:line="360" w:lineRule="auto"/>
              <w:rPr>
                <w:rFonts w:hint="eastAsia" w:hAnsi="宋体" w:cs="宋体"/>
                <w:color w:val="auto"/>
                <w:sz w:val="21"/>
                <w:highlight w:val="none"/>
              </w:rPr>
            </w:pPr>
            <w:r>
              <w:rPr>
                <w:rFonts w:hint="eastAsia" w:hAnsi="宋体"/>
                <w:color w:val="auto"/>
                <w:sz w:val="21"/>
                <w:highlight w:val="none"/>
              </w:rPr>
              <w:t>解释：</w:t>
            </w:r>
            <w:r>
              <w:rPr>
                <w:rFonts w:hAnsi="宋体"/>
                <w:color w:val="auto"/>
                <w:sz w:val="21"/>
                <w:highlight w:val="none"/>
              </w:rPr>
              <w:t>构成本</w:t>
            </w:r>
            <w:r>
              <w:rPr>
                <w:rFonts w:hint="eastAsia" w:hAnsi="宋体"/>
                <w:color w:val="auto"/>
                <w:sz w:val="21"/>
                <w:highlight w:val="none"/>
              </w:rPr>
              <w:t>磋商文件</w:t>
            </w:r>
            <w:r>
              <w:rPr>
                <w:rFonts w:hAnsi="宋体"/>
                <w:color w:val="auto"/>
                <w:sz w:val="21"/>
                <w:highlight w:val="none"/>
              </w:rPr>
              <w:t>的各个组成文件应互为解释，互为说明；除</w:t>
            </w:r>
            <w:r>
              <w:rPr>
                <w:rFonts w:hint="eastAsia" w:hAnsi="宋体"/>
                <w:color w:val="auto"/>
                <w:sz w:val="21"/>
                <w:highlight w:val="none"/>
              </w:rPr>
              <w:t>磋商文件</w:t>
            </w:r>
            <w:r>
              <w:rPr>
                <w:rFonts w:hAnsi="宋体"/>
                <w:color w:val="auto"/>
                <w:sz w:val="21"/>
                <w:highlight w:val="none"/>
              </w:rPr>
              <w:t>中有特别规定外，仅适用于</w:t>
            </w:r>
            <w:r>
              <w:rPr>
                <w:rFonts w:hint="eastAsia" w:hAnsi="宋体"/>
                <w:color w:val="auto"/>
                <w:sz w:val="21"/>
                <w:highlight w:val="none"/>
              </w:rPr>
              <w:t>竞标</w:t>
            </w:r>
            <w:r>
              <w:rPr>
                <w:rFonts w:hAnsi="宋体"/>
                <w:color w:val="auto"/>
                <w:sz w:val="21"/>
                <w:highlight w:val="none"/>
              </w:rPr>
              <w:t>阶段的规定，按</w:t>
            </w:r>
            <w:r>
              <w:rPr>
                <w:rFonts w:hint="eastAsia" w:hAnsi="宋体"/>
                <w:color w:val="auto"/>
                <w:sz w:val="21"/>
                <w:highlight w:val="none"/>
              </w:rPr>
              <w:t>更正公告（澄清公告）</w:t>
            </w:r>
            <w:r>
              <w:rPr>
                <w:rFonts w:hAnsi="宋体"/>
                <w:color w:val="auto"/>
                <w:sz w:val="21"/>
                <w:highlight w:val="none"/>
              </w:rPr>
              <w:t>、</w:t>
            </w:r>
            <w:r>
              <w:rPr>
                <w:rFonts w:hint="eastAsia" w:hAnsi="宋体"/>
                <w:color w:val="auto"/>
                <w:sz w:val="21"/>
                <w:highlight w:val="none"/>
              </w:rPr>
              <w:t>竞争性磋商</w:t>
            </w:r>
            <w:r>
              <w:rPr>
                <w:rFonts w:hAnsi="宋体"/>
                <w:color w:val="auto"/>
                <w:sz w:val="21"/>
                <w:highlight w:val="none"/>
              </w:rPr>
              <w:t>公告、</w:t>
            </w:r>
            <w:r>
              <w:rPr>
                <w:rFonts w:hint="eastAsia" w:hAnsi="宋体"/>
                <w:color w:val="auto"/>
                <w:sz w:val="21"/>
                <w:highlight w:val="none"/>
              </w:rPr>
              <w:t>供应商</w:t>
            </w:r>
            <w:r>
              <w:rPr>
                <w:rFonts w:hAnsi="宋体"/>
                <w:color w:val="auto"/>
                <w:sz w:val="21"/>
                <w:highlight w:val="none"/>
              </w:rPr>
              <w:t>须知</w:t>
            </w:r>
            <w:r>
              <w:rPr>
                <w:rFonts w:hint="eastAsia" w:hAnsi="宋体"/>
                <w:color w:val="auto"/>
                <w:sz w:val="21"/>
                <w:highlight w:val="none"/>
              </w:rPr>
              <w:t>、采购需求</w:t>
            </w:r>
            <w:r>
              <w:rPr>
                <w:rFonts w:hAnsi="宋体"/>
                <w:color w:val="auto"/>
                <w:sz w:val="21"/>
                <w:highlight w:val="none"/>
              </w:rPr>
              <w:t>、</w:t>
            </w:r>
            <w:r>
              <w:rPr>
                <w:rFonts w:hint="eastAsia"/>
                <w:color w:val="auto"/>
                <w:sz w:val="21"/>
                <w:highlight w:val="none"/>
              </w:rPr>
              <w:t>评审程序、评审方法和评审标准</w:t>
            </w:r>
            <w:r>
              <w:rPr>
                <w:rFonts w:hAnsi="宋体"/>
                <w:color w:val="auto"/>
                <w:sz w:val="21"/>
                <w:highlight w:val="none"/>
              </w:rPr>
              <w:t>、</w:t>
            </w:r>
            <w:r>
              <w:rPr>
                <w:rFonts w:hint="eastAsia" w:hAnsi="宋体"/>
                <w:color w:val="auto"/>
                <w:sz w:val="21"/>
                <w:highlight w:val="none"/>
              </w:rPr>
              <w:t>响应</w:t>
            </w:r>
            <w:r>
              <w:rPr>
                <w:rFonts w:hAnsi="宋体"/>
                <w:color w:val="auto"/>
                <w:sz w:val="21"/>
                <w:highlight w:val="none"/>
              </w:rPr>
              <w:t>文件格式</w:t>
            </w:r>
            <w:r>
              <w:rPr>
                <w:rFonts w:hint="eastAsia" w:hAnsi="宋体"/>
                <w:color w:val="auto"/>
                <w:sz w:val="21"/>
                <w:highlight w:val="none"/>
              </w:rPr>
              <w:t>、合同文本</w:t>
            </w:r>
            <w:r>
              <w:rPr>
                <w:rFonts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Ansi="宋体"/>
                <w:color w:val="auto"/>
                <w:sz w:val="21"/>
                <w:highlight w:val="none"/>
              </w:rPr>
              <w:t>与同步更新的</w:t>
            </w:r>
            <w:r>
              <w:rPr>
                <w:rFonts w:hint="eastAsia" w:hAnsi="宋体"/>
                <w:color w:val="auto"/>
                <w:sz w:val="21"/>
                <w:highlight w:val="none"/>
              </w:rPr>
              <w:t>磋商文件</w:t>
            </w:r>
            <w:r>
              <w:rPr>
                <w:rFonts w:hAnsi="宋体"/>
                <w:color w:val="auto"/>
                <w:sz w:val="21"/>
                <w:highlight w:val="none"/>
              </w:rPr>
              <w:t>不一致时以</w:t>
            </w:r>
            <w:r>
              <w:rPr>
                <w:rFonts w:hint="eastAsia" w:hAnsi="宋体"/>
                <w:color w:val="auto"/>
                <w:sz w:val="21"/>
                <w:highlight w:val="none"/>
              </w:rPr>
              <w:t>更正公告（澄清公告）</w:t>
            </w:r>
            <w:r>
              <w:rPr>
                <w:rFonts w:hAnsi="宋体"/>
                <w:color w:val="auto"/>
                <w:sz w:val="21"/>
                <w:highlight w:val="none"/>
              </w:rPr>
              <w:t>为准。按本款前述规定仍不能形成结论的，由</w:t>
            </w:r>
            <w:r>
              <w:rPr>
                <w:rFonts w:hint="eastAsia" w:hAnsi="宋体"/>
                <w:color w:val="auto"/>
                <w:sz w:val="21"/>
                <w:highlight w:val="none"/>
              </w:rPr>
              <w:t>采购</w:t>
            </w:r>
            <w:r>
              <w:rPr>
                <w:rFonts w:hAnsi="宋体"/>
                <w:color w:val="auto"/>
                <w:sz w:val="21"/>
                <w:highlight w:val="none"/>
              </w:rPr>
              <w:t>人</w:t>
            </w:r>
            <w:r>
              <w:rPr>
                <w:rFonts w:hint="eastAsia" w:hAnsi="宋体"/>
                <w:color w:val="auto"/>
                <w:sz w:val="21"/>
                <w:highlight w:val="none"/>
              </w:rPr>
              <w:t>或者采购代理机构</w:t>
            </w:r>
            <w:r>
              <w:rPr>
                <w:rFonts w:hAnsi="宋体"/>
                <w:color w:val="auto"/>
                <w:sz w:val="21"/>
                <w:highlight w:val="none"/>
              </w:rPr>
              <w:t>负责解释。</w:t>
            </w:r>
          </w:p>
        </w:tc>
      </w:tr>
      <w:tr w14:paraId="75E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FF0BCD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7912" w:type="dxa"/>
            <w:noWrap w:val="0"/>
            <w:vAlign w:val="center"/>
          </w:tcPr>
          <w:p w14:paraId="5188BE6C">
            <w:pPr>
              <w:pStyle w:val="25"/>
              <w:spacing w:line="360" w:lineRule="auto"/>
              <w:rPr>
                <w:rFonts w:hint="eastAsia" w:hAnsi="宋体"/>
                <w:color w:val="auto"/>
                <w:sz w:val="21"/>
                <w:highlight w:val="none"/>
              </w:rPr>
            </w:pPr>
            <w:r>
              <w:rPr>
                <w:rFonts w:hint="eastAsia" w:hAnsi="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w:t>
            </w:r>
            <w:r>
              <w:rPr>
                <w:rFonts w:hint="eastAsia" w:hAnsi="宋体"/>
                <w:color w:val="auto"/>
                <w:sz w:val="21"/>
                <w:highlight w:val="none"/>
                <w:lang w:eastAsia="zh-CN"/>
              </w:rPr>
              <w:t>账</w:t>
            </w:r>
            <w:r>
              <w:rPr>
                <w:rFonts w:hint="eastAsia" w:hAnsi="宋体"/>
                <w:color w:val="auto"/>
                <w:sz w:val="21"/>
                <w:highlight w:val="none"/>
              </w:rPr>
              <w:t>户，也可以使用银行保函。工程竣工验收结算经审定后，按照规定程序，将农民工工资保证金没有使用或剩余的金额退还给承包人。</w:t>
            </w:r>
          </w:p>
        </w:tc>
      </w:tr>
      <w:tr w14:paraId="05EC2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7F08186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3</w:t>
            </w:r>
          </w:p>
        </w:tc>
        <w:tc>
          <w:tcPr>
            <w:tcW w:w="7912" w:type="dxa"/>
            <w:noWrap w:val="0"/>
            <w:vAlign w:val="center"/>
          </w:tcPr>
          <w:p w14:paraId="749CF56A">
            <w:pPr>
              <w:pStyle w:val="25"/>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47FE728">
            <w:pPr>
              <w:pStyle w:val="25"/>
              <w:spacing w:line="360" w:lineRule="auto"/>
              <w:rPr>
                <w:rFonts w:hint="eastAsia" w:hAnsi="宋体" w:cs="宋体"/>
                <w:color w:val="auto"/>
                <w:sz w:val="21"/>
                <w:highlight w:val="none"/>
              </w:rPr>
            </w:pPr>
            <w:r>
              <w:rPr>
                <w:rFonts w:hint="eastAsia" w:hAnsi="宋体" w:cs="宋体"/>
                <w:bCs/>
                <w:color w:val="auto"/>
                <w:sz w:val="21"/>
                <w:highlight w:val="none"/>
              </w:rPr>
              <w:t>2.本磋商文件所称的“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79D3C8E9">
            <w:pPr>
              <w:pStyle w:val="25"/>
              <w:spacing w:line="360" w:lineRule="auto"/>
              <w:rPr>
                <w:rFonts w:hint="eastAsia" w:hAnsi="宋体" w:cs="宋体"/>
                <w:bCs/>
                <w:color w:val="auto"/>
                <w:sz w:val="21"/>
                <w:highlight w:val="none"/>
              </w:rPr>
            </w:pPr>
            <w:r>
              <w:rPr>
                <w:rFonts w:hAnsi="宋体" w:cs="宋体"/>
                <w:color w:val="auto"/>
                <w:sz w:val="21"/>
                <w:highlight w:val="none"/>
              </w:rPr>
              <w:t>3</w:t>
            </w:r>
            <w:r>
              <w:rPr>
                <w:rFonts w:hint="eastAsia" w:hAnsi="宋体" w:cs="宋体"/>
                <w:color w:val="auto"/>
                <w:sz w:val="21"/>
                <w:highlight w:val="none"/>
              </w:rPr>
              <w:t>.供应商为其他组织时，本磋商文件规定的法定代表人指负责人。本磋商文件所称负责人是指参加竞标的其他组织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w:t>
            </w:r>
            <w:r>
              <w:rPr>
                <w:rFonts w:hint="eastAsia" w:hAnsi="宋体" w:cs="宋体"/>
                <w:bCs/>
                <w:color w:val="auto"/>
                <w:sz w:val="21"/>
                <w:highlight w:val="none"/>
              </w:rPr>
              <w:t>。</w:t>
            </w:r>
          </w:p>
          <w:p w14:paraId="4CCF9B9D">
            <w:pPr>
              <w:pStyle w:val="25"/>
              <w:spacing w:line="360" w:lineRule="auto"/>
              <w:rPr>
                <w:rFonts w:hint="eastAsia"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5391B15F">
            <w:pPr>
              <w:pStyle w:val="25"/>
              <w:spacing w:line="360" w:lineRule="auto"/>
              <w:rPr>
                <w:rFonts w:hint="eastAsia" w:hAnsi="宋体" w:cs="宋体"/>
                <w:color w:val="auto"/>
                <w:sz w:val="21"/>
                <w:highlight w:val="none"/>
              </w:rPr>
            </w:pPr>
            <w:r>
              <w:rPr>
                <w:rFonts w:hint="eastAsia" w:hAnsi="宋体" w:cs="宋体"/>
                <w:color w:val="auto"/>
                <w:sz w:val="21"/>
                <w:highlight w:val="none"/>
              </w:rPr>
              <w:t>5</w:t>
            </w:r>
            <w:r>
              <w:rPr>
                <w:rFonts w:hAnsi="宋体" w:cs="宋体"/>
                <w:color w:val="auto"/>
                <w:sz w:val="21"/>
                <w:highlight w:val="none"/>
              </w:rPr>
              <w:t>.</w:t>
            </w:r>
            <w:r>
              <w:rPr>
                <w:rFonts w:hint="eastAsia" w:hAnsi="宋体" w:cs="宋体"/>
                <w:color w:val="auto"/>
                <w:sz w:val="21"/>
                <w:highlight w:val="none"/>
              </w:rPr>
              <w:t>本磋商文件所称的“以上”“以下”“以内”“届满”，包括本数；所称的“不满”“超过”“以外”，不包括本数。</w:t>
            </w:r>
          </w:p>
        </w:tc>
      </w:tr>
    </w:tbl>
    <w:p w14:paraId="37B04990">
      <w:pP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供应商须知正文</w:t>
      </w:r>
    </w:p>
    <w:p w14:paraId="0102EF09">
      <w:pPr>
        <w:spacing w:line="400" w:lineRule="exact"/>
        <w:jc w:val="center"/>
        <w:rPr>
          <w:rFonts w:hint="eastAsia" w:ascii="宋体" w:hAnsi="宋体"/>
          <w:b/>
          <w:color w:val="auto"/>
          <w:sz w:val="32"/>
          <w:szCs w:val="32"/>
          <w:highlight w:val="none"/>
        </w:rPr>
      </w:pPr>
    </w:p>
    <w:p w14:paraId="6898D7F3">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4AA18182">
      <w:pPr>
        <w:spacing w:line="400" w:lineRule="exact"/>
        <w:rPr>
          <w:rFonts w:hint="eastAsia" w:ascii="宋体" w:hAnsi="宋体"/>
          <w:color w:val="auto"/>
          <w:szCs w:val="21"/>
          <w:highlight w:val="none"/>
        </w:rPr>
      </w:pPr>
    </w:p>
    <w:p w14:paraId="30F243AD">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591B097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7D469D8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1.2本竞争性磋商文件（以下简称磋商文件）适用于本项目的所有采购程序和环节（法律、法规另有规定的，从其规定）</w:t>
      </w:r>
      <w:r>
        <w:rPr>
          <w:rFonts w:hint="eastAsia" w:ascii="宋体" w:hAnsi="宋体" w:cs="宋体"/>
          <w:color w:val="auto"/>
          <w:spacing w:val="-6"/>
          <w:szCs w:val="21"/>
          <w:highlight w:val="none"/>
        </w:rPr>
        <w:t>。</w:t>
      </w:r>
    </w:p>
    <w:p w14:paraId="19161D96">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0079B95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8C915A0">
      <w:pPr>
        <w:spacing w:line="360" w:lineRule="auto"/>
        <w:ind w:firstLine="42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354F8A1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4771A065">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2.4“工程”是指建设工程，包括建筑物和构筑物的新建、改建、扩建、装修、拆除、修缮等。</w:t>
      </w:r>
    </w:p>
    <w:p w14:paraId="6D232F2F">
      <w:pPr>
        <w:spacing w:line="360" w:lineRule="auto"/>
        <w:ind w:firstLine="420"/>
        <w:rPr>
          <w:rFonts w:hint="eastAsia" w:ascii="宋体" w:hAnsi="宋体" w:cs="宋体"/>
          <w:color w:val="auto"/>
          <w:szCs w:val="21"/>
          <w:highlight w:val="none"/>
        </w:rPr>
      </w:pPr>
      <w:bookmarkStart w:id="62" w:name="REVIEW_AI_BM_AI_11989_194_0_15"/>
      <w:r>
        <w:rPr>
          <w:color w:val="auto"/>
          <w:highlight w:val="none"/>
          <w:shd w:val="clear" w:color="FFFFFF" w:fill="FFFFFF"/>
        </w:rPr>
        <w:t>2.5“竞标”是指供应商按照本项目竞争性磋商公告或者邀请函规定的方式获取磋商文件、提交响应文件并希望获得标的的行为。</w:t>
      </w:r>
      <w:bookmarkEnd w:id="62"/>
    </w:p>
    <w:p w14:paraId="79D61EDF">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266B5A82">
      <w:pPr>
        <w:spacing w:line="360" w:lineRule="auto"/>
        <w:ind w:firstLine="420"/>
        <w:contextualSpacing/>
        <w:rPr>
          <w:rFonts w:hint="eastAsia" w:ascii="宋体" w:hAnsi="宋体" w:cs="宋体"/>
          <w:color w:val="auto"/>
          <w:szCs w:val="21"/>
          <w:highlight w:val="none"/>
        </w:rPr>
      </w:pPr>
      <w:bookmarkStart w:id="63" w:name="REVIEW_AI_BM_AI_11989_196_0_16"/>
      <w:r>
        <w:rPr>
          <w:color w:val="auto"/>
          <w:highlight w:val="none"/>
          <w:shd w:val="clear" w:color="FFFFFF" w:fill="FFFFFF"/>
        </w:rPr>
        <w:t>2.7“响应文件”是指：供应商根据本磋商文件要求，编制包含资格证明、报价、商务技术等所有内容的文件。</w:t>
      </w:r>
      <w:bookmarkEnd w:id="63"/>
    </w:p>
    <w:p w14:paraId="7F7BECB0">
      <w:pPr>
        <w:spacing w:line="360" w:lineRule="auto"/>
        <w:ind w:firstLine="420"/>
        <w:contextualSpacing/>
        <w:rPr>
          <w:rFonts w:hint="eastAsia" w:ascii="宋体" w:hAnsi="宋体" w:cs="宋体"/>
          <w:color w:val="auto"/>
          <w:szCs w:val="21"/>
          <w:highlight w:val="none"/>
        </w:rPr>
      </w:pPr>
      <w:bookmarkStart w:id="64" w:name="REVIEW_AI_BM_AI_11989_197_0_17"/>
      <w:r>
        <w:rPr>
          <w:color w:val="auto"/>
          <w:highlight w:val="none"/>
          <w:shd w:val="clear" w:color="FFFFFF" w:fill="FFFFFF"/>
        </w:rPr>
        <w:t>2.8“实质性要求”是指磋商文件中已经指明不满足则响应文件按无效处理的条款，或者不能负偏离的条款，或者采购需求中带“▲”的条款。</w:t>
      </w:r>
      <w:bookmarkEnd w:id="64"/>
    </w:p>
    <w:p w14:paraId="5034165F">
      <w:pPr>
        <w:spacing w:line="360" w:lineRule="auto"/>
        <w:ind w:firstLine="420"/>
        <w:contextualSpacing/>
        <w:rPr>
          <w:rFonts w:hint="eastAsia" w:ascii="宋体" w:hAnsi="宋体" w:cs="宋体"/>
          <w:color w:val="auto"/>
          <w:szCs w:val="21"/>
          <w:highlight w:val="none"/>
        </w:rPr>
      </w:pPr>
      <w:bookmarkStart w:id="65" w:name="REVIEW_AI_BM_AI_11989_198_0_18"/>
      <w:r>
        <w:rPr>
          <w:color w:val="auto"/>
          <w:highlight w:val="none"/>
          <w:shd w:val="clear" w:color="FFFFFF" w:fill="FFFFFF"/>
        </w:rPr>
        <w:t>2.9“正偏离”，是指响应文件对磋商文件“采购需求”中有关条款作出的响应优于条款要求并有利于采购人的情形。</w:t>
      </w:r>
      <w:bookmarkEnd w:id="65"/>
    </w:p>
    <w:p w14:paraId="794B0CDB">
      <w:pPr>
        <w:spacing w:line="360" w:lineRule="auto"/>
        <w:ind w:firstLine="42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4F391F4D">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5D729C9F">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10EF5CD3">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49C8D5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38A26216">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4899C45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4E0D984A">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7A983D8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3D7E2EE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2CDB18B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5.3</w:t>
      </w:r>
      <w:bookmarkStart w:id="66" w:name="_Hlk66782192"/>
      <w:r>
        <w:rPr>
          <w:rFonts w:hint="eastAsia" w:ascii="宋体" w:hAnsi="宋体"/>
          <w:color w:val="auto"/>
          <w:szCs w:val="21"/>
          <w:highlight w:val="none"/>
        </w:rPr>
        <w:t>根据《政府采购促进中小企业发展管理办法》（财库〔2020〕46号）第九条第二款及《广西壮族自治区财政厅关于贯彻落实政府采购支持中小企业发展政策的通知》（桂财采〔2022〕31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6"/>
    </w:p>
    <w:p w14:paraId="6C50A795">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6D39DD50">
      <w:pPr>
        <w:pStyle w:val="7"/>
        <w:keepNext w:val="0"/>
        <w:keepLines w:val="0"/>
        <w:spacing w:before="0" w:after="0" w:line="360" w:lineRule="auto"/>
        <w:ind w:left="420"/>
        <w:rPr>
          <w:rFonts w:hint="eastAsia" w:ascii="宋体" w:hAnsi="宋体"/>
          <w:b w:val="0"/>
          <w:color w:val="auto"/>
          <w:sz w:val="21"/>
          <w:szCs w:val="21"/>
          <w:highlight w:val="none"/>
        </w:rPr>
      </w:pPr>
      <w:bookmarkStart w:id="67" w:name="_Toc254970532"/>
      <w:bookmarkStart w:id="68" w:name="_Toc254970673"/>
      <w:r>
        <w:rPr>
          <w:rFonts w:hint="eastAsia" w:ascii="宋体" w:hAnsi="宋体"/>
          <w:b w:val="0"/>
          <w:color w:val="auto"/>
          <w:sz w:val="21"/>
          <w:szCs w:val="21"/>
          <w:highlight w:val="none"/>
        </w:rPr>
        <w:t>6.1本项目不允许转包。</w:t>
      </w:r>
    </w:p>
    <w:p w14:paraId="5FEC2C57">
      <w:pPr>
        <w:pStyle w:val="7"/>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026DDD33">
      <w:pPr>
        <w:pStyle w:val="7"/>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4BCBADF7">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7"/>
      <w:bookmarkEnd w:id="68"/>
    </w:p>
    <w:p w14:paraId="5FDDBEAA">
      <w:pPr>
        <w:spacing w:line="360" w:lineRule="auto"/>
        <w:ind w:firstLine="420"/>
        <w:rPr>
          <w:rFonts w:hint="eastAsia" w:ascii="宋体" w:hAnsi="宋体" w:cs="宋体"/>
          <w:color w:val="auto"/>
          <w:szCs w:val="21"/>
          <w:highlight w:val="none"/>
        </w:rPr>
      </w:pPr>
      <w:bookmarkStart w:id="69" w:name="_8.1提供相同品牌产品且通过资格审查、符合性审查的不同投标人参加同一合"/>
      <w:bookmarkEnd w:id="69"/>
      <w:r>
        <w:rPr>
          <w:rFonts w:hint="eastAsia" w:ascii="宋体" w:hAnsi="宋体" w:cs="宋体"/>
          <w:color w:val="auto"/>
          <w:szCs w:val="21"/>
          <w:highlight w:val="none"/>
        </w:rPr>
        <w:t>7.</w:t>
      </w:r>
      <w:r>
        <w:rPr>
          <w:rFonts w:ascii="宋体" w:hAnsi="宋体" w:cs="宋体"/>
          <w:color w:val="auto"/>
          <w:szCs w:val="21"/>
          <w:highlight w:val="none"/>
        </w:rPr>
        <w:t>1</w:t>
      </w:r>
      <w:bookmarkStart w:id="70"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bookmarkEnd w:id="70"/>
    </w:p>
    <w:p w14:paraId="58E859B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64C7D3F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虚假材料谋取成交的，将报财政部门查处；签订合同后发现的，成交供应商须依照《中华人民共和国消费者权益保护法》规定赔偿采购人，且民事赔偿并不免除违法供应商的行政与刑事责任。</w:t>
      </w:r>
    </w:p>
    <w:p w14:paraId="611CAEC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246A23F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16F3B25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1E0DC97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11F6988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3C4517C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1AF013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1CF8555">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7.</w:t>
      </w:r>
      <w:r>
        <w:rPr>
          <w:rFonts w:ascii="宋体" w:hAnsi="宋体" w:cs="宋体"/>
          <w:b w:val="0"/>
          <w:bCs w:val="0"/>
          <w:color w:val="auto"/>
          <w:szCs w:val="21"/>
          <w:highlight w:val="none"/>
        </w:rPr>
        <w:t>5</w:t>
      </w:r>
      <w:r>
        <w:rPr>
          <w:rFonts w:hint="eastAsia" w:ascii="宋体" w:hAnsi="宋体" w:cs="宋体"/>
          <w:b w:val="0"/>
          <w:bCs w:val="0"/>
          <w:color w:val="auto"/>
          <w:szCs w:val="21"/>
          <w:highlight w:val="none"/>
        </w:rPr>
        <w:t>有下列情形之一的视为供应商相互串通竞标，响应文件将被视为无效：</w:t>
      </w:r>
    </w:p>
    <w:p w14:paraId="413AF79A">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 xml:space="preserve">（1）不同供应商的响应文件由同一单位或者个人编制；或不同供应商报名的IP地址一致的；  </w:t>
      </w:r>
    </w:p>
    <w:p w14:paraId="0E39B42D">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（2）不同供应商委托同一单位或者个人办理竞标事宜；</w:t>
      </w:r>
    </w:p>
    <w:p w14:paraId="56C1E508">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（3）不同的供应商的响应文件载明的项目管理员为同一个人；</w:t>
      </w:r>
    </w:p>
    <w:p w14:paraId="677C5712">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（4）不同供应商的响应文件异常一致或者报价呈规律性差异；</w:t>
      </w:r>
    </w:p>
    <w:p w14:paraId="28252E59">
      <w:pPr>
        <w:spacing w:line="360" w:lineRule="auto"/>
        <w:ind w:firstLine="422"/>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（5）不同供应商的响应文件相互混装；</w:t>
      </w:r>
    </w:p>
    <w:p w14:paraId="356FD9E2">
      <w:pPr>
        <w:tabs>
          <w:tab w:val="left" w:pos="6931"/>
        </w:tabs>
        <w:spacing w:line="360" w:lineRule="auto"/>
        <w:ind w:firstLine="422"/>
        <w:rPr>
          <w:rFonts w:hint="eastAsia" w:ascii="宋体" w:hAnsi="宋体" w:cs="宋体"/>
          <w:color w:val="auto"/>
          <w:szCs w:val="21"/>
          <w:highlight w:val="none"/>
        </w:rPr>
      </w:pPr>
      <w:r>
        <w:rPr>
          <w:rFonts w:hint="eastAsia" w:ascii="宋体" w:hAnsi="宋体" w:cs="宋体"/>
          <w:b w:val="0"/>
          <w:bCs w:val="0"/>
          <w:color w:val="auto"/>
          <w:szCs w:val="21"/>
          <w:highlight w:val="none"/>
        </w:rPr>
        <w:t>（6）不同供应商的磋商保证金从同一单位或者个人账户转出。</w:t>
      </w:r>
      <w:r>
        <w:rPr>
          <w:rFonts w:ascii="宋体" w:hAnsi="宋体" w:cs="宋体"/>
          <w:b w:val="0"/>
          <w:bCs w:val="0"/>
          <w:color w:val="auto"/>
          <w:szCs w:val="21"/>
          <w:highlight w:val="none"/>
        </w:rPr>
        <w:tab/>
      </w:r>
    </w:p>
    <w:p w14:paraId="1F068CD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5956EB5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768FB93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02C0F41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F617F2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1A58091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E615C8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82737C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392ADFF">
      <w:pPr>
        <w:spacing w:line="360" w:lineRule="auto"/>
        <w:ind w:firstLine="420"/>
        <w:rPr>
          <w:rFonts w:hint="eastAsia" w:ascii="宋体" w:hAnsi="宋体" w:cs="宋体"/>
          <w:color w:val="auto"/>
          <w:szCs w:val="21"/>
          <w:highlight w:val="none"/>
        </w:rPr>
      </w:pPr>
    </w:p>
    <w:p w14:paraId="3D29E308">
      <w:pPr>
        <w:spacing w:line="360" w:lineRule="auto"/>
        <w:ind w:left="1" w:firstLine="417"/>
        <w:jc w:val="center"/>
        <w:rPr>
          <w:rFonts w:hint="eastAsia" w:ascii="宋体" w:hAnsi="宋体"/>
          <w:color w:val="auto"/>
          <w:highlight w:val="none"/>
        </w:rPr>
      </w:pPr>
      <w:bookmarkStart w:id="71" w:name="_Toc254970534"/>
      <w:bookmarkStart w:id="72" w:name="_Toc254970675"/>
    </w:p>
    <w:p w14:paraId="09E1D18C">
      <w:pPr>
        <w:spacing w:line="360" w:lineRule="auto"/>
        <w:ind w:left="1" w:firstLine="417"/>
        <w:jc w:val="center"/>
        <w:rPr>
          <w:rFonts w:hint="eastAsia" w:ascii="宋体" w:hAnsi="宋体"/>
          <w:color w:val="auto"/>
          <w:highlight w:val="none"/>
        </w:rPr>
      </w:pPr>
    </w:p>
    <w:p w14:paraId="4BD7169A">
      <w:pPr>
        <w:spacing w:line="360" w:lineRule="auto"/>
        <w:ind w:left="1" w:firstLine="417"/>
        <w:jc w:val="center"/>
        <w:rPr>
          <w:rFonts w:hint="eastAsia" w:ascii="宋体" w:hAnsi="宋体"/>
          <w:color w:val="auto"/>
          <w:highlight w:val="none"/>
        </w:rPr>
      </w:pPr>
    </w:p>
    <w:p w14:paraId="767C7590">
      <w:pPr>
        <w:spacing w:line="360" w:lineRule="auto"/>
        <w:ind w:left="1" w:firstLine="417"/>
        <w:jc w:val="center"/>
        <w:rPr>
          <w:rFonts w:hint="eastAsia" w:ascii="宋体" w:hAnsi="宋体"/>
          <w:color w:val="auto"/>
          <w:highlight w:val="none"/>
        </w:rPr>
      </w:pPr>
    </w:p>
    <w:p w14:paraId="0AF78A1E">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71"/>
      <w:bookmarkEnd w:id="72"/>
    </w:p>
    <w:p w14:paraId="557A5D11">
      <w:pPr>
        <w:spacing w:line="360" w:lineRule="auto"/>
        <w:rPr>
          <w:rFonts w:hint="eastAsia" w:ascii="宋体" w:hAnsi="宋体"/>
          <w:color w:val="auto"/>
          <w:szCs w:val="21"/>
          <w:highlight w:val="none"/>
        </w:rPr>
      </w:pPr>
    </w:p>
    <w:p w14:paraId="5251298B">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0EB3A792">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1D303900">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第二章  供应商须知； </w:t>
      </w:r>
    </w:p>
    <w:p w14:paraId="5E0767E0">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第三章  采购需求；</w:t>
      </w:r>
    </w:p>
    <w:p w14:paraId="5D28E306">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049A578B">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第五章  工程量清单及图纸；</w:t>
      </w:r>
    </w:p>
    <w:p w14:paraId="301D145D">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第六章  响应文件格式；</w:t>
      </w:r>
    </w:p>
    <w:p w14:paraId="66A2F558">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第七章  合同文本。</w:t>
      </w:r>
    </w:p>
    <w:p w14:paraId="14AB2EB4">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062B5AEE">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484BFE07">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265D3AC5">
      <w:pPr>
        <w:spacing w:line="360" w:lineRule="auto"/>
        <w:ind w:firstLine="420"/>
        <w:rPr>
          <w:rFonts w:hint="eastAsia" w:ascii="宋体" w:hAnsi="宋体"/>
          <w:color w:val="auto"/>
          <w:szCs w:val="21"/>
          <w:highlight w:val="none"/>
        </w:rPr>
      </w:pPr>
      <w:r>
        <w:rPr>
          <w:rFonts w:ascii="宋体" w:hAnsi="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auto"/>
          <w:szCs w:val="21"/>
          <w:highlight w:val="none"/>
        </w:rPr>
        <w:t>采购人或者采购代理机构应当</w:t>
      </w:r>
      <w:r>
        <w:rPr>
          <w:rFonts w:ascii="宋体" w:hAnsi="宋体"/>
          <w:color w:val="auto"/>
          <w:szCs w:val="21"/>
          <w:highlight w:val="none"/>
        </w:rPr>
        <w:t>在提交首次响应文件截止之日3个工作日前，以书面形式通知所有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磋商文件的供应商，不足3个工作日的，应当顺延提交首次响应文件截止之日。</w:t>
      </w:r>
    </w:p>
    <w:p w14:paraId="61A46471">
      <w:pPr>
        <w:spacing w:line="360" w:lineRule="auto"/>
        <w:rPr>
          <w:rFonts w:hint="eastAsia" w:ascii="宋体" w:hAnsi="宋体"/>
          <w:color w:val="auto"/>
          <w:szCs w:val="21"/>
          <w:highlight w:val="none"/>
        </w:rPr>
      </w:pPr>
    </w:p>
    <w:p w14:paraId="7AAE2AD3">
      <w:pPr>
        <w:spacing w:line="360" w:lineRule="auto"/>
        <w:jc w:val="center"/>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06ADD073">
      <w:pPr>
        <w:spacing w:line="360" w:lineRule="auto"/>
        <w:rPr>
          <w:rFonts w:hint="eastAsia" w:ascii="宋体" w:hAnsi="宋体"/>
          <w:color w:val="auto"/>
          <w:szCs w:val="21"/>
          <w:highlight w:val="none"/>
        </w:rPr>
      </w:pPr>
    </w:p>
    <w:p w14:paraId="55227F8D">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278431C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15761B79">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6F08C0A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3DD4B73E">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24868BE2">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58B12615">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1F0ECA53">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15748BB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332018B0">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715FD66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04B2002C">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3BBD531A">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15.1竞标报价应按磋商文件中“竞标报价表”格式填写。</w:t>
      </w:r>
    </w:p>
    <w:p w14:paraId="6929F258">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09431B60">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15.3本项目的增值税计税方法见“供应商须知前附表”。</w:t>
      </w:r>
    </w:p>
    <w:p w14:paraId="6E7DD996">
      <w:pPr>
        <w:spacing w:line="360" w:lineRule="auto"/>
        <w:ind w:left="426"/>
        <w:rPr>
          <w:rFonts w:hint="eastAsia" w:ascii="宋体" w:hAnsi="宋体" w:cs="宋体"/>
          <w:color w:val="auto"/>
          <w:szCs w:val="21"/>
          <w:highlight w:val="none"/>
        </w:rPr>
      </w:pPr>
      <w:r>
        <w:rPr>
          <w:rFonts w:hint="eastAsia" w:ascii="宋体" w:hAnsi="宋体" w:cs="宋体"/>
          <w:color w:val="auto"/>
          <w:szCs w:val="21"/>
          <w:highlight w:val="none"/>
        </w:rPr>
        <w:t>15.4竞标报价要求</w:t>
      </w:r>
    </w:p>
    <w:p w14:paraId="6D1133AB">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ascii="宋体" w:hAnsi="宋体" w:cs="宋体"/>
          <w:b/>
          <w:bCs/>
          <w:color w:val="auto"/>
          <w:szCs w:val="21"/>
          <w:highlight w:val="none"/>
        </w:rPr>
        <w:t>5.</w:t>
      </w:r>
      <w:r>
        <w:rPr>
          <w:rFonts w:hint="eastAsia" w:ascii="宋体" w:hAnsi="宋体" w:cs="宋体"/>
          <w:b/>
          <w:bCs/>
          <w:color w:val="auto"/>
          <w:szCs w:val="21"/>
          <w:highlight w:val="none"/>
        </w:rPr>
        <w:t>4</w:t>
      </w:r>
      <w:r>
        <w:rPr>
          <w:rFonts w:ascii="宋体" w:hAnsi="宋体" w:cs="宋体"/>
          <w:b/>
          <w:bCs/>
          <w:color w:val="auto"/>
          <w:szCs w:val="21"/>
          <w:highlight w:val="none"/>
        </w:rPr>
        <w:t>.1</w:t>
      </w:r>
      <w:r>
        <w:rPr>
          <w:rFonts w:hint="eastAsia" w:ascii="宋体" w:hAnsi="宋体" w:cs="宋体"/>
          <w:b/>
          <w:bCs/>
          <w:color w:val="auto"/>
          <w:szCs w:val="21"/>
          <w:highlight w:val="none"/>
        </w:rPr>
        <w:t>供应商的竞标报价应符合以下要求，否则响应文件按无效处理：</w:t>
      </w:r>
    </w:p>
    <w:p w14:paraId="1534B679">
      <w:pPr>
        <w:spacing w:line="360" w:lineRule="auto"/>
        <w:ind w:left="420"/>
        <w:rPr>
          <w:rFonts w:hint="eastAsia" w:ascii="宋体" w:hAnsi="宋体" w:cs="宋体"/>
          <w:b/>
          <w:bCs/>
          <w:color w:val="auto"/>
          <w:szCs w:val="21"/>
          <w:highlight w:val="none"/>
        </w:rPr>
      </w:pPr>
      <w:r>
        <w:rPr>
          <w:rFonts w:hint="eastAsia" w:ascii="宋体" w:hAnsi="宋体" w:cs="宋体"/>
          <w:b/>
          <w:bCs/>
          <w:color w:val="auto"/>
          <w:szCs w:val="21"/>
          <w:highlight w:val="none"/>
        </w:rPr>
        <w:t>（1）供应商必须就“采购需求”中所竞标的每个分标的全部内容分别作完整唯一总价报价，不得存在漏项报价；</w:t>
      </w:r>
    </w:p>
    <w:p w14:paraId="2248F801">
      <w:pPr>
        <w:numPr>
          <w:ilvl w:val="0"/>
          <w:numId w:val="1"/>
        </w:num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供应商必须就所竞标的分标的单项内容作唯一报价。</w:t>
      </w:r>
    </w:p>
    <w:p w14:paraId="645F131B">
      <w:pPr>
        <w:numPr>
          <w:ilvl w:val="0"/>
          <w:numId w:val="1"/>
        </w:numPr>
        <w:spacing w:line="360" w:lineRule="auto"/>
        <w:ind w:firstLine="420"/>
        <w:rPr>
          <w:rFonts w:hint="eastAsia" w:ascii="宋体" w:hAnsi="宋体" w:cs="宋体"/>
          <w:b/>
          <w:bCs/>
          <w:color w:val="auto"/>
          <w:szCs w:val="21"/>
          <w:highlight w:val="none"/>
        </w:rPr>
      </w:pPr>
      <w:r>
        <w:rPr>
          <w:rFonts w:hint="eastAsia" w:ascii="宋体" w:hAnsi="宋体" w:cs="宋体"/>
          <w:b/>
          <w:bCs/>
          <w:color w:val="auto"/>
          <w:szCs w:val="21"/>
          <w:highlight w:val="none"/>
        </w:rPr>
        <w:t>供应商竞标报价（含总报价和单项报价）如明显低于其他通过符合性审查供应商的报价，有可能不能诚信履约的，磋商</w:t>
      </w:r>
      <w:r>
        <w:rPr>
          <w:rFonts w:ascii="宋体" w:hAnsi="宋体" w:cs="宋体"/>
          <w:b/>
          <w:bCs/>
          <w:color w:val="auto"/>
          <w:szCs w:val="21"/>
          <w:highlight w:val="none"/>
        </w:rPr>
        <w:t>小组可</w:t>
      </w:r>
      <w:r>
        <w:rPr>
          <w:rFonts w:ascii="ˎ̥" w:hAnsi="ˎ̥"/>
          <w:b/>
          <w:bCs/>
          <w:color w:val="auto"/>
          <w:sz w:val="22"/>
          <w:szCs w:val="22"/>
          <w:highlight w:val="none"/>
        </w:rPr>
        <w:t>要求其在评标现场合理的时间内提供书面说明</w:t>
      </w:r>
      <w:r>
        <w:rPr>
          <w:rFonts w:hint="eastAsia" w:ascii="宋体" w:hAnsi="宋体" w:cs="宋体"/>
          <w:b/>
          <w:bCs/>
          <w:color w:val="auto"/>
          <w:szCs w:val="21"/>
          <w:highlight w:val="none"/>
        </w:rPr>
        <w:t>。如无法提供说明，或者说明不足以证明合理性的，经磋商小组评定，响应文件按无效处理。</w:t>
      </w:r>
    </w:p>
    <w:p w14:paraId="2E6CDD5C">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15.4.</w:t>
      </w:r>
      <w:r>
        <w:rPr>
          <w:rFonts w:ascii="宋体" w:hAnsi="宋体" w:cs="宋体"/>
          <w:b/>
          <w:bCs/>
          <w:color w:val="auto"/>
          <w:szCs w:val="21"/>
          <w:highlight w:val="none"/>
        </w:rPr>
        <w:t>2</w:t>
      </w:r>
      <w:r>
        <w:rPr>
          <w:rFonts w:hint="eastAsia" w:ascii="宋体" w:hAnsi="宋体" w:cs="宋体"/>
          <w:b/>
          <w:bCs/>
          <w:color w:val="auto"/>
          <w:szCs w:val="21"/>
          <w:highlight w:val="none"/>
        </w:rPr>
        <w:t>竞标报价（包含首次报价、最后报价）超过所竞标分标规定的采购预算金额或者最高限价的，其响应文件将按无效处理。</w:t>
      </w:r>
    </w:p>
    <w:p w14:paraId="2174D124">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15.4.</w:t>
      </w:r>
      <w:r>
        <w:rPr>
          <w:rFonts w:ascii="宋体" w:hAnsi="宋体" w:cs="宋体"/>
          <w:b/>
          <w:bCs/>
          <w:color w:val="auto"/>
          <w:szCs w:val="21"/>
          <w:highlight w:val="none"/>
        </w:rPr>
        <w:t>3</w:t>
      </w:r>
      <w:bookmarkStart w:id="73" w:name="_Hlk42592874"/>
      <w:r>
        <w:rPr>
          <w:rFonts w:hint="eastAsia" w:ascii="宋体" w:hAnsi="宋体" w:cs="宋体"/>
          <w:b/>
          <w:bCs/>
          <w:color w:val="auto"/>
          <w:szCs w:val="21"/>
          <w:highlight w:val="none"/>
        </w:rPr>
        <w:t>竞标报价（包含首次报价、最后报价）超过分项采购预算金额或者最高限价的（如有要求），其响应文件将按无效处理。</w:t>
      </w:r>
    </w:p>
    <w:p w14:paraId="198806D5">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15.4.4供应商在提交响应文件截止时间前修改竞标函中的竞标总报价，应同时修改响应文件“已标价工程量清单”(如有)中的相应报价。此修改须符合本须知正文第20条、第21条的有关要求。</w:t>
      </w:r>
      <w:bookmarkEnd w:id="73"/>
    </w:p>
    <w:p w14:paraId="127AC810">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0B59C78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E479AD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6C0B46E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07ABD2E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65C5B5D0">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6CDCCF9E">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6E15BF2E">
      <w:pPr>
        <w:spacing w:line="360" w:lineRule="auto"/>
        <w:ind w:firstLine="420"/>
        <w:rPr>
          <w:rFonts w:hint="eastAsia" w:ascii="宋体" w:hAnsi="宋体" w:cs="宋体"/>
          <w:color w:val="auto"/>
          <w:szCs w:val="21"/>
          <w:highlight w:val="none"/>
        </w:rPr>
      </w:pPr>
      <w:bookmarkStart w:id="74" w:name="_Hlk66782243"/>
      <w:r>
        <w:rPr>
          <w:rFonts w:hint="eastAsia" w:ascii="宋体" w:hAnsi="宋体" w:cs="宋体"/>
          <w:color w:val="auto"/>
          <w:szCs w:val="21"/>
          <w:highlight w:val="none"/>
        </w:rPr>
        <w:t>未成交供应商的磋商保证金自成交通知书发出之日起5个工作日内退还；成交供应商的磋商保证金自签订合同之日起5个工作日内退还或者转为成交供应商的履约保证金。</w:t>
      </w:r>
      <w:bookmarkEnd w:id="74"/>
    </w:p>
    <w:p w14:paraId="53543F5F">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620FFC7F">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1A567DF0">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032A25F3">
      <w:pPr>
        <w:spacing w:line="360" w:lineRule="auto"/>
        <w:ind w:left="42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02FE92E1">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7B556CA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1736F666">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329752E4">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7253B244">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0FEAD8D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18.1供应商应先安装“广西政府采购云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F8C4BA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043EFFF7">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18.3响应文件须由供应商在规定位置签字、盖章（具体以供应商须知前附表或响应文件格式规定为准），否则按无效响应处理。</w:t>
      </w:r>
    </w:p>
    <w:p w14:paraId="7FEE6657">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18.4</w:t>
      </w:r>
      <w:bookmarkStart w:id="75" w:name="REVIEW_AI_BM_AI_11989_297_4_19"/>
      <w:r>
        <w:rPr>
          <w:rFonts w:hint="eastAsia" w:ascii="宋体" w:hAnsi="宋体" w:cs="宋体"/>
          <w:b/>
          <w:bCs/>
          <w:color w:val="auto"/>
          <w:szCs w:val="21"/>
          <w:highlight w:val="none"/>
          <w:shd w:val="clear" w:color="FFFFFF" w:fill="FFFFFF"/>
        </w:rPr>
        <w:t>响应文件中标注的供应商名称应与主体资格证明（如营业执照或者事业单位法人证书或者执业许可证或者登记证书等）及公章一致，否则其响应文件按无效处理</w:t>
      </w:r>
      <w:bookmarkEnd w:id="75"/>
      <w:r>
        <w:rPr>
          <w:rFonts w:hint="eastAsia" w:ascii="宋体" w:hAnsi="宋体" w:cs="宋体"/>
          <w:b/>
          <w:bCs/>
          <w:color w:val="auto"/>
          <w:szCs w:val="21"/>
          <w:highlight w:val="none"/>
        </w:rPr>
        <w:t>。</w:t>
      </w:r>
    </w:p>
    <w:p w14:paraId="77D91FF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5FAC83C6">
      <w:pPr>
        <w:spacing w:line="360" w:lineRule="auto"/>
        <w:ind w:firstLine="482"/>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7848278E">
      <w:pPr>
        <w:spacing w:line="360" w:lineRule="auto"/>
        <w:ind w:firstLine="420"/>
        <w:rPr>
          <w:rFonts w:hint="eastAsia" w:ascii="宋体" w:hAnsi="宋体" w:cs="宋体"/>
          <w:color w:val="auto"/>
          <w:szCs w:val="21"/>
          <w:highlight w:val="none"/>
        </w:rPr>
      </w:pPr>
      <w:r>
        <w:rPr>
          <w:rFonts w:hint="eastAsia"/>
          <w:color w:val="auto"/>
          <w:highlight w:val="none"/>
        </w:rPr>
        <w:t>电子备份响应文件是指通过“广西政府采购云电子投标客户端”在线编制生成且后缀名为“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详见“供应商须知前附表”。</w:t>
      </w:r>
    </w:p>
    <w:p w14:paraId="0322709F">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5B4724F4">
      <w:pPr>
        <w:spacing w:line="360" w:lineRule="auto"/>
        <w:ind w:firstLine="42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w:t>
      </w:r>
    </w:p>
    <w:p w14:paraId="53619064">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20.</w:t>
      </w:r>
      <w:r>
        <w:rPr>
          <w:rFonts w:ascii="宋体" w:hAnsi="宋体"/>
          <w:color w:val="auto"/>
          <w:szCs w:val="21"/>
          <w:highlight w:val="none"/>
        </w:rPr>
        <w:t>2</w:t>
      </w:r>
      <w:r>
        <w:rPr>
          <w:rFonts w:hint="eastAsia" w:ascii="宋体" w:hAnsi="宋体"/>
          <w:color w:val="auto"/>
          <w:szCs w:val="21"/>
          <w:highlight w:val="none"/>
        </w:rPr>
        <w:t>未在规定时间内提交或者未按照磋商文件要求加密的电子响应文件，广西政府采购云平台将拒收。</w:t>
      </w:r>
    </w:p>
    <w:p w14:paraId="60ED1E73">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03B5FE9E">
      <w:pPr>
        <w:spacing w:line="360" w:lineRule="auto"/>
        <w:ind w:firstLine="420"/>
        <w:rPr>
          <w:rFonts w:hint="eastAsia" w:hAnsi="宋体"/>
          <w:bCs/>
          <w:color w:val="auto"/>
          <w:szCs w:val="21"/>
          <w:highlight w:val="none"/>
        </w:rPr>
      </w:pPr>
      <w:bookmarkStart w:id="76" w:name="_Toc254970684"/>
      <w:bookmarkStart w:id="77" w:name="_Toc254970543"/>
      <w:r>
        <w:rPr>
          <w:rFonts w:hAnsi="宋体"/>
          <w:bCs/>
          <w:color w:val="auto"/>
          <w:szCs w:val="21"/>
          <w:highlight w:val="none"/>
        </w:rPr>
        <w:t>2</w:t>
      </w:r>
      <w:r>
        <w:rPr>
          <w:rFonts w:hint="eastAsia" w:hAnsi="宋体"/>
          <w:bCs/>
          <w:color w:val="auto"/>
          <w:szCs w:val="21"/>
          <w:highlight w:val="none"/>
        </w:rPr>
        <w:t>1.1供应商应当在提交响应文件截止</w:t>
      </w:r>
      <w:r>
        <w:rPr>
          <w:rFonts w:hAnsi="宋体"/>
          <w:bCs/>
          <w:color w:val="auto"/>
          <w:szCs w:val="21"/>
          <w:highlight w:val="none"/>
        </w:rPr>
        <w:t>时间</w:t>
      </w:r>
      <w:r>
        <w:rPr>
          <w:rFonts w:hint="eastAsia" w:hAnsi="宋体"/>
          <w:bCs/>
          <w:color w:val="auto"/>
          <w:szCs w:val="21"/>
          <w:highlight w:val="none"/>
        </w:rPr>
        <w:t>前完成电子响应文件的提交（上传），提交响应文件截止</w:t>
      </w:r>
      <w:r>
        <w:rPr>
          <w:rFonts w:hAnsi="宋体"/>
          <w:bCs/>
          <w:color w:val="auto"/>
          <w:szCs w:val="21"/>
          <w:highlight w:val="none"/>
        </w:rPr>
        <w:t>时间</w:t>
      </w:r>
      <w:r>
        <w:rPr>
          <w:rFonts w:hint="eastAsia" w:hAnsi="宋体"/>
          <w:bCs/>
          <w:color w:val="auto"/>
          <w:szCs w:val="21"/>
          <w:highlight w:val="none"/>
        </w:rPr>
        <w:t>前可以补充、修改或者撤回响应文件。补充或者修改响应文件的，应当先行撤回原响应文件，补充、修改后重新提交（上传），提交响应文件截止</w:t>
      </w:r>
      <w:r>
        <w:rPr>
          <w:rFonts w:hAnsi="宋体"/>
          <w:bCs/>
          <w:color w:val="auto"/>
          <w:szCs w:val="21"/>
          <w:highlight w:val="none"/>
        </w:rPr>
        <w:t>时间</w:t>
      </w:r>
      <w:r>
        <w:rPr>
          <w:rFonts w:hint="eastAsia" w:hAnsi="宋体"/>
          <w:bCs/>
          <w:color w:val="auto"/>
          <w:szCs w:val="21"/>
          <w:highlight w:val="none"/>
        </w:rPr>
        <w:t>前未完成提交（上传）的，视为撤回响应文件。提交响应文件截止</w:t>
      </w:r>
      <w:r>
        <w:rPr>
          <w:rFonts w:hAnsi="宋体"/>
          <w:bCs/>
          <w:color w:val="auto"/>
          <w:szCs w:val="21"/>
          <w:highlight w:val="none"/>
        </w:rPr>
        <w:t>时间</w:t>
      </w:r>
      <w:r>
        <w:rPr>
          <w:rFonts w:hint="eastAsia" w:hAnsi="宋体"/>
          <w:bCs/>
          <w:color w:val="auto"/>
          <w:szCs w:val="21"/>
          <w:highlight w:val="none"/>
        </w:rPr>
        <w:t>以后提交（上传）的响应文件，广西政府采购云平台将予以拒收。（注：补充、修改或者撤回方式可登录广西政府采购云平台，进入“服务中心”中查看“电子投标文件制作与投送教程”）</w:t>
      </w:r>
      <w:bookmarkEnd w:id="76"/>
      <w:bookmarkEnd w:id="77"/>
    </w:p>
    <w:p w14:paraId="77F5A8E5">
      <w:pPr>
        <w:pStyle w:val="300"/>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265D4D8F">
      <w:pPr>
        <w:spacing w:line="360" w:lineRule="auto"/>
        <w:ind w:firstLine="482"/>
        <w:rPr>
          <w:rFonts w:hint="eastAsia" w:ascii="黑体" w:hAnsi="黑体" w:eastAsia="黑体" w:cs="宋体"/>
          <w:b/>
          <w:bCs/>
          <w:color w:val="auto"/>
          <w:sz w:val="24"/>
          <w:highlight w:val="none"/>
        </w:rPr>
      </w:pPr>
      <w:bookmarkStart w:id="78" w:name="_Hlk45702405"/>
      <w:r>
        <w:rPr>
          <w:rFonts w:hint="eastAsia" w:ascii="黑体" w:hAnsi="黑体" w:eastAsia="黑体" w:cs="宋体"/>
          <w:b/>
          <w:bCs/>
          <w:color w:val="auto"/>
          <w:sz w:val="24"/>
          <w:highlight w:val="none"/>
        </w:rPr>
        <w:t>22.响应文件的退回</w:t>
      </w:r>
    </w:p>
    <w:p w14:paraId="64751DD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7C07D35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5342CC6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供应商在响应文件提交截止时间后向采购人、采购代理机构书面申请撤回响应文件的，将根据本须知正文第17.4条的规定不予退还其磋商保证金。</w:t>
      </w:r>
      <w:bookmarkEnd w:id="78"/>
    </w:p>
    <w:p w14:paraId="44A95122">
      <w:pPr>
        <w:spacing w:line="360" w:lineRule="auto"/>
        <w:rPr>
          <w:rFonts w:hint="eastAsia" w:ascii="宋体" w:hAnsi="宋体"/>
          <w:color w:val="auto"/>
          <w:szCs w:val="21"/>
          <w:highlight w:val="none"/>
        </w:rPr>
      </w:pPr>
    </w:p>
    <w:p w14:paraId="2E9A4F88">
      <w:pPr>
        <w:spacing w:line="360" w:lineRule="auto"/>
        <w:ind w:left="420" w:firstLine="420"/>
        <w:jc w:val="center"/>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70E9E780">
      <w:pPr>
        <w:spacing w:line="360" w:lineRule="auto"/>
        <w:ind w:left="420" w:firstLine="420"/>
        <w:rPr>
          <w:rFonts w:hint="eastAsia" w:ascii="宋体" w:hAnsi="宋体"/>
          <w:color w:val="auto"/>
          <w:szCs w:val="21"/>
          <w:highlight w:val="none"/>
        </w:rPr>
      </w:pPr>
    </w:p>
    <w:p w14:paraId="58630432">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69A4E52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75F8E89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8FF71EB">
      <w:pPr>
        <w:spacing w:line="360" w:lineRule="auto"/>
        <w:ind w:firstLine="42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51229F38">
      <w:pPr>
        <w:spacing w:line="360" w:lineRule="auto"/>
        <w:ind w:firstLine="420"/>
        <w:rPr>
          <w:rFonts w:hint="eastAsia" w:hAnsi="宋体"/>
          <w:bCs/>
          <w:color w:val="auto"/>
          <w:szCs w:val="21"/>
          <w:highlight w:val="none"/>
        </w:rPr>
      </w:pPr>
      <w:r>
        <w:rPr>
          <w:rFonts w:hint="eastAsia" w:ascii="宋体" w:hAnsi="宋体"/>
          <w:color w:val="auto"/>
          <w:highlight w:val="none"/>
        </w:rPr>
        <w:t>24.4参加过采购项目前期咨询论证的专家，不得参加该采购项目的评审活动。</w:t>
      </w:r>
    </w:p>
    <w:p w14:paraId="2AC243D3">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79B0CE5D">
      <w:pPr>
        <w:spacing w:line="360" w:lineRule="auto"/>
        <w:ind w:firstLine="42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的响应文件按无效处理</w:t>
      </w:r>
      <w:r>
        <w:rPr>
          <w:b/>
          <w:color w:val="auto"/>
          <w:highlight w:val="none"/>
        </w:rPr>
        <w:t>。</w:t>
      </w:r>
    </w:p>
    <w:p w14:paraId="0EE9C863">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39B9488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141FE5E5">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r>
        <w:rPr>
          <w:rFonts w:hint="eastAsia" w:ascii="宋体" w:hAnsi="宋体" w:cs="宋体"/>
          <w:color w:val="auto"/>
          <w:szCs w:val="21"/>
          <w:highlight w:val="none"/>
        </w:rPr>
        <w:t>并推荐成交候选供应商</w:t>
      </w:r>
      <w:r>
        <w:rPr>
          <w:rFonts w:ascii="宋体" w:hAnsi="宋体" w:cs="宋体"/>
          <w:color w:val="auto"/>
          <w:szCs w:val="21"/>
          <w:highlight w:val="none"/>
        </w:rPr>
        <w:t>。</w:t>
      </w:r>
    </w:p>
    <w:p w14:paraId="26C331EC">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295EF943">
      <w:pPr>
        <w:spacing w:line="360" w:lineRule="auto"/>
        <w:ind w:firstLine="420"/>
        <w:rPr>
          <w:rFonts w:hint="eastAsia"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B8D409A">
      <w:pPr>
        <w:spacing w:line="360" w:lineRule="auto"/>
        <w:ind w:firstLine="42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34F435CD">
      <w:pPr>
        <w:spacing w:line="360" w:lineRule="auto"/>
        <w:ind w:firstLine="420"/>
        <w:rPr>
          <w:rFonts w:hint="eastAsia" w:hAnsi="宋体"/>
          <w:color w:val="auto"/>
          <w:highlight w:val="none"/>
        </w:rPr>
      </w:pPr>
      <w:r>
        <w:rPr>
          <w:rFonts w:hint="eastAsia" w:hAnsi="宋体"/>
          <w:color w:val="auto"/>
          <w:highlight w:val="none"/>
        </w:rPr>
        <w:t>（1）电子交易平台发生故障而无法登录访问的；</w:t>
      </w:r>
    </w:p>
    <w:p w14:paraId="17C0DBDB">
      <w:pPr>
        <w:spacing w:line="360" w:lineRule="auto"/>
        <w:ind w:firstLine="420"/>
        <w:rPr>
          <w:rFonts w:hint="eastAsia" w:hAnsi="宋体"/>
          <w:color w:val="auto"/>
          <w:highlight w:val="none"/>
        </w:rPr>
      </w:pPr>
      <w:r>
        <w:rPr>
          <w:rFonts w:hint="eastAsia" w:hAnsi="宋体"/>
          <w:color w:val="auto"/>
          <w:highlight w:val="none"/>
        </w:rPr>
        <w:t>（2）电子交易平台应用或数据库出现错误，不能进行正常操作的；</w:t>
      </w:r>
    </w:p>
    <w:p w14:paraId="5CBF26FD">
      <w:pPr>
        <w:spacing w:line="360" w:lineRule="auto"/>
        <w:ind w:firstLine="420"/>
        <w:rPr>
          <w:rFonts w:hint="eastAsia" w:hAnsi="宋体"/>
          <w:color w:val="auto"/>
          <w:highlight w:val="none"/>
        </w:rPr>
      </w:pPr>
      <w:r>
        <w:rPr>
          <w:rFonts w:hint="eastAsia" w:hAnsi="宋体"/>
          <w:color w:val="auto"/>
          <w:highlight w:val="none"/>
        </w:rPr>
        <w:t>（3）电子交易平台发现严重安全漏洞，有潜在泄密危险的；</w:t>
      </w:r>
    </w:p>
    <w:p w14:paraId="2C47AE39">
      <w:pPr>
        <w:spacing w:line="360" w:lineRule="auto"/>
        <w:ind w:firstLine="420"/>
        <w:rPr>
          <w:rFonts w:hint="eastAsia" w:hAnsi="宋体"/>
          <w:color w:val="auto"/>
          <w:highlight w:val="none"/>
        </w:rPr>
      </w:pPr>
      <w:r>
        <w:rPr>
          <w:rFonts w:hint="eastAsia" w:hAnsi="宋体"/>
          <w:color w:val="auto"/>
          <w:highlight w:val="none"/>
        </w:rPr>
        <w:t>（4）病毒发作导致不能进行正常操作的；</w:t>
      </w:r>
    </w:p>
    <w:p w14:paraId="54F39347">
      <w:pPr>
        <w:spacing w:line="360" w:lineRule="auto"/>
        <w:ind w:firstLine="420"/>
        <w:rPr>
          <w:rFonts w:hint="eastAsia" w:hAnsi="宋体"/>
          <w:color w:val="auto"/>
          <w:highlight w:val="none"/>
        </w:rPr>
      </w:pPr>
      <w:r>
        <w:rPr>
          <w:rFonts w:hint="eastAsia" w:hAnsi="宋体"/>
          <w:color w:val="auto"/>
          <w:highlight w:val="none"/>
        </w:rPr>
        <w:t>（5）其他无法保证电子交易的公平、公正和安全的情况。</w:t>
      </w:r>
    </w:p>
    <w:p w14:paraId="1F65EB14">
      <w:pPr>
        <w:spacing w:line="360" w:lineRule="auto"/>
        <w:ind w:firstLine="42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3F82167">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01263CAC">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2F23434">
      <w:pPr>
        <w:spacing w:line="360" w:lineRule="auto"/>
        <w:ind w:firstLine="42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9"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79"/>
    </w:p>
    <w:p w14:paraId="10C97EB2">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1D0E1C70">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4165C57F">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7856824C">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29D18802">
      <w:pPr>
        <w:spacing w:line="360" w:lineRule="auto"/>
        <w:ind w:firstLine="420"/>
        <w:rPr>
          <w:rFonts w:hint="eastAsia"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665B8BDE">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6111A700">
      <w:pPr>
        <w:spacing w:line="360" w:lineRule="auto"/>
        <w:ind w:firstLine="424"/>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7D40A5A7">
      <w:pPr>
        <w:spacing w:line="360" w:lineRule="auto"/>
        <w:ind w:firstLine="424"/>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.2在履约保证金退还日期前，若成交供应商的开户名称、开户银行、账号有变动的，请以书面形式通知履约保证金收取单位，否则由此产生的后果由成交供应商自行承担。</w:t>
      </w:r>
    </w:p>
    <w:p w14:paraId="34200522">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4B71C0CB">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65FE049C">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5D03BED8">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73BD4D11">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404274E5">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08B4870">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0A66C2F6">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23521BC7">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00074EA">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4C9203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8A6FFA6">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59AA326F">
      <w:pPr>
        <w:pStyle w:val="8"/>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715DAFD4">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322F3A3F">
      <w:pPr>
        <w:spacing w:line="360" w:lineRule="auto"/>
        <w:ind w:firstLine="420"/>
        <w:rPr>
          <w:rFonts w:hint="eastAsia" w:ascii="宋体" w:hAnsi="宋体" w:cs="宋体"/>
          <w:color w:val="auto"/>
          <w:highlight w:val="none"/>
        </w:rPr>
      </w:pPr>
      <w:r>
        <w:rPr>
          <w:rFonts w:hint="eastAsia" w:ascii="宋体" w:hAnsi="宋体" w:cs="宋体"/>
          <w:color w:val="auto"/>
          <w:highlight w:val="none"/>
        </w:rPr>
        <w:t>（1）对可以质疑的磋商文件提出质疑的，为获取磋商文件之日或者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58DA61D2">
      <w:pPr>
        <w:spacing w:line="360" w:lineRule="auto"/>
        <w:ind w:firstLine="42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4CE79473">
      <w:pPr>
        <w:spacing w:line="360" w:lineRule="auto"/>
        <w:ind w:firstLine="42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6B36CD7A">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3075A906">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CE20DA4">
      <w:pPr>
        <w:spacing w:line="360" w:lineRule="auto"/>
        <w:ind w:firstLine="42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77322AD6">
      <w:pPr>
        <w:spacing w:line="360" w:lineRule="auto"/>
        <w:ind w:firstLine="420"/>
        <w:rPr>
          <w:rFonts w:hint="eastAsia" w:ascii="宋体" w:hAnsi="宋体" w:cs="宋体"/>
          <w:color w:val="auto"/>
          <w:highlight w:val="none"/>
        </w:rPr>
      </w:pPr>
      <w:r>
        <w:rPr>
          <w:rFonts w:hint="eastAsia" w:ascii="宋体" w:hAnsi="宋体" w:cs="宋体"/>
          <w:color w:val="auto"/>
          <w:highlight w:val="none"/>
        </w:rPr>
        <w:t>（2）质疑项目的名称、编号；</w:t>
      </w:r>
    </w:p>
    <w:p w14:paraId="5AA240E9">
      <w:pPr>
        <w:spacing w:line="360" w:lineRule="auto"/>
        <w:ind w:firstLine="42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1DA11D83">
      <w:pPr>
        <w:spacing w:line="360" w:lineRule="auto"/>
        <w:ind w:firstLine="420"/>
        <w:rPr>
          <w:rFonts w:hint="eastAsia" w:ascii="宋体" w:hAnsi="宋体" w:cs="宋体"/>
          <w:color w:val="auto"/>
          <w:highlight w:val="none"/>
        </w:rPr>
      </w:pPr>
      <w:r>
        <w:rPr>
          <w:rFonts w:hint="eastAsia" w:ascii="宋体" w:hAnsi="宋体" w:cs="宋体"/>
          <w:color w:val="auto"/>
          <w:highlight w:val="none"/>
        </w:rPr>
        <w:t>（4）事实依据；</w:t>
      </w:r>
    </w:p>
    <w:p w14:paraId="48F5EF86">
      <w:pPr>
        <w:spacing w:line="360" w:lineRule="auto"/>
        <w:ind w:firstLine="420"/>
        <w:rPr>
          <w:rFonts w:hint="eastAsia" w:ascii="宋体" w:hAnsi="宋体" w:cs="宋体"/>
          <w:color w:val="auto"/>
          <w:highlight w:val="none"/>
        </w:rPr>
      </w:pPr>
      <w:r>
        <w:rPr>
          <w:rFonts w:hint="eastAsia" w:ascii="宋体" w:hAnsi="宋体" w:cs="宋体"/>
          <w:color w:val="auto"/>
          <w:highlight w:val="none"/>
        </w:rPr>
        <w:t>（5）必要的法律依据；</w:t>
      </w:r>
    </w:p>
    <w:p w14:paraId="1DF2C5B8">
      <w:pPr>
        <w:spacing w:line="360" w:lineRule="auto"/>
        <w:ind w:firstLine="420"/>
        <w:rPr>
          <w:rFonts w:hint="eastAsia" w:ascii="宋体" w:hAnsi="宋体" w:cs="宋体"/>
          <w:color w:val="auto"/>
          <w:highlight w:val="none"/>
        </w:rPr>
      </w:pPr>
      <w:r>
        <w:rPr>
          <w:rFonts w:hint="eastAsia" w:ascii="宋体" w:hAnsi="宋体" w:cs="宋体"/>
          <w:color w:val="auto"/>
          <w:highlight w:val="none"/>
        </w:rPr>
        <w:t>（6）提出质疑的日期。</w:t>
      </w:r>
    </w:p>
    <w:p w14:paraId="0597D5C0">
      <w:pPr>
        <w:spacing w:line="360" w:lineRule="auto"/>
        <w:ind w:firstLine="42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2CEFD92E">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086B768E">
      <w:pPr>
        <w:spacing w:line="360" w:lineRule="auto"/>
        <w:ind w:firstLine="42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DAFEBF2">
      <w:pPr>
        <w:spacing w:line="360" w:lineRule="auto"/>
        <w:ind w:firstLine="42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0FB6BE6">
      <w:pPr>
        <w:spacing w:line="360" w:lineRule="auto"/>
        <w:ind w:firstLine="42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486706E2">
      <w:pPr>
        <w:spacing w:line="360" w:lineRule="auto"/>
        <w:ind w:firstLine="42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337FEC03">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4D8E0136">
      <w:pPr>
        <w:tabs>
          <w:tab w:val="left" w:pos="2835"/>
        </w:tabs>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.1代理服务收取标准及缴费账户详见“供应商须知前附表”。</w:t>
      </w:r>
    </w:p>
    <w:p w14:paraId="5BD15174">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082EAB02">
      <w:pPr>
        <w:pStyle w:val="25"/>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3.1</w:t>
      </w:r>
      <w:r>
        <w:rPr>
          <w:rFonts w:hint="eastAsia" w:hAnsi="宋体" w:cs="宋体"/>
          <w:color w:val="auto"/>
          <w:sz w:val="21"/>
          <w:highlight w:val="none"/>
        </w:rPr>
        <w:t>本磋商文件解释规则详见“供应商须知前附表”。</w:t>
      </w:r>
    </w:p>
    <w:p w14:paraId="0163135E">
      <w:pPr>
        <w:pStyle w:val="25"/>
        <w:spacing w:line="360" w:lineRule="auto"/>
        <w:ind w:firstLine="420"/>
        <w:rPr>
          <w:rFonts w:hint="eastAsia" w:hAnsi="宋体" w:cs="宋体"/>
          <w:color w:val="auto"/>
          <w:sz w:val="21"/>
          <w:highlight w:val="none"/>
        </w:rPr>
      </w:pPr>
      <w:r>
        <w:rPr>
          <w:rFonts w:hint="eastAsia" w:hAnsi="宋体" w:cs="宋体"/>
          <w:color w:val="auto"/>
          <w:sz w:val="21"/>
          <w:highlight w:val="none"/>
        </w:rPr>
        <w:t>33.2农民工工资保证金见“供应商须知前附表”。</w:t>
      </w:r>
    </w:p>
    <w:p w14:paraId="50EAB3FF">
      <w:pPr>
        <w:pStyle w:val="25"/>
        <w:spacing w:line="360" w:lineRule="auto"/>
        <w:ind w:firstLine="420"/>
        <w:rPr>
          <w:rFonts w:hint="eastAsia" w:hAnsi="宋体" w:cs="宋体"/>
          <w:color w:val="auto"/>
          <w:sz w:val="21"/>
          <w:highlight w:val="none"/>
        </w:rPr>
      </w:pPr>
      <w:r>
        <w:rPr>
          <w:rFonts w:hAnsi="宋体" w:cs="宋体"/>
          <w:color w:val="auto"/>
          <w:sz w:val="21"/>
          <w:highlight w:val="none"/>
        </w:rPr>
        <w:t>33.</w:t>
      </w:r>
      <w:r>
        <w:rPr>
          <w:rFonts w:hint="eastAsia" w:hAnsi="宋体" w:cs="宋体"/>
          <w:color w:val="auto"/>
          <w:sz w:val="21"/>
          <w:highlight w:val="none"/>
        </w:rPr>
        <w:t>3 其他事项详见“供应商须知前附表”。</w:t>
      </w:r>
    </w:p>
    <w:p w14:paraId="570815FA">
      <w:pPr>
        <w:pStyle w:val="25"/>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w:t>
      </w:r>
      <w:r>
        <w:rPr>
          <w:rFonts w:hint="eastAsia" w:hAnsi="宋体" w:cs="宋体"/>
          <w:color w:val="auto"/>
          <w:sz w:val="21"/>
          <w:highlight w:val="none"/>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C40030A">
      <w:pPr>
        <w:pStyle w:val="25"/>
        <w:spacing w:line="360" w:lineRule="auto"/>
        <w:ind w:firstLine="42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6EC1940F">
      <w:pPr>
        <w:pStyle w:val="25"/>
        <w:spacing w:line="360" w:lineRule="auto"/>
        <w:ind w:firstLine="42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135A065A">
      <w:pPr>
        <w:pStyle w:val="25"/>
        <w:spacing w:line="360" w:lineRule="auto"/>
        <w:ind w:firstLine="42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7FB26AC1">
      <w:pPr>
        <w:pStyle w:val="25"/>
        <w:spacing w:line="360" w:lineRule="auto"/>
        <w:ind w:firstLine="420"/>
        <w:contextualSpacing/>
        <w:rPr>
          <w:rFonts w:hint="eastAsia" w:hAnsi="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auto"/>
          <w:sz w:val="21"/>
          <w:highlight w:val="none"/>
        </w:rPr>
        <w:t>中小企业的，联合体视同中小企业。其中，联合体各方均为小微企业的，联合体视同小微企业。</w:t>
      </w:r>
    </w:p>
    <w:p w14:paraId="7AB679ED">
      <w:pPr>
        <w:pStyle w:val="25"/>
        <w:spacing w:line="360" w:lineRule="auto"/>
        <w:ind w:firstLine="420"/>
        <w:contextualSpacing/>
        <w:rPr>
          <w:rFonts w:hint="eastAsia" w:hAnsi="宋体"/>
          <w:color w:val="auto"/>
          <w:sz w:val="21"/>
          <w:highlight w:val="none"/>
        </w:rPr>
      </w:pPr>
      <w:r>
        <w:rPr>
          <w:rFonts w:hint="eastAsia" w:hAnsi="宋体"/>
          <w:color w:val="auto"/>
          <w:sz w:val="21"/>
          <w:highlight w:val="none"/>
        </w:rPr>
        <w:t>依据本磋商文件规定享受扶持政策获得政府采购合同的，小微企业不得将合同分包给大中型企业，中型企业不得将合同分包给大型企业。</w:t>
      </w:r>
    </w:p>
    <w:p w14:paraId="45707734">
      <w:pPr>
        <w:pStyle w:val="3"/>
        <w:spacing w:after="340" w:line="360" w:lineRule="auto"/>
        <w:jc w:val="center"/>
        <w:rPr>
          <w:b/>
          <w:color w:val="auto"/>
          <w:sz w:val="44"/>
          <w:szCs w:val="44"/>
          <w:highlight w:val="none"/>
        </w:rPr>
      </w:pPr>
      <w:r>
        <w:rPr>
          <w:rFonts w:hAnsi="宋体"/>
          <w:b/>
          <w:color w:val="auto"/>
          <w:highlight w:val="none"/>
        </w:rPr>
        <w:br w:type="page" w:clear="all"/>
      </w:r>
      <w:bookmarkStart w:id="80" w:name="_Toc15281"/>
      <w:r>
        <w:rPr>
          <w:rFonts w:hint="eastAsia" w:ascii="Times New Roman" w:hAnsi="Times New Roman" w:eastAsia="宋体" w:cs="Times New Roman"/>
          <w:color w:val="auto"/>
          <w:highlight w:val="none"/>
        </w:rPr>
        <w:t>第三章 采购需求</w:t>
      </w:r>
      <w:bookmarkEnd w:id="80"/>
    </w:p>
    <w:p w14:paraId="0699D45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5673EE43">
      <w:pPr>
        <w:spacing w:line="360" w:lineRule="auto"/>
        <w:ind w:firstLine="42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r>
        <w:rPr>
          <w:rFonts w:hint="eastAsia" w:ascii="宋体" w:hAnsi="宋体" w:cs="宋体"/>
          <w:color w:val="auto"/>
          <w:szCs w:val="21"/>
          <w:highlight w:val="none"/>
        </w:rPr>
        <w:t>：</w:t>
      </w:r>
    </w:p>
    <w:p w14:paraId="5A585347">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097FAF5A">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）政府采购促进残疾人就业政策。</w:t>
      </w:r>
    </w:p>
    <w:p w14:paraId="0276BA09">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）政府采购支持监狱企业发展。</w:t>
      </w:r>
    </w:p>
    <w:p w14:paraId="1FCB9070">
      <w:pPr>
        <w:spacing w:line="360" w:lineRule="auto"/>
        <w:ind w:firstLine="424"/>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“实质性要求”是指采购需求中带“▲”的条款或者不能负偏离的条款或者已经指明不满足响应文件按无效处理的条款。</w:t>
      </w:r>
    </w:p>
    <w:p w14:paraId="5F70CFC3">
      <w:pPr>
        <w:spacing w:line="360" w:lineRule="auto"/>
        <w:ind w:firstLine="424"/>
        <w:jc w:val="left"/>
        <w:rPr>
          <w:rFonts w:hint="eastAsia"/>
          <w:color w:val="auto"/>
          <w:highlight w:val="none"/>
        </w:rPr>
      </w:pPr>
      <w:r>
        <w:rPr>
          <w:rFonts w:hint="eastAsia" w:ascii="宋体" w:hAnsi="宋体" w:cs="宋体"/>
          <w:color w:val="auto"/>
          <w:szCs w:val="21"/>
          <w:highlight w:val="none"/>
        </w:rPr>
        <w:t>3.</w:t>
      </w:r>
      <w:r>
        <w:rPr>
          <w:rFonts w:hint="eastAsia"/>
          <w:color w:val="auto"/>
          <w:highlight w:val="none"/>
        </w:rPr>
        <w:t>供应商必须自行为其竞标产品侵犯他人的知识产权或者专利成果的行为承担相应法律责任。</w:t>
      </w:r>
    </w:p>
    <w:p w14:paraId="70B91CDB">
      <w:pPr>
        <w:spacing w:line="360" w:lineRule="auto"/>
        <w:ind w:firstLine="424"/>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4.根据《关于在政府采购活动中对有关美国企业采取相关措施的通知》（财库〔2026〕10号）的规定，供应商提供的产品不得为财库〔2026〕10号文件附件规定的46家美国企业（不包括在华美资企业）生产的产品。</w:t>
      </w:r>
    </w:p>
    <w:tbl>
      <w:tblPr>
        <w:tblStyle w:val="45"/>
        <w:tblW w:w="95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7"/>
        <w:gridCol w:w="1521"/>
        <w:gridCol w:w="135"/>
        <w:gridCol w:w="976"/>
        <w:gridCol w:w="873"/>
        <w:gridCol w:w="5298"/>
      </w:tblGrid>
      <w:tr w14:paraId="16E26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727" w:type="dxa"/>
            <w:noWrap w:val="0"/>
            <w:vAlign w:val="center"/>
          </w:tcPr>
          <w:p w14:paraId="05DF49BB">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656" w:type="dxa"/>
            <w:gridSpan w:val="2"/>
            <w:noWrap w:val="0"/>
            <w:vAlign w:val="center"/>
          </w:tcPr>
          <w:p w14:paraId="621C2EE6">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976" w:type="dxa"/>
            <w:noWrap w:val="0"/>
            <w:vAlign w:val="center"/>
          </w:tcPr>
          <w:p w14:paraId="6E400E96">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数量及单位</w:t>
            </w:r>
          </w:p>
        </w:tc>
        <w:tc>
          <w:tcPr>
            <w:tcW w:w="873" w:type="dxa"/>
            <w:noWrap w:val="0"/>
            <w:vAlign w:val="center"/>
          </w:tcPr>
          <w:p w14:paraId="2A7C72F3">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所属行业</w:t>
            </w:r>
          </w:p>
        </w:tc>
        <w:tc>
          <w:tcPr>
            <w:tcW w:w="5298" w:type="dxa"/>
            <w:noWrap w:val="0"/>
            <w:vAlign w:val="center"/>
          </w:tcPr>
          <w:p w14:paraId="0352A1D5">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tc>
      </w:tr>
      <w:tr w14:paraId="63116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727" w:type="dxa"/>
            <w:noWrap w:val="0"/>
            <w:vAlign w:val="center"/>
          </w:tcPr>
          <w:p w14:paraId="5591925C">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6" w:type="dxa"/>
            <w:gridSpan w:val="2"/>
            <w:noWrap w:val="0"/>
            <w:vAlign w:val="center"/>
          </w:tcPr>
          <w:p w14:paraId="4CA8C7EF">
            <w:pPr>
              <w:tabs>
                <w:tab w:val="left" w:pos="180"/>
                <w:tab w:val="left" w:pos="1620"/>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贵港市覃塘区人民医院门急诊综合楼消防安全评估整改项目</w:t>
            </w:r>
          </w:p>
        </w:tc>
        <w:tc>
          <w:tcPr>
            <w:tcW w:w="976" w:type="dxa"/>
            <w:noWrap w:val="0"/>
            <w:vAlign w:val="center"/>
          </w:tcPr>
          <w:p w14:paraId="020B06FA">
            <w:pPr>
              <w:tabs>
                <w:tab w:val="left" w:pos="180"/>
                <w:tab w:val="left" w:pos="1620"/>
              </w:tabs>
              <w:spacing w:line="360" w:lineRule="auto"/>
              <w:jc w:val="center"/>
              <w:rPr>
                <w:rFonts w:hint="eastAsia" w:ascii="宋体" w:hAnsi="宋体" w:eastAsia="宋体" w:cs="宋体"/>
                <w:color w:val="auto"/>
                <w:sz w:val="21"/>
                <w:szCs w:val="21"/>
                <w:highlight w:val="none"/>
              </w:rPr>
            </w:pPr>
            <w:bookmarkStart w:id="81" w:name="REVIEW_AI_BM_AI_11989_401_0_20"/>
            <w:r>
              <w:rPr>
                <w:color w:val="auto"/>
                <w:highlight w:val="none"/>
                <w:shd w:val="clear" w:color="FFFFFF" w:fill="FFFFFF"/>
              </w:rPr>
              <w:t>1项</w:t>
            </w:r>
            <w:bookmarkEnd w:id="81"/>
          </w:p>
        </w:tc>
        <w:tc>
          <w:tcPr>
            <w:tcW w:w="873" w:type="dxa"/>
            <w:noWrap w:val="0"/>
            <w:vAlign w:val="center"/>
          </w:tcPr>
          <w:p w14:paraId="7C174E8D">
            <w:pPr>
              <w:tabs>
                <w:tab w:val="left" w:pos="180"/>
                <w:tab w:val="left" w:pos="1620"/>
              </w:tabs>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建筑业</w:t>
            </w:r>
          </w:p>
        </w:tc>
        <w:tc>
          <w:tcPr>
            <w:tcW w:w="5298" w:type="dxa"/>
            <w:noWrap w:val="0"/>
            <w:vAlign w:val="center"/>
          </w:tcPr>
          <w:p w14:paraId="5F994B30">
            <w:pPr>
              <w:pStyle w:val="337"/>
              <w:spacing w:line="360" w:lineRule="auto"/>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工程概况：</w:t>
            </w:r>
            <w:r>
              <w:rPr>
                <w:rFonts w:hint="eastAsia" w:ascii="宋体" w:hAnsi="宋体" w:eastAsia="宋体" w:cs="宋体"/>
                <w:b/>
                <w:bCs/>
                <w:color w:val="auto"/>
                <w:sz w:val="21"/>
                <w:szCs w:val="21"/>
                <w:highlight w:val="none"/>
                <w:lang w:eastAsia="zh-CN"/>
              </w:rPr>
              <w:t>贵港市覃塘区人民医院门急诊综合楼消防安全评估整改项目</w:t>
            </w:r>
            <w:r>
              <w:rPr>
                <w:rFonts w:hint="eastAsia" w:ascii="宋体" w:hAnsi="宋体" w:eastAsia="宋体" w:cs="宋体"/>
                <w:b/>
                <w:bCs/>
                <w:color w:val="auto"/>
                <w:sz w:val="21"/>
                <w:szCs w:val="21"/>
                <w:highlight w:val="none"/>
                <w:lang w:val="en-US" w:eastAsia="zh-CN"/>
              </w:rPr>
              <w:t>1项，详见招标控制价及图纸。</w:t>
            </w:r>
          </w:p>
          <w:p w14:paraId="149E2B0B">
            <w:pPr>
              <w:pStyle w:val="337"/>
              <w:spacing w:line="360" w:lineRule="auto"/>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1.质量要求：符合国家工程质量验收规范合格标准。</w:t>
            </w:r>
          </w:p>
          <w:p w14:paraId="1EFDBD81">
            <w:pPr>
              <w:pStyle w:val="337"/>
              <w:spacing w:line="360" w:lineRule="auto"/>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2.安全要求:</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应遵守安全生产法律、法规的规定及国家和工程所在地工程建设安全生产有关管理规定，严格按现行安全标准组织施工。</w:t>
            </w:r>
          </w:p>
          <w:p w14:paraId="5DF2E7D5">
            <w:pPr>
              <w:pStyle w:val="337"/>
              <w:spacing w:line="360" w:lineRule="auto"/>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3.技术要求：本工程应该认真按照设计施工图纸的要求进行施工，同时也要严格执行国家现行行业验收标准、各专业相关的现行标准和技术规范。</w:t>
            </w:r>
          </w:p>
          <w:p w14:paraId="253CB177">
            <w:pPr>
              <w:numPr>
                <w:ilvl w:val="0"/>
                <w:numId w:val="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4.需实现的功能或者目标：完成</w:t>
            </w:r>
            <w:r>
              <w:rPr>
                <w:rFonts w:hint="eastAsia" w:ascii="宋体" w:hAnsi="宋体" w:eastAsia="宋体" w:cs="宋体"/>
                <w:b/>
                <w:bCs/>
                <w:color w:val="auto"/>
                <w:sz w:val="21"/>
                <w:szCs w:val="21"/>
                <w:highlight w:val="none"/>
                <w:lang w:eastAsia="zh-CN"/>
              </w:rPr>
              <w:t>贵港市覃塘区人民医院门急诊综合楼消防安全评估整改项目</w:t>
            </w:r>
            <w:r>
              <w:rPr>
                <w:rFonts w:hint="eastAsia" w:ascii="宋体" w:hAnsi="宋体" w:eastAsia="宋体" w:cs="宋体"/>
                <w:b/>
                <w:bCs/>
                <w:color w:val="auto"/>
                <w:sz w:val="21"/>
                <w:szCs w:val="21"/>
                <w:highlight w:val="none"/>
              </w:rPr>
              <w:t>。</w:t>
            </w:r>
          </w:p>
        </w:tc>
      </w:tr>
      <w:tr w14:paraId="0DBD1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tcPr>
          <w:p w14:paraId="1A21D72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一、</w:t>
            </w:r>
            <w:r>
              <w:rPr>
                <w:rFonts w:hint="eastAsia" w:ascii="宋体" w:hAnsi="宋体" w:eastAsia="宋体" w:cs="宋体"/>
                <w:b/>
                <w:color w:val="auto"/>
                <w:sz w:val="21"/>
                <w:szCs w:val="21"/>
                <w:highlight w:val="none"/>
              </w:rPr>
              <w:t>商务要求：</w:t>
            </w:r>
          </w:p>
        </w:tc>
      </w:tr>
      <w:tr w14:paraId="1C7C5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0B6BEAEC">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工期</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6A70188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40</w:t>
            </w:r>
            <w:r>
              <w:rPr>
                <w:rFonts w:hint="eastAsia" w:ascii="宋体" w:hAnsi="宋体" w:eastAsia="宋体" w:cs="宋体"/>
                <w:b/>
                <w:bCs/>
                <w:color w:val="auto"/>
                <w:sz w:val="21"/>
                <w:szCs w:val="21"/>
                <w:highlight w:val="none"/>
                <w:lang w:val="zh-CN"/>
              </w:rPr>
              <w:t>日历天</w:t>
            </w:r>
          </w:p>
        </w:tc>
      </w:tr>
      <w:tr w14:paraId="686CB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1D9E5784">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建设地点</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5E901707">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贵港市覃塘区覃塘街道中山大道638号覃塘区人民医院门急诊综合楼（负1 层—9 层）</w:t>
            </w:r>
          </w:p>
        </w:tc>
      </w:tr>
      <w:tr w14:paraId="41FF3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6EF75F13">
            <w:pPr>
              <w:spacing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报价要求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544F741E">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本项目</w:t>
            </w:r>
            <w:r>
              <w:rPr>
                <w:rFonts w:hint="eastAsia" w:ascii="宋体" w:hAnsi="宋体" w:cs="宋体"/>
                <w:b/>
                <w:bCs/>
                <w:color w:val="auto"/>
                <w:szCs w:val="21"/>
                <w:highlight w:val="none"/>
                <w:lang w:val="en-US" w:eastAsia="zh-CN"/>
              </w:rPr>
              <w:t>采用固定综合单价</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竞标报价是履行合同的最终价格，包括了为实施和完成合同工程所需的劳务、材料、机械、质检（自检）、安装、系统调试、垃圾清运、消防安全评估技术服务</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缺陷修复、管理、保险、税费、利润等费用，以及合同明示或暗示的所有责任、义务和一般风险。</w:t>
            </w:r>
          </w:p>
          <w:p w14:paraId="627306C0">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报价中包括但不限于以下内容：</w:t>
            </w:r>
          </w:p>
          <w:p w14:paraId="7A7743CD">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1.所用防火门窗、救援窗、喷淋管材、喷头、排烟口、烟感、应急灯具、避难间配套消防设备原厂正品材料费、消防产品检测报告、3C 认证资料；</w:t>
            </w:r>
          </w:p>
          <w:p w14:paraId="074739F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2.设备、管材、辅料运输、场内吊装、上楼搬运费用；</w:t>
            </w:r>
          </w:p>
          <w:p w14:paraId="119769A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3.全部施工辅材：防火封堵材料、线管、线缆、密封胶、支吊架、切割耗材、工具耗材等；</w:t>
            </w:r>
          </w:p>
          <w:p w14:paraId="1F6C4609">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4.全工序人工费用：拆除工、安装工、水电工、高空作业、装修复原、消防系统调试、消防安全评估技术人员服务费；</w:t>
            </w:r>
          </w:p>
          <w:p w14:paraId="6F1E9147">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5.成品保护、现场围挡、施工安全防护、施工安全保险费用；</w:t>
            </w:r>
          </w:p>
          <w:p w14:paraId="54582DA6">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6.增值税专用发票全部税费；</w:t>
            </w:r>
          </w:p>
          <w:p w14:paraId="77A293C5">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7.原有废旧门窗、管道、报废消防设备、施工建筑垃圾统一清运出场；</w:t>
            </w:r>
          </w:p>
          <w:p w14:paraId="3311D72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8.系统整体调试、竣工图纸、竣工资料费用。</w:t>
            </w:r>
          </w:p>
        </w:tc>
      </w:tr>
      <w:tr w14:paraId="12CC6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49CAAE5E">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合同签订时间</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7F901D5E">
            <w:pPr>
              <w:spacing w:line="360" w:lineRule="auto"/>
              <w:rPr>
                <w:rFonts w:hint="eastAsia" w:ascii="宋体" w:hAnsi="宋体" w:eastAsia="宋体" w:cs="宋体"/>
                <w:b/>
                <w:bCs/>
                <w:color w:val="auto"/>
                <w:sz w:val="21"/>
                <w:szCs w:val="21"/>
                <w:highlight w:val="none"/>
              </w:rPr>
            </w:pPr>
            <w:bookmarkStart w:id="82" w:name="REVIEW_AI_BM_AI_11989_425_0_22"/>
            <w:r>
              <w:rPr>
                <w:b/>
                <w:bCs/>
                <w:color w:val="auto"/>
                <w:highlight w:val="none"/>
                <w:shd w:val="clear" w:color="FFFFFF" w:fill="FFFFFF"/>
              </w:rPr>
              <w:t>自成交通知书发出之日起25日内</w:t>
            </w:r>
            <w:bookmarkEnd w:id="82"/>
          </w:p>
        </w:tc>
      </w:tr>
      <w:tr w14:paraId="05C10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292F982B">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付款条件（进度和方式）</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ED7A19">
            <w:pPr>
              <w:spacing w:line="360" w:lineRule="auto"/>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rPr>
              <w:t>门急诊综合楼消防安全评估整改完成后，采购人支付合同款30%给供应商；通过消防安全评估审核，得到合格的审核报告后，采购人扣除审计结算总金额3%作为项目质量保证金，剩余</w:t>
            </w:r>
            <w:r>
              <w:rPr>
                <w:rFonts w:hint="eastAsia" w:ascii="宋体" w:hAnsi="宋体" w:cs="宋体"/>
                <w:b/>
                <w:bCs/>
                <w:color w:val="auto"/>
                <w:sz w:val="21"/>
                <w:szCs w:val="21"/>
                <w:highlight w:val="none"/>
                <w:lang w:val="en-US" w:eastAsia="zh-CN"/>
              </w:rPr>
              <w:t>的</w:t>
            </w:r>
            <w:r>
              <w:rPr>
                <w:rFonts w:hint="eastAsia" w:ascii="宋体" w:hAnsi="宋体" w:eastAsia="宋体" w:cs="宋体"/>
                <w:b/>
                <w:bCs/>
                <w:color w:val="auto"/>
                <w:sz w:val="21"/>
                <w:szCs w:val="21"/>
                <w:highlight w:val="none"/>
              </w:rPr>
              <w:t>审计结算款项</w:t>
            </w:r>
            <w:r>
              <w:rPr>
                <w:rFonts w:hint="eastAsia" w:ascii="宋体" w:hAnsi="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rPr>
              <w:t>在3个月内支付给成交供应商；</w:t>
            </w:r>
            <w:r>
              <w:rPr>
                <w:rFonts w:hint="eastAsia" w:ascii="宋体" w:hAnsi="宋体" w:cs="宋体"/>
                <w:b/>
                <w:bCs/>
                <w:color w:val="auto"/>
                <w:sz w:val="21"/>
                <w:szCs w:val="21"/>
                <w:highlight w:val="none"/>
                <w:lang w:val="en-US" w:eastAsia="zh-CN"/>
              </w:rPr>
              <w:t>待工程</w:t>
            </w:r>
            <w:r>
              <w:rPr>
                <w:rFonts w:hint="eastAsia" w:ascii="宋体" w:hAnsi="宋体" w:eastAsia="宋体" w:cs="宋体"/>
                <w:b/>
                <w:bCs/>
                <w:color w:val="auto"/>
                <w:sz w:val="21"/>
                <w:szCs w:val="21"/>
                <w:highlight w:val="none"/>
              </w:rPr>
              <w:t>保质期满，采购人1个月内支付项目质量保证金给成交供应商。</w:t>
            </w:r>
          </w:p>
        </w:tc>
      </w:tr>
      <w:tr w14:paraId="63A60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73508C0C">
            <w:pPr>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质量要求</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1E4DF65">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i w:val="0"/>
                <w:iCs w:val="0"/>
                <w:color w:val="auto"/>
                <w:spacing w:val="10"/>
                <w:sz w:val="21"/>
                <w:szCs w:val="21"/>
                <w:highlight w:val="none"/>
                <w:lang w:val="en-US" w:eastAsia="zh-CN" w:bidi="ar-SA"/>
              </w:rPr>
              <w:t>所有防火门、防火窗、喷淋管材、喷头、烟感、应急照明、避难间消防配件均为原厂全新合格产品，具备 3C 认证、型式检验报告，符合国家消防强制标准，严禁翻新、二手、非标准产品。</w:t>
            </w:r>
          </w:p>
        </w:tc>
      </w:tr>
      <w:tr w14:paraId="467E2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2BAB2B3C">
            <w:pPr>
              <w:spacing w:line="360" w:lineRule="auto"/>
              <w:jc w:val="center"/>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eastAsia="zh-CN"/>
              </w:rPr>
              <w:t>消防安全评估技术服务要求</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36C449">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bidi="ar-SA"/>
              </w:rPr>
              <w:t>1.</w:t>
            </w:r>
            <w:r>
              <w:rPr>
                <w:rFonts w:hint="eastAsia" w:ascii="宋体" w:hAnsi="宋体" w:eastAsia="宋体" w:cs="宋体"/>
                <w:b/>
                <w:bCs/>
                <w:color w:val="auto"/>
                <w:sz w:val="21"/>
                <w:szCs w:val="21"/>
                <w:highlight w:val="none"/>
                <w:lang w:val="en-US" w:eastAsia="zh-CN"/>
              </w:rPr>
              <w:t>现场全面排查门诊综合楼全部消防建筑、设施隐患；</w:t>
            </w:r>
          </w:p>
          <w:p w14:paraId="30F00717">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bidi="ar-SA"/>
              </w:rPr>
              <w:t>2.</w:t>
            </w:r>
            <w:r>
              <w:rPr>
                <w:rFonts w:hint="eastAsia" w:ascii="宋体" w:hAnsi="宋体" w:eastAsia="宋体" w:cs="宋体"/>
                <w:b/>
                <w:bCs/>
                <w:color w:val="auto"/>
                <w:sz w:val="21"/>
                <w:szCs w:val="21"/>
                <w:highlight w:val="none"/>
                <w:lang w:val="en-US" w:eastAsia="zh-CN"/>
              </w:rPr>
              <w:t>编制专项消防整改技术方案，匹配本次施工内容；</w:t>
            </w:r>
          </w:p>
          <w:p w14:paraId="63F3DEB6">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3.出具具备完整效力的消防安全评估正式报告，可用于消防核查、医院等级评审；</w:t>
            </w:r>
          </w:p>
          <w:p w14:paraId="3B89E928">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4.全程配合消防部门现场问询、资料复核。</w:t>
            </w:r>
          </w:p>
        </w:tc>
      </w:tr>
      <w:tr w14:paraId="0915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1"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0842C906">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施工期间应急保障要求</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B5154DB">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1.施工分段分时作业，每日施工前报备后勤、安保科室，作业区域消防回路、喷淋分区临时隔离，避免误报干扰门诊、住院正常诊疗；</w:t>
            </w:r>
          </w:p>
          <w:p w14:paraId="526FFBD2">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2.施工过程中出现火警、喷淋故障，施工人员须配合安保、后勤第一时间到场核查处置；</w:t>
            </w:r>
          </w:p>
          <w:p w14:paraId="77D49405">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3.整改完工保质期内，接到采购人消防设施故障报修通知后施工单位须</w:t>
            </w:r>
            <w:r>
              <w:rPr>
                <w:rFonts w:hint="eastAsia" w:ascii="宋体" w:hAnsi="宋体" w:cs="宋体"/>
                <w:b/>
                <w:bCs/>
                <w:color w:val="auto"/>
                <w:sz w:val="21"/>
                <w:szCs w:val="21"/>
                <w:highlight w:val="none"/>
                <w:lang w:val="en-US" w:eastAsia="zh-CN"/>
              </w:rPr>
              <w:t>在</w:t>
            </w:r>
            <w:r>
              <w:rPr>
                <w:rFonts w:hint="eastAsia" w:ascii="宋体" w:hAnsi="宋体" w:eastAsia="宋体" w:cs="宋体"/>
                <w:b/>
                <w:bCs/>
                <w:color w:val="auto"/>
                <w:sz w:val="21"/>
                <w:szCs w:val="21"/>
                <w:highlight w:val="none"/>
                <w:lang w:val="en-US" w:eastAsia="zh-CN"/>
              </w:rPr>
              <w:t>2 小时内到场处置，紧急故障立即上门抢修。</w:t>
            </w:r>
          </w:p>
          <w:p w14:paraId="3B51CC29">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4.施工现场常备灭火器材，动火作业执行动火审批、防火防护措施；每日完工清理现场，无遗留线缆、配件、包装杂物，杜绝施工期间新增消防安全隐患。</w:t>
            </w:r>
          </w:p>
        </w:tc>
      </w:tr>
      <w:tr w14:paraId="37A23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4" w:hRule="atLeast"/>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05D5744C">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验收标准</w:t>
            </w:r>
          </w:p>
        </w:tc>
        <w:tc>
          <w:tcPr>
            <w:tcW w:w="72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057D3DD">
            <w:pPr>
              <w:tabs>
                <w:tab w:val="left" w:pos="180"/>
                <w:tab w:val="left" w:pos="1620"/>
              </w:tabs>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符合现行国家相关标准、行业标准、地方标准或者其他标准、规范</w:t>
            </w:r>
            <w:r>
              <w:rPr>
                <w:rFonts w:hint="eastAsia" w:ascii="宋体" w:hAnsi="宋体" w:eastAsia="宋体" w:cs="宋体"/>
                <w:b/>
                <w:bCs/>
                <w:color w:val="auto"/>
                <w:sz w:val="21"/>
                <w:szCs w:val="21"/>
                <w:highlight w:val="none"/>
                <w:lang w:eastAsia="zh-CN"/>
              </w:rPr>
              <w:t>。</w:t>
            </w:r>
          </w:p>
          <w:p w14:paraId="7DEA6477">
            <w:pPr>
              <w:tabs>
                <w:tab w:val="left" w:pos="180"/>
                <w:tab w:val="left" w:pos="1620"/>
              </w:tabs>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1.验收依据：国家现行消防规范、采购文件、</w:t>
            </w:r>
            <w:r>
              <w:rPr>
                <w:rFonts w:hint="eastAsia" w:ascii="宋体" w:hAnsi="宋体" w:eastAsia="宋体" w:cs="宋体"/>
                <w:b/>
                <w:bCs/>
                <w:color w:val="auto"/>
                <w:sz w:val="21"/>
                <w:szCs w:val="21"/>
                <w:highlight w:val="none"/>
                <w:lang w:val="en-US" w:eastAsia="zh-CN"/>
              </w:rPr>
              <w:t>响应文件</w:t>
            </w:r>
            <w:r>
              <w:rPr>
                <w:rFonts w:hint="eastAsia" w:ascii="宋体" w:hAnsi="宋体" w:eastAsia="宋体" w:cs="宋体"/>
                <w:b/>
                <w:bCs/>
                <w:color w:val="auto"/>
                <w:sz w:val="21"/>
                <w:szCs w:val="21"/>
                <w:highlight w:val="none"/>
                <w:lang w:eastAsia="zh-CN"/>
              </w:rPr>
              <w:t>、报价清单、根据消防安全评估审核相关规定逐项核对验收。</w:t>
            </w:r>
          </w:p>
          <w:p w14:paraId="7730C71B">
            <w:pPr>
              <w:tabs>
                <w:tab w:val="left" w:pos="180"/>
                <w:tab w:val="left" w:pos="1620"/>
              </w:tabs>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2.验收核查内容：防火门窗、救援窗、喷淋管道、排烟口、避难间、应急照明系统全部施工内容完成度；建筑防火间距、防火分隔、排烟面积、救援窗尺寸、避难间配置是否符合规范；消防系统联动功能测试、无故障运行；全套竣工资料、消防产品合格证、消防安全评估报告完整度；现场建筑垃圾清运、装修复原情况。</w:t>
            </w:r>
          </w:p>
          <w:p w14:paraId="22809662">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3.验收判定标准：建筑防火条件、所有消防设施功能全部达标、联动逻辑正常、全套资料与评估报告齐全即为验收合格；若存在构件缺漏、防火封堵不到位、消防设施故障、资料缺失等不符合消防安全评估要求的，</w:t>
            </w:r>
            <w:r>
              <w:rPr>
                <w:rFonts w:hint="eastAsia" w:ascii="宋体" w:hAnsi="宋体" w:eastAsia="宋体" w:cs="宋体"/>
                <w:b/>
                <w:bCs/>
                <w:color w:val="auto"/>
                <w:sz w:val="21"/>
                <w:szCs w:val="21"/>
                <w:highlight w:val="none"/>
                <w:lang w:val="en-US" w:eastAsia="zh-CN"/>
              </w:rPr>
              <w:t>施工单位</w:t>
            </w:r>
            <w:r>
              <w:rPr>
                <w:rFonts w:hint="eastAsia" w:ascii="宋体" w:hAnsi="宋体" w:eastAsia="宋体" w:cs="宋体"/>
                <w:b/>
                <w:bCs/>
                <w:color w:val="auto"/>
                <w:sz w:val="21"/>
                <w:szCs w:val="21"/>
                <w:highlight w:val="none"/>
                <w:lang w:eastAsia="zh-CN"/>
              </w:rPr>
              <w:t>须在7日内无偿整改完毕，直至验收通过；逾期未整改，</w:t>
            </w:r>
            <w:r>
              <w:rPr>
                <w:rFonts w:hint="eastAsia" w:ascii="宋体" w:hAnsi="宋体" w:eastAsia="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lang w:eastAsia="zh-CN"/>
              </w:rPr>
              <w:t>有权顺延付款并扣除相应质保费用。</w:t>
            </w:r>
          </w:p>
        </w:tc>
      </w:tr>
      <w:tr w14:paraId="7CA0E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20D7EB4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二、与实现项目目标相关的其他要求 </w:t>
            </w:r>
          </w:p>
        </w:tc>
      </w:tr>
      <w:tr w14:paraId="591C9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390CFDCE">
            <w:pPr>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（一）供应商的履约能力要求</w:t>
            </w:r>
          </w:p>
        </w:tc>
      </w:tr>
      <w:tr w14:paraId="59408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2980AD57">
            <w:p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管理体系要求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7D8D823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2065F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48" w:type="dxa"/>
            <w:gridSpan w:val="2"/>
            <w:tcBorders>
              <w:top w:val="single" w:color="auto" w:sz="4" w:space="0"/>
              <w:left w:val="single" w:color="auto" w:sz="4" w:space="0"/>
              <w:bottom w:val="single" w:color="auto" w:sz="4" w:space="0"/>
              <w:right w:val="single" w:color="auto" w:sz="4" w:space="0"/>
            </w:tcBorders>
            <w:noWrap w:val="0"/>
            <w:vAlign w:val="center"/>
          </w:tcPr>
          <w:p w14:paraId="1F496E7C">
            <w:p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业绩要求</w:t>
            </w:r>
          </w:p>
        </w:tc>
        <w:tc>
          <w:tcPr>
            <w:tcW w:w="7282" w:type="dxa"/>
            <w:gridSpan w:val="4"/>
            <w:tcBorders>
              <w:top w:val="single" w:color="auto" w:sz="4" w:space="0"/>
              <w:left w:val="single" w:color="auto" w:sz="4" w:space="0"/>
              <w:bottom w:val="single" w:color="auto" w:sz="4" w:space="0"/>
              <w:right w:val="single" w:color="auto" w:sz="4" w:space="0"/>
            </w:tcBorders>
            <w:noWrap w:val="0"/>
            <w:vAlign w:val="center"/>
          </w:tcPr>
          <w:p w14:paraId="5744443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60C3E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0D5E4090">
            <w:pPr>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）其他要求</w:t>
            </w:r>
          </w:p>
        </w:tc>
      </w:tr>
      <w:tr w14:paraId="79F03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0" w:type="dxa"/>
            <w:gridSpan w:val="6"/>
            <w:tcBorders>
              <w:top w:val="single" w:color="auto" w:sz="4" w:space="0"/>
              <w:left w:val="single" w:color="auto" w:sz="4" w:space="0"/>
              <w:bottom w:val="single" w:color="auto" w:sz="4" w:space="0"/>
              <w:right w:val="single" w:color="auto" w:sz="4" w:space="0"/>
            </w:tcBorders>
            <w:noWrap w:val="0"/>
            <w:vAlign w:val="center"/>
          </w:tcPr>
          <w:p w14:paraId="057C1EB2">
            <w:pPr>
              <w:tabs>
                <w:tab w:val="left" w:pos="180"/>
                <w:tab w:val="left" w:pos="1620"/>
              </w:tabs>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
                <w:bCs/>
                <w:color w:val="auto"/>
                <w:sz w:val="21"/>
                <w:szCs w:val="21"/>
                <w:highlight w:val="none"/>
                <w:lang w:eastAsia="zh-CN"/>
              </w:rPr>
              <w:t>响应文件中提供</w:t>
            </w:r>
            <w:r>
              <w:rPr>
                <w:rFonts w:hint="eastAsia" w:ascii="宋体" w:hAnsi="宋体" w:eastAsia="宋体" w:cs="宋体"/>
                <w:b/>
                <w:bCs/>
                <w:color w:val="auto"/>
                <w:sz w:val="21"/>
                <w:szCs w:val="21"/>
                <w:highlight w:val="none"/>
              </w:rPr>
              <w:t>施工员、质量员、材料员的培训证书复印件或扫描件</w:t>
            </w:r>
            <w:r>
              <w:rPr>
                <w:rFonts w:hint="eastAsia" w:ascii="宋体" w:hAnsi="宋体" w:eastAsia="宋体" w:cs="宋体"/>
                <w:b/>
                <w:bCs/>
                <w:color w:val="auto"/>
                <w:sz w:val="21"/>
                <w:szCs w:val="21"/>
                <w:highlight w:val="none"/>
                <w:lang w:eastAsia="zh-CN"/>
              </w:rPr>
              <w:t>。</w:t>
            </w:r>
          </w:p>
        </w:tc>
      </w:tr>
    </w:tbl>
    <w:p w14:paraId="54184EBE">
      <w:pPr>
        <w:pStyle w:val="3"/>
        <w:spacing w:after="340" w:line="360" w:lineRule="auto"/>
        <w:jc w:val="center"/>
        <w:rPr>
          <w:color w:val="auto"/>
          <w:highlight w:val="none"/>
        </w:rPr>
      </w:pPr>
      <w:r>
        <w:rPr>
          <w:rFonts w:hAnsi="宋体" w:cs="宋体"/>
          <w:b/>
          <w:bCs/>
          <w:color w:val="auto"/>
          <w:highlight w:val="none"/>
        </w:rPr>
        <w:br w:type="page" w:clear="all"/>
      </w:r>
      <w:bookmarkStart w:id="83" w:name="_Toc22571"/>
      <w:r>
        <w:rPr>
          <w:rFonts w:hint="eastAsia" w:ascii="Times New Roman" w:hAnsi="Times New Roman" w:eastAsia="宋体" w:cs="Times New Roman"/>
          <w:color w:val="auto"/>
          <w:highlight w:val="none"/>
        </w:rPr>
        <w:t>第四章  评审程序、评审方法和评审标准</w:t>
      </w:r>
      <w:bookmarkEnd w:id="83"/>
    </w:p>
    <w:p w14:paraId="4391C21D">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49D0AC60">
      <w:pPr>
        <w:spacing w:line="360" w:lineRule="auto"/>
        <w:ind w:firstLine="354"/>
        <w:jc w:val="left"/>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6571B08B">
      <w:pPr>
        <w:spacing w:line="360" w:lineRule="auto"/>
        <w:ind w:firstLine="420"/>
        <w:rPr>
          <w:rFonts w:hint="eastAsia"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558EC43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610B997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（1）查询渠道：广西政府采购云平台“信用中国”网站（www.creditchina.gov.cn）、中国政府采购网（www.ccgp.gov.cn）链接入口。</w:t>
      </w:r>
    </w:p>
    <w:p w14:paraId="150BA91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7B6209E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7B21DD9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5D3FF15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791B0CBE">
      <w:pPr>
        <w:spacing w:line="360" w:lineRule="auto"/>
        <w:ind w:firstLine="422"/>
        <w:rPr>
          <w:rFonts w:hint="eastAsia" w:ascii="宋体" w:hAnsi="宋体" w:cs="宋体"/>
          <w:b/>
          <w:bCs/>
          <w:color w:val="auto"/>
          <w:szCs w:val="21"/>
          <w:highlight w:val="none"/>
        </w:rPr>
      </w:pPr>
      <w:r>
        <w:rPr>
          <w:rFonts w:ascii="宋体" w:hAnsi="宋体" w:cs="宋体"/>
          <w:b/>
          <w:bCs/>
          <w:color w:val="auto"/>
          <w:szCs w:val="21"/>
          <w:highlight w:val="none"/>
        </w:rPr>
        <w:t>1</w:t>
      </w:r>
      <w:r>
        <w:rPr>
          <w:rFonts w:hint="eastAsia" w:ascii="宋体" w:hAnsi="宋体" w:cs="宋体"/>
          <w:b/>
          <w:bCs/>
          <w:color w:val="auto"/>
          <w:szCs w:val="21"/>
          <w:highlight w:val="none"/>
        </w:rPr>
        <w:t>.3供应商有下列情形之一的，资格审查不通过，其响应文件按无效处理：</w:t>
      </w:r>
    </w:p>
    <w:p w14:paraId="1DC4C951">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1</w:t>
      </w:r>
      <w:r>
        <w:rPr>
          <w:rFonts w:hint="eastAsia" w:ascii="宋体" w:hAnsi="宋体" w:cs="宋体"/>
          <w:b/>
          <w:bCs/>
          <w:color w:val="auto"/>
          <w:szCs w:val="21"/>
          <w:highlight w:val="none"/>
        </w:rPr>
        <w:t>）不具备磋商文件中规定的资格要求的；</w:t>
      </w:r>
    </w:p>
    <w:p w14:paraId="216BD84F">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（2）未按磋商文件规定的方式获取本磋商文件的供应商；</w:t>
      </w:r>
    </w:p>
    <w:p w14:paraId="415604CC">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3</w:t>
      </w:r>
      <w:r>
        <w:rPr>
          <w:rFonts w:hint="eastAsia" w:ascii="宋体" w:hAnsi="宋体" w:cs="宋体"/>
          <w:b/>
          <w:bCs/>
          <w:color w:val="auto"/>
          <w:szCs w:val="21"/>
          <w:highlight w:val="none"/>
        </w:rPr>
        <w:t>）响应文件的资格证明文件缺少任一项“供应商须知前附表”资格证明文件规定的“必须提供”的文件资料的；</w:t>
      </w:r>
    </w:p>
    <w:p w14:paraId="1C02E57F">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4</w:t>
      </w:r>
      <w:r>
        <w:rPr>
          <w:rFonts w:hint="eastAsia" w:ascii="宋体" w:hAnsi="宋体" w:cs="宋体"/>
          <w:b/>
          <w:bCs/>
          <w:color w:val="auto"/>
          <w:szCs w:val="21"/>
          <w:highlight w:val="none"/>
        </w:rPr>
        <w:t>）响应文件中的资格证明文件出现任一项不符合“供应商须知前附表”资格证明文件规定的“必须提供”的文件资料要求或者无效的；</w:t>
      </w:r>
    </w:p>
    <w:p w14:paraId="362AF561">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5</w:t>
      </w:r>
      <w:r>
        <w:rPr>
          <w:rFonts w:hint="eastAsia" w:ascii="宋体" w:hAnsi="宋体" w:cs="宋体"/>
          <w:b/>
          <w:bCs/>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29146594">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应当重新开展采购活动。</w:t>
      </w:r>
    </w:p>
    <w:p w14:paraId="0E89A25B">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51262A64">
      <w:pPr>
        <w:spacing w:line="360" w:lineRule="auto"/>
        <w:ind w:firstLine="420"/>
        <w:rPr>
          <w:rFonts w:hint="eastAsia" w:ascii="宋体" w:hAnsi="宋体" w:cs="宋体"/>
          <w:color w:val="auto"/>
          <w:szCs w:val="21"/>
          <w:highlight w:val="none"/>
        </w:rPr>
      </w:pPr>
      <w:bookmarkStart w:id="84" w:name="_Hlk42528882"/>
      <w:r>
        <w:rPr>
          <w:rFonts w:ascii="宋体" w:hAnsi="宋体" w:cs="宋体"/>
          <w:color w:val="auto"/>
          <w:szCs w:val="21"/>
          <w:highlight w:val="none"/>
        </w:rPr>
        <w:t>2.1</w:t>
      </w:r>
      <w:r>
        <w:rPr>
          <w:rFonts w:hint="eastAsia" w:ascii="宋体" w:hAnsi="宋体" w:cs="宋体"/>
          <w:color w:val="auto"/>
          <w:szCs w:val="21"/>
          <w:highlight w:val="none"/>
        </w:rPr>
        <w:t>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bookmarkEnd w:id="84"/>
    </w:p>
    <w:p w14:paraId="4035140C">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F4EE268">
      <w:pPr>
        <w:spacing w:line="360" w:lineRule="auto"/>
        <w:ind w:firstLine="42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205085A7">
      <w:pPr>
        <w:spacing w:line="360" w:lineRule="auto"/>
        <w:ind w:firstLine="420"/>
        <w:rPr>
          <w:rFonts w:hint="eastAsia"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4C24114A">
      <w:pPr>
        <w:spacing w:line="360" w:lineRule="auto"/>
        <w:ind w:firstLine="396"/>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1EB8118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168488F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75870BF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58E2472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7BD0E0A9">
      <w:pPr>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同时出现两种以上不一致的，按照以上（1）-（4）规定的顺序逐条进行修正。修正后的报价经供应商确认后产生约束力，供应商不确认的，其响应文件按无效处理。</w:t>
      </w:r>
    </w:p>
    <w:p w14:paraId="17479B6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31215007">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在评审时，如发现下列情形之一的，将被视为响应文件无效处理：</w:t>
      </w:r>
    </w:p>
    <w:p w14:paraId="6607EA51">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（1）商务技术评审</w:t>
      </w:r>
    </w:p>
    <w:p w14:paraId="58B51418">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1）响应文件未按磋商文件要求签署、盖章的；</w:t>
      </w:r>
    </w:p>
    <w:p w14:paraId="35D0C16C">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 xml:space="preserve">2）委托代理人未能出具有效身份证或者出具的身份证与授权委托书中的信息不符的； </w:t>
      </w:r>
    </w:p>
    <w:p w14:paraId="24992ADF">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3）提交的磋商保证金无效的或者未按照磋商文件的规定提交磋商保证金的；</w:t>
      </w:r>
    </w:p>
    <w:p w14:paraId="230E704D">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7BF6F1CA">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5）商务要求允许负偏离的条款数超过“供应商须知前附表”规定项数的；</w:t>
      </w:r>
    </w:p>
    <w:p w14:paraId="4BA6DEF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6）未对竞标有效期作出响应或者响应文件承诺的竞标有效期不满足磋商文件要求的；</w:t>
      </w:r>
    </w:p>
    <w:p w14:paraId="5BC3E0D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7）响应文件的实质性内容未使用中文表述、使用计量单位不符合磋商文件要求的；</w:t>
      </w:r>
    </w:p>
    <w:p w14:paraId="0494E29C">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8）响应文件中的文件资料因填写不齐全或者内容虚假或者出现其他情形而导致被磋商小组认定无效的；</w:t>
      </w:r>
    </w:p>
    <w:p w14:paraId="5EC639FC">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9）响应文件含有采购人不能接受的附加条件的；</w:t>
      </w:r>
    </w:p>
    <w:p w14:paraId="75AB650A">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10）属于“供应商须知正文”第7.</w:t>
      </w:r>
      <w:r>
        <w:rPr>
          <w:rFonts w:ascii="宋体" w:hAnsi="宋体" w:cs="宋体"/>
          <w:b/>
          <w:color w:val="auto"/>
          <w:szCs w:val="21"/>
          <w:highlight w:val="none"/>
        </w:rPr>
        <w:t>5</w:t>
      </w:r>
      <w:r>
        <w:rPr>
          <w:rFonts w:hint="eastAsia" w:ascii="宋体" w:hAnsi="宋体" w:cs="宋体"/>
          <w:b/>
          <w:color w:val="auto"/>
          <w:szCs w:val="21"/>
          <w:highlight w:val="none"/>
        </w:rPr>
        <w:t>条供应商相互串通竞标情形的；</w:t>
      </w:r>
    </w:p>
    <w:p w14:paraId="4B50316F">
      <w:pPr>
        <w:spacing w:line="360" w:lineRule="auto"/>
        <w:ind w:firstLine="422"/>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1）技术要求允许负偏离的条款数超过“供应商须知前附表”规定项数的；</w:t>
      </w:r>
    </w:p>
    <w:p w14:paraId="5E855274">
      <w:pPr>
        <w:spacing w:line="360" w:lineRule="auto"/>
        <w:ind w:firstLine="422"/>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2）虚假竞标，或者出现其他情形而导致被磋商小组认定无效的；</w:t>
      </w:r>
    </w:p>
    <w:p w14:paraId="3BB911E5">
      <w:pPr>
        <w:spacing w:line="360" w:lineRule="auto"/>
        <w:ind w:firstLine="422"/>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3）</w:t>
      </w:r>
      <w:bookmarkStart w:id="85" w:name="_Hlk71704147"/>
      <w:r>
        <w:rPr>
          <w:rFonts w:hint="eastAsia" w:ascii="宋体" w:hAnsi="宋体" w:cs="宋体"/>
          <w:b/>
          <w:color w:val="auto"/>
          <w:szCs w:val="21"/>
          <w:highlight w:val="none"/>
        </w:rPr>
        <w:t>磋商文件未载明允许提供备选（替代）竞标方案或明确不允许提供备选（替代）竞标方案时，供应商提供了备选（替代）竞标方案的；</w:t>
      </w:r>
      <w:bookmarkEnd w:id="85"/>
    </w:p>
    <w:p w14:paraId="45F04B4B">
      <w:pPr>
        <w:spacing w:line="360" w:lineRule="auto"/>
        <w:ind w:firstLine="422"/>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4）响应文件标注的项目名称或者项目编号与磋商文件标注的项目名称或者项目编号不一致的；</w:t>
      </w:r>
    </w:p>
    <w:p w14:paraId="2E855291">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15）</w:t>
      </w:r>
      <w:r>
        <w:rPr>
          <w:rFonts w:hint="eastAsia" w:ascii="宋体" w:hAnsi="宋体"/>
          <w:b/>
          <w:color w:val="auto"/>
          <w:szCs w:val="21"/>
          <w:highlight w:val="none"/>
        </w:rPr>
        <w:t>竞争性磋商文件明确不允许分包，响应文件拟分包的；</w:t>
      </w:r>
    </w:p>
    <w:p w14:paraId="4BBD41BE">
      <w:pPr>
        <w:spacing w:line="360" w:lineRule="auto"/>
        <w:ind w:firstLine="422"/>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6）未响应磋商文件实质性要求的；</w:t>
      </w:r>
    </w:p>
    <w:p w14:paraId="368FF149">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17）法律、法规和磋商文件规定的其他无效情形。</w:t>
      </w:r>
    </w:p>
    <w:p w14:paraId="4B286080">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w:t>
      </w:r>
      <w:r>
        <w:rPr>
          <w:rFonts w:ascii="宋体" w:hAnsi="宋体" w:cs="宋体"/>
          <w:b/>
          <w:color w:val="auto"/>
          <w:szCs w:val="21"/>
          <w:highlight w:val="none"/>
        </w:rPr>
        <w:t>2</w:t>
      </w:r>
      <w:r>
        <w:rPr>
          <w:rFonts w:hint="eastAsia" w:ascii="宋体" w:hAnsi="宋体" w:cs="宋体"/>
          <w:b/>
          <w:color w:val="auto"/>
          <w:szCs w:val="21"/>
          <w:highlight w:val="none"/>
        </w:rPr>
        <w:t>）报价评审</w:t>
      </w:r>
    </w:p>
    <w:p w14:paraId="670AE650">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1）响应文件未提供“供应商须知前附表” 报价文件中规定的“竞标报价表”的；</w:t>
      </w:r>
    </w:p>
    <w:p w14:paraId="283286C5">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2）未采用人民币报价或者未按照磋商文件标明的币种报价的；</w:t>
      </w:r>
    </w:p>
    <w:p w14:paraId="3569092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99047D4">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4）竞标报价（包含首次报价、最后报价）超过所竞标分标规定的采购预算金额或者最高限价的（如本项目公布了最高限价）；</w:t>
      </w:r>
      <w:bookmarkStart w:id="86" w:name="_Hlk42596405"/>
      <w:r>
        <w:rPr>
          <w:rFonts w:hint="eastAsia" w:ascii="宋体" w:hAnsi="宋体" w:cs="宋体"/>
          <w:b/>
          <w:color w:val="auto"/>
          <w:szCs w:val="21"/>
          <w:highlight w:val="none"/>
        </w:rPr>
        <w:t>竞标报价（包含首次报价、最后报价）</w:t>
      </w:r>
      <w:bookmarkEnd w:id="86"/>
      <w:bookmarkStart w:id="87" w:name="_Hlk42596276"/>
      <w:r>
        <w:rPr>
          <w:rFonts w:hint="eastAsia" w:ascii="宋体" w:hAnsi="宋体" w:cs="宋体"/>
          <w:b/>
          <w:color w:val="auto"/>
          <w:szCs w:val="21"/>
          <w:highlight w:val="none"/>
        </w:rPr>
        <w:t>超过磋商文件分项采购预算金额或者最高限价的</w:t>
      </w:r>
      <w:bookmarkEnd w:id="87"/>
      <w:r>
        <w:rPr>
          <w:rFonts w:hint="eastAsia" w:ascii="宋体" w:hAnsi="宋体" w:cs="宋体"/>
          <w:b/>
          <w:color w:val="auto"/>
          <w:szCs w:val="21"/>
          <w:highlight w:val="none"/>
        </w:rPr>
        <w:t>（如本项目有要求并公布了分项采购预算金额或者最高限价）；</w:t>
      </w:r>
    </w:p>
    <w:p w14:paraId="4F2047C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246DE313">
      <w:pPr>
        <w:spacing w:line="360" w:lineRule="auto"/>
        <w:ind w:firstLine="422"/>
        <w:rPr>
          <w:rFonts w:hint="eastAsia" w:ascii="宋体" w:hAnsi="宋体"/>
          <w:b/>
          <w:color w:val="auto"/>
          <w:szCs w:val="21"/>
          <w:highlight w:val="none"/>
        </w:rPr>
      </w:pPr>
      <w:r>
        <w:rPr>
          <w:rFonts w:hint="eastAsia" w:ascii="宋体" w:hAnsi="宋体" w:cs="宋体"/>
          <w:b/>
          <w:color w:val="auto"/>
          <w:szCs w:val="21"/>
          <w:highlight w:val="none"/>
        </w:rPr>
        <w:t>6）</w:t>
      </w:r>
      <w:r>
        <w:rPr>
          <w:rFonts w:hint="eastAsia" w:ascii="宋体" w:hAnsi="宋体"/>
          <w:b/>
          <w:color w:val="auto"/>
          <w:szCs w:val="21"/>
          <w:highlight w:val="none"/>
        </w:rPr>
        <w:t>响应文件响应的标的数量及单位与竞争性磋商采购文件要求实质性不一致的；</w:t>
      </w:r>
    </w:p>
    <w:p w14:paraId="26AD2493">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7）未响应磋商文件实质性要求的。</w:t>
      </w:r>
    </w:p>
    <w:p w14:paraId="6E5D7BAD">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8）安全文明施工费和规费、增值税不按广西区费用定额及造价管理相关文件规定报价的（园林绿化及仿古建筑工程除外）；</w:t>
      </w:r>
    </w:p>
    <w:p w14:paraId="4EF86C96">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9）供应商已标价工程量清单的项目编码（12位）、计量单位、工程量任何一处与工程量清单不一致的；</w:t>
      </w:r>
    </w:p>
    <w:p w14:paraId="53462325">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10）供应商已标价工程量清单的项目名称或项目特征与工程量清单不一致，磋商小组要求澄清、说明或补正，但供应商拒绝澄清、说明或补正的；（注：适用于房屋建筑和市政工程项目，其他类型项目时请删除该条款并调整序号）</w:t>
      </w:r>
    </w:p>
    <w:p w14:paraId="46F0C65B">
      <w:p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11）设有暂估价、暂列金额的，竞标时未按工程量清单给出的暂估价总价、暂列金额总价计入竞标总报价中的；</w:t>
      </w:r>
    </w:p>
    <w:p w14:paraId="77153DBD">
      <w:pPr>
        <w:spacing w:line="360" w:lineRule="auto"/>
        <w:ind w:firstLine="422"/>
        <w:rPr>
          <w:rFonts w:ascii="宋体" w:hAnsi="宋体"/>
          <w:b/>
          <w:color w:val="auto"/>
          <w:szCs w:val="21"/>
          <w:highlight w:val="none"/>
        </w:rPr>
      </w:pPr>
      <w:r>
        <w:rPr>
          <w:rFonts w:hint="eastAsia" w:ascii="宋体" w:hAnsi="宋体" w:cs="宋体"/>
          <w:b/>
          <w:color w:val="auto"/>
          <w:szCs w:val="21"/>
          <w:highlight w:val="none"/>
        </w:rPr>
        <w:t>12）供应商对工程量清单内容进行增减或对竞标范围进行调整的；</w:t>
      </w:r>
    </w:p>
    <w:p w14:paraId="714A9E71">
      <w:pPr>
        <w:spacing w:line="360" w:lineRule="auto"/>
        <w:ind w:firstLine="422"/>
        <w:rPr>
          <w:rFonts w:ascii="宋体" w:hAnsi="宋体"/>
          <w:b/>
          <w:color w:val="auto"/>
          <w:szCs w:val="21"/>
          <w:highlight w:val="none"/>
        </w:rPr>
      </w:pPr>
      <w:bookmarkStart w:id="88" w:name="_Hlk188371373"/>
      <w:r>
        <w:rPr>
          <w:rFonts w:hint="eastAsia" w:ascii="宋体" w:hAnsi="宋体"/>
          <w:b/>
          <w:color w:val="auto"/>
          <w:szCs w:val="21"/>
          <w:highlight w:val="none"/>
        </w:rPr>
        <w:t>1</w:t>
      </w:r>
      <w:r>
        <w:rPr>
          <w:rFonts w:hint="eastAsia" w:ascii="宋体" w:hAnsi="宋体"/>
          <w:b/>
          <w:color w:val="auto"/>
          <w:szCs w:val="21"/>
          <w:highlight w:val="none"/>
          <w:lang w:val="en-US" w:eastAsia="zh-CN"/>
        </w:rPr>
        <w:t>3</w:t>
      </w:r>
      <w:r>
        <w:rPr>
          <w:rFonts w:hint="eastAsia" w:ascii="宋体" w:hAnsi="宋体"/>
          <w:b/>
          <w:color w:val="auto"/>
          <w:szCs w:val="21"/>
          <w:highlight w:val="none"/>
        </w:rPr>
        <w:t>）竞标函附录的承诺</w:t>
      </w:r>
      <w:bookmarkStart w:id="89" w:name="_Hlk188372203"/>
      <w:r>
        <w:rPr>
          <w:rFonts w:hint="eastAsia" w:ascii="宋体" w:hAnsi="宋体"/>
          <w:b/>
          <w:color w:val="auto"/>
          <w:szCs w:val="21"/>
          <w:highlight w:val="none"/>
        </w:rPr>
        <w:t>不</w:t>
      </w:r>
      <w:bookmarkEnd w:id="89"/>
      <w:r>
        <w:rPr>
          <w:rFonts w:hint="eastAsia" w:ascii="宋体" w:hAnsi="宋体"/>
          <w:b/>
          <w:color w:val="auto"/>
          <w:szCs w:val="21"/>
          <w:highlight w:val="none"/>
        </w:rPr>
        <w:t>符合磋商文件规定的；</w:t>
      </w:r>
      <w:bookmarkEnd w:id="88"/>
    </w:p>
    <w:p w14:paraId="728865E0">
      <w:p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4</w:t>
      </w:r>
      <w:r>
        <w:rPr>
          <w:rFonts w:hint="eastAsia" w:ascii="宋体" w:hAnsi="宋体"/>
          <w:b/>
          <w:color w:val="auto"/>
          <w:szCs w:val="21"/>
          <w:highlight w:val="none"/>
        </w:rPr>
        <w:t>）</w:t>
      </w:r>
      <w:bookmarkStart w:id="90" w:name="_Hlk220404454"/>
      <w:r>
        <w:rPr>
          <w:rFonts w:hint="eastAsia" w:ascii="宋体" w:hAnsi="宋体"/>
          <w:b/>
          <w:color w:val="auto"/>
          <w:szCs w:val="21"/>
          <w:highlight w:val="none"/>
        </w:rPr>
        <w:t>磋商小组启动异常低价响应审查后，供应商不能提供书面说明、证明材料，或者提供的书面说明、证明材料不能证明其报价合理性的</w:t>
      </w:r>
      <w:bookmarkEnd w:id="90"/>
      <w:r>
        <w:rPr>
          <w:rFonts w:hint="eastAsia" w:ascii="宋体" w:hAnsi="宋体"/>
          <w:b/>
          <w:color w:val="auto"/>
          <w:szCs w:val="21"/>
          <w:highlight w:val="none"/>
        </w:rPr>
        <w:t>；</w:t>
      </w:r>
    </w:p>
    <w:p w14:paraId="55745A4A">
      <w:pPr>
        <w:spacing w:line="360" w:lineRule="auto"/>
        <w:ind w:firstLine="422"/>
        <w:rPr>
          <w:rFonts w:ascii="宋体" w:hAnsi="宋体" w:cs="宋体"/>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lang w:val="en-US" w:eastAsia="zh-CN"/>
        </w:rPr>
        <w:t>5</w:t>
      </w:r>
      <w:r>
        <w:rPr>
          <w:rFonts w:hint="eastAsia" w:ascii="宋体" w:hAnsi="宋体" w:cs="宋体"/>
          <w:b/>
          <w:color w:val="auto"/>
          <w:szCs w:val="21"/>
          <w:highlight w:val="none"/>
        </w:rPr>
        <w:t>）未响应磋商文件实质性要求的。</w:t>
      </w:r>
    </w:p>
    <w:p w14:paraId="5B60D89E">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w:t>
      </w:r>
    </w:p>
    <w:p w14:paraId="2D630E9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通过符合性审查的合格供应商不足3家的，不得进入磋商环节，应当重新开展采购活动。</w:t>
      </w:r>
    </w:p>
    <w:p w14:paraId="4C33DE52">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7CE4C85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6FE7195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FC4B13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07CF803F">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3E77AEA1">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磋商中，磋商的任何一方不得透露与磋商有关的其他供应商的技术资料、价格和其他信息</w:t>
      </w:r>
      <w:r>
        <w:rPr>
          <w:rFonts w:hint="eastAsia" w:ascii="宋体" w:hAnsi="宋体" w:cs="宋体"/>
          <w:color w:val="auto"/>
          <w:spacing w:val="-6"/>
          <w:szCs w:val="21"/>
          <w:highlight w:val="none"/>
        </w:rPr>
        <w:t>。</w:t>
      </w:r>
    </w:p>
    <w:p w14:paraId="107323BE">
      <w:pPr>
        <w:widowControl/>
        <w:tabs>
          <w:tab w:val="left" w:pos="540"/>
        </w:tabs>
        <w:spacing w:line="360" w:lineRule="auto"/>
        <w:ind w:firstLine="420"/>
        <w:jc w:val="left"/>
        <w:rPr>
          <w:rFonts w:hint="eastAsia"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采购代理机构对磋商过程和磋商内容进行记录。</w:t>
      </w:r>
    </w:p>
    <w:p w14:paraId="2C2EEDEA">
      <w:pPr>
        <w:widowControl/>
        <w:tabs>
          <w:tab w:val="left" w:pos="540"/>
        </w:tabs>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w:t>
      </w:r>
      <w:r>
        <w:rPr>
          <w:rFonts w:ascii="宋体" w:hAnsi="宋体"/>
          <w:color w:val="auto"/>
          <w:highlight w:val="none"/>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F6A0533">
      <w:pPr>
        <w:tabs>
          <w:tab w:val="left" w:pos="2835"/>
        </w:tabs>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3.8除</w:t>
      </w:r>
      <w:r>
        <w:rPr>
          <w:rFonts w:ascii="宋体" w:hAnsi="宋体"/>
          <w:color w:val="auto"/>
          <w:highlight w:val="none"/>
        </w:rPr>
        <w:t>本章第3.7条</w:t>
      </w:r>
      <w:r>
        <w:rPr>
          <w:rFonts w:hint="eastAsia" w:ascii="宋体" w:hAnsi="宋体"/>
          <w:color w:val="auto"/>
          <w:highlight w:val="none"/>
        </w:rPr>
        <w:t>规定的</w:t>
      </w:r>
      <w:r>
        <w:rPr>
          <w:rFonts w:ascii="宋体" w:hAnsi="宋体"/>
          <w:color w:val="auto"/>
          <w:highlight w:val="none"/>
        </w:rPr>
        <w:t>情形</w:t>
      </w:r>
      <w:r>
        <w:rPr>
          <w:rFonts w:hint="eastAsia" w:ascii="宋体" w:hAnsi="宋体"/>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对磋商过程提交的响应文件进行有效性、完整性和响应程度审查，通过审查的合格供应商不足3家的，应当重新开展采购活动。</w:t>
      </w:r>
    </w:p>
    <w:p w14:paraId="41562B2D">
      <w:pPr>
        <w:spacing w:line="360" w:lineRule="auto"/>
        <w:ind w:firstLine="482"/>
        <w:rPr>
          <w:rFonts w:hint="eastAsia"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21C3394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color w:val="auto"/>
          <w:szCs w:val="21"/>
          <w:highlight w:val="none"/>
        </w:rPr>
        <w:t>4.3</w:t>
      </w:r>
      <w:r>
        <w:rPr>
          <w:rFonts w:hint="eastAsia" w:ascii="宋体" w:hAnsi="宋体" w:cs="宋体"/>
          <w:color w:val="auto"/>
          <w:szCs w:val="21"/>
          <w:highlight w:val="none"/>
        </w:rPr>
        <w:t>条规定的情形外，提交最后报价的供应商不得少于3家，否则应当重新</w:t>
      </w:r>
      <w:r>
        <w:rPr>
          <w:rFonts w:hint="eastAsia" w:ascii="宋体" w:hAnsi="宋体"/>
          <w:color w:val="auto"/>
          <w:szCs w:val="21"/>
          <w:highlight w:val="none"/>
        </w:rPr>
        <w:t>开展采购活动</w:t>
      </w:r>
      <w:r>
        <w:rPr>
          <w:rFonts w:hint="eastAsia" w:ascii="宋体" w:hAnsi="宋体" w:cs="宋体"/>
          <w:color w:val="auto"/>
          <w:szCs w:val="21"/>
          <w:highlight w:val="none"/>
        </w:rPr>
        <w:t>。</w:t>
      </w:r>
    </w:p>
    <w:p w14:paraId="5AC28B4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245CE680">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w:t>
      </w:r>
    </w:p>
    <w:p w14:paraId="1B03953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符合《政府采购竞争性磋商采购方式管理暂行办法》（财库〔2014〕214号）第三条第四项“市场竞争不充分的科研项目，以及需要扶持的科技成果转化项目”和</w:t>
      </w:r>
      <w:r>
        <w:rPr>
          <w:color w:val="auto"/>
          <w:highlight w:val="none"/>
        </w:rPr>
        <w:t>本章</w:t>
      </w:r>
      <w:r>
        <w:rPr>
          <w:rFonts w:ascii="宋体" w:hAnsi="宋体"/>
          <w:color w:val="auto"/>
          <w:highlight w:val="none"/>
        </w:rPr>
        <w:t>第3.7条</w:t>
      </w:r>
      <w:r>
        <w:rPr>
          <w:rFonts w:hint="eastAsia" w:ascii="宋体" w:hAnsi="宋体" w:cs="宋体"/>
          <w:color w:val="auto"/>
          <w:szCs w:val="21"/>
          <w:highlight w:val="none"/>
        </w:rPr>
        <w:t>规定</w:t>
      </w:r>
      <w:r>
        <w:rPr>
          <w:color w:val="auto"/>
          <w:highlight w:val="none"/>
        </w:rPr>
        <w:t>情形的，</w:t>
      </w:r>
      <w:r>
        <w:rPr>
          <w:rFonts w:hint="eastAsia" w:ascii="宋体" w:hAnsi="宋体" w:cs="宋体"/>
          <w:color w:val="auto"/>
          <w:szCs w:val="21"/>
          <w:highlight w:val="none"/>
        </w:rPr>
        <w:t>提交最后报价的供应商可以为2家。</w:t>
      </w:r>
    </w:p>
    <w:p w14:paraId="73803B37">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已经提交响应文件的供应商，在提交最后报价之前，可以根据磋商情况退出磋商，退出磋商的供应商的响应文件按无效处理。采购人、采购代理机构将退还退出磋商的供应商的保证金。</w:t>
      </w:r>
    </w:p>
    <w:p w14:paraId="196C9DD3">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76EF706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5AB82DEE">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66C6EFE1">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78ED849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4B03BC3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6958687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427D10A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09518475">
      <w:pPr>
        <w:spacing w:line="360" w:lineRule="auto"/>
        <w:ind w:firstLine="424"/>
        <w:jc w:val="left"/>
        <w:rPr>
          <w:rFonts w:hint="eastAsia" w:ascii="宋体" w:hAnsi="宋体"/>
          <w:color w:val="auto"/>
          <w:spacing w:val="-6"/>
          <w:szCs w:val="21"/>
          <w:highlight w:val="none"/>
        </w:rPr>
      </w:pPr>
      <w:r>
        <w:rPr>
          <w:rFonts w:hint="eastAsia" w:ascii="宋体" w:hAnsi="宋体" w:cs="宋体"/>
          <w:color w:val="auto"/>
          <w:szCs w:val="21"/>
          <w:highlight w:val="none"/>
        </w:rPr>
        <w:t>4.10</w:t>
      </w:r>
      <w:r>
        <w:rPr>
          <w:rFonts w:hint="eastAsia" w:ascii="宋体" w:hAnsi="宋体"/>
          <w:color w:val="auto"/>
          <w:szCs w:val="21"/>
          <w:highlight w:val="none"/>
        </w:rPr>
        <w:t>异常低价响应审查</w:t>
      </w:r>
    </w:p>
    <w:p w14:paraId="395F3165">
      <w:pPr>
        <w:spacing w:line="360" w:lineRule="auto"/>
        <w:ind w:firstLine="420"/>
        <w:rPr>
          <w:rFonts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01517C5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①</w:t>
      </w:r>
      <w:r>
        <w:rPr>
          <w:color w:val="auto"/>
          <w:highlight w:val="none"/>
        </w:rPr>
        <w:t>竞标报价</w:t>
      </w:r>
      <w:r>
        <w:rPr>
          <w:rFonts w:hint="eastAsia" w:ascii="宋体" w:hAnsi="宋体"/>
          <w:color w:val="auto"/>
          <w:szCs w:val="21"/>
          <w:highlight w:val="none"/>
        </w:rPr>
        <w:t>低于全部通过符合性审查供应商</w:t>
      </w:r>
      <w:r>
        <w:rPr>
          <w:color w:val="auto"/>
          <w:highlight w:val="none"/>
        </w:rPr>
        <w:t>竞标报价</w:t>
      </w:r>
      <w:r>
        <w:rPr>
          <w:rFonts w:hint="eastAsia" w:ascii="宋体" w:hAnsi="宋体"/>
          <w:color w:val="auto"/>
          <w:szCs w:val="21"/>
          <w:highlight w:val="none"/>
        </w:rPr>
        <w:t>平均值</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w:t>
      </w:r>
      <w:r>
        <w:rPr>
          <w:color w:val="auto"/>
          <w:highlight w:val="none"/>
        </w:rPr>
        <w:t>竞标报价</w:t>
      </w:r>
      <w:r>
        <w:rPr>
          <w:rFonts w:hint="eastAsia" w:ascii="宋体" w:hAnsi="宋体"/>
          <w:color w:val="auto"/>
          <w:szCs w:val="21"/>
          <w:highlight w:val="none"/>
        </w:rPr>
        <w:t>＜全部通过符合性审查供应商</w:t>
      </w:r>
      <w:r>
        <w:rPr>
          <w:color w:val="auto"/>
          <w:highlight w:val="none"/>
        </w:rPr>
        <w:t>竞标报价</w:t>
      </w:r>
      <w:r>
        <w:rPr>
          <w:rFonts w:hint="eastAsia" w:ascii="宋体" w:hAnsi="宋体"/>
          <w:color w:val="auto"/>
          <w:szCs w:val="21"/>
          <w:highlight w:val="none"/>
        </w:rPr>
        <w:t>平均值×</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p>
    <w:p w14:paraId="2BBE71C8">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②</w:t>
      </w:r>
      <w:r>
        <w:rPr>
          <w:color w:val="auto"/>
          <w:highlight w:val="none"/>
        </w:rPr>
        <w:t>竞标报价</w:t>
      </w:r>
      <w:r>
        <w:rPr>
          <w:rFonts w:hint="eastAsia" w:ascii="宋体" w:hAnsi="宋体"/>
          <w:color w:val="auto"/>
          <w:szCs w:val="21"/>
          <w:highlight w:val="none"/>
        </w:rPr>
        <w:t>低于通过符合性审查的次低报价供应商</w:t>
      </w:r>
      <w:r>
        <w:rPr>
          <w:color w:val="auto"/>
          <w:highlight w:val="none"/>
        </w:rPr>
        <w:t>竞标报价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w:t>
      </w:r>
      <w:r>
        <w:rPr>
          <w:color w:val="auto"/>
          <w:highlight w:val="none"/>
        </w:rPr>
        <w:t>竞标报价</w:t>
      </w:r>
      <w:r>
        <w:rPr>
          <w:rFonts w:hint="eastAsia" w:ascii="宋体" w:hAnsi="宋体"/>
          <w:color w:val="auto"/>
          <w:szCs w:val="21"/>
          <w:highlight w:val="none"/>
        </w:rPr>
        <w:t>＜通过符合性审查的次低报价供应商</w:t>
      </w:r>
      <w:r>
        <w:rPr>
          <w:color w:val="auto"/>
          <w:highlight w:val="none"/>
        </w:rPr>
        <w:t>竞标报价</w:t>
      </w:r>
      <w:r>
        <w:rPr>
          <w:rFonts w:hint="eastAsia" w:ascii="宋体" w:hAnsi="宋体"/>
          <w:color w:val="auto"/>
          <w:szCs w:val="21"/>
          <w:highlight w:val="none"/>
        </w:rPr>
        <w:t>×</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p>
    <w:p w14:paraId="76C2766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③</w:t>
      </w:r>
      <w:r>
        <w:rPr>
          <w:color w:val="auto"/>
          <w:highlight w:val="none"/>
        </w:rPr>
        <w:t>竞标报价</w:t>
      </w:r>
      <w:r>
        <w:rPr>
          <w:rFonts w:hint="eastAsia" w:ascii="宋体" w:hAnsi="宋体"/>
          <w:color w:val="auto"/>
          <w:szCs w:val="21"/>
          <w:highlight w:val="none"/>
        </w:rPr>
        <w:t>低于采购项目最高限价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w:t>
      </w:r>
      <w:r>
        <w:rPr>
          <w:color w:val="auto"/>
          <w:highlight w:val="none"/>
        </w:rPr>
        <w:t>竞标报价</w:t>
      </w:r>
      <w:r>
        <w:rPr>
          <w:rFonts w:hint="eastAsia" w:ascii="宋体" w:hAnsi="宋体"/>
          <w:color w:val="auto"/>
          <w:szCs w:val="21"/>
          <w:highlight w:val="none"/>
        </w:rPr>
        <w:t>＜采购项目最高限价×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p>
    <w:p w14:paraId="5EBCEC9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1DBF7B9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504A52C9">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22DD1EE8">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6884D5C4">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6AA7895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4.11供应商出现最后报价按无效响应处理或者响应文件按无效处理时</w:t>
      </w:r>
      <w:r>
        <w:rPr>
          <w:rFonts w:hint="eastAsia" w:ascii="宋体" w:hAnsi="宋体"/>
          <w:color w:val="auto"/>
          <w:szCs w:val="21"/>
          <w:highlight w:val="none"/>
        </w:rPr>
        <w:t>，磋商小组应当告知有关供应商</w:t>
      </w:r>
      <w:r>
        <w:rPr>
          <w:rFonts w:hint="eastAsia" w:ascii="宋体" w:hAnsi="宋体" w:cs="宋体"/>
          <w:color w:val="auto"/>
          <w:szCs w:val="21"/>
          <w:highlight w:val="none"/>
        </w:rPr>
        <w:t>。</w:t>
      </w:r>
    </w:p>
    <w:p w14:paraId="5ABE184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2最后报价结束后，磋商小组不得再与供应商进行任何形式的商谈。</w:t>
      </w:r>
    </w:p>
    <w:p w14:paraId="5FDE53E4">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6F45348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4CFC418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046AE43D">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13C2A5D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2D6207D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24D3CD4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6C76CE2B">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 成交供应商推荐原则</w:t>
      </w:r>
    </w:p>
    <w:p w14:paraId="17B2A27D">
      <w:pPr>
        <w:spacing w:line="360" w:lineRule="auto"/>
        <w:ind w:firstLine="420"/>
        <w:rPr>
          <w:rFonts w:hint="eastAsia" w:ascii="宋体" w:hAnsi="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1</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宋体" w:hAnsi="宋体"/>
          <w:color w:val="auto"/>
          <w:szCs w:val="21"/>
          <w:highlight w:val="none"/>
        </w:rPr>
        <w:t>。</w:t>
      </w:r>
    </w:p>
    <w:p w14:paraId="0C09BF03">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2FE17B8">
      <w:pPr>
        <w:rPr>
          <w:rFonts w:hint="eastAsia" w:ascii="宋体" w:hAnsi="宋体"/>
          <w:b/>
          <w:color w:val="auto"/>
          <w:sz w:val="32"/>
          <w:szCs w:val="32"/>
          <w:highlight w:val="none"/>
        </w:rPr>
      </w:pPr>
      <w:r>
        <w:rPr>
          <w:rFonts w:hint="eastAsia" w:ascii="宋体" w:hAnsi="宋体"/>
          <w:b/>
          <w:color w:val="auto"/>
          <w:sz w:val="32"/>
          <w:szCs w:val="32"/>
          <w:highlight w:val="none"/>
        </w:rPr>
        <w:br w:type="page" w:clear="all"/>
      </w:r>
    </w:p>
    <w:p w14:paraId="4FC12F03">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二、评审标准</w:t>
      </w:r>
    </w:p>
    <w:p w14:paraId="41355F7B">
      <w:pPr>
        <w:spacing w:line="360" w:lineRule="auto"/>
        <w:ind w:firstLine="420"/>
        <w:rPr>
          <w:rFonts w:hint="eastAsia" w:ascii="宋体" w:hAnsi="宋体"/>
          <w:bCs/>
          <w:color w:val="auto"/>
          <w:szCs w:val="21"/>
          <w:highlight w:val="none"/>
        </w:rPr>
      </w:pPr>
      <w:r>
        <w:rPr>
          <w:rFonts w:hint="eastAsia" w:ascii="宋体" w:hAnsi="宋体"/>
          <w:bCs/>
          <w:color w:val="auto"/>
          <w:szCs w:val="21"/>
          <w:highlight w:val="none"/>
        </w:rPr>
        <w:t>7</w:t>
      </w:r>
      <w:r>
        <w:rPr>
          <w:rFonts w:ascii="宋体" w:hAnsi="宋体"/>
          <w:bCs/>
          <w:color w:val="auto"/>
          <w:szCs w:val="21"/>
          <w:highlight w:val="none"/>
        </w:rPr>
        <w:t>.</w:t>
      </w:r>
      <w:r>
        <w:rPr>
          <w:rFonts w:hint="eastAsia" w:ascii="宋体" w:hAnsi="宋体"/>
          <w:bCs/>
          <w:color w:val="auto"/>
          <w:szCs w:val="21"/>
          <w:highlight w:val="none"/>
        </w:rPr>
        <w:t>评审依据：磋商小组以磋商文件为评审依据，对供应商的报价、技术、商务等方面内容按百分制打分。（计分方法按四舍五入取至百分位）</w:t>
      </w:r>
    </w:p>
    <w:tbl>
      <w:tblPr>
        <w:tblStyle w:val="45"/>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299"/>
        <w:gridCol w:w="6288"/>
        <w:gridCol w:w="851"/>
      </w:tblGrid>
      <w:tr w14:paraId="57B8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noWrap w:val="0"/>
            <w:vAlign w:val="center"/>
          </w:tcPr>
          <w:p w14:paraId="790DA829">
            <w:pPr>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1299" w:type="dxa"/>
            <w:noWrap w:val="0"/>
            <w:vAlign w:val="center"/>
          </w:tcPr>
          <w:p w14:paraId="5ED671CC">
            <w:pPr>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6288" w:type="dxa"/>
            <w:noWrap w:val="0"/>
            <w:vAlign w:val="center"/>
          </w:tcPr>
          <w:p w14:paraId="15B5E335">
            <w:pPr>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c>
          <w:tcPr>
            <w:tcW w:w="851" w:type="dxa"/>
            <w:noWrap w:val="0"/>
            <w:vAlign w:val="center"/>
          </w:tcPr>
          <w:p w14:paraId="5B2F9A97">
            <w:pPr>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分值</w:t>
            </w:r>
          </w:p>
        </w:tc>
      </w:tr>
      <w:tr w14:paraId="5185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noWrap w:val="0"/>
            <w:vAlign w:val="center"/>
          </w:tcPr>
          <w:p w14:paraId="7BEB64DF">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99" w:type="dxa"/>
            <w:noWrap w:val="0"/>
            <w:vAlign w:val="center"/>
          </w:tcPr>
          <w:p w14:paraId="5F2F56A5">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价格分</w:t>
            </w:r>
          </w:p>
        </w:tc>
        <w:tc>
          <w:tcPr>
            <w:tcW w:w="6288" w:type="dxa"/>
            <w:noWrap w:val="0"/>
            <w:vAlign w:val="top"/>
          </w:tcPr>
          <w:p w14:paraId="1EF58C6C">
            <w:pPr>
              <w:spacing w:line="312" w:lineRule="auto"/>
              <w:ind w:firstLine="420"/>
              <w:rPr>
                <w:rFonts w:hint="eastAsia" w:ascii="宋体" w:hAnsi="宋体" w:cs="宋体"/>
                <w:color w:val="auto"/>
                <w:szCs w:val="21"/>
                <w:highlight w:val="none"/>
              </w:rPr>
            </w:pPr>
            <w:r>
              <w:rPr>
                <w:rFonts w:hint="eastAsia" w:ascii="宋体" w:hAnsi="宋体" w:cs="宋体"/>
                <w:bCs/>
                <w:color w:val="auto"/>
                <w:szCs w:val="21"/>
                <w:highlight w:val="none"/>
              </w:rPr>
              <w:t>（1）</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0A615D71">
            <w:pPr>
              <w:pStyle w:val="25"/>
              <w:spacing w:line="312" w:lineRule="auto"/>
              <w:ind w:firstLine="420"/>
              <w:rPr>
                <w:rFonts w:hint="eastAsia" w:hAnsi="宋体" w:cs="宋体"/>
                <w:color w:val="auto"/>
                <w:sz w:val="21"/>
                <w:highlight w:val="none"/>
              </w:rPr>
            </w:pPr>
            <w:r>
              <w:rPr>
                <w:rFonts w:hint="eastAsia" w:hAnsi="宋体" w:cs="宋体"/>
                <w:bCs/>
                <w:color w:val="auto"/>
                <w:sz w:val="21"/>
                <w:highlight w:val="none"/>
              </w:rPr>
              <w:t>（2）政府采购政策性扣除计算方法</w:t>
            </w:r>
          </w:p>
          <w:p w14:paraId="7E042340">
            <w:pPr>
              <w:spacing w:line="312" w:lineRule="auto"/>
              <w:ind w:firstLine="420"/>
              <w:rPr>
                <w:rFonts w:hint="eastAsia" w:ascii="宋体" w:hAnsi="宋体" w:cs="宋体"/>
                <w:color w:val="auto"/>
                <w:szCs w:val="21"/>
                <w:highlight w:val="none"/>
              </w:rPr>
            </w:pPr>
            <w:r>
              <w:rPr>
                <w:rFonts w:hint="eastAsia" w:ascii="宋体" w:hAnsi="宋体" w:cs="宋体"/>
                <w:bCs/>
                <w:color w:val="auto"/>
                <w:szCs w:val="21"/>
                <w:highlight w:val="none"/>
              </w:rPr>
              <w:t>本项目为专门面对中小企业项目，小微企业、监狱企业、残疾人福利性单位不再执行价格评审优惠的扶持政策</w:t>
            </w:r>
            <w:r>
              <w:rPr>
                <w:rFonts w:hint="eastAsia" w:ascii="宋体" w:hAnsi="宋体" w:cs="宋体"/>
                <w:color w:val="auto"/>
                <w:szCs w:val="21"/>
                <w:highlight w:val="none"/>
              </w:rPr>
              <w:t>。</w:t>
            </w:r>
          </w:p>
          <w:p w14:paraId="073FE037">
            <w:pPr>
              <w:pStyle w:val="25"/>
              <w:spacing w:line="312" w:lineRule="auto"/>
              <w:ind w:firstLine="420"/>
              <w:rPr>
                <w:rFonts w:hint="eastAsia" w:hAnsi="宋体" w:cs="宋体"/>
                <w:bCs/>
                <w:color w:val="auto"/>
                <w:sz w:val="21"/>
                <w:highlight w:val="none"/>
              </w:rPr>
            </w:pPr>
            <w:r>
              <w:rPr>
                <w:rFonts w:hint="eastAsia" w:hAnsi="宋体" w:cs="宋体"/>
                <w:bCs/>
                <w:color w:val="auto"/>
                <w:sz w:val="21"/>
                <w:highlight w:val="none"/>
              </w:rPr>
              <w:t>（3）以进入比较与评价环节的最低的评审价为基准价，基准价得分为</w:t>
            </w:r>
            <w:r>
              <w:rPr>
                <w:rFonts w:hint="eastAsia" w:hAnsi="宋体" w:cs="宋体"/>
                <w:bCs/>
                <w:color w:val="auto"/>
                <w:sz w:val="21"/>
                <w:highlight w:val="none"/>
                <w:u w:val="single"/>
              </w:rPr>
              <w:t>30</w:t>
            </w:r>
            <w:r>
              <w:rPr>
                <w:rFonts w:hint="eastAsia" w:hAnsi="宋体" w:cs="宋体"/>
                <w:bCs/>
                <w:color w:val="auto"/>
                <w:sz w:val="21"/>
                <w:highlight w:val="none"/>
              </w:rPr>
              <w:t>分。</w:t>
            </w:r>
          </w:p>
          <w:p w14:paraId="611FA297">
            <w:pPr>
              <w:pStyle w:val="25"/>
              <w:spacing w:line="312" w:lineRule="auto"/>
              <w:ind w:firstLine="420"/>
              <w:rPr>
                <w:rFonts w:hint="eastAsia" w:hAnsi="宋体" w:cs="宋体"/>
                <w:bCs/>
                <w:color w:val="auto"/>
                <w:sz w:val="21"/>
                <w:highlight w:val="none"/>
              </w:rPr>
            </w:pPr>
            <w:r>
              <w:rPr>
                <w:rFonts w:hint="eastAsia" w:hAnsi="宋体" w:cs="宋体"/>
                <w:bCs/>
                <w:color w:val="auto"/>
                <w:sz w:val="21"/>
                <w:highlight w:val="none"/>
              </w:rPr>
              <w:t>（4）价格分计算公式：</w:t>
            </w:r>
          </w:p>
          <w:p w14:paraId="3B4E3C12">
            <w:pPr>
              <w:pStyle w:val="25"/>
              <w:spacing w:line="360" w:lineRule="auto"/>
              <w:ind w:firstLine="420"/>
              <w:rPr>
                <w:rFonts w:hint="eastAsia" w:hAnsi="宋体" w:cs="宋体"/>
                <w:bCs/>
                <w:color w:val="auto"/>
                <w:sz w:val="21"/>
                <w:highlight w:val="none"/>
              </w:rPr>
            </w:pPr>
            <w:r>
              <w:rPr>
                <w:rFonts w:hint="eastAsia" w:hAnsi="宋体" w:cs="宋体"/>
                <w:bCs/>
                <w:color w:val="auto"/>
                <w:sz w:val="21"/>
                <w:highlight w:val="none"/>
              </w:rPr>
              <w:t>报价得分=（基准价/最后报价）×</w:t>
            </w:r>
            <w:r>
              <w:rPr>
                <w:rFonts w:hint="eastAsia" w:hAnsi="宋体" w:cs="宋体"/>
                <w:bCs/>
                <w:color w:val="auto"/>
                <w:sz w:val="21"/>
                <w:highlight w:val="none"/>
                <w:u w:val="single"/>
              </w:rPr>
              <w:t>30</w:t>
            </w:r>
            <w:r>
              <w:rPr>
                <w:rFonts w:hint="eastAsia" w:hAnsi="宋体" w:cs="宋体"/>
                <w:bCs/>
                <w:color w:val="auto"/>
                <w:sz w:val="21"/>
                <w:highlight w:val="none"/>
              </w:rPr>
              <w:t>分</w:t>
            </w:r>
          </w:p>
        </w:tc>
        <w:tc>
          <w:tcPr>
            <w:tcW w:w="851" w:type="dxa"/>
            <w:noWrap w:val="0"/>
            <w:vAlign w:val="center"/>
          </w:tcPr>
          <w:p w14:paraId="3A59B7FA">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 xml:space="preserve"> 30分</w:t>
            </w:r>
          </w:p>
        </w:tc>
      </w:tr>
      <w:tr w14:paraId="20C2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DBC6A9D">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99" w:type="dxa"/>
            <w:noWrap w:val="0"/>
            <w:vAlign w:val="center"/>
          </w:tcPr>
          <w:p w14:paraId="6101368F">
            <w:pPr>
              <w:widowControl/>
              <w:spacing w:line="360" w:lineRule="auto"/>
              <w:jc w:val="center"/>
              <w:rPr>
                <w:rFonts w:hint="eastAsia" w:ascii="宋体" w:hAnsi="宋体" w:cs="宋体"/>
                <w:color w:val="auto"/>
                <w:szCs w:val="21"/>
                <w:highlight w:val="none"/>
              </w:rPr>
            </w:pPr>
            <w:r>
              <w:rPr>
                <w:rFonts w:hint="eastAsia" w:ascii="宋体" w:hAnsi="宋体" w:cs="宋体"/>
                <w:bCs/>
                <w:color w:val="auto"/>
                <w:szCs w:val="21"/>
                <w:highlight w:val="none"/>
              </w:rPr>
              <w:t>技术分</w:t>
            </w:r>
          </w:p>
        </w:tc>
        <w:tc>
          <w:tcPr>
            <w:tcW w:w="7139" w:type="dxa"/>
            <w:gridSpan w:val="2"/>
            <w:noWrap w:val="0"/>
            <w:vAlign w:val="center"/>
          </w:tcPr>
          <w:p w14:paraId="79A12738">
            <w:pPr>
              <w:spacing w:line="360" w:lineRule="auto"/>
              <w:jc w:val="center"/>
              <w:rPr>
                <w:rFonts w:hint="eastAsia" w:ascii="宋体" w:hAnsi="宋体" w:cs="宋体"/>
                <w:color w:val="auto"/>
                <w:szCs w:val="21"/>
                <w:highlight w:val="none"/>
              </w:rPr>
            </w:pPr>
            <w:r>
              <w:rPr>
                <w:rFonts w:hint="eastAsia" w:ascii="宋体" w:hAnsi="宋体" w:cs="宋体"/>
                <w:bCs/>
                <w:color w:val="auto"/>
                <w:szCs w:val="21"/>
                <w:highlight w:val="none"/>
              </w:rPr>
              <w:t>评审标准</w:t>
            </w:r>
          </w:p>
        </w:tc>
      </w:tr>
      <w:tr w14:paraId="6951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66C25190">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2.1</w:t>
            </w:r>
          </w:p>
        </w:tc>
        <w:tc>
          <w:tcPr>
            <w:tcW w:w="1299" w:type="dxa"/>
            <w:noWrap w:val="0"/>
            <w:vAlign w:val="center"/>
          </w:tcPr>
          <w:p w14:paraId="4AA51010">
            <w:pPr>
              <w:pStyle w:val="384"/>
              <w:widowControl w:val="0"/>
              <w:spacing w:before="0" w:after="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主要施工</w:t>
            </w:r>
            <w:r>
              <w:rPr>
                <w:rFonts w:hint="eastAsia" w:ascii="宋体" w:hAnsi="宋体" w:eastAsia="宋体" w:cs="宋体"/>
                <w:color w:val="auto"/>
                <w:spacing w:val="-21"/>
                <w:sz w:val="21"/>
                <w:szCs w:val="21"/>
                <w:highlight w:val="none"/>
                <w:lang w:eastAsia="zh-CN"/>
              </w:rPr>
              <w:t>方法</w:t>
            </w:r>
          </w:p>
        </w:tc>
        <w:tc>
          <w:tcPr>
            <w:tcW w:w="6288" w:type="dxa"/>
            <w:noWrap w:val="0"/>
            <w:vAlign w:val="center"/>
          </w:tcPr>
          <w:p w14:paraId="16D3CB88">
            <w:pPr>
              <w:pStyle w:val="384"/>
              <w:widowControl w:val="0"/>
              <w:spacing w:before="0" w:after="0"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四档（7分）：各主要分部施工方法符合项目实际，有详尽的施工技术方案，工艺精细化、方法合理可行，能指导具体施工并确保安全。</w:t>
            </w:r>
          </w:p>
          <w:p w14:paraId="5A983D0C">
            <w:pPr>
              <w:pStyle w:val="384"/>
              <w:widowControl w:val="0"/>
              <w:spacing w:before="0" w:after="0"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三档（5分）：各主要分部施工方法符合项目实际，有详尽的施工技术方案，工艺合理、方法可行，能指导具体施工并确保安全。</w:t>
            </w:r>
          </w:p>
          <w:p w14:paraId="6B456280">
            <w:pPr>
              <w:pStyle w:val="384"/>
              <w:widowControl w:val="0"/>
              <w:spacing w:before="0" w:after="0"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二档（3分）：各主要分部施工方法符合项目实际，有施工技术方案，工艺合理、方法可行，能指导施工并确保安全。</w:t>
            </w:r>
          </w:p>
          <w:p w14:paraId="4B1D8C89">
            <w:pPr>
              <w:pStyle w:val="384"/>
              <w:widowControl w:val="0"/>
              <w:spacing w:before="0" w:after="0"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一档（1分）：各主要分部施工方法不符合项目实际，有施工技术方案，工艺不合理，不能指导具体施工并确保安全。</w:t>
            </w:r>
          </w:p>
        </w:tc>
        <w:tc>
          <w:tcPr>
            <w:tcW w:w="851" w:type="dxa"/>
            <w:noWrap w:val="0"/>
            <w:vAlign w:val="center"/>
          </w:tcPr>
          <w:p w14:paraId="6592575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7分</w:t>
            </w:r>
          </w:p>
        </w:tc>
      </w:tr>
      <w:tr w14:paraId="06E8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DBBE9E5">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2.2</w:t>
            </w:r>
          </w:p>
        </w:tc>
        <w:tc>
          <w:tcPr>
            <w:tcW w:w="1299" w:type="dxa"/>
            <w:noWrap w:val="0"/>
            <w:vAlign w:val="center"/>
          </w:tcPr>
          <w:p w14:paraId="30A599A4">
            <w:pPr>
              <w:pStyle w:val="384"/>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拟投入的主要物资计划</w:t>
            </w:r>
          </w:p>
        </w:tc>
        <w:tc>
          <w:tcPr>
            <w:tcW w:w="6288" w:type="dxa"/>
            <w:noWrap w:val="0"/>
            <w:vAlign w:val="center"/>
          </w:tcPr>
          <w:p w14:paraId="3A202572">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z w:val="21"/>
                <w:szCs w:val="21"/>
                <w:highlight w:val="none"/>
                <w:lang w:eastAsia="zh-CN"/>
              </w:rPr>
              <w:t>（6分）：投入的施工材料有详细的组织计划且计划周密，数量、选型配置、进场时间安排合理，满足施工需要。</w:t>
            </w:r>
          </w:p>
          <w:p w14:paraId="09A5F002">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z w:val="21"/>
                <w:szCs w:val="21"/>
                <w:highlight w:val="none"/>
                <w:lang w:eastAsia="zh-CN"/>
              </w:rPr>
              <w:t>（4分）：投入的施工材料有详细的组织计划但计划可行，数量、选型配置、进场时间安排合理，满足施工需要。</w:t>
            </w:r>
          </w:p>
          <w:p w14:paraId="2E03D7E1">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z w:val="21"/>
                <w:szCs w:val="21"/>
                <w:highlight w:val="none"/>
                <w:lang w:eastAsia="zh-CN"/>
              </w:rPr>
              <w:t>（2分）：投入的施工材料有组织计划但计划合理，数量、选型配置、进场时间安排合理，满足施工需要。</w:t>
            </w:r>
          </w:p>
          <w:p w14:paraId="63D10C5D">
            <w:pPr>
              <w:pStyle w:val="385"/>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z w:val="21"/>
                <w:szCs w:val="21"/>
                <w:highlight w:val="none"/>
                <w:lang w:eastAsia="zh-CN"/>
              </w:rPr>
              <w:t>（1分）：投入的施工材料无组织计划，数量、选型配置、进场时间安排不合理，不满足施工需要。</w:t>
            </w:r>
          </w:p>
        </w:tc>
        <w:tc>
          <w:tcPr>
            <w:tcW w:w="851" w:type="dxa"/>
            <w:noWrap w:val="0"/>
            <w:vAlign w:val="center"/>
          </w:tcPr>
          <w:p w14:paraId="6BBC686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7C9D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A88210C">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2.3</w:t>
            </w:r>
          </w:p>
        </w:tc>
        <w:tc>
          <w:tcPr>
            <w:tcW w:w="1299" w:type="dxa"/>
            <w:noWrap w:val="0"/>
            <w:vAlign w:val="center"/>
          </w:tcPr>
          <w:p w14:paraId="1820E7AA">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拟投入的主要施工</w:t>
            </w:r>
            <w:r>
              <w:rPr>
                <w:rFonts w:hint="eastAsia" w:ascii="宋体" w:hAnsi="宋体" w:eastAsia="宋体" w:cs="宋体"/>
                <w:color w:val="auto"/>
                <w:spacing w:val="-2"/>
                <w:sz w:val="21"/>
                <w:szCs w:val="21"/>
                <w:highlight w:val="none"/>
                <w:lang w:eastAsia="zh-CN"/>
              </w:rPr>
              <w:t>机械、设备</w:t>
            </w:r>
            <w:r>
              <w:rPr>
                <w:rFonts w:hint="eastAsia" w:ascii="宋体" w:hAnsi="宋体" w:eastAsia="宋体" w:cs="宋体"/>
                <w:color w:val="auto"/>
                <w:spacing w:val="-21"/>
                <w:sz w:val="21"/>
                <w:szCs w:val="21"/>
                <w:highlight w:val="none"/>
                <w:lang w:eastAsia="zh-CN"/>
              </w:rPr>
              <w:t>计划</w:t>
            </w:r>
          </w:p>
          <w:p w14:paraId="20BCFE25">
            <w:pPr>
              <w:spacing w:line="360" w:lineRule="auto"/>
              <w:rPr>
                <w:rFonts w:hint="eastAsia" w:ascii="宋体" w:hAnsi="宋体" w:cs="宋体"/>
                <w:color w:val="auto"/>
                <w:szCs w:val="21"/>
                <w:highlight w:val="none"/>
              </w:rPr>
            </w:pPr>
          </w:p>
        </w:tc>
        <w:tc>
          <w:tcPr>
            <w:tcW w:w="6288" w:type="dxa"/>
            <w:noWrap w:val="0"/>
            <w:vAlign w:val="center"/>
          </w:tcPr>
          <w:p w14:paraId="028BC5B6">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z w:val="21"/>
                <w:szCs w:val="21"/>
                <w:highlight w:val="none"/>
                <w:lang w:eastAsia="zh-CN"/>
              </w:rPr>
              <w:t>（6分）：投入的施工机械、设备、机具有详细的组织计划且计划周密，设备数量、选型配置、进场时间安排合理，满足施工需要。</w:t>
            </w:r>
          </w:p>
          <w:p w14:paraId="46D81F31">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z w:val="21"/>
                <w:szCs w:val="21"/>
                <w:highlight w:val="none"/>
                <w:lang w:eastAsia="zh-CN"/>
              </w:rPr>
              <w:t>（4分）：投入的施工机械、设备、机具有详细的组织计划但计划可行，设备数量、选型配置、进场时间安排合理，满足施工需要。</w:t>
            </w:r>
          </w:p>
          <w:p w14:paraId="46ABCF9E">
            <w:pPr>
              <w:pStyle w:val="385"/>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z w:val="21"/>
                <w:szCs w:val="21"/>
                <w:highlight w:val="none"/>
                <w:lang w:eastAsia="zh-CN"/>
              </w:rPr>
              <w:t>（2分）：投入的施工机械、设备、机具有组织计划但计划合理，设备数量、选型配置、进场时间安排合理，基本满足施工需要。</w:t>
            </w:r>
          </w:p>
          <w:p w14:paraId="24ACFBBD">
            <w:pPr>
              <w:pStyle w:val="385"/>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z w:val="21"/>
                <w:szCs w:val="21"/>
                <w:highlight w:val="none"/>
                <w:lang w:eastAsia="zh-CN"/>
              </w:rPr>
              <w:t>（1分）：投入的施工机械、设备、机具无组织计划，设备数量、选型配置、进场时间安排不合理，不满足施工需要。</w:t>
            </w:r>
          </w:p>
        </w:tc>
        <w:tc>
          <w:tcPr>
            <w:tcW w:w="851" w:type="dxa"/>
            <w:noWrap w:val="0"/>
            <w:vAlign w:val="center"/>
          </w:tcPr>
          <w:p w14:paraId="769123A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7AF3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BDF8DF1">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2.4</w:t>
            </w:r>
          </w:p>
        </w:tc>
        <w:tc>
          <w:tcPr>
            <w:tcW w:w="1299" w:type="dxa"/>
            <w:noWrap w:val="0"/>
            <w:vAlign w:val="center"/>
          </w:tcPr>
          <w:p w14:paraId="71A0057F">
            <w:pPr>
              <w:pStyle w:val="385"/>
              <w:widowControl w:val="0"/>
              <w:spacing w:before="0" w:after="0" w:line="360" w:lineRule="auto"/>
              <w:ind w:left="5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劳动力安</w:t>
            </w:r>
            <w:r>
              <w:rPr>
                <w:rFonts w:hint="eastAsia" w:ascii="宋体" w:hAnsi="宋体" w:eastAsia="宋体" w:cs="宋体"/>
                <w:color w:val="auto"/>
                <w:spacing w:val="1"/>
                <w:sz w:val="21"/>
                <w:szCs w:val="21"/>
                <w:highlight w:val="none"/>
                <w:lang w:eastAsia="zh-CN"/>
              </w:rPr>
              <w:t>排计划</w:t>
            </w:r>
          </w:p>
        </w:tc>
        <w:tc>
          <w:tcPr>
            <w:tcW w:w="6288" w:type="dxa"/>
            <w:noWrap w:val="0"/>
            <w:vAlign w:val="center"/>
          </w:tcPr>
          <w:p w14:paraId="4DA439C5">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6</w:t>
            </w:r>
            <w:r>
              <w:rPr>
                <w:rFonts w:hint="eastAsia" w:ascii="宋体" w:hAnsi="宋体" w:eastAsia="宋体" w:cs="宋体"/>
                <w:color w:val="auto"/>
                <w:spacing w:val="5"/>
                <w:sz w:val="21"/>
                <w:szCs w:val="21"/>
                <w:highlight w:val="none"/>
                <w:lang w:eastAsia="zh-CN"/>
              </w:rPr>
              <w:t>分）：各主要施工工序有详细周密的劳动力安排计划，</w:t>
            </w:r>
            <w:r>
              <w:rPr>
                <w:rFonts w:hint="eastAsia" w:ascii="宋体" w:hAnsi="宋体" w:eastAsia="宋体" w:cs="宋体"/>
                <w:color w:val="auto"/>
                <w:spacing w:val="-1"/>
                <w:sz w:val="21"/>
                <w:szCs w:val="21"/>
                <w:highlight w:val="none"/>
                <w:lang w:eastAsia="zh-CN"/>
              </w:rPr>
              <w:t>各工种劳动力安排计划合理，劳动力投入合理，满足施工需要。</w:t>
            </w:r>
          </w:p>
          <w:p w14:paraId="6D3ADB71">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4</w:t>
            </w:r>
            <w:r>
              <w:rPr>
                <w:rFonts w:hint="eastAsia" w:ascii="宋体" w:hAnsi="宋体" w:eastAsia="宋体" w:cs="宋体"/>
                <w:color w:val="auto"/>
                <w:spacing w:val="5"/>
                <w:sz w:val="21"/>
                <w:szCs w:val="21"/>
                <w:highlight w:val="none"/>
                <w:lang w:eastAsia="zh-CN"/>
              </w:rPr>
              <w:t>分）：各主要施工工序有劳动力安排计划，有各工种劳</w:t>
            </w:r>
            <w:r>
              <w:rPr>
                <w:rFonts w:hint="eastAsia" w:ascii="宋体" w:hAnsi="宋体" w:eastAsia="宋体" w:cs="宋体"/>
                <w:color w:val="auto"/>
                <w:spacing w:val="1"/>
                <w:sz w:val="21"/>
                <w:szCs w:val="21"/>
                <w:highlight w:val="none"/>
                <w:lang w:eastAsia="zh-CN"/>
              </w:rPr>
              <w:t>动力安排计划，劳动力投入合理，满足施工需要。</w:t>
            </w:r>
          </w:p>
          <w:p w14:paraId="4B67957E">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pacing w:val="5"/>
                <w:sz w:val="21"/>
                <w:szCs w:val="21"/>
                <w:highlight w:val="none"/>
                <w:lang w:eastAsia="zh-CN"/>
              </w:rPr>
              <w:t>分）：各主要施工工序只有劳动力安排计划，无各工种</w:t>
            </w:r>
            <w:r>
              <w:rPr>
                <w:rFonts w:hint="eastAsia" w:ascii="宋体" w:hAnsi="宋体" w:eastAsia="宋体" w:cs="宋体"/>
                <w:color w:val="auto"/>
                <w:spacing w:val="1"/>
                <w:sz w:val="21"/>
                <w:szCs w:val="21"/>
                <w:highlight w:val="none"/>
                <w:lang w:eastAsia="zh-CN"/>
              </w:rPr>
              <w:t>劳动力安排计划，劳动力投入满足项目要求，满足施工需要。</w:t>
            </w:r>
          </w:p>
          <w:p w14:paraId="56C6A9BE">
            <w:pPr>
              <w:pStyle w:val="385"/>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5"/>
                <w:sz w:val="21"/>
                <w:szCs w:val="21"/>
                <w:highlight w:val="none"/>
                <w:lang w:eastAsia="zh-CN"/>
              </w:rPr>
              <w:t>分）：各主要施工工序无劳动力安排计划，劳动力投入</w:t>
            </w:r>
            <w:r>
              <w:rPr>
                <w:rFonts w:hint="eastAsia" w:ascii="宋体" w:hAnsi="宋体" w:eastAsia="宋体" w:cs="宋体"/>
                <w:color w:val="auto"/>
                <w:spacing w:val="1"/>
                <w:sz w:val="21"/>
                <w:szCs w:val="21"/>
                <w:highlight w:val="none"/>
                <w:lang w:eastAsia="zh-CN"/>
              </w:rPr>
              <w:t>不合理，不满足施工需要。</w:t>
            </w:r>
          </w:p>
        </w:tc>
        <w:tc>
          <w:tcPr>
            <w:tcW w:w="851" w:type="dxa"/>
            <w:noWrap w:val="0"/>
            <w:vAlign w:val="center"/>
          </w:tcPr>
          <w:p w14:paraId="668C4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5A56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15C2482">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2.5</w:t>
            </w:r>
          </w:p>
        </w:tc>
        <w:tc>
          <w:tcPr>
            <w:tcW w:w="1299" w:type="dxa"/>
            <w:noWrap w:val="0"/>
            <w:vAlign w:val="center"/>
          </w:tcPr>
          <w:p w14:paraId="7C5F2D4C">
            <w:pPr>
              <w:pStyle w:val="385"/>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确保工程质量的技术组织措</w:t>
            </w:r>
            <w:r>
              <w:rPr>
                <w:rFonts w:hint="eastAsia" w:ascii="宋体" w:hAnsi="宋体" w:eastAsia="宋体" w:cs="宋体"/>
                <w:color w:val="auto"/>
                <w:spacing w:val="1"/>
                <w:sz w:val="21"/>
                <w:szCs w:val="21"/>
                <w:highlight w:val="none"/>
                <w:lang w:eastAsia="zh-CN"/>
              </w:rPr>
              <w:t>施</w:t>
            </w:r>
          </w:p>
          <w:p w14:paraId="72DDB63B">
            <w:pPr>
              <w:spacing w:line="360" w:lineRule="auto"/>
              <w:rPr>
                <w:rFonts w:hint="eastAsia" w:ascii="宋体" w:hAnsi="宋体" w:cs="宋体"/>
                <w:color w:val="auto"/>
                <w:szCs w:val="21"/>
                <w:highlight w:val="none"/>
              </w:rPr>
            </w:pPr>
          </w:p>
        </w:tc>
        <w:tc>
          <w:tcPr>
            <w:tcW w:w="6288" w:type="dxa"/>
            <w:noWrap w:val="0"/>
            <w:vAlign w:val="center"/>
          </w:tcPr>
          <w:p w14:paraId="592F5954">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6</w:t>
            </w:r>
            <w:r>
              <w:rPr>
                <w:rFonts w:hint="eastAsia" w:ascii="宋体" w:hAnsi="宋体" w:eastAsia="宋体" w:cs="宋体"/>
                <w:color w:val="auto"/>
                <w:spacing w:val="5"/>
                <w:sz w:val="21"/>
                <w:szCs w:val="21"/>
                <w:highlight w:val="none"/>
                <w:lang w:eastAsia="zh-CN"/>
              </w:rPr>
              <w:t>分）：有专门的质量技术管理班子和制度，且人员配备</w:t>
            </w:r>
            <w:r>
              <w:rPr>
                <w:rFonts w:hint="eastAsia" w:ascii="宋体" w:hAnsi="宋体" w:eastAsia="宋体" w:cs="宋体"/>
                <w:color w:val="auto"/>
                <w:spacing w:val="3"/>
                <w:sz w:val="21"/>
                <w:szCs w:val="21"/>
                <w:highlight w:val="none"/>
                <w:lang w:eastAsia="zh-CN"/>
              </w:rPr>
              <w:t>合理，制度健全。主要工序有质量技术保证措施和手段，自</w:t>
            </w:r>
            <w:r>
              <w:rPr>
                <w:rFonts w:hint="eastAsia" w:ascii="宋体" w:hAnsi="宋体" w:eastAsia="宋体" w:cs="宋体"/>
                <w:color w:val="auto"/>
                <w:spacing w:val="1"/>
                <w:sz w:val="21"/>
                <w:szCs w:val="21"/>
                <w:highlight w:val="none"/>
                <w:lang w:eastAsia="zh-CN"/>
              </w:rPr>
              <w:t>控体系完整、切合实际，能保证技术质量，达到承诺的质量标准。</w:t>
            </w:r>
          </w:p>
          <w:p w14:paraId="17EC81A4">
            <w:pPr>
              <w:pStyle w:val="385"/>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4</w:t>
            </w:r>
            <w:r>
              <w:rPr>
                <w:rFonts w:hint="eastAsia" w:ascii="宋体" w:hAnsi="宋体" w:eastAsia="宋体" w:cs="宋体"/>
                <w:color w:val="auto"/>
                <w:spacing w:val="5"/>
                <w:sz w:val="21"/>
                <w:szCs w:val="21"/>
                <w:highlight w:val="none"/>
                <w:lang w:eastAsia="zh-CN"/>
              </w:rPr>
              <w:t>分）：有质量技术管理班子和制度，且人员配备合理，</w:t>
            </w:r>
            <w:r>
              <w:rPr>
                <w:rFonts w:hint="eastAsia" w:ascii="宋体" w:hAnsi="宋体" w:eastAsia="宋体" w:cs="宋体"/>
                <w:color w:val="auto"/>
                <w:spacing w:val="3"/>
                <w:sz w:val="21"/>
                <w:szCs w:val="21"/>
                <w:highlight w:val="none"/>
                <w:lang w:eastAsia="zh-CN"/>
              </w:rPr>
              <w:t>制度健全。主要工序有质量技术保证措施和手段，自控体系</w:t>
            </w:r>
            <w:r>
              <w:rPr>
                <w:rFonts w:hint="eastAsia" w:ascii="宋体" w:hAnsi="宋体" w:eastAsia="宋体" w:cs="宋体"/>
                <w:color w:val="auto"/>
                <w:spacing w:val="1"/>
                <w:sz w:val="21"/>
                <w:szCs w:val="21"/>
                <w:highlight w:val="none"/>
                <w:lang w:eastAsia="zh-CN"/>
              </w:rPr>
              <w:t>完整，能有效保证技术质量，达到承诺的质量标准。</w:t>
            </w:r>
          </w:p>
          <w:p w14:paraId="279EA2CE">
            <w:pPr>
              <w:spacing w:line="360" w:lineRule="auto"/>
              <w:rPr>
                <w:rFonts w:hint="eastAsia" w:ascii="宋体" w:hAnsi="宋体" w:cs="宋体"/>
                <w:color w:val="auto"/>
                <w:szCs w:val="21"/>
                <w:highlight w:val="none"/>
                <w:lang w:val="ru-RU"/>
              </w:rPr>
            </w:pPr>
            <w:r>
              <w:rPr>
                <w:rFonts w:hint="eastAsia" w:ascii="宋体" w:hAnsi="宋体" w:cs="宋体"/>
                <w:bCs/>
                <w:color w:val="auto"/>
                <w:szCs w:val="21"/>
                <w:highlight w:val="none"/>
              </w:rPr>
              <w:t>二档</w:t>
            </w:r>
            <w:r>
              <w:rPr>
                <w:rFonts w:hint="eastAsia" w:ascii="宋体" w:hAnsi="宋体" w:cs="宋体"/>
                <w:color w:val="auto"/>
                <w:szCs w:val="21"/>
                <w:highlight w:val="none"/>
                <w:lang w:val="ru-RU"/>
              </w:rPr>
              <w:t>（2分）：有质量技术管理班子和制度。主要工序有质量技术保证措施和手段，自控体系</w:t>
            </w:r>
            <w:r>
              <w:rPr>
                <w:rFonts w:hint="eastAsia" w:ascii="宋体" w:hAnsi="宋体" w:cs="宋体"/>
                <w:color w:val="auto"/>
                <w:szCs w:val="21"/>
                <w:highlight w:val="none"/>
                <w:lang w:val="ru-RU" w:eastAsia="zh-CN"/>
              </w:rPr>
              <w:t>可行</w:t>
            </w:r>
            <w:r>
              <w:rPr>
                <w:rFonts w:hint="eastAsia" w:ascii="宋体" w:hAnsi="宋体" w:cs="宋体"/>
                <w:color w:val="auto"/>
                <w:szCs w:val="21"/>
                <w:highlight w:val="none"/>
                <w:lang w:val="ru-RU"/>
              </w:rPr>
              <w:t>，基本能保证技术质量，达到承诺的质量标准。</w:t>
            </w:r>
          </w:p>
          <w:p w14:paraId="384C2C78">
            <w:pPr>
              <w:pStyle w:val="386"/>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5"/>
                <w:sz w:val="21"/>
                <w:szCs w:val="21"/>
                <w:highlight w:val="none"/>
                <w:lang w:eastAsia="zh-CN"/>
              </w:rPr>
              <w:t>分）：有质量技术管理班子和制度。主要工序无质量技</w:t>
            </w:r>
            <w:r>
              <w:rPr>
                <w:rFonts w:hint="eastAsia" w:ascii="宋体" w:hAnsi="宋体" w:eastAsia="宋体" w:cs="宋体"/>
                <w:color w:val="auto"/>
                <w:spacing w:val="-1"/>
                <w:sz w:val="21"/>
                <w:szCs w:val="21"/>
                <w:highlight w:val="none"/>
                <w:lang w:eastAsia="zh-CN"/>
              </w:rPr>
              <w:t>术保证措施和手段，自控体系合理，不能有效保证技术质量。</w:t>
            </w:r>
          </w:p>
        </w:tc>
        <w:tc>
          <w:tcPr>
            <w:tcW w:w="851" w:type="dxa"/>
            <w:noWrap w:val="0"/>
            <w:vAlign w:val="center"/>
          </w:tcPr>
          <w:p w14:paraId="68A4B60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2DCC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2036D31F">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2.6</w:t>
            </w:r>
          </w:p>
        </w:tc>
        <w:tc>
          <w:tcPr>
            <w:tcW w:w="1299" w:type="dxa"/>
            <w:noWrap w:val="0"/>
            <w:vAlign w:val="center"/>
          </w:tcPr>
          <w:p w14:paraId="3CAE733D">
            <w:pPr>
              <w:pStyle w:val="386"/>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确保安全生产的技术组织措</w:t>
            </w:r>
            <w:r>
              <w:rPr>
                <w:rFonts w:hint="eastAsia" w:ascii="宋体" w:hAnsi="宋体" w:eastAsia="宋体" w:cs="宋体"/>
                <w:color w:val="auto"/>
                <w:spacing w:val="1"/>
                <w:sz w:val="21"/>
                <w:szCs w:val="21"/>
                <w:highlight w:val="none"/>
                <w:lang w:eastAsia="zh-CN"/>
              </w:rPr>
              <w:t>施</w:t>
            </w:r>
          </w:p>
          <w:p w14:paraId="2C9A2FE0">
            <w:pPr>
              <w:pStyle w:val="385"/>
              <w:widowControl w:val="0"/>
              <w:spacing w:before="0" w:after="0" w:line="360" w:lineRule="auto"/>
              <w:jc w:val="left"/>
              <w:rPr>
                <w:rFonts w:hint="eastAsia" w:ascii="宋体" w:hAnsi="宋体" w:eastAsia="宋体" w:cs="宋体"/>
                <w:color w:val="auto"/>
                <w:sz w:val="21"/>
                <w:szCs w:val="21"/>
                <w:highlight w:val="none"/>
                <w:lang w:eastAsia="zh-CN"/>
              </w:rPr>
            </w:pPr>
          </w:p>
        </w:tc>
        <w:tc>
          <w:tcPr>
            <w:tcW w:w="6288" w:type="dxa"/>
            <w:noWrap w:val="0"/>
            <w:vAlign w:val="center"/>
          </w:tcPr>
          <w:p w14:paraId="7F2B3D48">
            <w:pPr>
              <w:pStyle w:val="386"/>
              <w:widowControl w:val="0"/>
              <w:spacing w:before="0" w:after="0" w:line="360" w:lineRule="auto"/>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z w:val="21"/>
                <w:szCs w:val="21"/>
                <w:highlight w:val="none"/>
                <w:lang w:eastAsia="zh-CN"/>
              </w:rPr>
              <w:t>（6</w:t>
            </w:r>
            <w:r>
              <w:rPr>
                <w:rFonts w:hint="eastAsia" w:ascii="宋体" w:hAnsi="宋体" w:eastAsia="宋体" w:cs="宋体"/>
                <w:color w:val="auto"/>
                <w:spacing w:val="1"/>
                <w:sz w:val="21"/>
                <w:szCs w:val="21"/>
                <w:highlight w:val="none"/>
                <w:lang w:eastAsia="zh-CN"/>
              </w:rPr>
              <w:t>分）：有专门的安全管理人员和制度，且人员配备科学合理，</w:t>
            </w:r>
            <w:r>
              <w:rPr>
                <w:rFonts w:hint="eastAsia" w:ascii="宋体" w:hAnsi="宋体" w:eastAsia="宋体" w:cs="宋体"/>
                <w:color w:val="auto"/>
                <w:spacing w:val="3"/>
                <w:sz w:val="21"/>
                <w:szCs w:val="21"/>
                <w:highlight w:val="none"/>
                <w:lang w:eastAsia="zh-CN"/>
              </w:rPr>
              <w:t>制度健全，各道工序安全技术措施具备针对性，切合实际且满足有关安全技术标准要求。现场防火、应急救援、社会治安</w:t>
            </w:r>
            <w:r>
              <w:rPr>
                <w:rFonts w:hint="eastAsia" w:ascii="宋体" w:hAnsi="宋体" w:eastAsia="宋体" w:cs="宋体"/>
                <w:color w:val="auto"/>
                <w:spacing w:val="1"/>
                <w:sz w:val="21"/>
                <w:szCs w:val="21"/>
                <w:highlight w:val="none"/>
                <w:lang w:eastAsia="zh-CN"/>
              </w:rPr>
              <w:t>安全措施得力。</w:t>
            </w:r>
          </w:p>
          <w:p w14:paraId="47102DA2">
            <w:pPr>
              <w:pStyle w:val="386"/>
              <w:widowControl w:val="0"/>
              <w:spacing w:before="0" w:after="0" w:line="360" w:lineRule="auto"/>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4</w:t>
            </w:r>
            <w:r>
              <w:rPr>
                <w:rFonts w:hint="eastAsia" w:ascii="宋体" w:hAnsi="宋体" w:eastAsia="宋体" w:cs="宋体"/>
                <w:color w:val="auto"/>
                <w:spacing w:val="5"/>
                <w:sz w:val="21"/>
                <w:szCs w:val="21"/>
                <w:highlight w:val="none"/>
                <w:lang w:eastAsia="zh-CN"/>
              </w:rPr>
              <w:t>分）：有安全管理人员和制度，且人员配备合理，制度完整</w:t>
            </w:r>
            <w:r>
              <w:rPr>
                <w:rFonts w:hint="eastAsia" w:ascii="宋体" w:hAnsi="宋体" w:eastAsia="宋体" w:cs="宋体"/>
                <w:color w:val="auto"/>
                <w:spacing w:val="3"/>
                <w:sz w:val="21"/>
                <w:szCs w:val="21"/>
                <w:highlight w:val="none"/>
                <w:lang w:eastAsia="zh-CN"/>
              </w:rPr>
              <w:t>，各道工序安全技术措施具备针对性，符合实际且满足有关安全技术标准要求。现场防火、应急救援、社会治安安全</w:t>
            </w:r>
            <w:r>
              <w:rPr>
                <w:rFonts w:hint="eastAsia" w:ascii="宋体" w:hAnsi="宋体" w:eastAsia="宋体" w:cs="宋体"/>
                <w:color w:val="auto"/>
                <w:spacing w:val="1"/>
                <w:sz w:val="21"/>
                <w:szCs w:val="21"/>
                <w:highlight w:val="none"/>
                <w:lang w:eastAsia="zh-CN"/>
              </w:rPr>
              <w:t>措施完整。</w:t>
            </w:r>
          </w:p>
          <w:p w14:paraId="4594F3FD">
            <w:pPr>
              <w:pStyle w:val="386"/>
              <w:widowControl w:val="0"/>
              <w:spacing w:before="0" w:after="0" w:line="360" w:lineRule="auto"/>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pacing w:val="5"/>
                <w:sz w:val="21"/>
                <w:szCs w:val="21"/>
                <w:highlight w:val="none"/>
                <w:lang w:eastAsia="zh-CN"/>
              </w:rPr>
              <w:t>分）：有安全管理人员和制度，各道工序安全技术措施具有</w:t>
            </w:r>
            <w:r>
              <w:rPr>
                <w:rFonts w:hint="eastAsia" w:ascii="宋体" w:hAnsi="宋体" w:eastAsia="宋体" w:cs="宋体"/>
                <w:color w:val="auto"/>
                <w:spacing w:val="3"/>
                <w:sz w:val="21"/>
                <w:szCs w:val="21"/>
                <w:highlight w:val="none"/>
                <w:lang w:eastAsia="zh-CN"/>
              </w:rPr>
              <w:t>针对性，满足有关安全技术标准要求。现场防火、应急救</w:t>
            </w:r>
            <w:r>
              <w:rPr>
                <w:rFonts w:hint="eastAsia" w:ascii="宋体" w:hAnsi="宋体" w:eastAsia="宋体" w:cs="宋体"/>
                <w:color w:val="auto"/>
                <w:spacing w:val="1"/>
                <w:sz w:val="21"/>
                <w:szCs w:val="21"/>
                <w:highlight w:val="none"/>
                <w:lang w:eastAsia="zh-CN"/>
              </w:rPr>
              <w:t>援、社会治安安全措施满足项目要求。</w:t>
            </w:r>
          </w:p>
          <w:p w14:paraId="42E25D56">
            <w:pPr>
              <w:pStyle w:val="386"/>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pacing w:val="5"/>
                <w:sz w:val="21"/>
                <w:szCs w:val="21"/>
                <w:highlight w:val="none"/>
                <w:lang w:eastAsia="zh-CN"/>
              </w:rPr>
              <w:t>分）：有安全管理人员和制度，各道工序安全技术措施</w:t>
            </w:r>
            <w:r>
              <w:rPr>
                <w:rFonts w:hint="eastAsia" w:ascii="宋体" w:hAnsi="宋体" w:eastAsia="宋体" w:cs="宋体"/>
                <w:color w:val="auto"/>
                <w:spacing w:val="3"/>
                <w:sz w:val="21"/>
                <w:szCs w:val="21"/>
                <w:highlight w:val="none"/>
                <w:lang w:eastAsia="zh-CN"/>
              </w:rPr>
              <w:t>无针对性，满足有关安全技术标准要求。现场防火、应急救</w:t>
            </w:r>
            <w:r>
              <w:rPr>
                <w:rFonts w:hint="eastAsia" w:ascii="宋体" w:hAnsi="宋体" w:eastAsia="宋体" w:cs="宋体"/>
                <w:color w:val="auto"/>
                <w:spacing w:val="1"/>
                <w:sz w:val="21"/>
                <w:szCs w:val="21"/>
                <w:highlight w:val="none"/>
                <w:lang w:eastAsia="zh-CN"/>
              </w:rPr>
              <w:t>援、社会治安安全措施差。</w:t>
            </w:r>
          </w:p>
        </w:tc>
        <w:tc>
          <w:tcPr>
            <w:tcW w:w="851" w:type="dxa"/>
            <w:noWrap w:val="0"/>
            <w:vAlign w:val="center"/>
          </w:tcPr>
          <w:p w14:paraId="1C89E5D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425B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06EE62C6">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2.7</w:t>
            </w:r>
          </w:p>
        </w:tc>
        <w:tc>
          <w:tcPr>
            <w:tcW w:w="1299" w:type="dxa"/>
            <w:noWrap w:val="0"/>
            <w:vAlign w:val="center"/>
          </w:tcPr>
          <w:p w14:paraId="10A22F46">
            <w:pPr>
              <w:pStyle w:val="386"/>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确保工期的技术组</w:t>
            </w:r>
            <w:r>
              <w:rPr>
                <w:rFonts w:hint="eastAsia" w:ascii="宋体" w:hAnsi="宋体" w:eastAsia="宋体" w:cs="宋体"/>
                <w:color w:val="auto"/>
                <w:spacing w:val="1"/>
                <w:sz w:val="21"/>
                <w:szCs w:val="21"/>
                <w:highlight w:val="none"/>
                <w:lang w:eastAsia="zh-CN"/>
              </w:rPr>
              <w:t>织措施</w:t>
            </w:r>
          </w:p>
        </w:tc>
        <w:tc>
          <w:tcPr>
            <w:tcW w:w="6288" w:type="dxa"/>
            <w:noWrap w:val="0"/>
            <w:vAlign w:val="center"/>
          </w:tcPr>
          <w:p w14:paraId="32EBBF32">
            <w:pPr>
              <w:pStyle w:val="386"/>
              <w:widowControl w:val="0"/>
              <w:spacing w:before="0" w:after="0" w:line="360" w:lineRule="auto"/>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z w:val="21"/>
                <w:szCs w:val="21"/>
                <w:highlight w:val="none"/>
                <w:lang w:eastAsia="zh-CN"/>
              </w:rPr>
              <w:t>6</w:t>
            </w:r>
            <w:r>
              <w:rPr>
                <w:rFonts w:hint="eastAsia" w:ascii="宋体" w:hAnsi="宋体" w:eastAsia="宋体" w:cs="宋体"/>
                <w:color w:val="auto"/>
                <w:spacing w:val="1"/>
                <w:sz w:val="21"/>
                <w:szCs w:val="21"/>
                <w:highlight w:val="none"/>
                <w:lang w:eastAsia="zh-CN"/>
              </w:rPr>
              <w:t>分）：在施工工艺、施工方法、材料选用、劳动力安排、</w:t>
            </w:r>
            <w:r>
              <w:rPr>
                <w:rFonts w:hint="eastAsia" w:ascii="宋体" w:hAnsi="宋体" w:eastAsia="宋体" w:cs="宋体"/>
                <w:color w:val="auto"/>
                <w:spacing w:val="3"/>
                <w:sz w:val="21"/>
                <w:szCs w:val="21"/>
                <w:highlight w:val="none"/>
                <w:lang w:eastAsia="zh-CN"/>
              </w:rPr>
              <w:t>技术等方面有保证工期的具体措施且措施得当。有控制工期的施工进度计划。有施工总进度表或施工网络图，各项计划</w:t>
            </w:r>
            <w:r>
              <w:rPr>
                <w:rFonts w:hint="eastAsia" w:ascii="宋体" w:hAnsi="宋体" w:eastAsia="宋体" w:cs="宋体"/>
                <w:color w:val="auto"/>
                <w:spacing w:val="1"/>
                <w:sz w:val="21"/>
                <w:szCs w:val="21"/>
                <w:highlight w:val="none"/>
                <w:lang w:eastAsia="zh-CN"/>
              </w:rPr>
              <w:t>图表编制完善，安排合理，符合本项目施工实际要求。</w:t>
            </w:r>
          </w:p>
          <w:p w14:paraId="3160CB45">
            <w:pPr>
              <w:pStyle w:val="386"/>
              <w:widowControl w:val="0"/>
              <w:spacing w:before="0" w:after="0" w:line="360" w:lineRule="auto"/>
              <w:rPr>
                <w:rFonts w:hint="eastAsia" w:ascii="宋体" w:hAnsi="宋体" w:eastAsia="宋体" w:cs="宋体"/>
                <w:color w:val="auto"/>
                <w:spacing w:val="3"/>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pacing w:val="5"/>
                <w:sz w:val="21"/>
                <w:szCs w:val="21"/>
                <w:highlight w:val="none"/>
                <w:lang w:eastAsia="zh-CN"/>
              </w:rPr>
              <w:t>（4分）：施工工艺、施工方法、材料选用、劳动力安排、</w:t>
            </w:r>
            <w:r>
              <w:rPr>
                <w:rFonts w:hint="eastAsia" w:ascii="宋体" w:hAnsi="宋体" w:eastAsia="宋体" w:cs="宋体"/>
                <w:color w:val="auto"/>
                <w:spacing w:val="3"/>
                <w:sz w:val="21"/>
                <w:szCs w:val="21"/>
                <w:highlight w:val="none"/>
                <w:lang w:eastAsia="zh-CN"/>
              </w:rPr>
              <w:t>技术等方面有保证工期的具体措施。有控制工期的施工进度计划。有施工总进度表或施工网络图，各项计划图表编制完整，符合本项目施工实际要求。</w:t>
            </w:r>
          </w:p>
          <w:p w14:paraId="0B3AC25E">
            <w:pPr>
              <w:pStyle w:val="386"/>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pacing w:val="5"/>
                <w:sz w:val="21"/>
                <w:szCs w:val="21"/>
                <w:highlight w:val="none"/>
                <w:lang w:eastAsia="zh-CN"/>
              </w:rPr>
              <w:t>分）：施工工艺、施工方法、材料选用、劳动力安排、</w:t>
            </w:r>
            <w:r>
              <w:rPr>
                <w:rFonts w:hint="eastAsia" w:ascii="宋体" w:hAnsi="宋体" w:eastAsia="宋体" w:cs="宋体"/>
                <w:color w:val="auto"/>
                <w:spacing w:val="3"/>
                <w:sz w:val="21"/>
                <w:szCs w:val="21"/>
                <w:highlight w:val="none"/>
                <w:lang w:eastAsia="zh-CN"/>
              </w:rPr>
              <w:t>技术等方面有措施。有控制工期的施工进度计划。有施工总进度表或施工网络图，各项计划图表编制合理，基本符合本</w:t>
            </w:r>
            <w:r>
              <w:rPr>
                <w:rFonts w:hint="eastAsia" w:ascii="宋体" w:hAnsi="宋体" w:eastAsia="宋体" w:cs="宋体"/>
                <w:color w:val="auto"/>
                <w:spacing w:val="1"/>
                <w:sz w:val="21"/>
                <w:szCs w:val="21"/>
                <w:highlight w:val="none"/>
                <w:lang w:eastAsia="zh-CN"/>
              </w:rPr>
              <w:t>项目施工实际要求。</w:t>
            </w:r>
          </w:p>
          <w:p w14:paraId="65A4C69A">
            <w:pPr>
              <w:pStyle w:val="386"/>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5"/>
                <w:sz w:val="21"/>
                <w:szCs w:val="21"/>
                <w:highlight w:val="none"/>
                <w:lang w:eastAsia="zh-CN"/>
              </w:rPr>
              <w:t>分）：施工工艺、施工方法、材料选用、劳动力安排、</w:t>
            </w:r>
            <w:r>
              <w:rPr>
                <w:rFonts w:hint="eastAsia" w:ascii="宋体" w:hAnsi="宋体" w:eastAsia="宋体" w:cs="宋体"/>
                <w:color w:val="auto"/>
                <w:spacing w:val="3"/>
                <w:sz w:val="21"/>
                <w:szCs w:val="21"/>
                <w:highlight w:val="none"/>
                <w:lang w:eastAsia="zh-CN"/>
              </w:rPr>
              <w:t>技术等方面有措施。有控制工期的施工进度计划。有施工总进度表或施工网络图，有各项计划图表编制，但不符合本项目</w:t>
            </w:r>
            <w:r>
              <w:rPr>
                <w:rFonts w:hint="eastAsia" w:ascii="宋体" w:hAnsi="宋体" w:eastAsia="宋体" w:cs="宋体"/>
                <w:color w:val="auto"/>
                <w:spacing w:val="1"/>
                <w:sz w:val="21"/>
                <w:szCs w:val="21"/>
                <w:highlight w:val="none"/>
                <w:lang w:eastAsia="zh-CN"/>
              </w:rPr>
              <w:t>施工实际要求。</w:t>
            </w:r>
          </w:p>
        </w:tc>
        <w:tc>
          <w:tcPr>
            <w:tcW w:w="851" w:type="dxa"/>
            <w:noWrap w:val="0"/>
            <w:vAlign w:val="center"/>
          </w:tcPr>
          <w:p w14:paraId="06DBB1B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5418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749C0B8A">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2.8</w:t>
            </w:r>
          </w:p>
        </w:tc>
        <w:tc>
          <w:tcPr>
            <w:tcW w:w="1299" w:type="dxa"/>
            <w:noWrap w:val="0"/>
            <w:vAlign w:val="center"/>
          </w:tcPr>
          <w:p w14:paraId="4573057F">
            <w:pPr>
              <w:pStyle w:val="386"/>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确保文明施工的技术组织措</w:t>
            </w:r>
            <w:r>
              <w:rPr>
                <w:rFonts w:hint="eastAsia" w:ascii="宋体" w:hAnsi="宋体" w:eastAsia="宋体" w:cs="宋体"/>
                <w:color w:val="auto"/>
                <w:spacing w:val="1"/>
                <w:sz w:val="21"/>
                <w:szCs w:val="21"/>
                <w:highlight w:val="none"/>
                <w:lang w:eastAsia="zh-CN"/>
              </w:rPr>
              <w:t>施</w:t>
            </w:r>
          </w:p>
        </w:tc>
        <w:tc>
          <w:tcPr>
            <w:tcW w:w="6288" w:type="dxa"/>
            <w:noWrap w:val="0"/>
            <w:vAlign w:val="center"/>
          </w:tcPr>
          <w:p w14:paraId="65A9EFFA">
            <w:pPr>
              <w:pStyle w:val="387"/>
              <w:widowControl w:val="0"/>
              <w:spacing w:before="0" w:after="0" w:line="360" w:lineRule="auto"/>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pacing w:val="5"/>
                <w:sz w:val="21"/>
                <w:szCs w:val="21"/>
                <w:highlight w:val="none"/>
                <w:lang w:eastAsia="zh-CN"/>
              </w:rPr>
              <w:t>分）：针对本工程项目特点，有现场文明施工、环境保</w:t>
            </w:r>
            <w:r>
              <w:rPr>
                <w:rFonts w:hint="eastAsia" w:ascii="宋体" w:hAnsi="宋体" w:eastAsia="宋体" w:cs="宋体"/>
                <w:color w:val="auto"/>
                <w:spacing w:val="11"/>
                <w:sz w:val="21"/>
                <w:szCs w:val="21"/>
                <w:highlight w:val="none"/>
                <w:lang w:eastAsia="zh-CN"/>
              </w:rPr>
              <w:t>护措施，且措施内容达到《建筑与市政施工现场安全卫生与职业健康通用规范》</w:t>
            </w:r>
            <w:r>
              <w:rPr>
                <w:rFonts w:hint="eastAsia" w:ascii="宋体" w:hAnsi="宋体" w:eastAsia="宋体" w:cs="宋体"/>
                <w:color w:val="auto"/>
                <w:spacing w:val="-3"/>
                <w:sz w:val="21"/>
                <w:szCs w:val="21"/>
                <w:highlight w:val="none"/>
                <w:lang w:eastAsia="zh-CN"/>
              </w:rPr>
              <w:t>合格标准并符合《广西壮族自治区建筑工程文</w:t>
            </w:r>
            <w:r>
              <w:rPr>
                <w:rFonts w:hint="eastAsia" w:ascii="宋体" w:hAnsi="宋体" w:eastAsia="宋体" w:cs="宋体"/>
                <w:color w:val="auto"/>
                <w:spacing w:val="3"/>
                <w:sz w:val="21"/>
                <w:szCs w:val="21"/>
                <w:highlight w:val="none"/>
                <w:lang w:eastAsia="zh-CN"/>
              </w:rPr>
              <w:t>明施工导则》要求。各项措施具体、有效。有具体实</w:t>
            </w:r>
            <w:r>
              <w:rPr>
                <w:rFonts w:hint="eastAsia" w:ascii="宋体" w:hAnsi="宋体" w:eastAsia="宋体" w:cs="宋体"/>
                <w:color w:val="auto"/>
                <w:spacing w:val="1"/>
                <w:sz w:val="21"/>
                <w:szCs w:val="21"/>
                <w:highlight w:val="none"/>
                <w:lang w:eastAsia="zh-CN"/>
              </w:rPr>
              <w:t>现现场文明施工目标的承诺。</w:t>
            </w:r>
          </w:p>
          <w:p w14:paraId="715A8221">
            <w:pPr>
              <w:pStyle w:val="387"/>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pacing w:val="5"/>
                <w:sz w:val="21"/>
                <w:szCs w:val="21"/>
                <w:highlight w:val="none"/>
                <w:lang w:eastAsia="zh-CN"/>
              </w:rPr>
              <w:t>分）：针对本工程项目特点，有现场文明施工、环境保</w:t>
            </w:r>
            <w:r>
              <w:rPr>
                <w:rFonts w:hint="eastAsia" w:ascii="宋体" w:hAnsi="宋体" w:eastAsia="宋体" w:cs="宋体"/>
                <w:color w:val="auto"/>
                <w:spacing w:val="11"/>
                <w:sz w:val="21"/>
                <w:szCs w:val="21"/>
                <w:highlight w:val="none"/>
                <w:lang w:eastAsia="zh-CN"/>
              </w:rPr>
              <w:t>护措施，且措施内容达到《建筑与市政施工现场安全卫生与职业健康通用规范》</w:t>
            </w:r>
            <w:r>
              <w:rPr>
                <w:rFonts w:hint="eastAsia" w:ascii="宋体" w:hAnsi="宋体" w:eastAsia="宋体" w:cs="宋体"/>
                <w:color w:val="auto"/>
                <w:spacing w:val="-3"/>
                <w:sz w:val="21"/>
                <w:szCs w:val="21"/>
                <w:highlight w:val="none"/>
                <w:lang w:eastAsia="zh-CN"/>
              </w:rPr>
              <w:t>合格标准并符合《广西壮族自治区建筑工程文</w:t>
            </w:r>
            <w:r>
              <w:rPr>
                <w:rFonts w:hint="eastAsia" w:ascii="宋体" w:hAnsi="宋体" w:eastAsia="宋体" w:cs="宋体"/>
                <w:color w:val="auto"/>
                <w:spacing w:val="1"/>
                <w:sz w:val="21"/>
                <w:szCs w:val="21"/>
                <w:highlight w:val="none"/>
                <w:lang w:eastAsia="zh-CN"/>
              </w:rPr>
              <w:t>明施工导则》要求。</w:t>
            </w:r>
            <w:r>
              <w:rPr>
                <w:rFonts w:hint="eastAsia" w:ascii="宋体" w:hAnsi="宋体" w:eastAsia="宋体" w:cs="宋体"/>
                <w:color w:val="auto"/>
                <w:spacing w:val="3"/>
                <w:sz w:val="21"/>
                <w:szCs w:val="21"/>
                <w:highlight w:val="none"/>
                <w:lang w:eastAsia="zh-CN"/>
              </w:rPr>
              <w:t>各项措施完整具体。</w:t>
            </w:r>
            <w:r>
              <w:rPr>
                <w:rFonts w:hint="eastAsia" w:ascii="宋体" w:hAnsi="宋体" w:eastAsia="宋体" w:cs="宋体"/>
                <w:color w:val="auto"/>
                <w:spacing w:val="1"/>
                <w:sz w:val="21"/>
                <w:szCs w:val="21"/>
                <w:highlight w:val="none"/>
                <w:lang w:eastAsia="zh-CN"/>
              </w:rPr>
              <w:t>有实现现场文明施工目标的承诺。</w:t>
            </w:r>
          </w:p>
          <w:p w14:paraId="73FE4E95">
            <w:pPr>
              <w:pStyle w:val="387"/>
              <w:widowControl w:val="0"/>
              <w:spacing w:before="0" w:after="0" w:line="360" w:lineRule="auto"/>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pacing w:val="5"/>
                <w:sz w:val="21"/>
                <w:szCs w:val="21"/>
                <w:highlight w:val="none"/>
                <w:lang w:eastAsia="zh-CN"/>
              </w:rPr>
              <w:t>分）：有现场文明施工、环境保护措施，且措施内容达</w:t>
            </w:r>
            <w:r>
              <w:rPr>
                <w:rFonts w:hint="eastAsia" w:ascii="宋体" w:hAnsi="宋体" w:eastAsia="宋体" w:cs="宋体"/>
                <w:color w:val="auto"/>
                <w:spacing w:val="-2"/>
                <w:sz w:val="21"/>
                <w:szCs w:val="21"/>
                <w:highlight w:val="none"/>
                <w:lang w:eastAsia="zh-CN"/>
              </w:rPr>
              <w:t>到</w:t>
            </w:r>
            <w:r>
              <w:rPr>
                <w:rFonts w:hint="eastAsia" w:ascii="宋体" w:hAnsi="宋体" w:eastAsia="宋体" w:cs="宋体"/>
                <w:color w:val="auto"/>
                <w:spacing w:val="11"/>
                <w:sz w:val="21"/>
                <w:szCs w:val="21"/>
                <w:highlight w:val="none"/>
                <w:lang w:eastAsia="zh-CN"/>
              </w:rPr>
              <w:t>《建筑与市政施工现场安全卫生与职业健康通用规范》</w:t>
            </w:r>
            <w:r>
              <w:rPr>
                <w:rFonts w:hint="eastAsia" w:ascii="宋体" w:hAnsi="宋体" w:eastAsia="宋体" w:cs="宋体"/>
                <w:color w:val="auto"/>
                <w:spacing w:val="-2"/>
                <w:sz w:val="21"/>
                <w:szCs w:val="21"/>
                <w:highlight w:val="none"/>
                <w:lang w:eastAsia="zh-CN"/>
              </w:rPr>
              <w:t>合格标准并</w:t>
            </w:r>
            <w:r>
              <w:rPr>
                <w:rFonts w:hint="eastAsia" w:ascii="宋体" w:hAnsi="宋体" w:eastAsia="宋体" w:cs="宋体"/>
                <w:color w:val="auto"/>
                <w:spacing w:val="3"/>
                <w:sz w:val="21"/>
                <w:szCs w:val="21"/>
                <w:highlight w:val="none"/>
                <w:lang w:eastAsia="zh-CN"/>
              </w:rPr>
              <w:t>符合《广西壮族自治区建筑工程文明施工导则》要求。有实</w:t>
            </w:r>
            <w:r>
              <w:rPr>
                <w:rFonts w:hint="eastAsia" w:ascii="宋体" w:hAnsi="宋体" w:eastAsia="宋体" w:cs="宋体"/>
                <w:color w:val="auto"/>
                <w:spacing w:val="1"/>
                <w:sz w:val="21"/>
                <w:szCs w:val="21"/>
                <w:highlight w:val="none"/>
                <w:lang w:eastAsia="zh-CN"/>
              </w:rPr>
              <w:t>现现场文明施工目标的承诺。</w:t>
            </w:r>
          </w:p>
          <w:p w14:paraId="03746FFE">
            <w:pPr>
              <w:pStyle w:val="387"/>
              <w:widowControl w:val="0"/>
              <w:spacing w:before="0" w:after="0"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5"/>
                <w:sz w:val="21"/>
                <w:szCs w:val="21"/>
                <w:highlight w:val="none"/>
                <w:lang w:eastAsia="zh-CN"/>
              </w:rPr>
              <w:t>分）：有现场文明施工、环境保护措施，且措施内容达</w:t>
            </w:r>
            <w:r>
              <w:rPr>
                <w:rFonts w:hint="eastAsia" w:ascii="宋体" w:hAnsi="宋体" w:eastAsia="宋体" w:cs="宋体"/>
                <w:color w:val="auto"/>
                <w:spacing w:val="-2"/>
                <w:sz w:val="21"/>
                <w:szCs w:val="21"/>
                <w:highlight w:val="none"/>
                <w:lang w:eastAsia="zh-CN"/>
              </w:rPr>
              <w:t>到</w:t>
            </w:r>
            <w:r>
              <w:rPr>
                <w:rFonts w:hint="eastAsia" w:ascii="宋体" w:hAnsi="宋体" w:eastAsia="宋体" w:cs="宋体"/>
                <w:color w:val="auto"/>
                <w:spacing w:val="11"/>
                <w:sz w:val="21"/>
                <w:szCs w:val="21"/>
                <w:highlight w:val="none"/>
                <w:lang w:eastAsia="zh-CN"/>
              </w:rPr>
              <w:t>《建筑与市政施工现场安全卫生与职业健康通用规范》</w:t>
            </w:r>
            <w:r>
              <w:rPr>
                <w:rFonts w:hint="eastAsia" w:ascii="宋体" w:hAnsi="宋体" w:eastAsia="宋体" w:cs="宋体"/>
                <w:color w:val="auto"/>
                <w:spacing w:val="-2"/>
                <w:sz w:val="21"/>
                <w:szCs w:val="21"/>
                <w:highlight w:val="none"/>
                <w:lang w:eastAsia="zh-CN"/>
              </w:rPr>
              <w:t>合格标准并</w:t>
            </w:r>
            <w:r>
              <w:rPr>
                <w:rFonts w:hint="eastAsia" w:ascii="宋体" w:hAnsi="宋体" w:eastAsia="宋体" w:cs="宋体"/>
                <w:color w:val="auto"/>
                <w:spacing w:val="3"/>
                <w:sz w:val="21"/>
                <w:szCs w:val="21"/>
                <w:highlight w:val="none"/>
                <w:lang w:eastAsia="zh-CN"/>
              </w:rPr>
              <w:t>符合《广西壮族自治区建筑工程文明施工导则》要求。无实</w:t>
            </w:r>
            <w:r>
              <w:rPr>
                <w:rFonts w:hint="eastAsia" w:ascii="宋体" w:hAnsi="宋体" w:eastAsia="宋体" w:cs="宋体"/>
                <w:color w:val="auto"/>
                <w:spacing w:val="1"/>
                <w:sz w:val="21"/>
                <w:szCs w:val="21"/>
                <w:highlight w:val="none"/>
                <w:lang w:eastAsia="zh-CN"/>
              </w:rPr>
              <w:t>现现场文明施工目标的承诺。</w:t>
            </w:r>
          </w:p>
        </w:tc>
        <w:tc>
          <w:tcPr>
            <w:tcW w:w="851" w:type="dxa"/>
            <w:noWrap w:val="0"/>
            <w:vAlign w:val="center"/>
          </w:tcPr>
          <w:p w14:paraId="65A0E4D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0786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13A8E44C">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2.9</w:t>
            </w:r>
          </w:p>
        </w:tc>
        <w:tc>
          <w:tcPr>
            <w:tcW w:w="1299" w:type="dxa"/>
            <w:noWrap w:val="0"/>
            <w:vAlign w:val="center"/>
          </w:tcPr>
          <w:p w14:paraId="410F3728">
            <w:pPr>
              <w:pStyle w:val="387"/>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工程施工的重点和</w:t>
            </w:r>
            <w:r>
              <w:rPr>
                <w:rFonts w:hint="eastAsia" w:ascii="宋体" w:hAnsi="宋体" w:eastAsia="宋体" w:cs="宋体"/>
                <w:color w:val="auto"/>
                <w:spacing w:val="-21"/>
                <w:sz w:val="21"/>
                <w:szCs w:val="21"/>
                <w:highlight w:val="none"/>
                <w:lang w:eastAsia="zh-CN"/>
              </w:rPr>
              <w:t>难点</w:t>
            </w:r>
          </w:p>
        </w:tc>
        <w:tc>
          <w:tcPr>
            <w:tcW w:w="6288" w:type="dxa"/>
            <w:noWrap w:val="0"/>
            <w:vAlign w:val="center"/>
          </w:tcPr>
          <w:p w14:paraId="660B9EF0">
            <w:pPr>
              <w:pStyle w:val="387"/>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四档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pacing w:val="5"/>
                <w:sz w:val="21"/>
                <w:szCs w:val="21"/>
                <w:highlight w:val="none"/>
                <w:lang w:eastAsia="zh-CN"/>
              </w:rPr>
              <w:t>分）：针对本工程的特点，详细阐述了本工程的重点和</w:t>
            </w:r>
            <w:r>
              <w:rPr>
                <w:rFonts w:hint="eastAsia" w:ascii="宋体" w:hAnsi="宋体" w:eastAsia="宋体" w:cs="宋体"/>
                <w:color w:val="auto"/>
                <w:spacing w:val="1"/>
                <w:sz w:val="21"/>
                <w:szCs w:val="21"/>
                <w:highlight w:val="none"/>
                <w:lang w:eastAsia="zh-CN"/>
              </w:rPr>
              <w:t>难点，解决重点和难点问题的方法合理、科学可行。</w:t>
            </w:r>
          </w:p>
          <w:p w14:paraId="746CA573">
            <w:pPr>
              <w:pStyle w:val="387"/>
              <w:widowControl w:val="0"/>
              <w:spacing w:before="0" w:after="0" w:line="360" w:lineRule="auto"/>
              <w:jc w:val="left"/>
              <w:rPr>
                <w:rFonts w:hint="eastAsia" w:ascii="宋体" w:hAnsi="宋体" w:eastAsia="宋体" w:cs="宋体"/>
                <w:color w:val="auto"/>
                <w:spacing w:val="1"/>
                <w:sz w:val="21"/>
                <w:szCs w:val="21"/>
                <w:highlight w:val="none"/>
                <w:lang w:eastAsia="zh-CN"/>
              </w:rPr>
            </w:pPr>
            <w:r>
              <w:rPr>
                <w:rFonts w:hint="eastAsia" w:ascii="宋体" w:hAnsi="宋体" w:eastAsia="宋体" w:cs="宋体"/>
                <w:bCs/>
                <w:color w:val="auto"/>
                <w:sz w:val="21"/>
                <w:szCs w:val="21"/>
                <w:highlight w:val="none"/>
                <w:lang w:val="en-US" w:eastAsia="zh-CN"/>
              </w:rPr>
              <w:t>三档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pacing w:val="1"/>
                <w:sz w:val="21"/>
                <w:szCs w:val="21"/>
                <w:highlight w:val="none"/>
                <w:lang w:eastAsia="zh-CN"/>
              </w:rPr>
              <w:t>分）：针对本工程的特点，阐述了本工程的重点和难点，解决重点和难点问题的方法合理。</w:t>
            </w:r>
          </w:p>
          <w:p w14:paraId="0E2CC096">
            <w:pPr>
              <w:pStyle w:val="387"/>
              <w:widowControl w:val="0"/>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二档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pacing w:val="5"/>
                <w:sz w:val="21"/>
                <w:szCs w:val="21"/>
                <w:highlight w:val="none"/>
                <w:lang w:eastAsia="zh-CN"/>
              </w:rPr>
              <w:t>分）：阐述了本工程的重点和难点，解决重点和难</w:t>
            </w:r>
            <w:r>
              <w:rPr>
                <w:rFonts w:hint="eastAsia" w:ascii="宋体" w:hAnsi="宋体" w:eastAsia="宋体" w:cs="宋体"/>
                <w:color w:val="auto"/>
                <w:spacing w:val="1"/>
                <w:sz w:val="21"/>
                <w:szCs w:val="21"/>
                <w:highlight w:val="none"/>
                <w:lang w:eastAsia="zh-CN"/>
              </w:rPr>
              <w:t>点问题的方法可行。</w:t>
            </w:r>
          </w:p>
          <w:p w14:paraId="2E1FB4D8">
            <w:pPr>
              <w:pStyle w:val="387"/>
              <w:widowControl w:val="0"/>
              <w:spacing w:before="0" w:after="0"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一档</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pacing w:val="5"/>
                <w:sz w:val="21"/>
                <w:szCs w:val="21"/>
                <w:highlight w:val="none"/>
                <w:lang w:eastAsia="zh-CN"/>
              </w:rPr>
              <w:t>分）：未阐述本工程的重点和难点，无解决及保证措施</w:t>
            </w:r>
            <w:r>
              <w:rPr>
                <w:rFonts w:hint="eastAsia" w:ascii="宋体" w:hAnsi="宋体" w:eastAsia="宋体" w:cs="宋体"/>
                <w:color w:val="auto"/>
                <w:spacing w:val="1"/>
                <w:sz w:val="21"/>
                <w:szCs w:val="21"/>
                <w:highlight w:val="none"/>
                <w:lang w:eastAsia="zh-CN"/>
              </w:rPr>
              <w:t>重点和难点问题的方法。</w:t>
            </w:r>
          </w:p>
        </w:tc>
        <w:tc>
          <w:tcPr>
            <w:tcW w:w="851" w:type="dxa"/>
            <w:noWrap w:val="0"/>
            <w:vAlign w:val="center"/>
          </w:tcPr>
          <w:p w14:paraId="608C9F1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6分</w:t>
            </w:r>
          </w:p>
        </w:tc>
      </w:tr>
      <w:tr w14:paraId="44BB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652" w:type="dxa"/>
            <w:noWrap w:val="0"/>
            <w:vAlign w:val="center"/>
          </w:tcPr>
          <w:p w14:paraId="06A31B14">
            <w:pPr>
              <w:spacing w:line="360" w:lineRule="auto"/>
              <w:ind w:left="-105" w:right="-105"/>
              <w:jc w:val="center"/>
              <w:rPr>
                <w:rFonts w:ascii="宋体" w:hAnsi="宋体" w:cs="宋体"/>
                <w:bCs/>
                <w:color w:val="auto"/>
                <w:szCs w:val="21"/>
                <w:highlight w:val="none"/>
              </w:rPr>
            </w:pPr>
            <w:r>
              <w:rPr>
                <w:rFonts w:hint="eastAsia" w:ascii="宋体" w:hAnsi="宋体" w:cs="宋体"/>
                <w:bCs/>
                <w:color w:val="auto"/>
                <w:szCs w:val="21"/>
                <w:highlight w:val="none"/>
              </w:rPr>
              <w:t>2.10</w:t>
            </w:r>
          </w:p>
        </w:tc>
        <w:tc>
          <w:tcPr>
            <w:tcW w:w="1299" w:type="dxa"/>
            <w:noWrap w:val="0"/>
            <w:vAlign w:val="center"/>
          </w:tcPr>
          <w:p w14:paraId="6B3D5429">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项目管理机构</w:t>
            </w:r>
          </w:p>
        </w:tc>
        <w:tc>
          <w:tcPr>
            <w:tcW w:w="6288" w:type="dxa"/>
            <w:noWrap w:val="0"/>
            <w:vAlign w:val="center"/>
          </w:tcPr>
          <w:p w14:paraId="5CD061D6">
            <w:pPr>
              <w:pStyle w:val="387"/>
              <w:widowControl w:val="0"/>
              <w:spacing w:before="0" w:after="0" w:line="360" w:lineRule="auto"/>
              <w:jc w:val="left"/>
              <w:rPr>
                <w:rFonts w:hint="eastAsia" w:ascii="宋体" w:hAnsi="宋体" w:eastAsia="宋体" w:cs="宋体"/>
                <w:color w:val="auto"/>
                <w:spacing w:val="1"/>
                <w:sz w:val="21"/>
                <w:szCs w:val="21"/>
                <w:highlight w:val="none"/>
                <w:lang w:eastAsia="zh-CN"/>
              </w:rPr>
            </w:pPr>
            <w:r>
              <w:rPr>
                <w:rFonts w:hint="eastAsia" w:ascii="宋体" w:hAnsi="宋体" w:eastAsia="宋体" w:cs="宋体"/>
                <w:color w:val="auto"/>
                <w:spacing w:val="1"/>
                <w:sz w:val="21"/>
                <w:szCs w:val="21"/>
                <w:highlight w:val="none"/>
                <w:lang w:val="en-US" w:eastAsia="zh-CN"/>
              </w:rPr>
              <w:t>（1）项目经理</w:t>
            </w:r>
            <w:r>
              <w:rPr>
                <w:rFonts w:hint="eastAsia" w:ascii="宋体" w:hAnsi="宋体" w:eastAsia="宋体" w:cs="宋体"/>
                <w:color w:val="auto"/>
                <w:spacing w:val="1"/>
                <w:sz w:val="21"/>
                <w:szCs w:val="21"/>
                <w:highlight w:val="none"/>
                <w:lang w:eastAsia="zh-CN"/>
              </w:rPr>
              <w:t>（满分</w:t>
            </w:r>
            <w:r>
              <w:rPr>
                <w:rFonts w:hint="eastAsia" w:ascii="宋体" w:hAnsi="宋体" w:eastAsia="宋体" w:cs="宋体"/>
                <w:color w:val="auto"/>
                <w:spacing w:val="1"/>
                <w:sz w:val="21"/>
                <w:szCs w:val="21"/>
                <w:highlight w:val="none"/>
                <w:lang w:val="en-US" w:eastAsia="zh-CN"/>
              </w:rPr>
              <w:t>5</w:t>
            </w:r>
            <w:r>
              <w:rPr>
                <w:rFonts w:hint="eastAsia" w:ascii="宋体" w:hAnsi="宋体" w:eastAsia="宋体" w:cs="宋体"/>
                <w:color w:val="auto"/>
                <w:spacing w:val="1"/>
                <w:sz w:val="21"/>
                <w:szCs w:val="21"/>
                <w:highlight w:val="none"/>
                <w:lang w:eastAsia="zh-CN"/>
              </w:rPr>
              <w:t>分）</w:t>
            </w:r>
          </w:p>
          <w:p w14:paraId="12E7199F">
            <w:pPr>
              <w:pStyle w:val="387"/>
              <w:widowControl w:val="0"/>
              <w:spacing w:before="0" w:after="0" w:line="360" w:lineRule="auto"/>
              <w:jc w:val="left"/>
              <w:rPr>
                <w:rFonts w:hint="eastAsia" w:ascii="宋体" w:hAnsi="宋体" w:eastAsia="宋体" w:cs="宋体"/>
                <w:color w:val="auto"/>
                <w:spacing w:val="1"/>
                <w:sz w:val="21"/>
                <w:szCs w:val="21"/>
                <w:highlight w:val="none"/>
                <w:lang w:eastAsia="zh-CN"/>
              </w:rPr>
            </w:pPr>
            <w:r>
              <w:rPr>
                <w:rFonts w:hint="eastAsia" w:ascii="宋体" w:hAnsi="宋体" w:eastAsia="宋体" w:cs="宋体"/>
                <w:color w:val="auto"/>
                <w:spacing w:val="1"/>
                <w:sz w:val="21"/>
                <w:szCs w:val="21"/>
                <w:highlight w:val="none"/>
                <w:lang w:eastAsia="zh-CN"/>
              </w:rPr>
              <w:t>拟派任项目经理具有</w:t>
            </w:r>
            <w:r>
              <w:rPr>
                <w:rFonts w:hint="eastAsia" w:ascii="宋体" w:hAnsi="宋体" w:eastAsia="宋体" w:cs="宋体"/>
                <w:b/>
                <w:bCs/>
                <w:color w:val="auto"/>
                <w:spacing w:val="1"/>
                <w:sz w:val="21"/>
                <w:szCs w:val="21"/>
                <w:highlight w:val="none"/>
                <w:lang w:eastAsia="zh-CN"/>
              </w:rPr>
              <w:t>建筑</w:t>
            </w:r>
            <w:r>
              <w:rPr>
                <w:rFonts w:hint="eastAsia" w:ascii="宋体" w:hAnsi="宋体" w:eastAsia="宋体" w:cs="宋体"/>
                <w:b/>
                <w:bCs/>
                <w:color w:val="auto"/>
                <w:spacing w:val="1"/>
                <w:sz w:val="21"/>
                <w:szCs w:val="21"/>
                <w:highlight w:val="none"/>
                <w:lang w:val="en-US" w:eastAsia="zh-CN"/>
              </w:rPr>
              <w:t>相关</w:t>
            </w:r>
            <w:r>
              <w:rPr>
                <w:rFonts w:hint="eastAsia" w:ascii="宋体" w:hAnsi="宋体" w:eastAsia="宋体" w:cs="宋体"/>
                <w:b/>
                <w:bCs/>
                <w:color w:val="auto"/>
                <w:spacing w:val="1"/>
                <w:sz w:val="21"/>
                <w:szCs w:val="21"/>
                <w:highlight w:val="none"/>
                <w:lang w:eastAsia="zh-CN"/>
              </w:rPr>
              <w:t>专业工程师</w:t>
            </w:r>
            <w:r>
              <w:rPr>
                <w:rFonts w:hint="eastAsia" w:ascii="宋体" w:hAnsi="宋体" w:eastAsia="宋体" w:cs="宋体"/>
                <w:color w:val="auto"/>
                <w:spacing w:val="1"/>
                <w:sz w:val="21"/>
                <w:szCs w:val="21"/>
                <w:highlight w:val="none"/>
                <w:lang w:eastAsia="zh-CN"/>
              </w:rPr>
              <w:t>及以上职称的得5分。</w:t>
            </w:r>
          </w:p>
          <w:p w14:paraId="7E48A861">
            <w:pPr>
              <w:pStyle w:val="387"/>
              <w:widowControl w:val="0"/>
              <w:numPr>
                <w:ilvl w:val="0"/>
                <w:numId w:val="2"/>
              </w:numPr>
              <w:spacing w:before="0" w:after="0"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其他主要人员（满分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w:t>
            </w:r>
          </w:p>
          <w:p w14:paraId="494FEEFB">
            <w:pPr>
              <w:pStyle w:val="25"/>
              <w:spacing w:line="360" w:lineRule="auto"/>
              <w:rPr>
                <w:rFonts w:hint="eastAsia" w:hAnsi="宋体" w:cs="宋体"/>
                <w:bCs/>
                <w:color w:val="auto"/>
                <w:sz w:val="21"/>
                <w:highlight w:val="none"/>
              </w:rPr>
            </w:pPr>
            <w:r>
              <w:rPr>
                <w:rFonts w:hint="eastAsia" w:hAnsi="宋体" w:cs="宋体"/>
                <w:color w:val="auto"/>
                <w:spacing w:val="2"/>
                <w:sz w:val="21"/>
                <w:highlight w:val="none"/>
              </w:rPr>
              <w:t>除项目经理、技术负责人外，项目管理机构中其他主要人员（施工员、</w:t>
            </w:r>
            <w:r>
              <w:rPr>
                <w:rFonts w:hint="eastAsia" w:cs="宋体"/>
                <w:color w:val="auto"/>
                <w:highlight w:val="none"/>
              </w:rPr>
              <w:t>专职安全生产管理人员</w:t>
            </w:r>
            <w:r>
              <w:rPr>
                <w:rFonts w:hint="eastAsia" w:hAnsi="宋体" w:cs="宋体"/>
                <w:color w:val="auto"/>
                <w:spacing w:val="2"/>
                <w:sz w:val="21"/>
                <w:highlight w:val="none"/>
              </w:rPr>
              <w:t>、质量员、材料员）总人数不少于3人，且有</w:t>
            </w:r>
            <w:r>
              <w:rPr>
                <w:rFonts w:hint="eastAsia" w:hAnsi="宋体" w:cs="宋体"/>
                <w:color w:val="auto"/>
                <w:spacing w:val="2"/>
                <w:sz w:val="21"/>
                <w:highlight w:val="none"/>
                <w:lang w:val="en-US" w:eastAsia="zh-CN"/>
              </w:rPr>
              <w:t>50</w:t>
            </w:r>
            <w:r>
              <w:rPr>
                <w:rFonts w:hint="eastAsia" w:hAnsi="宋体" w:cs="宋体"/>
                <w:color w:val="auto"/>
                <w:spacing w:val="2"/>
                <w:sz w:val="21"/>
                <w:highlight w:val="none"/>
              </w:rPr>
              <w:t>%（含</w:t>
            </w:r>
            <w:r>
              <w:rPr>
                <w:rFonts w:hint="eastAsia" w:hAnsi="宋体" w:cs="宋体"/>
                <w:color w:val="auto"/>
                <w:spacing w:val="2"/>
                <w:sz w:val="21"/>
                <w:highlight w:val="none"/>
                <w:lang w:val="en-US" w:eastAsia="zh-CN"/>
              </w:rPr>
              <w:t>50</w:t>
            </w:r>
            <w:r>
              <w:rPr>
                <w:rFonts w:hint="eastAsia" w:hAnsi="宋体" w:cs="宋体"/>
                <w:color w:val="auto"/>
                <w:spacing w:val="2"/>
                <w:sz w:val="21"/>
                <w:highlight w:val="none"/>
              </w:rPr>
              <w:t>%）以上的人员具备中级及以上职称的得</w:t>
            </w:r>
            <w:r>
              <w:rPr>
                <w:rFonts w:hint="eastAsia" w:hAnsi="宋体" w:cs="宋体"/>
                <w:color w:val="auto"/>
                <w:spacing w:val="2"/>
                <w:sz w:val="21"/>
                <w:highlight w:val="none"/>
                <w:lang w:val="en-US" w:eastAsia="zh-CN"/>
              </w:rPr>
              <w:t>5</w:t>
            </w:r>
            <w:r>
              <w:rPr>
                <w:rFonts w:hint="eastAsia" w:hAnsi="宋体" w:cs="宋体"/>
                <w:color w:val="auto"/>
                <w:spacing w:val="2"/>
                <w:sz w:val="21"/>
                <w:highlight w:val="none"/>
              </w:rPr>
              <w:t>分</w:t>
            </w:r>
            <w:r>
              <w:rPr>
                <w:rFonts w:hint="eastAsia" w:hAnsi="宋体" w:cs="宋体"/>
                <w:color w:val="auto"/>
                <w:sz w:val="21"/>
                <w:highlight w:val="none"/>
              </w:rPr>
              <w:t>。</w:t>
            </w:r>
          </w:p>
        </w:tc>
        <w:tc>
          <w:tcPr>
            <w:tcW w:w="851" w:type="dxa"/>
            <w:noWrap w:val="0"/>
            <w:vAlign w:val="center"/>
          </w:tcPr>
          <w:p w14:paraId="7B0458A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10分</w:t>
            </w:r>
          </w:p>
        </w:tc>
      </w:tr>
      <w:tr w14:paraId="0741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2DE82795">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99" w:type="dxa"/>
            <w:noWrap w:val="0"/>
            <w:vAlign w:val="center"/>
          </w:tcPr>
          <w:p w14:paraId="6F5540B3">
            <w:pPr>
              <w:widowControl/>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商务分</w:t>
            </w:r>
          </w:p>
        </w:tc>
        <w:tc>
          <w:tcPr>
            <w:tcW w:w="7139" w:type="dxa"/>
            <w:gridSpan w:val="2"/>
            <w:noWrap w:val="0"/>
            <w:vAlign w:val="center"/>
          </w:tcPr>
          <w:p w14:paraId="38F94E52">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7862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52" w:type="dxa"/>
            <w:noWrap w:val="0"/>
            <w:vAlign w:val="center"/>
          </w:tcPr>
          <w:p w14:paraId="6716010A">
            <w:pPr>
              <w:widowControl/>
              <w:spacing w:line="360" w:lineRule="auto"/>
              <w:rPr>
                <w:rFonts w:ascii="宋体" w:hAnsi="宋体" w:cs="宋体"/>
                <w:color w:val="auto"/>
                <w:szCs w:val="21"/>
                <w:highlight w:val="none"/>
              </w:rPr>
            </w:pPr>
            <w:r>
              <w:rPr>
                <w:rFonts w:hint="eastAsia" w:ascii="宋体" w:hAnsi="宋体" w:cs="宋体"/>
                <w:bCs/>
                <w:color w:val="auto"/>
                <w:szCs w:val="21"/>
                <w:highlight w:val="none"/>
              </w:rPr>
              <w:t>3.1</w:t>
            </w:r>
          </w:p>
        </w:tc>
        <w:tc>
          <w:tcPr>
            <w:tcW w:w="1299" w:type="dxa"/>
            <w:noWrap w:val="0"/>
            <w:vAlign w:val="center"/>
          </w:tcPr>
          <w:p w14:paraId="00163EA6">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业绩分</w:t>
            </w:r>
          </w:p>
        </w:tc>
        <w:tc>
          <w:tcPr>
            <w:tcW w:w="6288" w:type="dxa"/>
            <w:noWrap w:val="0"/>
            <w:vAlign w:val="top"/>
          </w:tcPr>
          <w:p w14:paraId="5151FFB1">
            <w:pPr>
              <w:pStyle w:val="25"/>
              <w:spacing w:line="360" w:lineRule="auto"/>
              <w:rPr>
                <w:rFonts w:hint="eastAsia" w:hAnsi="宋体" w:cs="宋体"/>
                <w:bCs/>
                <w:color w:val="auto"/>
                <w:sz w:val="21"/>
                <w:highlight w:val="none"/>
              </w:rPr>
            </w:pPr>
            <w:r>
              <w:rPr>
                <w:rFonts w:hint="eastAsia" w:hAnsi="宋体" w:cs="宋体"/>
                <w:bCs/>
                <w:color w:val="auto"/>
                <w:sz w:val="21"/>
                <w:highlight w:val="none"/>
              </w:rPr>
              <w:t>供应商从202</w:t>
            </w:r>
            <w:r>
              <w:rPr>
                <w:rFonts w:hint="eastAsia" w:hAnsi="宋体" w:cs="宋体"/>
                <w:bCs/>
                <w:color w:val="auto"/>
                <w:sz w:val="21"/>
                <w:highlight w:val="none"/>
                <w:lang w:val="en-US" w:eastAsia="zh-CN"/>
              </w:rPr>
              <w:t>3</w:t>
            </w:r>
            <w:r>
              <w:rPr>
                <w:rFonts w:hint="eastAsia" w:hAnsi="宋体" w:cs="宋体"/>
                <w:bCs/>
                <w:color w:val="auto"/>
                <w:sz w:val="21"/>
                <w:highlight w:val="none"/>
              </w:rPr>
              <w:t>年1月1日至响应文件递交截止时间止</w:t>
            </w:r>
            <w:r>
              <w:rPr>
                <w:rFonts w:hint="eastAsia" w:hAnsi="宋体" w:cs="宋体"/>
                <w:bCs/>
                <w:color w:val="auto"/>
                <w:sz w:val="21"/>
                <w:highlight w:val="none"/>
                <w:lang w:eastAsia="zh-CN"/>
              </w:rPr>
              <w:t>在建</w:t>
            </w:r>
            <w:r>
              <w:rPr>
                <w:rFonts w:hint="eastAsia" w:hAnsi="宋体" w:cs="宋体"/>
                <w:bCs/>
                <w:color w:val="auto"/>
                <w:sz w:val="21"/>
                <w:highlight w:val="none"/>
                <w:lang w:val="en-US" w:eastAsia="zh-CN"/>
              </w:rPr>
              <w:t>或已完工的</w:t>
            </w:r>
            <w:r>
              <w:rPr>
                <w:rFonts w:hint="eastAsia" w:hAnsi="宋体" w:cs="宋体"/>
                <w:bCs/>
                <w:color w:val="auto"/>
                <w:sz w:val="21"/>
                <w:highlight w:val="none"/>
              </w:rPr>
              <w:t>类似项目</w:t>
            </w:r>
            <w:r>
              <w:rPr>
                <w:rFonts w:hint="eastAsia" w:hAnsi="宋体" w:cs="宋体"/>
                <w:bCs/>
                <w:color w:val="auto"/>
                <w:sz w:val="21"/>
                <w:highlight w:val="none"/>
                <w:lang w:eastAsia="zh-CN"/>
              </w:rPr>
              <w:t>业绩</w:t>
            </w:r>
            <w:r>
              <w:rPr>
                <w:rFonts w:hint="eastAsia" w:hAnsi="宋体" w:cs="宋体"/>
                <w:bCs/>
                <w:color w:val="auto"/>
                <w:sz w:val="21"/>
                <w:highlight w:val="none"/>
              </w:rPr>
              <w:t>，提供</w:t>
            </w:r>
            <w:r>
              <w:rPr>
                <w:rFonts w:hint="eastAsia" w:hAnsi="宋体" w:cs="宋体"/>
                <w:bCs/>
                <w:color w:val="auto"/>
                <w:sz w:val="21"/>
                <w:highlight w:val="none"/>
                <w:lang w:val="en-US" w:eastAsia="zh-CN"/>
              </w:rPr>
              <w:t>1</w:t>
            </w:r>
            <w:r>
              <w:rPr>
                <w:rFonts w:hint="eastAsia" w:hAnsi="宋体" w:cs="宋体"/>
                <w:bCs/>
                <w:color w:val="auto"/>
                <w:sz w:val="21"/>
                <w:highlight w:val="none"/>
              </w:rPr>
              <w:t>个有效业绩得</w:t>
            </w:r>
            <w:r>
              <w:rPr>
                <w:rFonts w:hint="eastAsia" w:hAnsi="宋体" w:cs="宋体"/>
                <w:bCs/>
                <w:color w:val="auto"/>
                <w:sz w:val="21"/>
                <w:highlight w:val="none"/>
                <w:lang w:val="en-US" w:eastAsia="zh-CN"/>
              </w:rPr>
              <w:t>2.5</w:t>
            </w:r>
            <w:r>
              <w:rPr>
                <w:rFonts w:hint="eastAsia" w:hAnsi="宋体" w:cs="宋体"/>
                <w:bCs/>
                <w:color w:val="auto"/>
                <w:sz w:val="21"/>
                <w:highlight w:val="none"/>
              </w:rPr>
              <w:t>分，最高得5分。必须提供相关证明材料。</w:t>
            </w:r>
          </w:p>
          <w:p w14:paraId="0E0C9D7C">
            <w:pPr>
              <w:pStyle w:val="25"/>
              <w:spacing w:line="360" w:lineRule="auto"/>
              <w:rPr>
                <w:rFonts w:hint="eastAsia" w:hAnsi="宋体" w:cs="宋体"/>
                <w:bCs/>
                <w:color w:val="auto"/>
                <w:sz w:val="21"/>
                <w:highlight w:val="none"/>
              </w:rPr>
            </w:pPr>
            <w:r>
              <w:rPr>
                <w:rFonts w:hint="eastAsia" w:hAnsi="宋体" w:cs="宋体"/>
                <w:bCs/>
                <w:color w:val="auto"/>
                <w:sz w:val="21"/>
                <w:highlight w:val="none"/>
              </w:rPr>
              <w:t>证明材料：</w:t>
            </w:r>
            <w:r>
              <w:rPr>
                <w:rFonts w:hint="eastAsia" w:hAnsi="宋体" w:cs="宋体"/>
                <w:bCs/>
                <w:color w:val="auto"/>
                <w:sz w:val="21"/>
                <w:highlight w:val="none"/>
                <w:lang w:val="en-US" w:eastAsia="zh-CN"/>
              </w:rPr>
              <w:t>以有效中标（成交）通知书或</w:t>
            </w:r>
            <w:r>
              <w:rPr>
                <w:rFonts w:hint="eastAsia" w:hAnsi="宋体" w:cs="宋体"/>
                <w:bCs/>
                <w:color w:val="auto"/>
                <w:sz w:val="21"/>
                <w:highlight w:val="none"/>
              </w:rPr>
              <w:t>工程</w:t>
            </w:r>
            <w:r>
              <w:rPr>
                <w:rFonts w:hint="eastAsia" w:hAnsi="宋体" w:cs="宋体"/>
                <w:bCs/>
                <w:color w:val="auto"/>
                <w:sz w:val="21"/>
                <w:highlight w:val="none"/>
                <w:lang w:val="en-US" w:eastAsia="zh-CN"/>
              </w:rPr>
              <w:t>合同复印件或扫描件为准并加盖供应商公章，否则不得分</w:t>
            </w:r>
            <w:r>
              <w:rPr>
                <w:rFonts w:hint="eastAsia" w:hAnsi="宋体" w:cs="宋体"/>
                <w:bCs/>
                <w:color w:val="auto"/>
                <w:sz w:val="21"/>
                <w:highlight w:val="none"/>
              </w:rPr>
              <w:t>。</w:t>
            </w:r>
          </w:p>
        </w:tc>
        <w:tc>
          <w:tcPr>
            <w:tcW w:w="851" w:type="dxa"/>
            <w:noWrap w:val="0"/>
            <w:vAlign w:val="center"/>
          </w:tcPr>
          <w:p w14:paraId="09D09EED">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5分</w:t>
            </w:r>
          </w:p>
        </w:tc>
      </w:tr>
      <w:tr w14:paraId="15A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239" w:type="dxa"/>
            <w:gridSpan w:val="3"/>
            <w:noWrap w:val="0"/>
            <w:vAlign w:val="top"/>
          </w:tcPr>
          <w:p w14:paraId="67C0DBFF">
            <w:pPr>
              <w:pStyle w:val="25"/>
              <w:spacing w:line="360" w:lineRule="auto"/>
              <w:ind w:firstLine="420"/>
              <w:rPr>
                <w:rFonts w:hint="eastAsia" w:hAnsi="宋体" w:cs="宋体"/>
                <w:bCs/>
                <w:color w:val="auto"/>
                <w:sz w:val="21"/>
                <w:highlight w:val="none"/>
              </w:rPr>
            </w:pPr>
            <w:r>
              <w:rPr>
                <w:rFonts w:hint="eastAsia" w:hAnsi="宋体" w:cs="宋体"/>
                <w:bCs/>
                <w:color w:val="auto"/>
                <w:sz w:val="21"/>
                <w:highlight w:val="none"/>
              </w:rPr>
              <w:t>总得分＝1＋2＋3</w:t>
            </w:r>
          </w:p>
        </w:tc>
        <w:tc>
          <w:tcPr>
            <w:tcW w:w="851" w:type="dxa"/>
            <w:noWrap w:val="0"/>
            <w:vAlign w:val="center"/>
          </w:tcPr>
          <w:p w14:paraId="703503EF">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100分</w:t>
            </w:r>
          </w:p>
        </w:tc>
      </w:tr>
    </w:tbl>
    <w:p w14:paraId="0232669D">
      <w:pPr>
        <w:pStyle w:val="3"/>
        <w:jc w:val="center"/>
        <w:rPr>
          <w:rFonts w:hint="eastAsia" w:ascii="宋体" w:hAnsi="宋体" w:cs="宋体"/>
          <w:color w:val="auto"/>
          <w:highlight w:val="none"/>
        </w:rPr>
      </w:pPr>
      <w:r>
        <w:rPr>
          <w:rFonts w:ascii="宋体" w:hAnsi="宋体" w:cs="宋体"/>
          <w:color w:val="auto"/>
          <w:highlight w:val="none"/>
        </w:rPr>
        <w:br w:type="page" w:clear="all"/>
      </w:r>
    </w:p>
    <w:p w14:paraId="62974AE8">
      <w:pPr>
        <w:pStyle w:val="3"/>
        <w:jc w:val="center"/>
        <w:rPr>
          <w:rFonts w:hint="eastAsia" w:ascii="宋体" w:hAnsi="宋体" w:cs="宋体"/>
          <w:color w:val="auto"/>
          <w:highlight w:val="none"/>
        </w:rPr>
      </w:pPr>
    </w:p>
    <w:p w14:paraId="73BD9953">
      <w:pPr>
        <w:pStyle w:val="3"/>
        <w:jc w:val="center"/>
        <w:rPr>
          <w:rFonts w:hint="eastAsia"/>
          <w:color w:val="auto"/>
          <w:highlight w:val="none"/>
        </w:rPr>
      </w:pPr>
    </w:p>
    <w:p w14:paraId="3A28DE89">
      <w:pPr>
        <w:pStyle w:val="3"/>
        <w:jc w:val="center"/>
        <w:rPr>
          <w:rFonts w:hint="eastAsia"/>
          <w:color w:val="auto"/>
          <w:highlight w:val="none"/>
        </w:rPr>
      </w:pPr>
    </w:p>
    <w:p w14:paraId="4F990D6D">
      <w:pPr>
        <w:pStyle w:val="3"/>
        <w:jc w:val="center"/>
        <w:rPr>
          <w:rFonts w:hint="eastAsia"/>
          <w:color w:val="auto"/>
          <w:highlight w:val="none"/>
        </w:rPr>
      </w:pPr>
    </w:p>
    <w:p w14:paraId="61219720">
      <w:pPr>
        <w:pStyle w:val="3"/>
        <w:jc w:val="center"/>
        <w:rPr>
          <w:color w:val="auto"/>
          <w:highlight w:val="none"/>
        </w:rPr>
      </w:pPr>
      <w:bookmarkStart w:id="91" w:name="_Toc20370"/>
      <w:r>
        <w:rPr>
          <w:rFonts w:hint="eastAsia"/>
          <w:color w:val="auto"/>
          <w:highlight w:val="none"/>
        </w:rPr>
        <w:t>第五章</w:t>
      </w:r>
      <w:r>
        <w:rPr>
          <w:rFonts w:hint="eastAsia"/>
          <w:color w:val="auto"/>
          <w:highlight w:val="none"/>
          <w:lang w:val="en-US" w:eastAsia="zh-CN"/>
        </w:rPr>
        <w:t xml:space="preserve"> </w:t>
      </w:r>
      <w:r>
        <w:rPr>
          <w:rFonts w:hint="eastAsia"/>
          <w:color w:val="auto"/>
          <w:highlight w:val="none"/>
        </w:rPr>
        <w:t>工程量清单及图纸</w:t>
      </w:r>
      <w:bookmarkEnd w:id="91"/>
    </w:p>
    <w:p w14:paraId="48BD7CF2">
      <w:pPr>
        <w:pStyle w:val="3"/>
        <w:spacing w:before="0" w:after="0" w:line="360" w:lineRule="auto"/>
        <w:jc w:val="center"/>
        <w:rPr>
          <w:rFonts w:hint="eastAsia" w:ascii="宋体" w:hAnsi="宋体" w:cs="宋体"/>
          <w:color w:val="auto"/>
          <w:sz w:val="32"/>
          <w:szCs w:val="32"/>
          <w:highlight w:val="none"/>
        </w:rPr>
      </w:pPr>
      <w:r>
        <w:rPr>
          <w:color w:val="auto"/>
          <w:highlight w:val="none"/>
        </w:rPr>
        <w:br w:type="page" w:clear="all"/>
      </w:r>
    </w:p>
    <w:p w14:paraId="470DBDEA">
      <w:pPr>
        <w:pStyle w:val="4"/>
        <w:spacing w:before="0" w:after="0" w:line="360" w:lineRule="auto"/>
        <w:rPr>
          <w:color w:val="auto"/>
          <w:highlight w:val="none"/>
        </w:rPr>
      </w:pPr>
      <w:bookmarkStart w:id="92" w:name="_Toc522"/>
      <w:r>
        <w:rPr>
          <w:color w:val="auto"/>
          <w:highlight w:val="none"/>
        </w:rPr>
        <w:t>1</w:t>
      </w:r>
      <w:r>
        <w:rPr>
          <w:rFonts w:hint="eastAsia"/>
          <w:color w:val="auto"/>
          <w:highlight w:val="none"/>
        </w:rPr>
        <w:t>.</w:t>
      </w:r>
      <w:r>
        <w:rPr>
          <w:rFonts w:hint="eastAsia" w:cs="黑体"/>
          <w:color w:val="auto"/>
          <w:highlight w:val="none"/>
        </w:rPr>
        <w:t>工程量清单编制说明</w:t>
      </w:r>
      <w:bookmarkEnd w:id="92"/>
    </w:p>
    <w:p w14:paraId="43838E17">
      <w:pPr>
        <w:spacing w:line="360" w:lineRule="auto"/>
        <w:ind w:firstLine="420"/>
        <w:rPr>
          <w:color w:val="auto"/>
          <w:highlight w:val="none"/>
        </w:rPr>
      </w:pPr>
      <w:r>
        <w:rPr>
          <w:color w:val="auto"/>
          <w:highlight w:val="none"/>
        </w:rPr>
        <w:t>1.1</w:t>
      </w:r>
      <w:r>
        <w:rPr>
          <w:rFonts w:hint="eastAsia"/>
          <w:color w:val="auto"/>
          <w:highlight w:val="none"/>
          <w:lang w:val="en-US" w:eastAsia="zh-CN"/>
        </w:rPr>
        <w:t xml:space="preserve">  </w:t>
      </w:r>
      <w:r>
        <w:rPr>
          <w:rFonts w:hint="eastAsia"/>
          <w:color w:val="auto"/>
          <w:highlight w:val="none"/>
        </w:rPr>
        <w:t>2024年版(GB/T50500-2024)《建设工程工程量清单计价标准》、2024年《广西壮族自治区建筑装饰装修工程消耗量定额》、2022年《广西壮族自治区市政工程消耗量定额》、2023年《广西壮族自治区安装工程消耗量定额》、人工费及有关费率按《自治区住房城乡建设厅关于调整建设工程定额人工费及有关费率的通知》(桂建标[2023]7号)、税率按《自治区住房城乡建设厅关于调整建设工程计价增值税税率的通知》(桂建标(2019)12号)</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号）、磋商文件、施工图等编制。计算规范中没有的清单项目，应在本章第</w:t>
      </w:r>
      <w:r>
        <w:rPr>
          <w:color w:val="auto"/>
          <w:highlight w:val="none"/>
        </w:rPr>
        <w:t>1.4</w:t>
      </w:r>
      <w:r>
        <w:rPr>
          <w:rFonts w:hint="eastAsia" w:hAnsi="宋体" w:cs="宋体"/>
          <w:color w:val="auto"/>
          <w:highlight w:val="none"/>
        </w:rPr>
        <w:t>款约定。</w:t>
      </w:r>
    </w:p>
    <w:p w14:paraId="00D09328">
      <w:pPr>
        <w:spacing w:line="360" w:lineRule="auto"/>
        <w:ind w:firstLine="420"/>
        <w:rPr>
          <w:color w:val="auto"/>
          <w:highlight w:val="none"/>
        </w:rPr>
      </w:pPr>
      <w:r>
        <w:rPr>
          <w:color w:val="auto"/>
          <w:highlight w:val="none"/>
        </w:rPr>
        <w:t xml:space="preserve">1.2 </w:t>
      </w:r>
      <w:r>
        <w:rPr>
          <w:rFonts w:hint="eastAsia"/>
          <w:color w:val="auto"/>
          <w:highlight w:val="none"/>
        </w:rPr>
        <w:t>工程量清单应与供应商须知、合同协议条款、合同的通用条款、合同专用条款、技术规范及图纸等文件一起结合使用。</w:t>
      </w:r>
    </w:p>
    <w:p w14:paraId="680128C3">
      <w:pPr>
        <w:spacing w:line="360" w:lineRule="auto"/>
        <w:ind w:firstLine="420"/>
        <w:rPr>
          <w:color w:val="auto"/>
          <w:highlight w:val="none"/>
        </w:rPr>
      </w:pPr>
      <w:r>
        <w:rPr>
          <w:color w:val="auto"/>
          <w:highlight w:val="none"/>
        </w:rPr>
        <w:t xml:space="preserve">1.3 </w:t>
      </w:r>
      <w:r>
        <w:rPr>
          <w:rFonts w:hint="eastAsia" w:cs="宋体"/>
          <w:color w:val="auto"/>
          <w:highlight w:val="none"/>
        </w:rPr>
        <w:t>工程量清单是磋商文件的组成部分，是工程量清单计价的基础，作为编制招标控制价、竞标报价、计算或调整工程量、索赔等的依据之一。</w:t>
      </w:r>
    </w:p>
    <w:p w14:paraId="041D0D05">
      <w:pPr>
        <w:spacing w:line="360" w:lineRule="auto"/>
        <w:ind w:firstLine="420"/>
        <w:rPr>
          <w:color w:val="auto"/>
          <w:highlight w:val="none"/>
        </w:rPr>
      </w:pPr>
      <w:r>
        <w:rPr>
          <w:color w:val="auto"/>
          <w:highlight w:val="none"/>
        </w:rPr>
        <w:t xml:space="preserve">1.4 </w:t>
      </w:r>
      <w:r>
        <w:rPr>
          <w:rFonts w:hint="eastAsia" w:cs="宋体"/>
          <w:color w:val="auto"/>
          <w:highlight w:val="none"/>
        </w:rPr>
        <w:t>补充清单项目的特征、计量单位、工程量计算规则及工作内容说明如下：</w:t>
      </w:r>
      <w:r>
        <w:rPr>
          <w:color w:val="auto"/>
          <w:highlight w:val="none"/>
          <w:u w:val="single"/>
        </w:rPr>
        <w:t xml:space="preserve">  </w:t>
      </w:r>
      <w:r>
        <w:rPr>
          <w:rFonts w:hint="eastAsia"/>
          <w:color w:val="auto"/>
          <w:highlight w:val="none"/>
          <w:u w:val="single"/>
        </w:rPr>
        <w:t>/</w:t>
      </w:r>
      <w:r>
        <w:rPr>
          <w:color w:val="auto"/>
          <w:highlight w:val="none"/>
          <w:u w:val="single"/>
        </w:rPr>
        <w:t xml:space="preserve"> </w:t>
      </w:r>
      <w:r>
        <w:rPr>
          <w:rFonts w:hint="eastAsia" w:hAnsi="宋体" w:cs="宋体"/>
          <w:color w:val="auto"/>
          <w:highlight w:val="none"/>
        </w:rPr>
        <w:t>。</w:t>
      </w:r>
    </w:p>
    <w:p w14:paraId="18846F3F">
      <w:pPr>
        <w:pStyle w:val="25"/>
        <w:spacing w:line="360" w:lineRule="auto"/>
        <w:ind w:firstLine="420"/>
        <w:rPr>
          <w:rFonts w:ascii="Times New Roman" w:hAnsi="Times New Roman"/>
          <w:color w:val="auto"/>
          <w:sz w:val="21"/>
          <w:highlight w:val="none"/>
        </w:rPr>
      </w:pPr>
      <w:r>
        <w:rPr>
          <w:rFonts w:ascii="Times New Roman" w:hAnsi="Times New Roman"/>
          <w:color w:val="auto"/>
          <w:sz w:val="21"/>
          <w:highlight w:val="none"/>
        </w:rPr>
        <w:t xml:space="preserve">1.5 </w:t>
      </w:r>
      <w:r>
        <w:rPr>
          <w:rFonts w:hint="eastAsia" w:ascii="Times New Roman" w:hAnsi="Times New Roman"/>
          <w:color w:val="auto"/>
          <w:sz w:val="21"/>
          <w:highlight w:val="none"/>
        </w:rPr>
        <w:t>《允许调整主要材料和工程设备一览表》（表</w:t>
      </w:r>
      <w:r>
        <w:rPr>
          <w:rFonts w:ascii="Times New Roman" w:hAnsi="Times New Roman"/>
          <w:color w:val="auto"/>
          <w:sz w:val="21"/>
          <w:highlight w:val="none"/>
        </w:rPr>
        <w:t>-22</w:t>
      </w:r>
      <w:r>
        <w:rPr>
          <w:rFonts w:hint="eastAsia" w:ascii="Times New Roman" w:hAnsi="Times New Roman"/>
          <w:color w:val="auto"/>
          <w:sz w:val="21"/>
          <w:highlight w:val="none"/>
        </w:rPr>
        <w:t>，表格编号为计价规范相应表格编号，下同）作为项目实施过程中材料和设备价格风险调整依据。</w:t>
      </w:r>
    </w:p>
    <w:p w14:paraId="2DCD3309">
      <w:pPr>
        <w:pStyle w:val="25"/>
        <w:spacing w:line="360" w:lineRule="auto"/>
        <w:ind w:firstLine="420"/>
        <w:rPr>
          <w:rFonts w:ascii="Times New Roman" w:hAnsi="Times New Roman"/>
          <w:color w:val="auto"/>
          <w:sz w:val="21"/>
          <w:highlight w:val="none"/>
        </w:rPr>
      </w:pPr>
      <w:r>
        <w:rPr>
          <w:rFonts w:ascii="Times New Roman" w:hAnsi="Times New Roman"/>
          <w:color w:val="auto"/>
          <w:sz w:val="21"/>
          <w:highlight w:val="none"/>
        </w:rPr>
        <w:t xml:space="preserve">1.6 </w:t>
      </w:r>
      <w:r>
        <w:rPr>
          <w:rFonts w:hint="eastAsia" w:ascii="Times New Roman" w:hAnsi="Times New Roman"/>
          <w:color w:val="auto"/>
          <w:sz w:val="21"/>
          <w:highlight w:val="none"/>
        </w:rPr>
        <w:t>本工程暂列金额（约按合同造价</w:t>
      </w:r>
      <w:r>
        <w:rPr>
          <w:rFonts w:ascii="Times New Roman" w:hAnsi="Times New Roman"/>
          <w:color w:val="auto"/>
          <w:sz w:val="21"/>
          <w:highlight w:val="none"/>
          <w:u w:val="single"/>
        </w:rPr>
        <w:t xml:space="preserve">   </w:t>
      </w:r>
      <w:r>
        <w:rPr>
          <w:rFonts w:hint="eastAsia" w:ascii="Times New Roman" w:hAnsi="Times New Roman"/>
          <w:color w:val="auto"/>
          <w:sz w:val="21"/>
          <w:highlight w:val="none"/>
          <w:u w:val="single"/>
        </w:rPr>
        <w:t>/</w:t>
      </w:r>
      <w:r>
        <w:rPr>
          <w:rFonts w:ascii="Times New Roman" w:hAnsi="Times New Roman"/>
          <w:color w:val="auto"/>
          <w:sz w:val="21"/>
          <w:highlight w:val="none"/>
          <w:u w:val="single"/>
        </w:rPr>
        <w:t xml:space="preserve">   </w:t>
      </w:r>
      <w:r>
        <w:rPr>
          <w:rFonts w:ascii="Times New Roman" w:hAnsi="Times New Roman"/>
          <w:color w:val="auto"/>
          <w:sz w:val="21"/>
          <w:highlight w:val="none"/>
        </w:rPr>
        <w:t>%</w:t>
      </w:r>
      <w:r>
        <w:rPr>
          <w:rFonts w:hint="eastAsia" w:ascii="Times New Roman" w:hAnsi="Times New Roman"/>
          <w:color w:val="auto"/>
          <w:sz w:val="21"/>
          <w:highlight w:val="none"/>
        </w:rPr>
        <w:t>计算），共</w:t>
      </w:r>
      <w:r>
        <w:rPr>
          <w:rFonts w:ascii="Times New Roman" w:hAnsi="Times New Roman"/>
          <w:color w:val="auto"/>
          <w:sz w:val="21"/>
          <w:highlight w:val="none"/>
          <w:u w:val="single"/>
        </w:rPr>
        <w:t xml:space="preserve">   </w:t>
      </w:r>
      <w:r>
        <w:rPr>
          <w:rFonts w:hint="eastAsia" w:ascii="Times New Roman" w:hAnsi="Times New Roman"/>
          <w:color w:val="auto"/>
          <w:sz w:val="21"/>
          <w:highlight w:val="none"/>
          <w:u w:val="single"/>
        </w:rPr>
        <w:t>/</w:t>
      </w:r>
      <w:r>
        <w:rPr>
          <w:rFonts w:ascii="Times New Roman" w:hAnsi="Times New Roman"/>
          <w:color w:val="auto"/>
          <w:sz w:val="21"/>
          <w:highlight w:val="none"/>
          <w:u w:val="single"/>
        </w:rPr>
        <w:t xml:space="preserve">  </w:t>
      </w:r>
      <w:r>
        <w:rPr>
          <w:rFonts w:hint="eastAsia" w:ascii="Times New Roman" w:hAnsi="Times New Roman"/>
          <w:color w:val="auto"/>
          <w:sz w:val="21"/>
          <w:highlight w:val="none"/>
        </w:rPr>
        <w:t>元，作为合同签订时尚未确定或者不可预见但施工中可能发生的费用。</w:t>
      </w:r>
    </w:p>
    <w:p w14:paraId="6BE2E86C">
      <w:pPr>
        <w:pStyle w:val="25"/>
        <w:spacing w:line="360" w:lineRule="auto"/>
        <w:ind w:firstLine="420"/>
        <w:rPr>
          <w:rFonts w:ascii="Times New Roman" w:hAnsi="Times New Roman"/>
          <w:color w:val="auto"/>
          <w:sz w:val="21"/>
          <w:highlight w:val="none"/>
        </w:rPr>
      </w:pPr>
      <w:r>
        <w:rPr>
          <w:rFonts w:ascii="Times New Roman" w:hAnsi="Times New Roman"/>
          <w:color w:val="auto"/>
          <w:sz w:val="21"/>
          <w:highlight w:val="none"/>
        </w:rPr>
        <w:t xml:space="preserve">1.7 </w:t>
      </w:r>
      <w:r>
        <w:rPr>
          <w:rFonts w:hint="eastAsia" w:ascii="Times New Roman" w:hAnsi="Times New Roman"/>
          <w:color w:val="auto"/>
          <w:sz w:val="21"/>
          <w:highlight w:val="none"/>
        </w:rPr>
        <w:t>本工程发包人提供的材料和设备详见《发包人提供的主要材料和工程设备一览表》（表</w:t>
      </w:r>
      <w:r>
        <w:rPr>
          <w:rFonts w:ascii="Times New Roman" w:hAnsi="Times New Roman"/>
          <w:color w:val="auto"/>
          <w:sz w:val="21"/>
          <w:highlight w:val="none"/>
        </w:rPr>
        <w:t>-21</w:t>
      </w:r>
      <w:r>
        <w:rPr>
          <w:rFonts w:hint="eastAsia" w:ascii="Times New Roman" w:hAnsi="Times New Roman"/>
          <w:color w:val="auto"/>
          <w:sz w:val="21"/>
          <w:highlight w:val="none"/>
        </w:rPr>
        <w:t>）。</w:t>
      </w:r>
    </w:p>
    <w:p w14:paraId="1CF65960">
      <w:pPr>
        <w:spacing w:line="360" w:lineRule="auto"/>
        <w:ind w:firstLine="420"/>
        <w:rPr>
          <w:color w:val="auto"/>
          <w:highlight w:val="none"/>
        </w:rPr>
      </w:pPr>
      <w:r>
        <w:rPr>
          <w:color w:val="auto"/>
          <w:highlight w:val="none"/>
        </w:rPr>
        <w:t xml:space="preserve">1.8 </w:t>
      </w:r>
      <w:r>
        <w:rPr>
          <w:rFonts w:hint="eastAsia" w:cs="宋体"/>
          <w:color w:val="auto"/>
          <w:highlight w:val="none"/>
        </w:rPr>
        <w:t>本工程部分材料和设备在招标时作为暂估价计列，结算按实调整，具体内容详见《材料（工程设备）暂估单价及调整表》（表</w:t>
      </w:r>
      <w:r>
        <w:rPr>
          <w:color w:val="auto"/>
          <w:highlight w:val="none"/>
        </w:rPr>
        <w:t>12-2</w:t>
      </w:r>
      <w:r>
        <w:rPr>
          <w:rFonts w:hint="eastAsia" w:cs="宋体"/>
          <w:color w:val="auto"/>
          <w:highlight w:val="none"/>
        </w:rPr>
        <w:t>）。</w:t>
      </w:r>
    </w:p>
    <w:p w14:paraId="5967E653">
      <w:pPr>
        <w:spacing w:line="360" w:lineRule="auto"/>
        <w:ind w:firstLine="420"/>
        <w:rPr>
          <w:color w:val="auto"/>
          <w:highlight w:val="none"/>
        </w:rPr>
      </w:pPr>
      <w:r>
        <w:rPr>
          <w:color w:val="auto"/>
          <w:highlight w:val="none"/>
        </w:rPr>
        <w:t xml:space="preserve">1.9 </w:t>
      </w:r>
      <w:r>
        <w:rPr>
          <w:rFonts w:hint="eastAsia" w:cs="宋体"/>
          <w:color w:val="auto"/>
          <w:highlight w:val="none"/>
        </w:rPr>
        <w:t>招标时暂估专业工程的价款属于暂估价，结算按实调整，具体内容详见《专业工程暂估价及结算价表》（表</w:t>
      </w:r>
      <w:r>
        <w:rPr>
          <w:color w:val="auto"/>
          <w:highlight w:val="none"/>
        </w:rPr>
        <w:t>12-3</w:t>
      </w:r>
      <w:r>
        <w:rPr>
          <w:rFonts w:hint="eastAsia" w:cs="宋体"/>
          <w:color w:val="auto"/>
          <w:highlight w:val="none"/>
        </w:rPr>
        <w:t>）。</w:t>
      </w:r>
    </w:p>
    <w:p w14:paraId="49E5BBD8">
      <w:pPr>
        <w:spacing w:line="360" w:lineRule="auto"/>
        <w:ind w:firstLine="420"/>
        <w:rPr>
          <w:color w:val="auto"/>
          <w:highlight w:val="none"/>
        </w:rPr>
      </w:pPr>
      <w:r>
        <w:rPr>
          <w:color w:val="auto"/>
          <w:highlight w:val="none"/>
        </w:rPr>
        <w:t xml:space="preserve">1.10 </w:t>
      </w:r>
      <w:r>
        <w:rPr>
          <w:rFonts w:hint="eastAsia" w:cs="宋体"/>
          <w:color w:val="auto"/>
          <w:highlight w:val="none"/>
        </w:rPr>
        <w:t>本工程量清单编码处标注</w:t>
      </w:r>
      <w:r>
        <w:rPr>
          <w:color w:val="auto"/>
          <w:highlight w:val="none"/>
        </w:rPr>
        <w:t>“*”</w:t>
      </w:r>
      <w:r>
        <w:rPr>
          <w:rFonts w:hint="eastAsia" w:cs="宋体"/>
          <w:color w:val="auto"/>
          <w:highlight w:val="none"/>
        </w:rPr>
        <w:t>号的清单项目作为主要清单项目，需要供应商提供</w:t>
      </w:r>
      <w:r>
        <w:rPr>
          <w:rFonts w:hint="eastAsia" w:hAnsi="宋体" w:cs="宋体"/>
          <w:color w:val="auto"/>
          <w:highlight w:val="none"/>
        </w:rPr>
        <w:t>《主要清单项目工料机分析表》（表</w:t>
      </w:r>
      <w:r>
        <w:rPr>
          <w:color w:val="auto"/>
          <w:highlight w:val="none"/>
        </w:rPr>
        <w:t>-10</w:t>
      </w:r>
      <w:r>
        <w:rPr>
          <w:rFonts w:hint="eastAsia" w:hAnsi="宋体" w:cs="宋体"/>
          <w:color w:val="auto"/>
          <w:highlight w:val="none"/>
        </w:rPr>
        <w:t>）</w:t>
      </w:r>
      <w:r>
        <w:rPr>
          <w:rFonts w:hint="eastAsia" w:cs="宋体"/>
          <w:color w:val="auto"/>
          <w:highlight w:val="none"/>
        </w:rPr>
        <w:t>。</w:t>
      </w:r>
    </w:p>
    <w:p w14:paraId="790BA11C">
      <w:pPr>
        <w:spacing w:line="360" w:lineRule="auto"/>
        <w:ind w:firstLine="420"/>
        <w:rPr>
          <w:color w:val="auto"/>
          <w:highlight w:val="none"/>
        </w:rPr>
      </w:pPr>
      <w:r>
        <w:rPr>
          <w:color w:val="auto"/>
          <w:highlight w:val="none"/>
        </w:rPr>
        <w:t xml:space="preserve">1.11 </w:t>
      </w:r>
      <w:r>
        <w:rPr>
          <w:rFonts w:hint="eastAsia" w:cs="宋体"/>
          <w:color w:val="auto"/>
          <w:highlight w:val="none"/>
        </w:rPr>
        <w:t>其它需要说明的问题：</w:t>
      </w:r>
      <w:r>
        <w:rPr>
          <w:color w:val="auto"/>
          <w:highlight w:val="none"/>
          <w:u w:val="single"/>
        </w:rPr>
        <w:t xml:space="preserve">   </w:t>
      </w:r>
      <w:r>
        <w:rPr>
          <w:rFonts w:hint="eastAsia"/>
          <w:color w:val="auto"/>
          <w:highlight w:val="none"/>
          <w:u w:val="single"/>
        </w:rPr>
        <w:t>/</w:t>
      </w:r>
      <w:r>
        <w:rPr>
          <w:color w:val="auto"/>
          <w:highlight w:val="none"/>
          <w:u w:val="single"/>
        </w:rPr>
        <w:t xml:space="preserve">   </w:t>
      </w:r>
      <w:r>
        <w:rPr>
          <w:rFonts w:hint="eastAsia" w:cs="宋体"/>
          <w:color w:val="auto"/>
          <w:highlight w:val="none"/>
        </w:rPr>
        <w:t>。</w:t>
      </w:r>
    </w:p>
    <w:p w14:paraId="6EAAC7B1">
      <w:pPr>
        <w:spacing w:line="360" w:lineRule="auto"/>
        <w:ind w:firstLine="420"/>
        <w:jc w:val="left"/>
        <w:rPr>
          <w:color w:val="auto"/>
          <w:highlight w:val="none"/>
        </w:rPr>
      </w:pPr>
      <w:r>
        <w:rPr>
          <w:color w:val="auto"/>
          <w:highlight w:val="none"/>
        </w:rPr>
        <w:t xml:space="preserve">1.12 </w:t>
      </w:r>
      <w:r>
        <w:rPr>
          <w:rFonts w:hint="eastAsia" w:cs="宋体"/>
          <w:color w:val="auto"/>
          <w:highlight w:val="none"/>
        </w:rPr>
        <w:t>工程量清单与磋商文件同时发布。</w:t>
      </w:r>
      <w:r>
        <w:rPr>
          <w:color w:val="auto"/>
          <w:highlight w:val="none"/>
        </w:rPr>
        <w:t xml:space="preserve"> </w:t>
      </w:r>
      <w:r>
        <w:rPr>
          <w:rFonts w:hint="eastAsia" w:cs="宋体"/>
          <w:color w:val="auto"/>
          <w:highlight w:val="none"/>
        </w:rPr>
        <w:t>一般计税法建设工程的工程量清单表格按</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w:t>
      </w:r>
      <w:r>
        <w:rPr>
          <w:rFonts w:hint="eastAsia" w:ascii="宋体" w:hAnsi="宋体" w:cs="宋体"/>
          <w:color w:val="auto"/>
          <w:highlight w:val="none"/>
        </w:rPr>
        <w:t>附件“增值税一般计税方法工程计价表”要求提供；简易计税法建设工程按照《计价规范》要求的</w:t>
      </w:r>
      <w:r>
        <w:rPr>
          <w:rFonts w:hint="eastAsia" w:cs="宋体"/>
          <w:color w:val="auto"/>
          <w:highlight w:val="none"/>
        </w:rPr>
        <w:t>表格提供，但规费和税费要按照《关于建筑业实施营业税改征增值税后广西壮族自治区建设工程计价依据调整的通知》（桂建标〔</w:t>
      </w:r>
      <w:r>
        <w:rPr>
          <w:color w:val="auto"/>
          <w:highlight w:val="none"/>
        </w:rPr>
        <w:t>2016</w:t>
      </w:r>
      <w:r>
        <w:rPr>
          <w:rFonts w:hint="eastAsia" w:cs="宋体"/>
          <w:color w:val="auto"/>
          <w:highlight w:val="none"/>
        </w:rPr>
        <w:t>〕</w:t>
      </w:r>
      <w:r>
        <w:rPr>
          <w:color w:val="auto"/>
          <w:highlight w:val="none"/>
        </w:rPr>
        <w:t>17</w:t>
      </w:r>
      <w:r>
        <w:rPr>
          <w:rFonts w:hint="eastAsia" w:cs="宋体"/>
          <w:color w:val="auto"/>
          <w:highlight w:val="none"/>
        </w:rPr>
        <w:t>号）</w:t>
      </w:r>
      <w:r>
        <w:rPr>
          <w:rFonts w:hint="eastAsia" w:ascii="宋体" w:hAnsi="宋体" w:cs="宋体"/>
          <w:color w:val="auto"/>
          <w:highlight w:val="none"/>
        </w:rPr>
        <w:t>要求调整，具体</w:t>
      </w:r>
      <w:r>
        <w:rPr>
          <w:rFonts w:hint="eastAsia" w:cs="宋体"/>
          <w:color w:val="auto"/>
          <w:highlight w:val="none"/>
        </w:rPr>
        <w:t>包括：</w:t>
      </w:r>
    </w:p>
    <w:p w14:paraId="79D5EF37">
      <w:pPr>
        <w:spacing w:line="360" w:lineRule="auto"/>
        <w:ind w:firstLine="630"/>
        <w:jc w:val="left"/>
        <w:rPr>
          <w:color w:val="auto"/>
          <w:highlight w:val="none"/>
        </w:rPr>
      </w:pPr>
      <w:r>
        <w:rPr>
          <w:color w:val="auto"/>
          <w:highlight w:val="none"/>
        </w:rPr>
        <w:t xml:space="preserve">1.1 </w:t>
      </w:r>
      <w:r>
        <w:rPr>
          <w:rFonts w:hint="eastAsia" w:cs="宋体"/>
          <w:color w:val="auto"/>
          <w:highlight w:val="none"/>
        </w:rPr>
        <w:t>招标工程量清单（封</w:t>
      </w:r>
      <w:r>
        <w:rPr>
          <w:color w:val="auto"/>
          <w:highlight w:val="none"/>
        </w:rPr>
        <w:t>-1</w:t>
      </w:r>
      <w:r>
        <w:rPr>
          <w:rFonts w:hint="eastAsia" w:cs="宋体"/>
          <w:color w:val="auto"/>
          <w:highlight w:val="none"/>
        </w:rPr>
        <w:t>）</w:t>
      </w:r>
    </w:p>
    <w:p w14:paraId="736F9CF6">
      <w:pPr>
        <w:spacing w:line="360" w:lineRule="auto"/>
        <w:ind w:firstLine="630"/>
        <w:jc w:val="left"/>
        <w:rPr>
          <w:color w:val="auto"/>
          <w:highlight w:val="none"/>
        </w:rPr>
      </w:pPr>
      <w:r>
        <w:rPr>
          <w:color w:val="auto"/>
          <w:highlight w:val="none"/>
        </w:rPr>
        <w:t xml:space="preserve">1.2 </w:t>
      </w:r>
      <w:r>
        <w:rPr>
          <w:rFonts w:hint="eastAsia" w:cs="宋体"/>
          <w:color w:val="auto"/>
          <w:highlight w:val="none"/>
        </w:rPr>
        <w:t>招标工程量清单（封扉</w:t>
      </w:r>
      <w:r>
        <w:rPr>
          <w:color w:val="auto"/>
          <w:highlight w:val="none"/>
        </w:rPr>
        <w:t>-1</w:t>
      </w:r>
      <w:r>
        <w:rPr>
          <w:rFonts w:hint="eastAsia" w:cs="宋体"/>
          <w:color w:val="auto"/>
          <w:highlight w:val="none"/>
        </w:rPr>
        <w:t>）</w:t>
      </w:r>
    </w:p>
    <w:p w14:paraId="0A779504">
      <w:pPr>
        <w:spacing w:line="360" w:lineRule="auto"/>
        <w:ind w:firstLine="630"/>
        <w:jc w:val="left"/>
        <w:rPr>
          <w:color w:val="auto"/>
          <w:highlight w:val="none"/>
        </w:rPr>
      </w:pPr>
      <w:r>
        <w:rPr>
          <w:color w:val="auto"/>
          <w:highlight w:val="none"/>
        </w:rPr>
        <w:t xml:space="preserve">1.3 </w:t>
      </w:r>
      <w:r>
        <w:rPr>
          <w:rFonts w:hint="eastAsia" w:cs="宋体"/>
          <w:color w:val="auto"/>
          <w:highlight w:val="none"/>
        </w:rPr>
        <w:t>总说明（表</w:t>
      </w:r>
      <w:r>
        <w:rPr>
          <w:color w:val="auto"/>
          <w:highlight w:val="none"/>
        </w:rPr>
        <w:t>-01</w:t>
      </w:r>
      <w:r>
        <w:rPr>
          <w:rFonts w:hint="eastAsia" w:cs="宋体"/>
          <w:color w:val="auto"/>
          <w:highlight w:val="none"/>
        </w:rPr>
        <w:t>）</w:t>
      </w:r>
    </w:p>
    <w:p w14:paraId="7381EC79">
      <w:pPr>
        <w:spacing w:line="360" w:lineRule="auto"/>
        <w:ind w:firstLine="630"/>
        <w:jc w:val="left"/>
        <w:rPr>
          <w:color w:val="auto"/>
          <w:highlight w:val="none"/>
        </w:rPr>
      </w:pPr>
      <w:r>
        <w:rPr>
          <w:color w:val="auto"/>
          <w:highlight w:val="none"/>
        </w:rPr>
        <w:t xml:space="preserve">1.4 </w:t>
      </w:r>
      <w:r>
        <w:rPr>
          <w:rFonts w:hint="eastAsia" w:cs="宋体"/>
          <w:color w:val="auto"/>
          <w:highlight w:val="none"/>
        </w:rPr>
        <w:t>建设项目投标报价汇总表（表</w:t>
      </w:r>
      <w:r>
        <w:rPr>
          <w:color w:val="auto"/>
          <w:highlight w:val="none"/>
        </w:rPr>
        <w:t>-02</w:t>
      </w:r>
      <w:r>
        <w:rPr>
          <w:rFonts w:hint="eastAsia" w:cs="宋体"/>
          <w:color w:val="auto"/>
          <w:highlight w:val="none"/>
        </w:rPr>
        <w:t>）</w:t>
      </w:r>
    </w:p>
    <w:p w14:paraId="2C0C2ADD">
      <w:pPr>
        <w:spacing w:line="360" w:lineRule="auto"/>
        <w:ind w:firstLine="630"/>
        <w:jc w:val="left"/>
        <w:rPr>
          <w:color w:val="auto"/>
          <w:highlight w:val="none"/>
        </w:rPr>
      </w:pPr>
      <w:r>
        <w:rPr>
          <w:color w:val="auto"/>
          <w:highlight w:val="none"/>
        </w:rPr>
        <w:t xml:space="preserve">1.5 </w:t>
      </w:r>
      <w:r>
        <w:rPr>
          <w:rFonts w:hint="eastAsia" w:cs="宋体"/>
          <w:color w:val="auto"/>
          <w:highlight w:val="none"/>
        </w:rPr>
        <w:t>单项工程投标报价汇总表（表</w:t>
      </w:r>
      <w:r>
        <w:rPr>
          <w:color w:val="auto"/>
          <w:highlight w:val="none"/>
        </w:rPr>
        <w:t>-03</w:t>
      </w:r>
      <w:r>
        <w:rPr>
          <w:rFonts w:hint="eastAsia" w:cs="宋体"/>
          <w:color w:val="auto"/>
          <w:highlight w:val="none"/>
        </w:rPr>
        <w:t>）</w:t>
      </w:r>
    </w:p>
    <w:p w14:paraId="1B0D28D9">
      <w:pPr>
        <w:spacing w:line="360" w:lineRule="auto"/>
        <w:ind w:firstLine="630"/>
        <w:jc w:val="left"/>
        <w:rPr>
          <w:color w:val="auto"/>
          <w:highlight w:val="none"/>
        </w:rPr>
      </w:pPr>
      <w:r>
        <w:rPr>
          <w:color w:val="auto"/>
          <w:highlight w:val="none"/>
        </w:rPr>
        <w:t xml:space="preserve">1.6 </w:t>
      </w:r>
      <w:r>
        <w:rPr>
          <w:rFonts w:hint="eastAsia" w:cs="宋体"/>
          <w:color w:val="auto"/>
          <w:highlight w:val="none"/>
        </w:rPr>
        <w:t>单位工程投标报价汇总表（表</w:t>
      </w:r>
      <w:r>
        <w:rPr>
          <w:color w:val="auto"/>
          <w:highlight w:val="none"/>
        </w:rPr>
        <w:t>-04</w:t>
      </w:r>
      <w:r>
        <w:rPr>
          <w:rFonts w:hint="eastAsia" w:cs="宋体"/>
          <w:color w:val="auto"/>
          <w:highlight w:val="none"/>
        </w:rPr>
        <w:t>）</w:t>
      </w:r>
    </w:p>
    <w:p w14:paraId="070650DE">
      <w:pPr>
        <w:spacing w:line="360" w:lineRule="auto"/>
        <w:ind w:firstLine="630"/>
        <w:jc w:val="left"/>
        <w:rPr>
          <w:color w:val="auto"/>
          <w:highlight w:val="none"/>
        </w:rPr>
      </w:pPr>
      <w:r>
        <w:rPr>
          <w:color w:val="auto"/>
          <w:highlight w:val="none"/>
        </w:rPr>
        <w:t xml:space="preserve">1.7 </w:t>
      </w:r>
      <w:r>
        <w:rPr>
          <w:rFonts w:hint="eastAsia" w:cs="宋体"/>
          <w:color w:val="auto"/>
          <w:highlight w:val="none"/>
        </w:rPr>
        <w:t>分部分项工程和单价措施项目清单与计价表（表</w:t>
      </w:r>
      <w:r>
        <w:rPr>
          <w:color w:val="auto"/>
          <w:highlight w:val="none"/>
        </w:rPr>
        <w:t>-08</w:t>
      </w:r>
      <w:r>
        <w:rPr>
          <w:rFonts w:hint="eastAsia" w:cs="宋体"/>
          <w:color w:val="auto"/>
          <w:highlight w:val="none"/>
        </w:rPr>
        <w:t>）</w:t>
      </w:r>
    </w:p>
    <w:p w14:paraId="36F5B19F">
      <w:pPr>
        <w:spacing w:line="360" w:lineRule="auto"/>
        <w:ind w:firstLine="630"/>
        <w:jc w:val="left"/>
        <w:rPr>
          <w:color w:val="auto"/>
          <w:highlight w:val="none"/>
        </w:rPr>
      </w:pPr>
      <w:r>
        <w:rPr>
          <w:color w:val="auto"/>
          <w:highlight w:val="none"/>
        </w:rPr>
        <w:t xml:space="preserve">1.8 </w:t>
      </w:r>
      <w:r>
        <w:rPr>
          <w:rFonts w:hint="eastAsia" w:cs="宋体"/>
          <w:color w:val="auto"/>
          <w:highlight w:val="none"/>
        </w:rPr>
        <w:t>总价措施项目清单与计价表（表</w:t>
      </w:r>
      <w:r>
        <w:rPr>
          <w:color w:val="auto"/>
          <w:highlight w:val="none"/>
        </w:rPr>
        <w:t>-11</w:t>
      </w:r>
      <w:r>
        <w:rPr>
          <w:rFonts w:hint="eastAsia" w:cs="宋体"/>
          <w:color w:val="auto"/>
          <w:highlight w:val="none"/>
        </w:rPr>
        <w:t>）</w:t>
      </w:r>
    </w:p>
    <w:p w14:paraId="198CBB1C">
      <w:pPr>
        <w:spacing w:line="360" w:lineRule="auto"/>
        <w:ind w:firstLine="630"/>
        <w:jc w:val="left"/>
        <w:rPr>
          <w:color w:val="auto"/>
          <w:highlight w:val="none"/>
        </w:rPr>
      </w:pPr>
      <w:r>
        <w:rPr>
          <w:color w:val="auto"/>
          <w:highlight w:val="none"/>
        </w:rPr>
        <w:t xml:space="preserve">1.9 </w:t>
      </w:r>
      <w:r>
        <w:rPr>
          <w:rFonts w:hint="eastAsia" w:cs="宋体"/>
          <w:color w:val="auto"/>
          <w:highlight w:val="none"/>
        </w:rPr>
        <w:t>其他项目清单与计价汇总表（表</w:t>
      </w:r>
      <w:r>
        <w:rPr>
          <w:color w:val="auto"/>
          <w:highlight w:val="none"/>
        </w:rPr>
        <w:t>-12</w:t>
      </w:r>
      <w:r>
        <w:rPr>
          <w:rFonts w:hint="eastAsia" w:cs="宋体"/>
          <w:color w:val="auto"/>
          <w:highlight w:val="none"/>
        </w:rPr>
        <w:t>）</w:t>
      </w:r>
    </w:p>
    <w:p w14:paraId="4112B147">
      <w:pPr>
        <w:spacing w:line="360" w:lineRule="auto"/>
        <w:ind w:firstLine="630"/>
        <w:jc w:val="left"/>
        <w:rPr>
          <w:color w:val="auto"/>
          <w:highlight w:val="none"/>
        </w:rPr>
      </w:pPr>
      <w:r>
        <w:rPr>
          <w:color w:val="auto"/>
          <w:highlight w:val="none"/>
        </w:rPr>
        <w:t xml:space="preserve">1.10 </w:t>
      </w:r>
      <w:r>
        <w:rPr>
          <w:rFonts w:hint="eastAsia" w:cs="宋体"/>
          <w:color w:val="auto"/>
          <w:highlight w:val="none"/>
        </w:rPr>
        <w:t>暂列金额明细表（表</w:t>
      </w:r>
      <w:r>
        <w:rPr>
          <w:color w:val="auto"/>
          <w:highlight w:val="none"/>
        </w:rPr>
        <w:t>12-1</w:t>
      </w:r>
      <w:r>
        <w:rPr>
          <w:rFonts w:hint="eastAsia" w:cs="宋体"/>
          <w:color w:val="auto"/>
          <w:highlight w:val="none"/>
        </w:rPr>
        <w:t>）</w:t>
      </w:r>
    </w:p>
    <w:p w14:paraId="073B2A79">
      <w:pPr>
        <w:spacing w:line="360" w:lineRule="auto"/>
        <w:ind w:firstLine="630"/>
        <w:jc w:val="left"/>
        <w:rPr>
          <w:color w:val="auto"/>
          <w:highlight w:val="none"/>
        </w:rPr>
      </w:pPr>
      <w:r>
        <w:rPr>
          <w:color w:val="auto"/>
          <w:highlight w:val="none"/>
        </w:rPr>
        <w:t xml:space="preserve">1.11 </w:t>
      </w:r>
      <w:r>
        <w:rPr>
          <w:rFonts w:hint="eastAsia" w:cs="宋体"/>
          <w:color w:val="auto"/>
          <w:highlight w:val="none"/>
        </w:rPr>
        <w:t>材料（工程设备）暂估单价及调整表（表</w:t>
      </w:r>
      <w:r>
        <w:rPr>
          <w:color w:val="auto"/>
          <w:highlight w:val="none"/>
        </w:rPr>
        <w:t>12-2</w:t>
      </w:r>
      <w:r>
        <w:rPr>
          <w:rFonts w:hint="eastAsia" w:cs="宋体"/>
          <w:color w:val="auto"/>
          <w:highlight w:val="none"/>
        </w:rPr>
        <w:t>）</w:t>
      </w:r>
    </w:p>
    <w:p w14:paraId="60C26C1A">
      <w:pPr>
        <w:spacing w:line="360" w:lineRule="auto"/>
        <w:ind w:firstLine="630"/>
        <w:jc w:val="left"/>
        <w:rPr>
          <w:color w:val="auto"/>
          <w:highlight w:val="none"/>
        </w:rPr>
      </w:pPr>
      <w:r>
        <w:rPr>
          <w:color w:val="auto"/>
          <w:highlight w:val="none"/>
        </w:rPr>
        <w:t xml:space="preserve">1.12 </w:t>
      </w:r>
      <w:r>
        <w:rPr>
          <w:rFonts w:hint="eastAsia" w:cs="宋体"/>
          <w:color w:val="auto"/>
          <w:highlight w:val="none"/>
        </w:rPr>
        <w:t>专业工程暂估价</w:t>
      </w:r>
      <w:r>
        <w:rPr>
          <w:rFonts w:hint="eastAsia"/>
          <w:color w:val="auto"/>
          <w:highlight w:val="none"/>
        </w:rPr>
        <w:t>及结算价</w:t>
      </w:r>
      <w:r>
        <w:rPr>
          <w:rFonts w:hint="eastAsia" w:cs="宋体"/>
          <w:color w:val="auto"/>
          <w:highlight w:val="none"/>
        </w:rPr>
        <w:t>表（表</w:t>
      </w:r>
      <w:r>
        <w:rPr>
          <w:color w:val="auto"/>
          <w:highlight w:val="none"/>
        </w:rPr>
        <w:t>12-3</w:t>
      </w:r>
      <w:r>
        <w:rPr>
          <w:rFonts w:hint="eastAsia" w:cs="宋体"/>
          <w:color w:val="auto"/>
          <w:highlight w:val="none"/>
        </w:rPr>
        <w:t>）</w:t>
      </w:r>
    </w:p>
    <w:p w14:paraId="124BEC7B">
      <w:pPr>
        <w:spacing w:line="360" w:lineRule="auto"/>
        <w:ind w:firstLine="630"/>
        <w:jc w:val="left"/>
        <w:rPr>
          <w:color w:val="auto"/>
          <w:highlight w:val="none"/>
        </w:rPr>
      </w:pPr>
      <w:r>
        <w:rPr>
          <w:color w:val="auto"/>
          <w:highlight w:val="none"/>
        </w:rPr>
        <w:t xml:space="preserve">1.13 </w:t>
      </w:r>
      <w:r>
        <w:rPr>
          <w:rFonts w:hint="eastAsia" w:cs="宋体"/>
          <w:color w:val="auto"/>
          <w:highlight w:val="none"/>
        </w:rPr>
        <w:t>计日工表（表</w:t>
      </w:r>
      <w:r>
        <w:rPr>
          <w:color w:val="auto"/>
          <w:highlight w:val="none"/>
        </w:rPr>
        <w:t>12-4</w:t>
      </w:r>
      <w:r>
        <w:rPr>
          <w:rFonts w:hint="eastAsia" w:cs="宋体"/>
          <w:color w:val="auto"/>
          <w:highlight w:val="none"/>
        </w:rPr>
        <w:t>）</w:t>
      </w:r>
    </w:p>
    <w:p w14:paraId="4FFD94C1">
      <w:pPr>
        <w:spacing w:line="360" w:lineRule="auto"/>
        <w:ind w:firstLine="630"/>
        <w:jc w:val="left"/>
        <w:rPr>
          <w:color w:val="auto"/>
          <w:highlight w:val="none"/>
        </w:rPr>
      </w:pPr>
      <w:r>
        <w:rPr>
          <w:color w:val="auto"/>
          <w:highlight w:val="none"/>
        </w:rPr>
        <w:t xml:space="preserve">1.14 </w:t>
      </w:r>
      <w:r>
        <w:rPr>
          <w:rFonts w:hint="eastAsia" w:cs="宋体"/>
          <w:color w:val="auto"/>
          <w:highlight w:val="none"/>
        </w:rPr>
        <w:t>总承包服务费计价表（表</w:t>
      </w:r>
      <w:r>
        <w:rPr>
          <w:color w:val="auto"/>
          <w:highlight w:val="none"/>
        </w:rPr>
        <w:t>12-5</w:t>
      </w:r>
      <w:r>
        <w:rPr>
          <w:rFonts w:hint="eastAsia" w:cs="宋体"/>
          <w:color w:val="auto"/>
          <w:highlight w:val="none"/>
        </w:rPr>
        <w:t>）</w:t>
      </w:r>
    </w:p>
    <w:p w14:paraId="550D7076">
      <w:pPr>
        <w:spacing w:line="360" w:lineRule="auto"/>
        <w:ind w:firstLine="630"/>
        <w:jc w:val="left"/>
        <w:rPr>
          <w:color w:val="auto"/>
          <w:highlight w:val="none"/>
        </w:rPr>
      </w:pPr>
      <w:r>
        <w:rPr>
          <w:color w:val="auto"/>
          <w:highlight w:val="none"/>
        </w:rPr>
        <w:t xml:space="preserve">1.15 </w:t>
      </w:r>
      <w:r>
        <w:rPr>
          <w:rFonts w:hint="eastAsia" w:cs="宋体"/>
          <w:color w:val="auto"/>
          <w:highlight w:val="none"/>
        </w:rPr>
        <w:t>税前项目清单与计价表（表</w:t>
      </w:r>
      <w:r>
        <w:rPr>
          <w:color w:val="auto"/>
          <w:highlight w:val="none"/>
        </w:rPr>
        <w:t>-14</w:t>
      </w:r>
      <w:r>
        <w:rPr>
          <w:rFonts w:hint="eastAsia" w:cs="宋体"/>
          <w:color w:val="auto"/>
          <w:highlight w:val="none"/>
        </w:rPr>
        <w:t>）</w:t>
      </w:r>
    </w:p>
    <w:p w14:paraId="7687EC24">
      <w:pPr>
        <w:spacing w:line="360" w:lineRule="auto"/>
        <w:ind w:firstLine="630"/>
        <w:jc w:val="left"/>
        <w:rPr>
          <w:color w:val="auto"/>
          <w:highlight w:val="none"/>
        </w:rPr>
      </w:pPr>
      <w:r>
        <w:rPr>
          <w:color w:val="auto"/>
          <w:highlight w:val="none"/>
        </w:rPr>
        <w:t xml:space="preserve">1.16 </w:t>
      </w:r>
      <w:r>
        <w:rPr>
          <w:rFonts w:hint="eastAsia" w:cs="宋体"/>
          <w:color w:val="auto"/>
          <w:highlight w:val="none"/>
        </w:rPr>
        <w:t>规费、增值税计价表（表</w:t>
      </w:r>
      <w:r>
        <w:rPr>
          <w:color w:val="auto"/>
          <w:highlight w:val="none"/>
        </w:rPr>
        <w:t>-15</w:t>
      </w:r>
      <w:r>
        <w:rPr>
          <w:rFonts w:hint="eastAsia" w:cs="宋体"/>
          <w:color w:val="auto"/>
          <w:highlight w:val="none"/>
        </w:rPr>
        <w:t>）</w:t>
      </w:r>
    </w:p>
    <w:p w14:paraId="4937A5BD">
      <w:pPr>
        <w:spacing w:line="360" w:lineRule="auto"/>
        <w:ind w:firstLine="630"/>
        <w:jc w:val="left"/>
        <w:rPr>
          <w:color w:val="auto"/>
          <w:highlight w:val="none"/>
        </w:rPr>
      </w:pPr>
      <w:r>
        <w:rPr>
          <w:color w:val="auto"/>
          <w:highlight w:val="none"/>
        </w:rPr>
        <w:t xml:space="preserve">1.17 </w:t>
      </w:r>
      <w:r>
        <w:rPr>
          <w:rFonts w:hint="eastAsia" w:cs="宋体"/>
          <w:color w:val="auto"/>
          <w:highlight w:val="none"/>
        </w:rPr>
        <w:t>发包人提供主要材料和工程设备一览表（表</w:t>
      </w:r>
      <w:r>
        <w:rPr>
          <w:color w:val="auto"/>
          <w:highlight w:val="none"/>
        </w:rPr>
        <w:t>-21</w:t>
      </w:r>
      <w:r>
        <w:rPr>
          <w:rFonts w:hint="eastAsia" w:cs="宋体"/>
          <w:color w:val="auto"/>
          <w:highlight w:val="none"/>
        </w:rPr>
        <w:t>）</w:t>
      </w:r>
    </w:p>
    <w:p w14:paraId="2FEF27AC">
      <w:pPr>
        <w:spacing w:line="360" w:lineRule="auto"/>
        <w:ind w:firstLine="630"/>
        <w:jc w:val="left"/>
        <w:rPr>
          <w:color w:val="auto"/>
          <w:highlight w:val="none"/>
        </w:rPr>
      </w:pPr>
      <w:r>
        <w:rPr>
          <w:color w:val="auto"/>
          <w:highlight w:val="none"/>
        </w:rPr>
        <w:t xml:space="preserve">1.18 </w:t>
      </w:r>
      <w:r>
        <w:rPr>
          <w:rFonts w:hint="eastAsia" w:cs="宋体"/>
          <w:color w:val="auto"/>
          <w:highlight w:val="none"/>
        </w:rPr>
        <w:t>允许调整主要材料和工程设备一览表（适用于造价信息差额调整法）（表</w:t>
      </w:r>
      <w:r>
        <w:rPr>
          <w:color w:val="auto"/>
          <w:highlight w:val="none"/>
        </w:rPr>
        <w:t>-22</w:t>
      </w:r>
      <w:r>
        <w:rPr>
          <w:rFonts w:hint="eastAsia" w:cs="宋体"/>
          <w:color w:val="auto"/>
          <w:highlight w:val="none"/>
        </w:rPr>
        <w:t>）</w:t>
      </w:r>
    </w:p>
    <w:p w14:paraId="6E340349">
      <w:pPr>
        <w:spacing w:line="360" w:lineRule="auto"/>
        <w:ind w:firstLine="630"/>
        <w:jc w:val="left"/>
        <w:rPr>
          <w:rFonts w:hint="eastAsia" w:cs="宋体"/>
          <w:color w:val="auto"/>
          <w:highlight w:val="none"/>
        </w:rPr>
      </w:pPr>
      <w:r>
        <w:rPr>
          <w:color w:val="auto"/>
          <w:highlight w:val="none"/>
        </w:rPr>
        <w:t>1.19</w:t>
      </w:r>
      <w:r>
        <w:rPr>
          <w:rFonts w:hint="eastAsia" w:cs="宋体"/>
          <w:color w:val="auto"/>
          <w:highlight w:val="none"/>
        </w:rPr>
        <w:t>允许调整主要材料和工程设备一览表（适用于价格指数差额调整法）（表</w:t>
      </w:r>
      <w:r>
        <w:rPr>
          <w:color w:val="auto"/>
          <w:highlight w:val="none"/>
        </w:rPr>
        <w:t>-23</w:t>
      </w:r>
      <w:r>
        <w:rPr>
          <w:rFonts w:hint="eastAsia" w:cs="宋体"/>
          <w:color w:val="auto"/>
          <w:highlight w:val="none"/>
        </w:rPr>
        <w:t>）</w:t>
      </w:r>
    </w:p>
    <w:p w14:paraId="26A15F80">
      <w:pPr>
        <w:spacing w:line="360" w:lineRule="auto"/>
        <w:ind w:firstLine="630"/>
        <w:jc w:val="left"/>
        <w:rPr>
          <w:rFonts w:hint="eastAsia" w:cs="宋体"/>
          <w:color w:val="auto"/>
          <w:highlight w:val="none"/>
        </w:rPr>
      </w:pPr>
      <w:r>
        <w:rPr>
          <w:rFonts w:hint="eastAsia" w:cs="宋体"/>
          <w:color w:val="auto"/>
          <w:highlight w:val="none"/>
        </w:rPr>
        <w:t>1.20本工程</w:t>
      </w:r>
      <w:r>
        <w:rPr>
          <w:rFonts w:cs="宋体"/>
          <w:color w:val="auto"/>
          <w:highlight w:val="none"/>
          <w:lang w:val="en"/>
        </w:rPr>
        <w:t>材料和工程设备</w:t>
      </w:r>
      <w:r>
        <w:rPr>
          <w:rFonts w:hint="eastAsia" w:cs="宋体"/>
          <w:color w:val="auto"/>
          <w:highlight w:val="none"/>
        </w:rPr>
        <w:t>一览表（表-24）</w:t>
      </w:r>
    </w:p>
    <w:p w14:paraId="556C46EC">
      <w:pPr>
        <w:spacing w:line="360" w:lineRule="auto"/>
        <w:ind w:firstLine="630"/>
        <w:jc w:val="left"/>
        <w:rPr>
          <w:rFonts w:cs="宋体"/>
          <w:color w:val="auto"/>
          <w:highlight w:val="none"/>
        </w:rPr>
      </w:pPr>
      <w:r>
        <w:rPr>
          <w:rFonts w:hint="eastAsia" w:cs="宋体"/>
          <w:color w:val="auto"/>
          <w:highlight w:val="none"/>
        </w:rPr>
        <w:t>注：如本工程在合同中约定采用造价信息价差调整法，1.</w:t>
      </w:r>
      <w:r>
        <w:rPr>
          <w:color w:val="auto"/>
          <w:highlight w:val="none"/>
        </w:rPr>
        <w:t xml:space="preserve">18 </w:t>
      </w:r>
      <w:r>
        <w:rPr>
          <w:rFonts w:cs="宋体"/>
          <w:color w:val="auto"/>
          <w:highlight w:val="none"/>
          <w:lang w:val="en"/>
        </w:rPr>
        <w:t>允许调整</w:t>
      </w:r>
      <w:r>
        <w:rPr>
          <w:rFonts w:hint="eastAsia" w:cs="宋体"/>
          <w:color w:val="auto"/>
          <w:highlight w:val="none"/>
        </w:rPr>
        <w:t>主要材料和工程设备一览表（适用于造价信息差额调整法）（表</w:t>
      </w:r>
      <w:r>
        <w:rPr>
          <w:color w:val="auto"/>
          <w:highlight w:val="none"/>
        </w:rPr>
        <w:t>-22</w:t>
      </w:r>
      <w:r>
        <w:rPr>
          <w:rFonts w:hint="eastAsia" w:cs="宋体"/>
          <w:color w:val="auto"/>
          <w:highlight w:val="none"/>
        </w:rPr>
        <w:t>）载明的主要材料和工程设备为本工程允许调整材料和工程设备，工程量清单必须提供该表格，并应载明允许调整材料和工程设备名称型号规格、单位、风险系数、基准单价等内容，且不能提供空白表。</w:t>
      </w:r>
    </w:p>
    <w:p w14:paraId="647B1D6A">
      <w:pPr>
        <w:spacing w:line="360" w:lineRule="auto"/>
        <w:ind w:firstLine="630"/>
        <w:jc w:val="left"/>
        <w:rPr>
          <w:color w:val="auto"/>
          <w:highlight w:val="none"/>
        </w:rPr>
      </w:pPr>
      <w:r>
        <w:rPr>
          <w:rFonts w:hint="eastAsia" w:cs="宋体"/>
          <w:color w:val="auto"/>
          <w:highlight w:val="none"/>
        </w:rPr>
        <w:t>以下表格视工程实际需要选用，如该工程不发生如下表格相关项目和费用，所编制工程量清单则不需列入相应表格：</w:t>
      </w:r>
    </w:p>
    <w:p w14:paraId="22C2C754">
      <w:pPr>
        <w:spacing w:line="360" w:lineRule="auto"/>
        <w:ind w:firstLine="630"/>
        <w:jc w:val="left"/>
        <w:rPr>
          <w:color w:val="auto"/>
          <w:highlight w:val="none"/>
        </w:rPr>
      </w:pPr>
      <w:r>
        <w:rPr>
          <w:rFonts w:hint="eastAsia" w:ascii="宋体" w:hAnsi="宋体" w:cs="宋体"/>
          <w:color w:val="auto"/>
          <w:highlight w:val="none"/>
        </w:rPr>
        <w:t>①</w:t>
      </w:r>
      <w:r>
        <w:rPr>
          <w:rFonts w:hint="eastAsia" w:cs="宋体"/>
          <w:color w:val="auto"/>
          <w:highlight w:val="none"/>
        </w:rPr>
        <w:t>建设项目投标报价汇总表（表</w:t>
      </w:r>
      <w:r>
        <w:rPr>
          <w:color w:val="auto"/>
          <w:highlight w:val="none"/>
        </w:rPr>
        <w:t>-02</w:t>
      </w:r>
      <w:r>
        <w:rPr>
          <w:rFonts w:hint="eastAsia" w:cs="宋体"/>
          <w:color w:val="auto"/>
          <w:highlight w:val="none"/>
        </w:rPr>
        <w:t>）</w:t>
      </w:r>
    </w:p>
    <w:p w14:paraId="5D22C17A">
      <w:pPr>
        <w:spacing w:line="360" w:lineRule="auto"/>
        <w:ind w:firstLine="630"/>
        <w:jc w:val="left"/>
        <w:rPr>
          <w:color w:val="auto"/>
          <w:highlight w:val="none"/>
        </w:rPr>
      </w:pPr>
      <w:r>
        <w:rPr>
          <w:rFonts w:hint="eastAsia" w:cs="宋体"/>
          <w:color w:val="auto"/>
          <w:highlight w:val="none"/>
        </w:rPr>
        <w:t>②暂列金额明细表（表</w:t>
      </w:r>
      <w:r>
        <w:rPr>
          <w:color w:val="auto"/>
          <w:highlight w:val="none"/>
        </w:rPr>
        <w:t>12-1</w:t>
      </w:r>
      <w:r>
        <w:rPr>
          <w:rFonts w:hint="eastAsia" w:cs="宋体"/>
          <w:color w:val="auto"/>
          <w:highlight w:val="none"/>
        </w:rPr>
        <w:t>）</w:t>
      </w:r>
    </w:p>
    <w:p w14:paraId="33822D0A">
      <w:pPr>
        <w:spacing w:line="360" w:lineRule="auto"/>
        <w:ind w:firstLine="630"/>
        <w:jc w:val="left"/>
        <w:rPr>
          <w:color w:val="auto"/>
          <w:highlight w:val="none"/>
        </w:rPr>
      </w:pPr>
      <w:r>
        <w:rPr>
          <w:rFonts w:hint="eastAsia" w:cs="宋体"/>
          <w:color w:val="auto"/>
          <w:highlight w:val="none"/>
        </w:rPr>
        <w:t>③材料（工程设备）暂估单价及调整表（表</w:t>
      </w:r>
      <w:r>
        <w:rPr>
          <w:color w:val="auto"/>
          <w:highlight w:val="none"/>
        </w:rPr>
        <w:t>12-2</w:t>
      </w:r>
      <w:r>
        <w:rPr>
          <w:rFonts w:hint="eastAsia" w:cs="宋体"/>
          <w:color w:val="auto"/>
          <w:highlight w:val="none"/>
        </w:rPr>
        <w:t>）</w:t>
      </w:r>
    </w:p>
    <w:p w14:paraId="1F592FF4">
      <w:pPr>
        <w:spacing w:line="360" w:lineRule="auto"/>
        <w:ind w:firstLine="630"/>
        <w:jc w:val="left"/>
        <w:rPr>
          <w:color w:val="auto"/>
          <w:highlight w:val="none"/>
        </w:rPr>
      </w:pPr>
      <w:r>
        <w:rPr>
          <w:rFonts w:hint="eastAsia" w:cs="宋体"/>
          <w:color w:val="auto"/>
          <w:highlight w:val="none"/>
        </w:rPr>
        <w:t>④专业工程暂估价表（表</w:t>
      </w:r>
      <w:r>
        <w:rPr>
          <w:color w:val="auto"/>
          <w:highlight w:val="none"/>
        </w:rPr>
        <w:t>12-3</w:t>
      </w:r>
      <w:r>
        <w:rPr>
          <w:rFonts w:hint="eastAsia" w:cs="宋体"/>
          <w:color w:val="auto"/>
          <w:highlight w:val="none"/>
        </w:rPr>
        <w:t>）</w:t>
      </w:r>
    </w:p>
    <w:p w14:paraId="78F6CE20">
      <w:pPr>
        <w:spacing w:line="360" w:lineRule="auto"/>
        <w:ind w:firstLine="630"/>
        <w:jc w:val="left"/>
        <w:rPr>
          <w:color w:val="auto"/>
          <w:highlight w:val="none"/>
        </w:rPr>
      </w:pPr>
      <w:r>
        <w:rPr>
          <w:rFonts w:hint="eastAsia" w:cs="宋体"/>
          <w:color w:val="auto"/>
          <w:highlight w:val="none"/>
        </w:rPr>
        <w:t>⑤计日工表（表</w:t>
      </w:r>
      <w:r>
        <w:rPr>
          <w:color w:val="auto"/>
          <w:highlight w:val="none"/>
        </w:rPr>
        <w:t>12-4</w:t>
      </w:r>
      <w:r>
        <w:rPr>
          <w:rFonts w:hint="eastAsia" w:cs="宋体"/>
          <w:color w:val="auto"/>
          <w:highlight w:val="none"/>
        </w:rPr>
        <w:t>）</w:t>
      </w:r>
    </w:p>
    <w:p w14:paraId="3C858897">
      <w:pPr>
        <w:spacing w:line="360" w:lineRule="auto"/>
        <w:ind w:firstLine="630"/>
        <w:jc w:val="left"/>
        <w:rPr>
          <w:color w:val="auto"/>
          <w:highlight w:val="none"/>
        </w:rPr>
      </w:pPr>
      <w:r>
        <w:rPr>
          <w:rFonts w:hint="eastAsia" w:cs="宋体"/>
          <w:color w:val="auto"/>
          <w:highlight w:val="none"/>
        </w:rPr>
        <w:t>⑥总承包服务费计价表（表</w:t>
      </w:r>
      <w:r>
        <w:rPr>
          <w:color w:val="auto"/>
          <w:highlight w:val="none"/>
        </w:rPr>
        <w:t>12-5</w:t>
      </w:r>
      <w:r>
        <w:rPr>
          <w:rFonts w:hint="eastAsia" w:cs="宋体"/>
          <w:color w:val="auto"/>
          <w:highlight w:val="none"/>
        </w:rPr>
        <w:t>）</w:t>
      </w:r>
    </w:p>
    <w:p w14:paraId="54AC52B5">
      <w:pPr>
        <w:spacing w:line="360" w:lineRule="auto"/>
        <w:ind w:firstLine="630"/>
        <w:jc w:val="left"/>
        <w:rPr>
          <w:rFonts w:cs="宋体"/>
          <w:color w:val="auto"/>
          <w:highlight w:val="none"/>
        </w:rPr>
      </w:pPr>
      <w:r>
        <w:rPr>
          <w:rFonts w:hint="eastAsia" w:cs="宋体"/>
          <w:color w:val="auto"/>
          <w:highlight w:val="none"/>
        </w:rPr>
        <w:t>⑦税前项目清单与计价表（表</w:t>
      </w:r>
      <w:r>
        <w:rPr>
          <w:color w:val="auto"/>
          <w:highlight w:val="none"/>
        </w:rPr>
        <w:t>-14</w:t>
      </w:r>
      <w:r>
        <w:rPr>
          <w:rFonts w:hint="eastAsia" w:cs="宋体"/>
          <w:color w:val="auto"/>
          <w:highlight w:val="none"/>
        </w:rPr>
        <w:t>）</w:t>
      </w:r>
    </w:p>
    <w:p w14:paraId="15CA5E12">
      <w:pPr>
        <w:spacing w:line="360" w:lineRule="auto"/>
        <w:ind w:firstLine="630"/>
        <w:rPr>
          <w:rFonts w:hint="eastAsia"/>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8 \* GB3</w:instrText>
      </w:r>
      <w:r>
        <w:rPr>
          <w:color w:val="auto"/>
          <w:highlight w:val="none"/>
        </w:rPr>
        <w:instrText xml:space="preserve"> </w:instrText>
      </w:r>
      <w:r>
        <w:rPr>
          <w:color w:val="auto"/>
          <w:highlight w:val="none"/>
        </w:rPr>
        <w:fldChar w:fldCharType="separate"/>
      </w:r>
      <w:r>
        <w:rPr>
          <w:rFonts w:hint="eastAsia"/>
          <w:color w:val="auto"/>
          <w:highlight w:val="none"/>
        </w:rPr>
        <w:t>⑧</w:t>
      </w:r>
      <w:r>
        <w:rPr>
          <w:color w:val="auto"/>
          <w:highlight w:val="none"/>
        </w:rPr>
        <w:fldChar w:fldCharType="end"/>
      </w:r>
      <w:r>
        <w:rPr>
          <w:color w:val="auto"/>
          <w:highlight w:val="none"/>
        </w:rPr>
        <w:t xml:space="preserve"> </w:t>
      </w:r>
      <w:r>
        <w:rPr>
          <w:rFonts w:hint="eastAsia" w:cs="宋体"/>
          <w:color w:val="auto"/>
          <w:highlight w:val="none"/>
        </w:rPr>
        <w:t>允许调整主要材料和工程设备一览表（适用于价格指数差额调整法）（表</w:t>
      </w:r>
      <w:r>
        <w:rPr>
          <w:color w:val="auto"/>
          <w:highlight w:val="none"/>
        </w:rPr>
        <w:t>-23</w:t>
      </w:r>
      <w:r>
        <w:rPr>
          <w:rFonts w:hint="eastAsia" w:cs="宋体"/>
          <w:color w:val="auto"/>
          <w:highlight w:val="none"/>
        </w:rPr>
        <w:t>）</w:t>
      </w:r>
    </w:p>
    <w:p w14:paraId="7B51BA2B">
      <w:pPr>
        <w:pStyle w:val="4"/>
        <w:spacing w:before="0" w:after="0" w:line="360" w:lineRule="auto"/>
        <w:rPr>
          <w:color w:val="auto"/>
          <w:highlight w:val="none"/>
        </w:rPr>
      </w:pPr>
      <w:bookmarkStart w:id="93" w:name="_Toc407135285"/>
      <w:bookmarkStart w:id="94" w:name="_Toc990933621"/>
      <w:bookmarkStart w:id="95" w:name="_Toc25352"/>
      <w:bookmarkStart w:id="96" w:name="_Toc122424251"/>
      <w:bookmarkStart w:id="97" w:name="_Toc122424002"/>
      <w:bookmarkStart w:id="98" w:name="_Toc78449870"/>
      <w:bookmarkStart w:id="99" w:name="_Toc347872619"/>
      <w:r>
        <w:rPr>
          <w:color w:val="auto"/>
          <w:highlight w:val="none"/>
        </w:rPr>
        <w:t>2</w:t>
      </w:r>
      <w:r>
        <w:rPr>
          <w:rFonts w:hint="eastAsia"/>
          <w:color w:val="auto"/>
          <w:highlight w:val="none"/>
        </w:rPr>
        <w:t>.</w:t>
      </w:r>
      <w:r>
        <w:rPr>
          <w:rFonts w:hint="eastAsia" w:cs="黑体"/>
          <w:color w:val="auto"/>
          <w:highlight w:val="none"/>
        </w:rPr>
        <w:t>招标控制价编制说明</w:t>
      </w:r>
      <w:bookmarkEnd w:id="93"/>
      <w:bookmarkEnd w:id="94"/>
      <w:bookmarkEnd w:id="95"/>
      <w:bookmarkEnd w:id="96"/>
      <w:bookmarkEnd w:id="97"/>
      <w:bookmarkEnd w:id="98"/>
      <w:bookmarkEnd w:id="99"/>
    </w:p>
    <w:p w14:paraId="590EB394">
      <w:pPr>
        <w:spacing w:line="360" w:lineRule="auto"/>
        <w:ind w:firstLine="420"/>
        <w:rPr>
          <w:color w:val="auto"/>
          <w:highlight w:val="none"/>
        </w:rPr>
      </w:pPr>
      <w:r>
        <w:rPr>
          <w:color w:val="auto"/>
          <w:highlight w:val="none"/>
        </w:rPr>
        <w:t xml:space="preserve">2.1 </w:t>
      </w:r>
      <w:r>
        <w:rPr>
          <w:rFonts w:hint="eastAsia" w:hAnsi="宋体" w:cs="宋体"/>
          <w:color w:val="auto"/>
          <w:highlight w:val="none"/>
        </w:rPr>
        <w:t>招标控制价编制依据：</w:t>
      </w:r>
    </w:p>
    <w:p w14:paraId="0492351A">
      <w:pPr>
        <w:spacing w:line="360" w:lineRule="auto"/>
        <w:ind w:firstLine="420"/>
        <w:rPr>
          <w:rFonts w:hAnsi="宋体"/>
          <w:color w:val="auto"/>
          <w:highlight w:val="none"/>
        </w:rPr>
      </w:pPr>
      <w:r>
        <w:rPr>
          <w:rFonts w:hint="eastAsia" w:cs="宋体"/>
          <w:color w:val="auto"/>
          <w:highlight w:val="none"/>
        </w:rPr>
        <w:t>（</w:t>
      </w:r>
      <w:r>
        <w:rPr>
          <w:color w:val="auto"/>
          <w:highlight w:val="none"/>
        </w:rPr>
        <w:t>1</w:t>
      </w:r>
      <w:r>
        <w:rPr>
          <w:rFonts w:hint="eastAsia" w:cs="宋体"/>
          <w:color w:val="auto"/>
          <w:highlight w:val="none"/>
        </w:rPr>
        <w:t>）</w:t>
      </w:r>
      <w:r>
        <w:rPr>
          <w:rFonts w:hint="eastAsia" w:hAnsi="宋体" w:cs="宋体"/>
          <w:color w:val="auto"/>
          <w:highlight w:val="none"/>
        </w:rPr>
        <w:t>《计价规范》及《计算规范》、《关于建筑业实施营业税改征增值税后广西壮族自治区建设工程计价依据调整的通知》 （桂建标〔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号）等；</w:t>
      </w:r>
    </w:p>
    <w:p w14:paraId="5F62BB4E">
      <w:pPr>
        <w:spacing w:line="360" w:lineRule="auto"/>
        <w:rPr>
          <w:rFonts w:hint="eastAsia" w:ascii="宋体" w:hAnsi="宋体" w:eastAsia="宋体" w:cs="宋体"/>
          <w:b/>
          <w:bCs/>
          <w:color w:val="auto"/>
          <w:highlight w:val="none"/>
        </w:rPr>
      </w:pPr>
      <w:r>
        <w:rPr>
          <w:rFonts w:hint="eastAsia" w:cs="宋体"/>
          <w:color w:val="auto"/>
          <w:highlight w:val="none"/>
        </w:rPr>
        <w:t>（</w:t>
      </w:r>
      <w:r>
        <w:rPr>
          <w:color w:val="auto"/>
          <w:highlight w:val="none"/>
        </w:rPr>
        <w:t>2</w:t>
      </w:r>
      <w:r>
        <w:rPr>
          <w:rFonts w:hint="eastAsia" w:cs="宋体"/>
          <w:color w:val="auto"/>
          <w:highlight w:val="none"/>
        </w:rPr>
        <w:t>）自治区住房城乡建设行政主管部门颁发的计价定额及有关规定</w:t>
      </w:r>
      <w:r>
        <w:rPr>
          <w:rFonts w:hint="eastAsia" w:ascii="宋体" w:hAnsi="宋体" w:eastAsia="宋体" w:cs="宋体"/>
          <w:b/>
          <w:bCs/>
          <w:color w:val="auto"/>
          <w:highlight w:val="none"/>
        </w:rPr>
        <w:t>：2024年版(GB/T50500-2024)《建设工程工程量清单计价标准》、2024年《广西壮族自治区建筑装饰装修工程消耗量定额》、2022年《广西壮族自治区市政工程消耗量定额》、2023年《广西壮族自治区安装工程消耗量定额》、人工费及有关费率按《自治区住房城乡建设厅关于调整建设工程定额人工费及有关费率的通知》(桂建标[2023]7号)、税率按《自治区住房城乡建设厅关于调整建设工程计价增值税税率的通知》(桂建标(2019)12号)进行调整，本次评审增值税按一般计税法计算，税率9%。</w:t>
      </w:r>
    </w:p>
    <w:p w14:paraId="3C04FFA5">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）建设工程设计文件及相关资料：</w:t>
      </w:r>
      <w:r>
        <w:rPr>
          <w:rFonts w:hint="eastAsia"/>
          <w:color w:val="auto"/>
          <w:highlight w:val="none"/>
          <w:u w:val="single"/>
        </w:rPr>
        <w:t>本项目施工图</w:t>
      </w:r>
      <w:r>
        <w:rPr>
          <w:rFonts w:hint="eastAsia" w:cs="宋体"/>
          <w:color w:val="auto"/>
          <w:highlight w:val="none"/>
        </w:rPr>
        <w:t>。</w:t>
      </w:r>
      <w:r>
        <w:rPr>
          <w:color w:val="auto"/>
          <w:highlight w:val="none"/>
        </w:rPr>
        <w:t xml:space="preserve"> </w:t>
      </w:r>
    </w:p>
    <w:p w14:paraId="4E22A537">
      <w:pPr>
        <w:spacing w:line="360" w:lineRule="auto"/>
        <w:ind w:firstLine="420"/>
        <w:rPr>
          <w:color w:val="auto"/>
          <w:highlight w:val="none"/>
        </w:rPr>
      </w:pPr>
      <w:r>
        <w:rPr>
          <w:rFonts w:hint="eastAsia" w:cs="宋体"/>
          <w:color w:val="auto"/>
          <w:highlight w:val="none"/>
        </w:rPr>
        <w:t>（</w:t>
      </w:r>
      <w:r>
        <w:rPr>
          <w:color w:val="auto"/>
          <w:highlight w:val="none"/>
        </w:rPr>
        <w:t>4</w:t>
      </w:r>
      <w:r>
        <w:rPr>
          <w:rFonts w:hint="eastAsia" w:cs="宋体"/>
          <w:color w:val="auto"/>
          <w:highlight w:val="none"/>
        </w:rPr>
        <w:t>）本工程磋商文件及工程量清单；</w:t>
      </w:r>
    </w:p>
    <w:p w14:paraId="302CD3CE">
      <w:pPr>
        <w:spacing w:line="360" w:lineRule="auto"/>
        <w:ind w:firstLine="420"/>
        <w:rPr>
          <w:color w:val="auto"/>
          <w:highlight w:val="none"/>
        </w:rPr>
      </w:pPr>
      <w:r>
        <w:rPr>
          <w:rFonts w:hint="eastAsia" w:cs="宋体"/>
          <w:color w:val="auto"/>
          <w:highlight w:val="none"/>
        </w:rPr>
        <w:t>（</w:t>
      </w:r>
      <w:r>
        <w:rPr>
          <w:color w:val="auto"/>
          <w:highlight w:val="none"/>
        </w:rPr>
        <w:t>5</w:t>
      </w:r>
      <w:r>
        <w:rPr>
          <w:rFonts w:hint="eastAsia" w:cs="宋体"/>
          <w:color w:val="auto"/>
          <w:highlight w:val="none"/>
        </w:rPr>
        <w:t>）与建设项目相关的标准、规范、技术资料；</w:t>
      </w:r>
    </w:p>
    <w:p w14:paraId="1DB90468">
      <w:pPr>
        <w:spacing w:line="360" w:lineRule="auto"/>
        <w:ind w:firstLine="420"/>
        <w:rPr>
          <w:color w:val="auto"/>
          <w:highlight w:val="none"/>
        </w:rPr>
      </w:pPr>
      <w:r>
        <w:rPr>
          <w:rFonts w:hint="eastAsia" w:cs="宋体"/>
          <w:color w:val="auto"/>
          <w:highlight w:val="none"/>
        </w:rPr>
        <w:t>（</w:t>
      </w:r>
      <w:r>
        <w:rPr>
          <w:color w:val="auto"/>
          <w:highlight w:val="none"/>
        </w:rPr>
        <w:t>6</w:t>
      </w:r>
      <w:r>
        <w:rPr>
          <w:rFonts w:hint="eastAsia" w:cs="宋体"/>
          <w:color w:val="auto"/>
          <w:highlight w:val="none"/>
        </w:rPr>
        <w:t>）施工现场情况、工程特点及常规施工方案；</w:t>
      </w:r>
    </w:p>
    <w:p w14:paraId="4B195C86">
      <w:pPr>
        <w:spacing w:line="360" w:lineRule="auto"/>
        <w:ind w:firstLine="422"/>
        <w:rPr>
          <w:rFonts w:hAnsi="宋体"/>
          <w:b/>
          <w:bCs/>
          <w:color w:val="auto"/>
          <w:highlight w:val="none"/>
        </w:rPr>
      </w:pPr>
      <w:r>
        <w:rPr>
          <w:rFonts w:hint="eastAsia" w:cs="宋体"/>
          <w:b/>
          <w:bCs/>
          <w:color w:val="auto"/>
          <w:highlight w:val="none"/>
        </w:rPr>
        <w:t>（</w:t>
      </w:r>
      <w:r>
        <w:rPr>
          <w:b/>
          <w:bCs/>
          <w:color w:val="auto"/>
          <w:highlight w:val="none"/>
        </w:rPr>
        <w:t>7</w:t>
      </w:r>
      <w:r>
        <w:rPr>
          <w:rFonts w:hint="eastAsia" w:cs="宋体"/>
          <w:b/>
          <w:bCs/>
          <w:color w:val="auto"/>
          <w:highlight w:val="none"/>
        </w:rPr>
        <w:t>）材料价格信息</w:t>
      </w:r>
      <w:r>
        <w:rPr>
          <w:rFonts w:hint="eastAsia" w:hAnsi="宋体" w:cs="宋体"/>
          <w:b/>
          <w:bCs/>
          <w:color w:val="auto"/>
          <w:highlight w:val="none"/>
        </w:rPr>
        <w:t>：材料价格主要按照</w:t>
      </w:r>
      <w:r>
        <w:rPr>
          <w:b/>
          <w:bCs/>
          <w:color w:val="auto"/>
          <w:highlight w:val="none"/>
          <w:u w:val="single"/>
        </w:rPr>
        <w:t xml:space="preserve"> </w:t>
      </w:r>
      <w:r>
        <w:rPr>
          <w:rFonts w:hint="eastAsia"/>
          <w:b/>
          <w:bCs/>
          <w:color w:val="auto"/>
          <w:highlight w:val="none"/>
          <w:u w:val="single"/>
        </w:rPr>
        <w:t>贵港</w:t>
      </w:r>
      <w:r>
        <w:rPr>
          <w:b/>
          <w:bCs/>
          <w:color w:val="auto"/>
          <w:highlight w:val="none"/>
          <w:u w:val="single"/>
        </w:rPr>
        <w:t xml:space="preserve"> </w:t>
      </w:r>
      <w:r>
        <w:rPr>
          <w:rFonts w:hint="eastAsia" w:cs="宋体"/>
          <w:b/>
          <w:bCs/>
          <w:color w:val="auto"/>
          <w:highlight w:val="none"/>
        </w:rPr>
        <w:t>市建设工程造价管理机构发布的工程造价信息</w:t>
      </w:r>
      <w:r>
        <w:rPr>
          <w:rFonts w:hint="eastAsia" w:ascii="宋体" w:hAnsi="宋体" w:eastAsia="宋体" w:cs="宋体"/>
          <w:b/>
          <w:bCs/>
          <w:color w:val="auto"/>
          <w:highlight w:val="none"/>
          <w:u w:val="single"/>
        </w:rPr>
        <w:t xml:space="preserve"> 202</w:t>
      </w:r>
      <w:r>
        <w:rPr>
          <w:rFonts w:hint="eastAsia" w:ascii="宋体" w:hAnsi="宋体" w:cs="宋体"/>
          <w:b/>
          <w:bCs/>
          <w:color w:val="auto"/>
          <w:highlight w:val="none"/>
          <w:u w:val="single"/>
          <w:lang w:val="en-US" w:eastAsia="zh-CN"/>
        </w:rPr>
        <w:t>6</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年第</w:t>
      </w:r>
      <w:r>
        <w:rPr>
          <w:rFonts w:hint="eastAsia" w:ascii="宋体" w:hAnsi="宋体" w:eastAsia="宋体" w:cs="宋体"/>
          <w:b/>
          <w:bCs/>
          <w:color w:val="auto"/>
          <w:highlight w:val="none"/>
          <w:u w:val="single"/>
        </w:rPr>
        <w:t xml:space="preserve"> </w:t>
      </w:r>
      <w:r>
        <w:rPr>
          <w:rFonts w:hint="eastAsia" w:ascii="宋体" w:hAnsi="宋体" w:cs="宋体"/>
          <w:b/>
          <w:bCs/>
          <w:color w:val="auto"/>
          <w:highlight w:val="none"/>
          <w:u w:val="single"/>
          <w:lang w:val="en-US" w:eastAsia="zh-CN"/>
        </w:rPr>
        <w:t>6</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期，</w:t>
      </w:r>
      <w:r>
        <w:rPr>
          <w:rFonts w:hint="eastAsia" w:cs="宋体"/>
          <w:b/>
          <w:bCs/>
          <w:color w:val="auto"/>
          <w:highlight w:val="none"/>
        </w:rPr>
        <w:t>不足部分参考市场定价</w:t>
      </w:r>
      <w:r>
        <w:rPr>
          <w:rFonts w:hint="eastAsia" w:hAnsi="宋体" w:cs="宋体"/>
          <w:b/>
          <w:bCs/>
          <w:color w:val="auto"/>
          <w:highlight w:val="none"/>
        </w:rPr>
        <w:t>。</w:t>
      </w:r>
    </w:p>
    <w:p w14:paraId="5653043D">
      <w:pPr>
        <w:spacing w:line="360" w:lineRule="auto"/>
        <w:ind w:firstLine="420"/>
        <w:rPr>
          <w:color w:val="auto"/>
          <w:highlight w:val="none"/>
        </w:rPr>
      </w:pPr>
      <w:r>
        <w:rPr>
          <w:color w:val="auto"/>
          <w:highlight w:val="none"/>
        </w:rPr>
        <w:t xml:space="preserve">2.2 </w:t>
      </w:r>
      <w:r>
        <w:rPr>
          <w:rFonts w:hint="eastAsia" w:hAnsi="宋体" w:cs="宋体"/>
          <w:color w:val="auto"/>
          <w:highlight w:val="none"/>
        </w:rPr>
        <w:t>分部分项及单价措施项目综合单价应包括磋商文件中采购人要求供应商所承担的风险内容及其范围（幅度）产生的风险费用。</w:t>
      </w:r>
    </w:p>
    <w:p w14:paraId="47AF0765">
      <w:pPr>
        <w:spacing w:line="360" w:lineRule="auto"/>
        <w:ind w:firstLine="420"/>
        <w:rPr>
          <w:color w:val="auto"/>
          <w:highlight w:val="none"/>
        </w:rPr>
      </w:pPr>
      <w:r>
        <w:rPr>
          <w:color w:val="auto"/>
          <w:highlight w:val="none"/>
        </w:rPr>
        <w:t xml:space="preserve">2.3 </w:t>
      </w:r>
      <w:r>
        <w:rPr>
          <w:rFonts w:hint="eastAsia" w:hAnsi="宋体" w:cs="宋体"/>
          <w:color w:val="auto"/>
          <w:highlight w:val="none"/>
        </w:rPr>
        <w:t>总价措施项目应根据拟定的磋商文件和常规施工方案按《计价规范》和《计算规范》规定编制。</w:t>
      </w:r>
    </w:p>
    <w:p w14:paraId="4507B1E0">
      <w:pPr>
        <w:spacing w:line="360" w:lineRule="auto"/>
        <w:ind w:firstLine="420"/>
        <w:rPr>
          <w:color w:val="auto"/>
          <w:highlight w:val="none"/>
        </w:rPr>
      </w:pPr>
      <w:r>
        <w:rPr>
          <w:color w:val="auto"/>
          <w:highlight w:val="none"/>
        </w:rPr>
        <w:t xml:space="preserve">2.4 </w:t>
      </w:r>
      <w:r>
        <w:rPr>
          <w:rFonts w:hint="eastAsia" w:cs="宋体"/>
          <w:color w:val="auto"/>
          <w:highlight w:val="none"/>
        </w:rPr>
        <w:t>其他项目费应按下列规定报价：</w:t>
      </w:r>
    </w:p>
    <w:p w14:paraId="5008B797">
      <w:pPr>
        <w:spacing w:line="360" w:lineRule="auto"/>
        <w:ind w:firstLine="420"/>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）暂列金额应按工程量清单中列出的金额填写；</w:t>
      </w:r>
    </w:p>
    <w:p w14:paraId="2425D7D1">
      <w:pPr>
        <w:pStyle w:val="339"/>
        <w:spacing w:line="360" w:lineRule="auto"/>
        <w:ind w:firstLine="420"/>
        <w:rPr>
          <w:color w:val="auto"/>
          <w:highlight w:val="none"/>
        </w:rPr>
      </w:pPr>
      <w:r>
        <w:rPr>
          <w:rFonts w:hint="eastAsia" w:cs="宋体"/>
          <w:color w:val="auto"/>
          <w:highlight w:val="none"/>
        </w:rPr>
        <w:t>（</w:t>
      </w:r>
      <w:r>
        <w:rPr>
          <w:color w:val="auto"/>
          <w:highlight w:val="none"/>
        </w:rPr>
        <w:t>2</w:t>
      </w:r>
      <w:r>
        <w:rPr>
          <w:rFonts w:hint="eastAsia" w:cs="宋体"/>
          <w:color w:val="auto"/>
          <w:highlight w:val="none"/>
        </w:rPr>
        <w:t>）材料、工程设备暂估价应按工程量清单中列出的单价计入综合单价；</w:t>
      </w:r>
    </w:p>
    <w:p w14:paraId="24F28927">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）专业工程暂估价应按工程量清单中列出的金额填写；</w:t>
      </w:r>
    </w:p>
    <w:p w14:paraId="3800ED71">
      <w:pPr>
        <w:spacing w:line="360" w:lineRule="auto"/>
        <w:ind w:firstLine="420"/>
        <w:rPr>
          <w:color w:val="auto"/>
          <w:highlight w:val="none"/>
        </w:rPr>
      </w:pPr>
      <w:r>
        <w:rPr>
          <w:rFonts w:hint="eastAsia" w:cs="宋体"/>
          <w:color w:val="auto"/>
          <w:highlight w:val="none"/>
        </w:rPr>
        <w:t>（</w:t>
      </w:r>
      <w:r>
        <w:rPr>
          <w:color w:val="auto"/>
          <w:highlight w:val="none"/>
        </w:rPr>
        <w:t>4</w:t>
      </w:r>
      <w:r>
        <w:rPr>
          <w:rFonts w:hint="eastAsia" w:cs="宋体"/>
          <w:color w:val="auto"/>
          <w:highlight w:val="none"/>
        </w:rPr>
        <w:t>）计日工应按工程量清单中列出的项目和数量，根据工程特点和有关计价依据确定的综合单价计算；</w:t>
      </w:r>
    </w:p>
    <w:p w14:paraId="0697B3F2">
      <w:pPr>
        <w:spacing w:line="360" w:lineRule="auto"/>
        <w:ind w:firstLine="420"/>
        <w:rPr>
          <w:rFonts w:cs="宋体"/>
          <w:color w:val="auto"/>
          <w:highlight w:val="none"/>
        </w:rPr>
      </w:pPr>
      <w:r>
        <w:rPr>
          <w:rFonts w:hint="eastAsia" w:cs="宋体"/>
          <w:color w:val="auto"/>
          <w:highlight w:val="none"/>
        </w:rPr>
        <w:t>（</w:t>
      </w:r>
      <w:r>
        <w:rPr>
          <w:color w:val="auto"/>
          <w:highlight w:val="none"/>
        </w:rPr>
        <w:t>5</w:t>
      </w:r>
      <w:r>
        <w:rPr>
          <w:rFonts w:hint="eastAsia" w:cs="宋体"/>
          <w:color w:val="auto"/>
          <w:highlight w:val="none"/>
        </w:rPr>
        <w:t>）总承包服务费应根据工程量清单列出的内容</w:t>
      </w:r>
      <w:r>
        <w:rPr>
          <w:rFonts w:hint="eastAsia" w:hAnsi="宋体" w:cs="宋体"/>
          <w:color w:val="auto"/>
          <w:highlight w:val="none"/>
        </w:rPr>
        <w:t>和要求，按广西壮族自治区住房城乡建设行政主管部门颁发的计价定额及有关规定计算</w:t>
      </w:r>
      <w:r>
        <w:rPr>
          <w:rFonts w:hint="eastAsia" w:cs="宋体"/>
          <w:color w:val="auto"/>
          <w:highlight w:val="none"/>
        </w:rPr>
        <w:t>。</w:t>
      </w:r>
    </w:p>
    <w:p w14:paraId="3A81F60E">
      <w:pPr>
        <w:spacing w:line="360" w:lineRule="auto"/>
        <w:ind w:firstLine="420"/>
        <w:rPr>
          <w:rFonts w:hint="eastAsia"/>
          <w:color w:val="auto"/>
          <w:highlight w:val="none"/>
        </w:rPr>
      </w:pPr>
      <w:r>
        <w:rPr>
          <w:rFonts w:hint="eastAsia"/>
          <w:color w:val="auto"/>
          <w:highlight w:val="none"/>
        </w:rPr>
        <w:t>（6）对建设单位创建优质工程的，鼓励在招标控制价和预算中按广西区工程建设定额规定计列工程优质费，并明确工程优质费不可竞争。</w:t>
      </w:r>
    </w:p>
    <w:p w14:paraId="4BF83AFA">
      <w:pPr>
        <w:spacing w:line="360" w:lineRule="auto"/>
        <w:ind w:firstLine="420"/>
        <w:rPr>
          <w:color w:val="auto"/>
          <w:highlight w:val="none"/>
        </w:rPr>
      </w:pPr>
      <w:r>
        <w:rPr>
          <w:color w:val="auto"/>
          <w:highlight w:val="none"/>
        </w:rPr>
        <w:t xml:space="preserve">2.5 </w:t>
      </w:r>
      <w:r>
        <w:rPr>
          <w:rFonts w:hint="eastAsia" w:cs="宋体"/>
          <w:color w:val="auto"/>
          <w:highlight w:val="none"/>
        </w:rPr>
        <w:t>规费和增值税应按规定确定，作为不可竞争费用。</w:t>
      </w:r>
    </w:p>
    <w:p w14:paraId="0D124E45">
      <w:pPr>
        <w:spacing w:line="360" w:lineRule="auto"/>
        <w:rPr>
          <w:rFonts w:hAnsi="宋体"/>
          <w:color w:val="auto"/>
          <w:highlight w:val="none"/>
        </w:rPr>
      </w:pPr>
      <w:r>
        <w:rPr>
          <w:color w:val="auto"/>
          <w:highlight w:val="none"/>
        </w:rPr>
        <w:t xml:space="preserve">2.6 </w:t>
      </w:r>
      <w:r>
        <w:rPr>
          <w:rFonts w:hint="eastAsia" w:hAnsi="宋体" w:cs="宋体"/>
          <w:color w:val="auto"/>
          <w:highlight w:val="none"/>
        </w:rPr>
        <w:t>其它需要说明的问题：</w:t>
      </w:r>
      <w:r>
        <w:rPr>
          <w:color w:val="auto"/>
          <w:highlight w:val="none"/>
          <w:u w:val="single"/>
        </w:rPr>
        <w:t xml:space="preserve">   </w:t>
      </w:r>
      <w:r>
        <w:rPr>
          <w:rFonts w:hint="eastAsia"/>
          <w:color w:val="auto"/>
          <w:highlight w:val="none"/>
          <w:u w:val="single"/>
        </w:rPr>
        <w:t xml:space="preserve">/   </w:t>
      </w:r>
      <w:r>
        <w:rPr>
          <w:rFonts w:hint="eastAsia" w:hAnsi="宋体" w:cs="宋体"/>
          <w:color w:val="auto"/>
          <w:highlight w:val="none"/>
        </w:rPr>
        <w:t>。</w:t>
      </w:r>
    </w:p>
    <w:p w14:paraId="46762A13">
      <w:pPr>
        <w:pStyle w:val="4"/>
        <w:spacing w:before="0" w:after="0" w:line="360" w:lineRule="auto"/>
        <w:rPr>
          <w:color w:val="auto"/>
          <w:highlight w:val="none"/>
        </w:rPr>
      </w:pPr>
      <w:bookmarkStart w:id="100" w:name="_Toc20363"/>
      <w:bookmarkStart w:id="101" w:name="_Toc407135286"/>
      <w:bookmarkStart w:id="102" w:name="_Toc122424003"/>
      <w:bookmarkStart w:id="103" w:name="_Toc122424252"/>
      <w:bookmarkStart w:id="104" w:name="_Toc78449871"/>
      <w:bookmarkStart w:id="105" w:name="_Toc879821176"/>
      <w:bookmarkStart w:id="106" w:name="_Toc378483916"/>
      <w:r>
        <w:rPr>
          <w:color w:val="auto"/>
          <w:highlight w:val="none"/>
        </w:rPr>
        <w:t>3</w:t>
      </w:r>
      <w:r>
        <w:rPr>
          <w:rFonts w:hint="eastAsia"/>
          <w:color w:val="auto"/>
          <w:highlight w:val="none"/>
        </w:rPr>
        <w:t>.</w:t>
      </w:r>
      <w:r>
        <w:rPr>
          <w:rFonts w:hint="eastAsia" w:cs="黑体"/>
          <w:color w:val="auto"/>
          <w:highlight w:val="none"/>
        </w:rPr>
        <w:t>竞标报价（已标价工程量清单）编制说明</w:t>
      </w:r>
      <w:bookmarkEnd w:id="100"/>
      <w:bookmarkEnd w:id="101"/>
      <w:bookmarkEnd w:id="102"/>
      <w:bookmarkEnd w:id="103"/>
      <w:bookmarkEnd w:id="104"/>
      <w:bookmarkEnd w:id="105"/>
      <w:bookmarkEnd w:id="106"/>
    </w:p>
    <w:p w14:paraId="17AF4AE7">
      <w:pPr>
        <w:spacing w:line="360" w:lineRule="auto"/>
        <w:ind w:firstLine="420"/>
        <w:rPr>
          <w:color w:val="auto"/>
          <w:highlight w:val="none"/>
        </w:rPr>
      </w:pPr>
      <w:r>
        <w:rPr>
          <w:color w:val="auto"/>
          <w:highlight w:val="none"/>
        </w:rPr>
        <w:t xml:space="preserve">3.1 </w:t>
      </w:r>
      <w:r>
        <w:rPr>
          <w:rFonts w:hint="eastAsia" w:cs="宋体"/>
          <w:color w:val="auto"/>
          <w:highlight w:val="none"/>
        </w:rPr>
        <w:t>供应商应依据磋商文件、工程量清单以及《计价规范》、《计算规范》自主报价，自主报价</w:t>
      </w:r>
      <w:r>
        <w:rPr>
          <w:rFonts w:hint="eastAsia" w:hAnsi="宋体" w:cs="宋体"/>
          <w:color w:val="auto"/>
          <w:highlight w:val="none"/>
        </w:rPr>
        <w:t>不得违反计价规范强制性条文规定。</w:t>
      </w:r>
      <w:r>
        <w:rPr>
          <w:rFonts w:hint="eastAsia" w:cs="宋体"/>
          <w:color w:val="auto"/>
          <w:highlight w:val="none"/>
        </w:rPr>
        <w:t>供应商不得采用总价让利或以百分比让利等形式进行报价，任何优惠（或降价、让利）均应反映在相应清单项目的综合单价中。同时，不得出现任意一项单价重大让利，</w:t>
      </w:r>
      <w:r>
        <w:rPr>
          <w:rFonts w:hint="eastAsia" w:hAnsi="宋体" w:cs="宋体"/>
          <w:color w:val="auto"/>
          <w:highlight w:val="none"/>
        </w:rPr>
        <w:t>不得以自有机械闲置、自有材料等不计成本为由</w:t>
      </w:r>
      <w:r>
        <w:rPr>
          <w:rFonts w:hint="eastAsia" w:cs="宋体"/>
          <w:color w:val="auto"/>
          <w:highlight w:val="none"/>
        </w:rPr>
        <w:t>低于工程成本报价。</w:t>
      </w:r>
    </w:p>
    <w:p w14:paraId="053AFC0F">
      <w:pPr>
        <w:spacing w:line="360" w:lineRule="auto"/>
        <w:ind w:firstLine="420"/>
        <w:rPr>
          <w:rFonts w:hAnsi="宋体"/>
          <w:color w:val="auto"/>
          <w:highlight w:val="none"/>
        </w:rPr>
      </w:pPr>
      <w:r>
        <w:rPr>
          <w:color w:val="auto"/>
          <w:highlight w:val="none"/>
        </w:rPr>
        <w:t xml:space="preserve">3.2 </w:t>
      </w:r>
      <w:r>
        <w:rPr>
          <w:rFonts w:hint="eastAsia" w:cs="宋体"/>
          <w:color w:val="auto"/>
          <w:highlight w:val="none"/>
        </w:rPr>
        <w:t>供应商应按工程量清单填报价格。项目编码、项目名称、项目特征、计量单位、工程量必须与工程量清单一致，</w:t>
      </w:r>
      <w:r>
        <w:rPr>
          <w:rFonts w:hint="eastAsia" w:hAnsi="宋体" w:cs="宋体"/>
          <w:color w:val="auto"/>
          <w:highlight w:val="none"/>
        </w:rPr>
        <w:t>供应商不得对工程量清单项目进行增减调整。</w:t>
      </w:r>
    </w:p>
    <w:p w14:paraId="7A343231">
      <w:pPr>
        <w:spacing w:line="360" w:lineRule="auto"/>
        <w:ind w:firstLine="420"/>
        <w:rPr>
          <w:color w:val="auto"/>
          <w:highlight w:val="none"/>
        </w:rPr>
      </w:pPr>
      <w:r>
        <w:rPr>
          <w:color w:val="auto"/>
          <w:highlight w:val="none"/>
        </w:rPr>
        <w:t xml:space="preserve">3.3 </w:t>
      </w:r>
      <w:r>
        <w:rPr>
          <w:rFonts w:hint="eastAsia" w:cs="宋体"/>
          <w:color w:val="auto"/>
          <w:highlight w:val="none"/>
        </w:rPr>
        <w:t>综合单价中应包含磋商文件中划分的应由供应商承担的风险范围及其费用。</w:t>
      </w:r>
    </w:p>
    <w:p w14:paraId="6344766A">
      <w:pPr>
        <w:spacing w:line="360" w:lineRule="auto"/>
        <w:ind w:firstLine="420"/>
        <w:rPr>
          <w:rFonts w:hAnsi="宋体"/>
          <w:color w:val="auto"/>
          <w:highlight w:val="none"/>
        </w:rPr>
      </w:pPr>
      <w:r>
        <w:rPr>
          <w:color w:val="auto"/>
          <w:highlight w:val="none"/>
        </w:rPr>
        <w:t xml:space="preserve">3.4 </w:t>
      </w:r>
      <w:r>
        <w:rPr>
          <w:rFonts w:hint="eastAsia" w:hAnsi="宋体" w:cs="宋体"/>
          <w:color w:val="auto"/>
          <w:highlight w:val="none"/>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14:paraId="2570F4BF">
      <w:pPr>
        <w:spacing w:line="360" w:lineRule="auto"/>
        <w:ind w:firstLine="420"/>
        <w:rPr>
          <w:color w:val="auto"/>
          <w:highlight w:val="none"/>
        </w:rPr>
      </w:pPr>
      <w:r>
        <w:rPr>
          <w:color w:val="auto"/>
          <w:highlight w:val="none"/>
        </w:rPr>
        <w:t xml:space="preserve">3.5 </w:t>
      </w:r>
      <w:r>
        <w:rPr>
          <w:rFonts w:hint="eastAsia" w:hAnsi="宋体" w:cs="宋体"/>
          <w:color w:val="auto"/>
          <w:highlight w:val="none"/>
        </w:rPr>
        <w:t>总价措施项目的金额应根据磋商文件及竞标时拟定的施工组织设计或施工方案，按计价规范的规定自主确定。但</w:t>
      </w:r>
      <w:r>
        <w:rPr>
          <w:rFonts w:hint="eastAsia" w:cs="宋体"/>
          <w:color w:val="auto"/>
          <w:highlight w:val="none"/>
        </w:rPr>
        <w:t>安全文明施工费按国家、省级或行业建设主管部门的有关规定执行，作为不竞争费用单列。</w:t>
      </w:r>
    </w:p>
    <w:p w14:paraId="2E6E0AFD">
      <w:pPr>
        <w:spacing w:line="360" w:lineRule="auto"/>
        <w:ind w:firstLine="420"/>
        <w:rPr>
          <w:color w:val="auto"/>
          <w:highlight w:val="none"/>
        </w:rPr>
      </w:pPr>
      <w:r>
        <w:rPr>
          <w:color w:val="auto"/>
          <w:highlight w:val="none"/>
        </w:rPr>
        <w:t xml:space="preserve">3.6 </w:t>
      </w:r>
      <w:r>
        <w:rPr>
          <w:rFonts w:hint="eastAsia" w:cs="宋体"/>
          <w:color w:val="auto"/>
          <w:highlight w:val="none"/>
        </w:rPr>
        <w:t>其他项目费应按下列规定报价：</w:t>
      </w:r>
    </w:p>
    <w:p w14:paraId="4406259C">
      <w:pPr>
        <w:spacing w:line="360" w:lineRule="auto"/>
        <w:ind w:firstLine="420"/>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）暂列金额应按工程量清单中列出的金额填写；</w:t>
      </w:r>
    </w:p>
    <w:p w14:paraId="7BEFBE8E">
      <w:pPr>
        <w:pStyle w:val="339"/>
        <w:spacing w:line="360" w:lineRule="auto"/>
        <w:ind w:firstLine="420"/>
        <w:rPr>
          <w:color w:val="auto"/>
          <w:highlight w:val="none"/>
        </w:rPr>
      </w:pPr>
      <w:r>
        <w:rPr>
          <w:rFonts w:hint="eastAsia" w:cs="宋体"/>
          <w:color w:val="auto"/>
          <w:highlight w:val="none"/>
        </w:rPr>
        <w:t>（</w:t>
      </w:r>
      <w:r>
        <w:rPr>
          <w:color w:val="auto"/>
          <w:highlight w:val="none"/>
        </w:rPr>
        <w:t>2</w:t>
      </w:r>
      <w:r>
        <w:rPr>
          <w:rFonts w:hint="eastAsia" w:cs="宋体"/>
          <w:color w:val="auto"/>
          <w:highlight w:val="none"/>
        </w:rPr>
        <w:t>）材料、工程设备暂估价应按工程量清单中列出的单价计入综合单价；</w:t>
      </w:r>
    </w:p>
    <w:p w14:paraId="0CE8E76D">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）专业工程暂估价应按工程量清单中列出的金额填写；</w:t>
      </w:r>
    </w:p>
    <w:p w14:paraId="777375CA">
      <w:pPr>
        <w:spacing w:line="360" w:lineRule="auto"/>
        <w:ind w:firstLine="420"/>
        <w:rPr>
          <w:color w:val="auto"/>
          <w:highlight w:val="none"/>
        </w:rPr>
      </w:pPr>
      <w:r>
        <w:rPr>
          <w:rFonts w:hint="eastAsia" w:cs="宋体"/>
          <w:color w:val="auto"/>
          <w:highlight w:val="none"/>
        </w:rPr>
        <w:t>（</w:t>
      </w:r>
      <w:r>
        <w:rPr>
          <w:color w:val="auto"/>
          <w:highlight w:val="none"/>
        </w:rPr>
        <w:t>4</w:t>
      </w:r>
      <w:r>
        <w:rPr>
          <w:rFonts w:hint="eastAsia" w:cs="宋体"/>
          <w:color w:val="auto"/>
          <w:highlight w:val="none"/>
        </w:rPr>
        <w:t>）计日工应按工程量清单中列出的项目和估算数量，自主确定综合单价并计算计日工总额；计日工单价均不含规费和税金；</w:t>
      </w:r>
    </w:p>
    <w:p w14:paraId="33462DD2">
      <w:pPr>
        <w:spacing w:line="360" w:lineRule="auto"/>
        <w:ind w:firstLine="420"/>
        <w:rPr>
          <w:rFonts w:cs="宋体"/>
          <w:color w:val="auto"/>
          <w:highlight w:val="none"/>
        </w:rPr>
      </w:pPr>
      <w:r>
        <w:rPr>
          <w:rFonts w:hint="eastAsia" w:cs="宋体"/>
          <w:color w:val="auto"/>
          <w:highlight w:val="none"/>
        </w:rPr>
        <w:t>（</w:t>
      </w:r>
      <w:r>
        <w:rPr>
          <w:color w:val="auto"/>
          <w:highlight w:val="none"/>
        </w:rPr>
        <w:t>5</w:t>
      </w:r>
      <w:r>
        <w:rPr>
          <w:rFonts w:hint="eastAsia" w:cs="宋体"/>
          <w:color w:val="auto"/>
          <w:highlight w:val="none"/>
        </w:rPr>
        <w:t>）总承包服务费应根据工程量清单中列出的内容</w:t>
      </w:r>
      <w:r>
        <w:rPr>
          <w:rFonts w:hint="eastAsia" w:hAnsi="宋体" w:cs="宋体"/>
          <w:color w:val="auto"/>
          <w:highlight w:val="none"/>
        </w:rPr>
        <w:t>和供应材料、设备情况，按照采购人提出的协调、配合与服务要求和施工现场管理需要</w:t>
      </w:r>
      <w:r>
        <w:rPr>
          <w:rFonts w:hint="eastAsia" w:cs="宋体"/>
          <w:color w:val="auto"/>
          <w:highlight w:val="none"/>
        </w:rPr>
        <w:t>自主确定。</w:t>
      </w:r>
    </w:p>
    <w:p w14:paraId="779AF30B">
      <w:pPr>
        <w:spacing w:line="360" w:lineRule="auto"/>
        <w:ind w:firstLine="420"/>
        <w:rPr>
          <w:rFonts w:hint="eastAsia"/>
          <w:color w:val="auto"/>
          <w:highlight w:val="none"/>
        </w:rPr>
      </w:pPr>
      <w:r>
        <w:rPr>
          <w:rFonts w:hint="eastAsia"/>
          <w:color w:val="auto"/>
          <w:highlight w:val="none"/>
        </w:rPr>
        <w:t>（6）对建设单位创建优质工程的，鼓励在招标控制价和预算中按我区工程建设定额规定计列工程优质费，并明确工程优质费不可竞争。</w:t>
      </w:r>
    </w:p>
    <w:p w14:paraId="7A563EBE">
      <w:pPr>
        <w:spacing w:line="360" w:lineRule="auto"/>
        <w:ind w:firstLine="420"/>
        <w:rPr>
          <w:color w:val="auto"/>
          <w:highlight w:val="none"/>
        </w:rPr>
      </w:pPr>
      <w:r>
        <w:rPr>
          <w:color w:val="auto"/>
          <w:highlight w:val="none"/>
        </w:rPr>
        <w:t xml:space="preserve">3.7 </w:t>
      </w:r>
      <w:r>
        <w:rPr>
          <w:rFonts w:hint="eastAsia" w:cs="宋体"/>
          <w:color w:val="auto"/>
          <w:highlight w:val="none"/>
        </w:rPr>
        <w:t>规费和增值税应按规定确定，作为不可竞争费用。</w:t>
      </w:r>
    </w:p>
    <w:p w14:paraId="6C71CBA6">
      <w:pPr>
        <w:spacing w:line="360" w:lineRule="auto"/>
        <w:ind w:firstLine="420"/>
        <w:rPr>
          <w:color w:val="auto"/>
          <w:highlight w:val="none"/>
        </w:rPr>
      </w:pPr>
      <w:r>
        <w:rPr>
          <w:color w:val="auto"/>
          <w:highlight w:val="none"/>
        </w:rPr>
        <w:t xml:space="preserve">3.8 </w:t>
      </w:r>
      <w:r>
        <w:rPr>
          <w:rFonts w:hint="eastAsia" w:cs="宋体"/>
          <w:color w:val="auto"/>
          <w:highlight w:val="none"/>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647FF1A0">
      <w:pPr>
        <w:spacing w:line="360" w:lineRule="auto"/>
        <w:ind w:firstLine="420"/>
        <w:rPr>
          <w:color w:val="auto"/>
          <w:highlight w:val="none"/>
        </w:rPr>
      </w:pPr>
      <w:r>
        <w:rPr>
          <w:color w:val="auto"/>
          <w:highlight w:val="none"/>
        </w:rPr>
        <w:t xml:space="preserve">3.9 </w:t>
      </w:r>
      <w:r>
        <w:rPr>
          <w:rFonts w:hint="eastAsia" w:cs="宋体"/>
          <w:color w:val="auto"/>
          <w:highlight w:val="none"/>
        </w:rPr>
        <w:t>投标总价应当与分部分项工程费、措施项目费、其他项目费和规费、增值税的合计金额一致。</w:t>
      </w:r>
    </w:p>
    <w:p w14:paraId="42270975">
      <w:pPr>
        <w:spacing w:line="360" w:lineRule="auto"/>
        <w:ind w:firstLine="420"/>
        <w:rPr>
          <w:color w:val="auto"/>
          <w:highlight w:val="none"/>
        </w:rPr>
      </w:pPr>
      <w:r>
        <w:rPr>
          <w:color w:val="auto"/>
          <w:highlight w:val="none"/>
        </w:rPr>
        <w:t>3.1</w:t>
      </w:r>
      <w:r>
        <w:rPr>
          <w:rFonts w:hint="eastAsia"/>
          <w:color w:val="auto"/>
          <w:highlight w:val="none"/>
        </w:rPr>
        <w:t>0</w:t>
      </w:r>
      <w:r>
        <w:rPr>
          <w:color w:val="auto"/>
          <w:highlight w:val="none"/>
        </w:rPr>
        <w:t xml:space="preserve"> </w:t>
      </w:r>
      <w:r>
        <w:rPr>
          <w:rFonts w:hint="eastAsia" w:cs="宋体"/>
          <w:color w:val="auto"/>
          <w:highlight w:val="none"/>
        </w:rPr>
        <w:t>供应商应按《允许调整主要材料和工程设备一览表》的内容填报，不得擅自调整材料和设备名称型号规格、单位、风险系数、基准单价。</w:t>
      </w:r>
    </w:p>
    <w:p w14:paraId="5A704AE9">
      <w:pPr>
        <w:spacing w:line="360" w:lineRule="auto"/>
        <w:ind w:firstLine="420"/>
        <w:rPr>
          <w:rFonts w:hAnsi="宋体"/>
          <w:color w:val="auto"/>
          <w:highlight w:val="none"/>
        </w:rPr>
      </w:pPr>
      <w:r>
        <w:rPr>
          <w:color w:val="auto"/>
          <w:highlight w:val="none"/>
        </w:rPr>
        <w:t>3.1</w:t>
      </w:r>
      <w:r>
        <w:rPr>
          <w:rFonts w:hint="eastAsia"/>
          <w:color w:val="auto"/>
          <w:highlight w:val="none"/>
        </w:rPr>
        <w:t>1</w:t>
      </w:r>
      <w:r>
        <w:rPr>
          <w:rFonts w:hint="eastAsia" w:hAnsi="宋体" w:cs="宋体"/>
          <w:color w:val="auto"/>
          <w:highlight w:val="none"/>
        </w:rPr>
        <w:t>竞标报价</w:t>
      </w:r>
      <w:r>
        <w:rPr>
          <w:rFonts w:hint="eastAsia" w:cs="宋体"/>
          <w:color w:val="auto"/>
          <w:highlight w:val="none"/>
        </w:rPr>
        <w:t>表格按本工程工程量清单表格要求填写，并</w:t>
      </w:r>
      <w:r>
        <w:rPr>
          <w:rFonts w:hint="eastAsia" w:hAnsi="宋体" w:cs="宋体"/>
          <w:color w:val="auto"/>
          <w:highlight w:val="none"/>
        </w:rPr>
        <w:t>应按磋商文件的要求，附上《工程量清单综合单价分析表》（表</w:t>
      </w:r>
      <w:r>
        <w:rPr>
          <w:color w:val="auto"/>
          <w:highlight w:val="none"/>
        </w:rPr>
        <w:t>-09</w:t>
      </w:r>
      <w:r>
        <w:rPr>
          <w:rFonts w:hint="eastAsia" w:hAnsi="宋体" w:cs="宋体"/>
          <w:color w:val="auto"/>
          <w:highlight w:val="none"/>
        </w:rPr>
        <w:t>）和《主要清单项目工料机分析表》（表</w:t>
      </w:r>
      <w:r>
        <w:rPr>
          <w:color w:val="auto"/>
          <w:highlight w:val="none"/>
        </w:rPr>
        <w:t>-10</w:t>
      </w:r>
      <w:r>
        <w:rPr>
          <w:rFonts w:hint="eastAsia" w:hAnsi="宋体" w:cs="宋体"/>
          <w:color w:val="auto"/>
          <w:highlight w:val="none"/>
        </w:rPr>
        <w:t>）。</w:t>
      </w:r>
    </w:p>
    <w:p w14:paraId="7B4CA5A7">
      <w:pPr>
        <w:spacing w:line="360" w:lineRule="auto"/>
        <w:ind w:firstLine="420"/>
        <w:rPr>
          <w:color w:val="auto"/>
          <w:highlight w:val="none"/>
          <w:u w:val="single"/>
        </w:rPr>
      </w:pPr>
      <w:r>
        <w:rPr>
          <w:rFonts w:hint="eastAsia" w:cs="宋体"/>
          <w:color w:val="auto"/>
          <w:highlight w:val="none"/>
        </w:rPr>
        <w:t>未尽事宜详见本工程工程量清单、招标控制价编制说明以及现行《计价规范》等有关规定执行。</w:t>
      </w:r>
    </w:p>
    <w:p w14:paraId="7C84F2E9">
      <w:pPr>
        <w:spacing w:line="360" w:lineRule="auto"/>
        <w:ind w:firstLine="420"/>
        <w:rPr>
          <w:rFonts w:hint="eastAsia" w:cs="宋体"/>
          <w:color w:val="auto"/>
          <w:highlight w:val="none"/>
        </w:rPr>
      </w:pPr>
      <w:r>
        <w:rPr>
          <w:rFonts w:hint="eastAsia" w:cs="宋体"/>
          <w:color w:val="auto"/>
          <w:highlight w:val="none"/>
        </w:rPr>
        <w:t>注：因2021年《广西壮族自治区园林绿化及仿古建筑工程费用定额》采用全费用综合单价形式，故园林绿化及仿古建筑工程的工程量清单及计价采用《自治区住房和城乡建设厅关于建设工程造价改革试点项目招投标及计价规定调整的通知》（桂建标〔2021〕6号）中附件1《建设工程工程量清单计价规范（</w:t>
      </w:r>
      <w:r>
        <w:rPr>
          <w:rFonts w:hint="eastAsia" w:cs="宋体"/>
          <w:color w:val="auto"/>
          <w:highlight w:val="none"/>
          <w:lang w:eastAsia="zh-CN"/>
        </w:rPr>
        <w:t>GB/T 50500-2024</w:t>
      </w:r>
      <w:r>
        <w:rPr>
          <w:rFonts w:hint="eastAsia" w:cs="宋体"/>
          <w:color w:val="auto"/>
          <w:highlight w:val="none"/>
        </w:rPr>
        <w:t>）广西壮族自治区实施细则》（适用于工程造价改革试点项目）相关表格，具体以采购人另册发放的工程量清单及相关说明为准。</w:t>
      </w:r>
    </w:p>
    <w:p w14:paraId="0FC077D1">
      <w:pPr>
        <w:pStyle w:val="4"/>
        <w:spacing w:before="0" w:after="0" w:line="360" w:lineRule="auto"/>
        <w:rPr>
          <w:rFonts w:hint="eastAsia" w:cs="黑体"/>
          <w:color w:val="auto"/>
          <w:highlight w:val="none"/>
        </w:rPr>
      </w:pPr>
      <w:bookmarkStart w:id="107" w:name="_Toc122424004"/>
      <w:bookmarkStart w:id="108" w:name="_Toc12668"/>
      <w:bookmarkStart w:id="109" w:name="_Toc122424253"/>
      <w:r>
        <w:rPr>
          <w:rFonts w:hint="eastAsia" w:cs="黑体"/>
          <w:color w:val="auto"/>
          <w:highlight w:val="none"/>
        </w:rPr>
        <w:t>4.图纸（另册）</w:t>
      </w:r>
      <w:bookmarkEnd w:id="107"/>
      <w:bookmarkEnd w:id="108"/>
      <w:bookmarkEnd w:id="109"/>
    </w:p>
    <w:p w14:paraId="5E02A705">
      <w:pPr>
        <w:pStyle w:val="5"/>
        <w:spacing w:before="0" w:after="0" w:line="360" w:lineRule="auto"/>
        <w:rPr>
          <w:color w:val="auto"/>
          <w:highlight w:val="none"/>
        </w:rPr>
      </w:pPr>
    </w:p>
    <w:p w14:paraId="4A00D589">
      <w:pPr>
        <w:rPr>
          <w:color w:val="auto"/>
          <w:highlight w:val="none"/>
        </w:rPr>
      </w:pPr>
    </w:p>
    <w:p w14:paraId="1D0CD844">
      <w:pPr>
        <w:rPr>
          <w:color w:val="auto"/>
          <w:highlight w:val="none"/>
        </w:rPr>
      </w:pPr>
    </w:p>
    <w:p w14:paraId="10D166F9">
      <w:pPr>
        <w:rPr>
          <w:color w:val="auto"/>
          <w:highlight w:val="none"/>
        </w:rPr>
      </w:pPr>
    </w:p>
    <w:p w14:paraId="4C680FC2">
      <w:pPr>
        <w:rPr>
          <w:color w:val="auto"/>
          <w:highlight w:val="none"/>
        </w:rPr>
      </w:pPr>
    </w:p>
    <w:p w14:paraId="4F31733F">
      <w:pPr>
        <w:rPr>
          <w:color w:val="auto"/>
          <w:highlight w:val="none"/>
        </w:rPr>
      </w:pPr>
    </w:p>
    <w:p w14:paraId="371F15B3">
      <w:pPr>
        <w:rPr>
          <w:color w:val="auto"/>
          <w:highlight w:val="none"/>
        </w:rPr>
      </w:pPr>
    </w:p>
    <w:p w14:paraId="3E903763">
      <w:pPr>
        <w:rPr>
          <w:color w:val="auto"/>
          <w:highlight w:val="none"/>
        </w:rPr>
      </w:pPr>
    </w:p>
    <w:p w14:paraId="3DA9B61E">
      <w:pPr>
        <w:rPr>
          <w:color w:val="auto"/>
          <w:highlight w:val="none"/>
        </w:rPr>
      </w:pPr>
    </w:p>
    <w:p w14:paraId="32BC7EFB">
      <w:pPr>
        <w:rPr>
          <w:color w:val="auto"/>
          <w:highlight w:val="none"/>
        </w:rPr>
      </w:pPr>
    </w:p>
    <w:p w14:paraId="0460341C">
      <w:pPr>
        <w:rPr>
          <w:color w:val="auto"/>
          <w:highlight w:val="none"/>
        </w:rPr>
      </w:pPr>
    </w:p>
    <w:p w14:paraId="79BBD03D">
      <w:pPr>
        <w:rPr>
          <w:color w:val="auto"/>
          <w:highlight w:val="none"/>
        </w:rPr>
      </w:pPr>
    </w:p>
    <w:p w14:paraId="3530AB99">
      <w:pPr>
        <w:rPr>
          <w:color w:val="auto"/>
          <w:highlight w:val="none"/>
        </w:rPr>
      </w:pPr>
    </w:p>
    <w:p w14:paraId="2733D4BD">
      <w:pPr>
        <w:rPr>
          <w:color w:val="auto"/>
          <w:highlight w:val="none"/>
        </w:rPr>
      </w:pPr>
    </w:p>
    <w:p w14:paraId="012F13DE">
      <w:pPr>
        <w:rPr>
          <w:rFonts w:hint="eastAsia"/>
          <w:color w:val="auto"/>
          <w:highlight w:val="none"/>
        </w:rPr>
      </w:pPr>
      <w:r>
        <w:rPr>
          <w:rFonts w:hint="eastAsia"/>
          <w:color w:val="auto"/>
          <w:highlight w:val="none"/>
        </w:rPr>
        <w:br w:type="page" w:clear="all"/>
      </w:r>
    </w:p>
    <w:p w14:paraId="5C74A8CD">
      <w:pPr>
        <w:pStyle w:val="3"/>
        <w:jc w:val="center"/>
        <w:rPr>
          <w:rFonts w:hint="eastAsia"/>
          <w:color w:val="auto"/>
          <w:highlight w:val="none"/>
        </w:rPr>
      </w:pPr>
    </w:p>
    <w:p w14:paraId="44D8A12C">
      <w:pPr>
        <w:pStyle w:val="3"/>
        <w:jc w:val="center"/>
        <w:rPr>
          <w:rFonts w:hint="eastAsia"/>
          <w:color w:val="auto"/>
          <w:highlight w:val="none"/>
        </w:rPr>
      </w:pPr>
    </w:p>
    <w:p w14:paraId="7A59BB3C">
      <w:pPr>
        <w:pStyle w:val="3"/>
        <w:jc w:val="both"/>
        <w:rPr>
          <w:rFonts w:hint="eastAsia"/>
          <w:color w:val="auto"/>
          <w:highlight w:val="none"/>
        </w:rPr>
      </w:pPr>
    </w:p>
    <w:p w14:paraId="15AF2F1D">
      <w:pPr>
        <w:pStyle w:val="3"/>
        <w:jc w:val="both"/>
        <w:rPr>
          <w:rFonts w:hint="eastAsia"/>
          <w:color w:val="auto"/>
          <w:highlight w:val="none"/>
        </w:rPr>
      </w:pPr>
    </w:p>
    <w:p w14:paraId="0A752D6E">
      <w:pPr>
        <w:pStyle w:val="3"/>
        <w:jc w:val="center"/>
        <w:rPr>
          <w:color w:val="auto"/>
          <w:highlight w:val="none"/>
        </w:rPr>
      </w:pPr>
      <w:bookmarkStart w:id="110" w:name="_Toc21357"/>
      <w:r>
        <w:rPr>
          <w:rFonts w:hint="eastAsia"/>
          <w:color w:val="auto"/>
          <w:highlight w:val="none"/>
        </w:rPr>
        <w:t>第六章</w:t>
      </w:r>
      <w:r>
        <w:rPr>
          <w:rFonts w:hint="eastAsia"/>
          <w:color w:val="auto"/>
          <w:highlight w:val="none"/>
          <w:lang w:val="en-US" w:eastAsia="zh-CN"/>
        </w:rPr>
        <w:t xml:space="preserve"> </w:t>
      </w:r>
      <w:r>
        <w:rPr>
          <w:rFonts w:hint="eastAsia"/>
          <w:color w:val="auto"/>
          <w:highlight w:val="none"/>
        </w:rPr>
        <w:t>响应文件格式</w:t>
      </w:r>
      <w:bookmarkEnd w:id="110"/>
    </w:p>
    <w:p w14:paraId="4C5C9579">
      <w:pPr>
        <w:spacing w:line="240" w:lineRule="atLeast"/>
        <w:rPr>
          <w:rFonts w:hint="eastAsia" w:ascii="宋体" w:hAnsi="宋体"/>
          <w:b/>
          <w:color w:val="auto"/>
          <w:sz w:val="32"/>
          <w:szCs w:val="32"/>
          <w:highlight w:val="none"/>
        </w:rPr>
      </w:pPr>
    </w:p>
    <w:p w14:paraId="16DF2BDC">
      <w:pPr>
        <w:spacing w:line="240" w:lineRule="atLeast"/>
        <w:rPr>
          <w:rFonts w:hint="eastAsia" w:ascii="宋体" w:hAnsi="宋体"/>
          <w:b/>
          <w:color w:val="auto"/>
          <w:sz w:val="32"/>
          <w:szCs w:val="32"/>
          <w:highlight w:val="none"/>
        </w:rPr>
      </w:pPr>
    </w:p>
    <w:p w14:paraId="0AA255CA">
      <w:pPr>
        <w:spacing w:line="240" w:lineRule="atLeast"/>
        <w:rPr>
          <w:rFonts w:hint="eastAsia" w:ascii="宋体" w:hAnsi="宋体"/>
          <w:b/>
          <w:color w:val="auto"/>
          <w:sz w:val="32"/>
          <w:szCs w:val="32"/>
          <w:highlight w:val="none"/>
        </w:rPr>
      </w:pPr>
    </w:p>
    <w:p w14:paraId="10C1E912">
      <w:pPr>
        <w:spacing w:line="240" w:lineRule="atLeast"/>
        <w:rPr>
          <w:rFonts w:hint="eastAsia" w:ascii="宋体" w:hAnsi="宋体"/>
          <w:b/>
          <w:color w:val="auto"/>
          <w:sz w:val="32"/>
          <w:szCs w:val="32"/>
          <w:highlight w:val="none"/>
        </w:rPr>
      </w:pPr>
    </w:p>
    <w:p w14:paraId="7A172456">
      <w:pPr>
        <w:spacing w:line="240" w:lineRule="atLeast"/>
        <w:rPr>
          <w:rFonts w:hint="eastAsia" w:ascii="宋体" w:hAnsi="宋体"/>
          <w:b/>
          <w:color w:val="auto"/>
          <w:sz w:val="32"/>
          <w:szCs w:val="32"/>
          <w:highlight w:val="none"/>
        </w:rPr>
      </w:pPr>
    </w:p>
    <w:p w14:paraId="64D9FE69">
      <w:pPr>
        <w:spacing w:line="240" w:lineRule="atLeast"/>
        <w:rPr>
          <w:rFonts w:hint="eastAsia" w:ascii="宋体" w:hAnsi="宋体"/>
          <w:b/>
          <w:color w:val="auto"/>
          <w:sz w:val="32"/>
          <w:szCs w:val="32"/>
          <w:highlight w:val="none"/>
        </w:rPr>
      </w:pPr>
    </w:p>
    <w:p w14:paraId="1A01F610">
      <w:pPr>
        <w:spacing w:line="240" w:lineRule="atLeast"/>
        <w:rPr>
          <w:rFonts w:hint="eastAsia" w:ascii="宋体" w:hAnsi="宋体"/>
          <w:b/>
          <w:color w:val="auto"/>
          <w:sz w:val="32"/>
          <w:szCs w:val="32"/>
          <w:highlight w:val="none"/>
        </w:rPr>
      </w:pPr>
    </w:p>
    <w:p w14:paraId="58497736">
      <w:pPr>
        <w:spacing w:line="240" w:lineRule="atLeast"/>
        <w:rPr>
          <w:rFonts w:hint="eastAsia" w:ascii="宋体" w:hAnsi="宋体"/>
          <w:b/>
          <w:color w:val="auto"/>
          <w:sz w:val="32"/>
          <w:szCs w:val="32"/>
          <w:highlight w:val="none"/>
        </w:rPr>
      </w:pPr>
    </w:p>
    <w:p w14:paraId="156F43B0">
      <w:pPr>
        <w:spacing w:line="240" w:lineRule="atLeast"/>
        <w:rPr>
          <w:rFonts w:hint="eastAsia" w:ascii="宋体" w:hAnsi="宋体"/>
          <w:b/>
          <w:color w:val="auto"/>
          <w:sz w:val="32"/>
          <w:szCs w:val="32"/>
          <w:highlight w:val="none"/>
        </w:rPr>
      </w:pPr>
    </w:p>
    <w:p w14:paraId="22DF799C">
      <w:pPr>
        <w:spacing w:before="120" w:after="50"/>
        <w:jc w:val="both"/>
        <w:rPr>
          <w:rFonts w:hint="eastAsia" w:ascii="仿宋_GB2312" w:hAnsi="仿宋_GB2312" w:eastAsia="仿宋_GB2312" w:cs="仿宋_GB2312"/>
          <w:bCs/>
          <w:color w:val="auto"/>
          <w:sz w:val="32"/>
          <w:szCs w:val="32"/>
          <w:highlight w:val="none"/>
        </w:rPr>
      </w:pPr>
      <w:r>
        <w:rPr>
          <w:rFonts w:ascii="仿宋_GB2312" w:hAnsi="仿宋_GB2312" w:eastAsia="仿宋_GB2312" w:cs="仿宋_GB2312"/>
          <w:bCs/>
          <w:color w:val="auto"/>
          <w:sz w:val="32"/>
          <w:szCs w:val="32"/>
          <w:highlight w:val="none"/>
        </w:rPr>
        <w:br w:type="page" w:clear="all"/>
      </w:r>
    </w:p>
    <w:p w14:paraId="72490E51">
      <w:pPr>
        <w:rPr>
          <w:b/>
          <w:color w:val="auto"/>
          <w:sz w:val="32"/>
          <w:szCs w:val="32"/>
          <w:highlight w:val="none"/>
        </w:rPr>
      </w:pPr>
      <w:bookmarkStart w:id="111" w:name="_Toc31723070"/>
      <w:bookmarkStart w:id="112" w:name="_Toc44229899"/>
      <w:bookmarkStart w:id="113" w:name="_Toc35611438"/>
      <w:bookmarkStart w:id="114" w:name="_Toc35611516"/>
      <w:bookmarkStart w:id="115" w:name="_Toc71366186"/>
      <w:bookmarkStart w:id="116" w:name="_Toc31728084"/>
      <w:r>
        <w:rPr>
          <w:rFonts w:hint="eastAsia"/>
          <w:b/>
          <w:color w:val="auto"/>
          <w:sz w:val="32"/>
          <w:szCs w:val="32"/>
          <w:highlight w:val="none"/>
        </w:rPr>
        <w:t>一、资格证明文件格式</w:t>
      </w:r>
      <w:bookmarkEnd w:id="111"/>
      <w:bookmarkEnd w:id="112"/>
      <w:bookmarkEnd w:id="113"/>
      <w:bookmarkEnd w:id="114"/>
      <w:bookmarkEnd w:id="115"/>
      <w:bookmarkEnd w:id="116"/>
    </w:p>
    <w:p w14:paraId="77B71F8D">
      <w:pPr>
        <w:spacing w:before="12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p>
    <w:p w14:paraId="4742543E">
      <w:pPr>
        <w:spacing w:before="120" w:after="50"/>
        <w:jc w:val="center"/>
        <w:rPr>
          <w:rFonts w:hint="eastAsia" w:ascii="宋体" w:hAnsi="宋体"/>
          <w:color w:val="auto"/>
          <w:sz w:val="44"/>
          <w:szCs w:val="44"/>
          <w:highlight w:val="none"/>
        </w:rPr>
      </w:pPr>
    </w:p>
    <w:p w14:paraId="56A69747">
      <w:pPr>
        <w:spacing w:before="12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500666F1">
      <w:pPr>
        <w:spacing w:before="120" w:after="50"/>
        <w:rPr>
          <w:rFonts w:hint="eastAsia" w:ascii="宋体" w:hAnsi="宋体"/>
          <w:color w:val="auto"/>
          <w:sz w:val="24"/>
          <w:szCs w:val="20"/>
          <w:highlight w:val="none"/>
        </w:rPr>
      </w:pPr>
    </w:p>
    <w:p w14:paraId="20A817D3">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6BA6BF2F">
      <w:pPr>
        <w:spacing w:before="120" w:after="50"/>
        <w:rPr>
          <w:rFonts w:hint="eastAsia" w:ascii="宋体" w:hAnsi="宋体"/>
          <w:bCs/>
          <w:color w:val="auto"/>
          <w:sz w:val="24"/>
          <w:szCs w:val="20"/>
          <w:highlight w:val="none"/>
        </w:rPr>
      </w:pPr>
    </w:p>
    <w:p w14:paraId="77015D7D">
      <w:pPr>
        <w:spacing w:before="120" w:after="50"/>
        <w:rPr>
          <w:rFonts w:hint="eastAsia" w:ascii="宋体" w:hAnsi="宋体"/>
          <w:bCs/>
          <w:color w:val="auto"/>
          <w:sz w:val="24"/>
          <w:szCs w:val="20"/>
          <w:highlight w:val="none"/>
        </w:rPr>
      </w:pPr>
    </w:p>
    <w:p w14:paraId="0A6C8883">
      <w:pPr>
        <w:spacing w:before="120" w:after="50"/>
        <w:rPr>
          <w:rFonts w:hint="eastAsia" w:ascii="宋体" w:hAnsi="宋体"/>
          <w:bCs/>
          <w:color w:val="auto"/>
          <w:sz w:val="24"/>
          <w:szCs w:val="20"/>
          <w:highlight w:val="none"/>
        </w:rPr>
      </w:pPr>
    </w:p>
    <w:p w14:paraId="00BDC610">
      <w:pPr>
        <w:spacing w:before="120" w:after="50"/>
        <w:rPr>
          <w:rFonts w:hint="eastAsia" w:ascii="宋体" w:hAnsi="宋体"/>
          <w:bCs/>
          <w:color w:val="auto"/>
          <w:sz w:val="24"/>
          <w:szCs w:val="20"/>
          <w:highlight w:val="none"/>
        </w:rPr>
      </w:pPr>
    </w:p>
    <w:p w14:paraId="0B63F755">
      <w:pPr>
        <w:spacing w:before="120" w:after="50"/>
        <w:rPr>
          <w:rFonts w:hint="eastAsia" w:ascii="宋体" w:hAnsi="宋体"/>
          <w:bCs/>
          <w:color w:val="auto"/>
          <w:sz w:val="24"/>
          <w:szCs w:val="20"/>
          <w:highlight w:val="none"/>
        </w:rPr>
      </w:pPr>
    </w:p>
    <w:p w14:paraId="15142F1B">
      <w:pPr>
        <w:spacing w:before="12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425FD8C4">
      <w:pPr>
        <w:spacing w:before="120" w:after="50"/>
        <w:ind w:firstLine="720"/>
        <w:rPr>
          <w:rFonts w:hint="eastAsia" w:ascii="宋体" w:hAnsi="宋体" w:cs="仿宋_GB2312"/>
          <w:bCs/>
          <w:color w:val="auto"/>
          <w:sz w:val="32"/>
          <w:szCs w:val="32"/>
          <w:highlight w:val="none"/>
        </w:rPr>
      </w:pPr>
    </w:p>
    <w:p w14:paraId="720BB101">
      <w:pPr>
        <w:spacing w:before="120"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59254C5">
      <w:pPr>
        <w:spacing w:before="120" w:after="50"/>
        <w:rPr>
          <w:rFonts w:hint="eastAsia" w:ascii="宋体" w:hAnsi="宋体" w:cs="仿宋_GB2312"/>
          <w:bCs/>
          <w:color w:val="auto"/>
          <w:sz w:val="32"/>
          <w:szCs w:val="32"/>
          <w:highlight w:val="none"/>
        </w:rPr>
      </w:pPr>
    </w:p>
    <w:p w14:paraId="19CAE881">
      <w:pPr>
        <w:pStyle w:val="8"/>
        <w:spacing w:before="50"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84655A9">
      <w:pPr>
        <w:spacing w:before="120" w:after="50"/>
        <w:ind w:firstLine="640"/>
        <w:rPr>
          <w:rFonts w:hint="eastAsia" w:ascii="宋体" w:hAnsi="宋体" w:cs="仿宋_GB2312"/>
          <w:bCs/>
          <w:color w:val="auto"/>
          <w:sz w:val="32"/>
          <w:szCs w:val="32"/>
          <w:highlight w:val="none"/>
        </w:rPr>
      </w:pPr>
    </w:p>
    <w:p w14:paraId="5D510218">
      <w:pPr>
        <w:pStyle w:val="8"/>
        <w:spacing w:before="50" w:after="50"/>
        <w:ind w:firstLine="720"/>
        <w:rPr>
          <w:rFonts w:hint="eastAsia" w:ascii="宋体" w:hAnsi="宋体" w:cs="仿宋_GB2312"/>
          <w:bCs/>
          <w:color w:val="auto"/>
          <w:sz w:val="32"/>
          <w:szCs w:val="32"/>
          <w:highlight w:val="none"/>
        </w:rPr>
      </w:pPr>
    </w:p>
    <w:p w14:paraId="07CA3A6C">
      <w:pPr>
        <w:pStyle w:val="8"/>
        <w:spacing w:before="50" w:after="50"/>
        <w:ind w:firstLine="720"/>
        <w:rPr>
          <w:rFonts w:hint="eastAsia" w:ascii="宋体" w:hAnsi="宋体" w:cs="仿宋_GB2312"/>
          <w:bCs/>
          <w:color w:val="auto"/>
          <w:sz w:val="32"/>
          <w:szCs w:val="32"/>
          <w:highlight w:val="none"/>
        </w:rPr>
      </w:pPr>
    </w:p>
    <w:p w14:paraId="743003B1">
      <w:pPr>
        <w:pStyle w:val="8"/>
        <w:spacing w:before="50" w:after="50"/>
        <w:ind w:firstLine="1280"/>
        <w:rPr>
          <w:rFonts w:hint="eastAsia" w:ascii="宋体" w:hAnsi="宋体" w:cs="仿宋_GB2312"/>
          <w:bCs/>
          <w:color w:val="auto"/>
          <w:sz w:val="32"/>
          <w:szCs w:val="32"/>
          <w:highlight w:val="none"/>
        </w:rPr>
      </w:pPr>
    </w:p>
    <w:p w14:paraId="710AA1EC">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FF2C80E">
      <w:pPr>
        <w:spacing w:before="12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2.资格证明文件目录</w:t>
      </w:r>
    </w:p>
    <w:p w14:paraId="5FF19B86">
      <w:pPr>
        <w:spacing w:before="12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52E846BC">
      <w:pPr>
        <w:spacing w:before="120" w:after="50"/>
        <w:rPr>
          <w:rFonts w:hint="eastAsia" w:ascii="宋体" w:hAnsi="宋体"/>
          <w:color w:val="auto"/>
          <w:sz w:val="24"/>
          <w:szCs w:val="20"/>
          <w:highlight w:val="none"/>
        </w:rPr>
      </w:pPr>
    </w:p>
    <w:p w14:paraId="33EE7915">
      <w:pPr>
        <w:spacing w:line="300" w:lineRule="auto"/>
        <w:rPr>
          <w:rFonts w:hint="eastAsia" w:ascii="宋体" w:hAnsi="宋体"/>
          <w:color w:val="auto"/>
          <w:szCs w:val="21"/>
          <w:highlight w:val="none"/>
        </w:rPr>
      </w:pPr>
    </w:p>
    <w:p w14:paraId="5EA7EBDA">
      <w:pPr>
        <w:spacing w:line="300" w:lineRule="auto"/>
        <w:rPr>
          <w:rFonts w:hint="eastAsia" w:ascii="宋体" w:hAnsi="宋体"/>
          <w:color w:val="auto"/>
          <w:szCs w:val="21"/>
          <w:highlight w:val="none"/>
        </w:rPr>
      </w:pPr>
    </w:p>
    <w:p w14:paraId="6B0FE023">
      <w:pPr>
        <w:spacing w:line="300" w:lineRule="auto"/>
        <w:rPr>
          <w:rFonts w:hint="eastAsia" w:ascii="宋体" w:hAnsi="宋体"/>
          <w:color w:val="auto"/>
          <w:szCs w:val="21"/>
          <w:highlight w:val="none"/>
        </w:rPr>
      </w:pPr>
    </w:p>
    <w:p w14:paraId="5B1685AA">
      <w:pPr>
        <w:spacing w:line="300" w:lineRule="auto"/>
        <w:rPr>
          <w:rFonts w:hint="eastAsia" w:ascii="宋体" w:hAnsi="宋体"/>
          <w:color w:val="auto"/>
          <w:szCs w:val="21"/>
          <w:highlight w:val="none"/>
        </w:rPr>
      </w:pPr>
    </w:p>
    <w:p w14:paraId="0A12BAC7">
      <w:pPr>
        <w:spacing w:line="300" w:lineRule="auto"/>
        <w:rPr>
          <w:rFonts w:hint="eastAsia" w:ascii="宋体" w:hAnsi="宋体"/>
          <w:color w:val="auto"/>
          <w:szCs w:val="21"/>
          <w:highlight w:val="none"/>
        </w:rPr>
      </w:pPr>
    </w:p>
    <w:p w14:paraId="0B942CFA">
      <w:pPr>
        <w:spacing w:line="300" w:lineRule="auto"/>
        <w:rPr>
          <w:rFonts w:hint="eastAsia" w:ascii="宋体" w:hAnsi="宋体"/>
          <w:color w:val="auto"/>
          <w:szCs w:val="21"/>
          <w:highlight w:val="none"/>
        </w:rPr>
      </w:pPr>
    </w:p>
    <w:p w14:paraId="4E8E2DA3">
      <w:pPr>
        <w:spacing w:line="300" w:lineRule="auto"/>
        <w:rPr>
          <w:rFonts w:hint="eastAsia" w:ascii="宋体" w:hAnsi="宋体"/>
          <w:color w:val="auto"/>
          <w:szCs w:val="21"/>
          <w:highlight w:val="none"/>
        </w:rPr>
      </w:pPr>
    </w:p>
    <w:p w14:paraId="3F79B69C">
      <w:pPr>
        <w:spacing w:line="300" w:lineRule="auto"/>
        <w:rPr>
          <w:rFonts w:hint="eastAsia" w:ascii="宋体" w:hAnsi="宋体"/>
          <w:color w:val="auto"/>
          <w:szCs w:val="21"/>
          <w:highlight w:val="none"/>
        </w:rPr>
      </w:pPr>
    </w:p>
    <w:p w14:paraId="3B5F43D5">
      <w:pPr>
        <w:spacing w:line="300" w:lineRule="auto"/>
        <w:rPr>
          <w:rFonts w:hint="eastAsia" w:ascii="宋体" w:hAnsi="宋体"/>
          <w:color w:val="auto"/>
          <w:szCs w:val="21"/>
          <w:highlight w:val="none"/>
        </w:rPr>
      </w:pPr>
    </w:p>
    <w:p w14:paraId="50BA0EF4">
      <w:pPr>
        <w:spacing w:line="300" w:lineRule="auto"/>
        <w:rPr>
          <w:rFonts w:hint="eastAsia" w:ascii="宋体" w:hAnsi="宋体"/>
          <w:color w:val="auto"/>
          <w:szCs w:val="21"/>
          <w:highlight w:val="none"/>
        </w:rPr>
      </w:pPr>
    </w:p>
    <w:p w14:paraId="0CDC98E9">
      <w:pPr>
        <w:spacing w:line="300" w:lineRule="auto"/>
        <w:rPr>
          <w:rFonts w:hint="eastAsia" w:ascii="宋体" w:hAnsi="宋体"/>
          <w:color w:val="auto"/>
          <w:szCs w:val="21"/>
          <w:highlight w:val="none"/>
        </w:rPr>
      </w:pPr>
    </w:p>
    <w:p w14:paraId="05E2D633">
      <w:pPr>
        <w:spacing w:line="300" w:lineRule="auto"/>
        <w:rPr>
          <w:rFonts w:hint="eastAsia" w:ascii="宋体" w:hAnsi="宋体"/>
          <w:color w:val="auto"/>
          <w:szCs w:val="21"/>
          <w:highlight w:val="none"/>
        </w:rPr>
      </w:pPr>
    </w:p>
    <w:p w14:paraId="6A4014CD">
      <w:pPr>
        <w:spacing w:line="300" w:lineRule="auto"/>
        <w:rPr>
          <w:rFonts w:hint="eastAsia" w:ascii="宋体" w:hAnsi="宋体"/>
          <w:color w:val="auto"/>
          <w:szCs w:val="21"/>
          <w:highlight w:val="none"/>
        </w:rPr>
      </w:pPr>
    </w:p>
    <w:p w14:paraId="376AF81B">
      <w:pPr>
        <w:spacing w:line="300" w:lineRule="auto"/>
        <w:rPr>
          <w:rFonts w:hint="eastAsia" w:ascii="宋体" w:hAnsi="宋体"/>
          <w:color w:val="auto"/>
          <w:szCs w:val="21"/>
          <w:highlight w:val="none"/>
        </w:rPr>
      </w:pPr>
    </w:p>
    <w:p w14:paraId="1DBCF269">
      <w:pPr>
        <w:spacing w:line="300" w:lineRule="auto"/>
        <w:rPr>
          <w:rFonts w:hint="eastAsia" w:ascii="宋体" w:hAnsi="宋体"/>
          <w:color w:val="auto"/>
          <w:szCs w:val="21"/>
          <w:highlight w:val="none"/>
        </w:rPr>
      </w:pPr>
    </w:p>
    <w:p w14:paraId="74AC6E5F">
      <w:pPr>
        <w:spacing w:line="320" w:lineRule="exact"/>
        <w:jc w:val="left"/>
        <w:rPr>
          <w:rFonts w:hint="eastAsia" w:ascii="宋体" w:hAnsi="宋体"/>
          <w:color w:val="auto"/>
          <w:szCs w:val="21"/>
          <w:highlight w:val="none"/>
        </w:rPr>
      </w:pPr>
      <w:r>
        <w:rPr>
          <w:rFonts w:ascii="宋体" w:hAnsi="宋体"/>
          <w:color w:val="auto"/>
          <w:szCs w:val="21"/>
          <w:highlight w:val="none"/>
        </w:rPr>
        <w:br w:type="page" w:clear="all"/>
      </w:r>
    </w:p>
    <w:p w14:paraId="1613369D">
      <w:pPr>
        <w:spacing w:before="120" w:after="50" w:line="320" w:lineRule="exact"/>
        <w:ind w:right="482" w:firstLine="210"/>
        <w:contextualSpacing/>
        <w:jc w:val="center"/>
        <w:rPr>
          <w:rFonts w:hint="eastAsia" w:ascii="宋体" w:hAnsi="宋体"/>
          <w:color w:val="auto"/>
          <w:szCs w:val="21"/>
          <w:highlight w:val="none"/>
        </w:rPr>
      </w:pPr>
    </w:p>
    <w:p w14:paraId="7A22E180">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2731DBBF">
      <w:pPr>
        <w:spacing w:before="120" w:after="50" w:line="360" w:lineRule="auto"/>
        <w:jc w:val="center"/>
        <w:rPr>
          <w:rFonts w:hint="eastAsia" w:ascii="宋体" w:hAnsi="宋体"/>
          <w:b/>
          <w:color w:val="auto"/>
          <w:sz w:val="24"/>
          <w:highlight w:val="none"/>
        </w:rPr>
      </w:pPr>
    </w:p>
    <w:p w14:paraId="3EC7E5C2">
      <w:pPr>
        <w:spacing w:line="360" w:lineRule="auto"/>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15C6263C">
      <w:pPr>
        <w:spacing w:line="360" w:lineRule="auto"/>
        <w:contextualSpacing/>
        <w:jc w:val="center"/>
        <w:rPr>
          <w:rFonts w:hint="eastAsia" w:ascii="宋体" w:hAnsi="宋体"/>
          <w:b/>
          <w:color w:val="auto"/>
          <w:sz w:val="24"/>
          <w:highlight w:val="none"/>
        </w:rPr>
      </w:pPr>
    </w:p>
    <w:tbl>
      <w:tblPr>
        <w:tblStyle w:val="4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40BB1E0">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DB58EB5">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9309775">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82F5E51">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C41F1BD">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8E3AEDC">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257DD95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C05F5E6">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BB75E4F">
            <w:pPr>
              <w:widowControl/>
              <w:spacing w:line="360" w:lineRule="auto"/>
              <w:contextualSpacing/>
              <w:jc w:val="center"/>
              <w:rPr>
                <w:rFonts w:hint="eastAsia"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4A9C9CC">
            <w:pPr>
              <w:widowControl/>
              <w:spacing w:line="360" w:lineRule="auto"/>
              <w:contextualSpacing/>
              <w:jc w:val="center"/>
              <w:rPr>
                <w:rFonts w:hint="eastAsia"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0AF93CA">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AC58FD0">
            <w:pPr>
              <w:widowControl/>
              <w:spacing w:line="360" w:lineRule="auto"/>
              <w:contextualSpacing/>
              <w:jc w:val="center"/>
              <w:rPr>
                <w:rFonts w:hint="eastAsia" w:ascii="宋体" w:hAnsi="宋体" w:cs="宋体"/>
                <w:color w:val="auto"/>
                <w:sz w:val="24"/>
                <w:highlight w:val="none"/>
              </w:rPr>
            </w:pPr>
          </w:p>
        </w:tc>
      </w:tr>
      <w:tr w14:paraId="79C7E79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3BEF6A2">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087CAC">
            <w:pPr>
              <w:widowControl/>
              <w:spacing w:line="360" w:lineRule="auto"/>
              <w:contextualSpacing/>
              <w:jc w:val="center"/>
              <w:rPr>
                <w:rFonts w:hint="eastAsia"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0A38177">
            <w:pPr>
              <w:widowControl/>
              <w:spacing w:line="360" w:lineRule="auto"/>
              <w:contextualSpacing/>
              <w:jc w:val="center"/>
              <w:rPr>
                <w:rFonts w:hint="eastAsia"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BAA87CD">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8288796">
            <w:pPr>
              <w:widowControl/>
              <w:spacing w:line="360" w:lineRule="auto"/>
              <w:contextualSpacing/>
              <w:jc w:val="center"/>
              <w:rPr>
                <w:rFonts w:hint="eastAsia" w:ascii="宋体" w:hAnsi="宋体" w:cs="宋体"/>
                <w:color w:val="auto"/>
                <w:sz w:val="24"/>
                <w:highlight w:val="none"/>
              </w:rPr>
            </w:pPr>
          </w:p>
        </w:tc>
      </w:tr>
      <w:tr w14:paraId="0621FEF2">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CC82C65">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65BF35D">
            <w:pPr>
              <w:widowControl/>
              <w:spacing w:line="360" w:lineRule="auto"/>
              <w:contextualSpacing/>
              <w:jc w:val="center"/>
              <w:rPr>
                <w:rFonts w:hint="eastAsia"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093F401">
            <w:pPr>
              <w:widowControl/>
              <w:spacing w:line="360" w:lineRule="auto"/>
              <w:contextualSpacing/>
              <w:jc w:val="center"/>
              <w:rPr>
                <w:rFonts w:hint="eastAsia"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7048D34">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A9B844">
            <w:pPr>
              <w:widowControl/>
              <w:spacing w:line="360" w:lineRule="auto"/>
              <w:contextualSpacing/>
              <w:jc w:val="center"/>
              <w:rPr>
                <w:rFonts w:hint="eastAsia" w:ascii="宋体" w:hAnsi="宋体" w:cs="宋体"/>
                <w:color w:val="auto"/>
                <w:sz w:val="24"/>
                <w:highlight w:val="none"/>
              </w:rPr>
            </w:pPr>
          </w:p>
        </w:tc>
      </w:tr>
      <w:tr w14:paraId="35EF461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BE4E25E">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6CD02DE">
            <w:pPr>
              <w:widowControl/>
              <w:spacing w:line="360" w:lineRule="auto"/>
              <w:contextualSpacing/>
              <w:jc w:val="center"/>
              <w:rPr>
                <w:rFonts w:hint="eastAsia" w:ascii="宋体" w:hAnsi="宋体" w:cs="宋体"/>
                <w:color w:val="auto"/>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1F3ECDF">
            <w:pPr>
              <w:widowControl/>
              <w:spacing w:line="360" w:lineRule="auto"/>
              <w:contextualSpacing/>
              <w:jc w:val="center"/>
              <w:rPr>
                <w:rFonts w:hint="eastAsia" w:ascii="宋体" w:hAnsi="宋体" w:cs="宋体"/>
                <w:color w:val="auto"/>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5D2E1E8">
            <w:pPr>
              <w:widowControl/>
              <w:spacing w:line="360" w:lineRule="auto"/>
              <w:contextualSpacing/>
              <w:jc w:val="center"/>
              <w:rPr>
                <w:rFonts w:hint="eastAsia" w:ascii="宋体" w:hAnsi="宋体" w:cs="宋体"/>
                <w:color w:val="auto"/>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6315248">
            <w:pPr>
              <w:widowControl/>
              <w:spacing w:line="360" w:lineRule="auto"/>
              <w:contextualSpacing/>
              <w:jc w:val="center"/>
              <w:rPr>
                <w:rFonts w:hint="eastAsia" w:ascii="宋体" w:hAnsi="宋体" w:cs="宋体"/>
                <w:color w:val="auto"/>
                <w:sz w:val="24"/>
                <w:highlight w:val="none"/>
              </w:rPr>
            </w:pPr>
          </w:p>
        </w:tc>
      </w:tr>
    </w:tbl>
    <w:p w14:paraId="75872C1D">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5DB4435A">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788C669">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05308782">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31CB4624">
      <w:pPr>
        <w:spacing w:line="360" w:lineRule="auto"/>
        <w:ind w:firstLine="420"/>
        <w:contextualSpacing/>
        <w:jc w:val="left"/>
        <w:rPr>
          <w:rFonts w:hint="eastAsia" w:ascii="宋体" w:hAnsi="宋体" w:cs="宋体"/>
          <w:color w:val="auto"/>
          <w:szCs w:val="21"/>
          <w:highlight w:val="none"/>
        </w:rPr>
      </w:pPr>
    </w:p>
    <w:p w14:paraId="5E4EAA98">
      <w:pPr>
        <w:spacing w:line="360" w:lineRule="auto"/>
        <w:ind w:firstLine="560"/>
        <w:contextualSpacing/>
        <w:jc w:val="left"/>
        <w:rPr>
          <w:rFonts w:hint="eastAsia" w:ascii="宋体" w:hAnsi="宋体" w:cs="宋体"/>
          <w:color w:val="auto"/>
          <w:sz w:val="28"/>
          <w:szCs w:val="28"/>
          <w:highlight w:val="none"/>
        </w:rPr>
      </w:pPr>
    </w:p>
    <w:p w14:paraId="0AF3690E">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（签字或者盖章或者电子签名）</w:t>
      </w:r>
      <w:r>
        <w:rPr>
          <w:rFonts w:hint="eastAsia" w:ascii="宋体" w:hAnsi="宋体" w:cs="宋体"/>
          <w:color w:val="auto"/>
          <w:sz w:val="24"/>
          <w:highlight w:val="none"/>
        </w:rPr>
        <w:t>：</w:t>
      </w:r>
    </w:p>
    <w:p w14:paraId="3711FDC7">
      <w:pPr>
        <w:spacing w:line="360" w:lineRule="auto"/>
        <w:ind w:right="480" w:firstLine="300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p>
    <w:p w14:paraId="48417DE7">
      <w:pPr>
        <w:spacing w:line="360" w:lineRule="auto"/>
        <w:ind w:firstLine="480"/>
        <w:contextualSpacing/>
        <w:jc w:val="right"/>
        <w:rPr>
          <w:rFonts w:hint="eastAsia" w:ascii="宋体" w:hAnsi="宋体" w:cs="宋体"/>
          <w:color w:val="auto"/>
          <w:sz w:val="28"/>
          <w:szCs w:val="28"/>
          <w:highlight w:val="none"/>
        </w:rPr>
      </w:pPr>
      <w:r>
        <w:rPr>
          <w:rFonts w:hint="eastAsia" w:ascii="宋体" w:hAnsi="宋体" w:cs="宋体"/>
          <w:color w:val="auto"/>
          <w:sz w:val="24"/>
          <w:highlight w:val="none"/>
        </w:rPr>
        <w:t>年    月    日</w:t>
      </w:r>
    </w:p>
    <w:p w14:paraId="1387F31E">
      <w:pPr>
        <w:jc w:val="center"/>
        <w:rPr>
          <w:rFonts w:hint="eastAsia" w:ascii="宋体" w:hAnsi="宋体"/>
          <w:b/>
          <w:color w:val="auto"/>
          <w:sz w:val="28"/>
          <w:szCs w:val="28"/>
          <w:highlight w:val="none"/>
        </w:rPr>
      </w:pPr>
      <w:r>
        <w:rPr>
          <w:rFonts w:ascii="宋体" w:hAnsi="宋体"/>
          <w:b/>
          <w:color w:val="auto"/>
          <w:sz w:val="28"/>
          <w:szCs w:val="28"/>
          <w:highlight w:val="none"/>
        </w:rPr>
        <w:br w:type="page" w:clear="all"/>
      </w:r>
    </w:p>
    <w:p w14:paraId="61868476">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00949669">
      <w:pPr>
        <w:spacing w:line="360" w:lineRule="auto"/>
        <w:jc w:val="center"/>
        <w:rPr>
          <w:rFonts w:hint="eastAsia" w:ascii="宋体" w:hAnsi="宋体"/>
          <w:b/>
          <w:color w:val="auto"/>
          <w:sz w:val="24"/>
          <w:highlight w:val="none"/>
        </w:rPr>
      </w:pPr>
    </w:p>
    <w:tbl>
      <w:tblPr>
        <w:tblStyle w:val="4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656C82A">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F5AF111">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EDEF87C">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AEF9427">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134D3F">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相互关系</w:t>
            </w:r>
          </w:p>
        </w:tc>
      </w:tr>
      <w:tr w14:paraId="749C84A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718A9EC">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83BAB56">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428CB99">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C177FC0">
            <w:pPr>
              <w:widowControl/>
              <w:spacing w:line="360" w:lineRule="auto"/>
              <w:contextualSpacing/>
              <w:jc w:val="center"/>
              <w:rPr>
                <w:rFonts w:hint="eastAsia" w:ascii="宋体" w:hAnsi="宋体" w:cs="宋体"/>
                <w:color w:val="auto"/>
                <w:sz w:val="24"/>
                <w:highlight w:val="none"/>
              </w:rPr>
            </w:pPr>
          </w:p>
        </w:tc>
      </w:tr>
      <w:tr w14:paraId="0D6A8B07">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2A4037B">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926398A">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7A0AEC">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701C484">
            <w:pPr>
              <w:widowControl/>
              <w:spacing w:line="360" w:lineRule="auto"/>
              <w:contextualSpacing/>
              <w:jc w:val="center"/>
              <w:rPr>
                <w:rFonts w:hint="eastAsia" w:ascii="宋体" w:hAnsi="宋体" w:cs="宋体"/>
                <w:color w:val="auto"/>
                <w:sz w:val="24"/>
                <w:highlight w:val="none"/>
              </w:rPr>
            </w:pPr>
          </w:p>
        </w:tc>
      </w:tr>
      <w:tr w14:paraId="0D12CA2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C4CAD04">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4964A7F">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4B4AE05">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284E564">
            <w:pPr>
              <w:widowControl/>
              <w:spacing w:line="360" w:lineRule="auto"/>
              <w:contextualSpacing/>
              <w:jc w:val="center"/>
              <w:rPr>
                <w:rFonts w:hint="eastAsia" w:ascii="宋体" w:hAnsi="宋体" w:cs="宋体"/>
                <w:color w:val="auto"/>
                <w:sz w:val="24"/>
                <w:highlight w:val="none"/>
              </w:rPr>
            </w:pPr>
          </w:p>
        </w:tc>
      </w:tr>
      <w:tr w14:paraId="71AD4C9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F869412">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8EB7BAF">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CF4E03C">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94B3AB5">
            <w:pPr>
              <w:widowControl/>
              <w:spacing w:line="360" w:lineRule="auto"/>
              <w:contextualSpacing/>
              <w:jc w:val="center"/>
              <w:rPr>
                <w:rFonts w:hint="eastAsia" w:ascii="宋体" w:hAnsi="宋体" w:cs="宋体"/>
                <w:color w:val="auto"/>
                <w:sz w:val="24"/>
                <w:highlight w:val="none"/>
              </w:rPr>
            </w:pPr>
          </w:p>
        </w:tc>
      </w:tr>
    </w:tbl>
    <w:p w14:paraId="44DA885F">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0EAE821A">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57C1CDE6">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4104E212">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7361AD7E">
      <w:pPr>
        <w:spacing w:line="360" w:lineRule="auto"/>
        <w:contextualSpacing/>
        <w:jc w:val="left"/>
        <w:rPr>
          <w:rFonts w:hint="eastAsia" w:ascii="宋体" w:hAnsi="宋体"/>
          <w:color w:val="auto"/>
          <w:sz w:val="28"/>
          <w:szCs w:val="28"/>
          <w:highlight w:val="none"/>
        </w:rPr>
      </w:pPr>
    </w:p>
    <w:p w14:paraId="0549BCA1">
      <w:pPr>
        <w:spacing w:line="360" w:lineRule="auto"/>
        <w:contextualSpacing/>
        <w:jc w:val="left"/>
        <w:rPr>
          <w:rFonts w:hint="eastAsia" w:ascii="宋体" w:hAnsi="宋体"/>
          <w:color w:val="auto"/>
          <w:sz w:val="28"/>
          <w:szCs w:val="28"/>
          <w:highlight w:val="none"/>
        </w:rPr>
      </w:pPr>
    </w:p>
    <w:p w14:paraId="78D617B8">
      <w:pPr>
        <w:spacing w:line="360" w:lineRule="auto"/>
        <w:contextualSpacing/>
        <w:jc w:val="left"/>
        <w:rPr>
          <w:color w:val="auto"/>
          <w:sz w:val="28"/>
          <w:szCs w:val="28"/>
          <w:highlight w:val="none"/>
        </w:rPr>
      </w:pPr>
    </w:p>
    <w:p w14:paraId="4858E6A1">
      <w:pPr>
        <w:spacing w:line="360" w:lineRule="auto"/>
        <w:contextualSpacing/>
        <w:jc w:val="left"/>
        <w:rPr>
          <w:color w:val="auto"/>
          <w:sz w:val="28"/>
          <w:szCs w:val="28"/>
          <w:highlight w:val="none"/>
        </w:rPr>
      </w:pPr>
    </w:p>
    <w:p w14:paraId="159480D6">
      <w:pPr>
        <w:spacing w:line="360" w:lineRule="auto"/>
        <w:contextualSpacing/>
        <w:jc w:val="left"/>
        <w:rPr>
          <w:color w:val="auto"/>
          <w:sz w:val="28"/>
          <w:szCs w:val="28"/>
          <w:highlight w:val="none"/>
        </w:rPr>
      </w:pPr>
    </w:p>
    <w:p w14:paraId="7D1F5D1E">
      <w:pPr>
        <w:spacing w:line="360" w:lineRule="auto"/>
        <w:contextualSpacing/>
        <w:jc w:val="left"/>
        <w:rPr>
          <w:rFonts w:hint="eastAsia" w:ascii="宋体" w:hAnsi="宋体"/>
          <w:color w:val="auto"/>
          <w:sz w:val="28"/>
          <w:szCs w:val="28"/>
          <w:highlight w:val="none"/>
        </w:rPr>
      </w:pPr>
    </w:p>
    <w:p w14:paraId="37443DC3">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法定代表人或者委托代理人（签字或者盖章或者电子签名）：</w:t>
      </w:r>
    </w:p>
    <w:p w14:paraId="5002310A">
      <w:pPr>
        <w:spacing w:line="360" w:lineRule="auto"/>
        <w:ind w:right="480" w:firstLine="336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7F20263E">
      <w:pPr>
        <w:spacing w:line="360" w:lineRule="auto"/>
        <w:ind w:firstLine="480"/>
        <w:contextualSpacing/>
        <w:jc w:val="left"/>
        <w:rPr>
          <w:rFonts w:hint="eastAsia" w:ascii="宋体" w:hAnsi="宋体"/>
          <w:color w:val="auto"/>
          <w:sz w:val="28"/>
          <w:szCs w:val="28"/>
          <w:highlight w:val="none"/>
        </w:rPr>
      </w:pPr>
      <w:r>
        <w:rPr>
          <w:rFonts w:hint="eastAsia" w:ascii="宋体" w:hAnsi="宋体"/>
          <w:color w:val="auto"/>
          <w:sz w:val="24"/>
          <w:highlight w:val="none"/>
        </w:rPr>
        <w:t xml:space="preserve">                                        年    月    日</w:t>
      </w:r>
    </w:p>
    <w:p w14:paraId="0F682205">
      <w:pPr>
        <w:spacing w:line="320" w:lineRule="exact"/>
        <w:jc w:val="center"/>
        <w:rPr>
          <w:rFonts w:hint="eastAsia" w:ascii="宋体" w:hAnsi="宋体"/>
          <w:b/>
          <w:color w:val="auto"/>
          <w:sz w:val="32"/>
          <w:szCs w:val="32"/>
          <w:highlight w:val="none"/>
        </w:rPr>
      </w:pPr>
      <w:r>
        <w:rPr>
          <w:rFonts w:ascii="宋体" w:hAnsi="宋体"/>
          <w:color w:val="auto"/>
          <w:sz w:val="28"/>
          <w:szCs w:val="28"/>
          <w:highlight w:val="none"/>
        </w:rPr>
        <w:br w:type="page" w:clear="all"/>
      </w:r>
      <w:r>
        <w:rPr>
          <w:rFonts w:hint="eastAsia" w:ascii="宋体" w:hAnsi="宋体"/>
          <w:b/>
          <w:color w:val="auto"/>
          <w:sz w:val="32"/>
          <w:szCs w:val="32"/>
          <w:highlight w:val="none"/>
        </w:rPr>
        <w:t>竞标声明</w:t>
      </w:r>
    </w:p>
    <w:p w14:paraId="28EDD948">
      <w:pPr>
        <w:spacing w:line="320" w:lineRule="exact"/>
        <w:jc w:val="center"/>
        <w:rPr>
          <w:rFonts w:hint="eastAsia" w:ascii="宋体" w:hAnsi="宋体"/>
          <w:color w:val="auto"/>
          <w:sz w:val="24"/>
          <w:szCs w:val="20"/>
          <w:highlight w:val="none"/>
        </w:rPr>
      </w:pPr>
    </w:p>
    <w:p w14:paraId="47B5733A">
      <w:pPr>
        <w:spacing w:line="360" w:lineRule="auto"/>
        <w:contextualSpacing/>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致：</w:t>
      </w:r>
      <w:r>
        <w:rPr>
          <w:rFonts w:hint="eastAsia" w:ascii="宋体" w:hAnsi="宋体" w:cs="宋体"/>
          <w:color w:val="auto"/>
          <w:sz w:val="24"/>
          <w:highlight w:val="none"/>
          <w:u w:val="single"/>
          <w:lang w:eastAsia="zh-CN"/>
        </w:rPr>
        <w:t>贵港市覃塘区人民医院</w:t>
      </w:r>
    </w:p>
    <w:p w14:paraId="17124A4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3B7F68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3378B0F8">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3829E878">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3AC81D4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2A183D4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7EF2C83E">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42F8E65D">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61AA50BB">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5DE7F2B1">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6566B8F">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5C691F1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47D9D26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A6888BE">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75288A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6451989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29584AA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B34A21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D3A1EE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□我方本次响应文件内容中未涉及商业秘密；</w:t>
      </w:r>
    </w:p>
    <w:p w14:paraId="69C0244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B3CF058">
      <w:pPr>
        <w:pStyle w:val="25"/>
        <w:spacing w:line="360" w:lineRule="auto"/>
        <w:ind w:firstLine="48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7.与本磋商有关的一切正式往来信函请寄：邮政编号：</w:t>
      </w:r>
    </w:p>
    <w:p w14:paraId="3BDD220E">
      <w:pPr>
        <w:pStyle w:val="25"/>
        <w:spacing w:line="360" w:lineRule="auto"/>
        <w:ind w:firstLine="48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highlight w:val="none"/>
          <w:u w:val="single"/>
        </w:rPr>
        <w:t xml:space="preserve">                   </w:t>
      </w:r>
    </w:p>
    <w:p w14:paraId="2D7054DE">
      <w:pPr>
        <w:pStyle w:val="21"/>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4974A410">
      <w:pPr>
        <w:pStyle w:val="21"/>
        <w:tabs>
          <w:tab w:val="left" w:pos="939"/>
        </w:tabs>
        <w:spacing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1AC6C45E">
      <w:pPr>
        <w:pStyle w:val="21"/>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特此承诺。</w:t>
      </w:r>
    </w:p>
    <w:p w14:paraId="566819B9">
      <w:pPr>
        <w:spacing w:line="360" w:lineRule="auto"/>
        <w:ind w:firstLine="482"/>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72AFA44C">
      <w:pPr>
        <w:spacing w:line="360" w:lineRule="auto"/>
        <w:contextualSpacing/>
        <w:jc w:val="left"/>
        <w:rPr>
          <w:rFonts w:hint="eastAsia" w:ascii="宋体" w:hAnsi="宋体" w:cs="宋体"/>
          <w:color w:val="auto"/>
          <w:szCs w:val="21"/>
          <w:highlight w:val="none"/>
        </w:rPr>
      </w:pPr>
    </w:p>
    <w:p w14:paraId="573EEC7F">
      <w:pPr>
        <w:spacing w:line="360" w:lineRule="auto"/>
        <w:ind w:firstLine="1800"/>
        <w:contextualSpacing/>
        <w:rPr>
          <w:rFonts w:hint="eastAsia" w:ascii="宋体" w:hAnsi="宋体"/>
          <w:color w:val="auto"/>
          <w:sz w:val="24"/>
          <w:highlight w:val="none"/>
        </w:rPr>
      </w:pPr>
      <w:r>
        <w:rPr>
          <w:rFonts w:hint="eastAsia" w:ascii="宋体" w:hAnsi="宋体"/>
          <w:color w:val="auto"/>
          <w:sz w:val="24"/>
          <w:highlight w:val="none"/>
        </w:rPr>
        <w:t>法定代表人（签字或者盖章或者电子签名）：</w:t>
      </w:r>
    </w:p>
    <w:p w14:paraId="2403ABC4">
      <w:pPr>
        <w:spacing w:line="360" w:lineRule="auto"/>
        <w:ind w:firstLine="1800"/>
        <w:contextualSpacing/>
        <w:rPr>
          <w:rFonts w:hint="eastAsia" w:ascii="宋体" w:hAnsi="宋体"/>
          <w:color w:val="auto"/>
          <w:sz w:val="24"/>
          <w:highlight w:val="none"/>
        </w:rPr>
      </w:pPr>
      <w:r>
        <w:rPr>
          <w:rFonts w:hint="eastAsia" w:ascii="宋体" w:hAnsi="宋体"/>
          <w:color w:val="auto"/>
          <w:sz w:val="24"/>
          <w:highlight w:val="none"/>
        </w:rPr>
        <w:t>供应商（电子签章）：</w:t>
      </w:r>
    </w:p>
    <w:p w14:paraId="3BE139B2">
      <w:pPr>
        <w:pStyle w:val="8"/>
        <w:spacing w:line="360" w:lineRule="auto"/>
        <w:ind w:firstLine="0"/>
        <w:contextualSpacing/>
        <w:jc w:val="right"/>
        <w:rPr>
          <w:rFonts w:hint="eastAsia" w:ascii="宋体" w:hAnsi="宋体" w:cs="仿宋_GB2312"/>
          <w:color w:val="auto"/>
          <w:sz w:val="24"/>
          <w:szCs w:val="24"/>
          <w:highlight w:val="none"/>
        </w:rPr>
      </w:pPr>
      <w:r>
        <w:rPr>
          <w:rFonts w:hint="eastAsia" w:ascii="宋体" w:hAnsi="宋体" w:cs="宋体"/>
          <w:color w:val="auto"/>
          <w:szCs w:val="21"/>
          <w:highlight w:val="none"/>
        </w:rPr>
        <w:t xml:space="preserve"> </w:t>
      </w:r>
      <w:r>
        <w:rPr>
          <w:rFonts w:hint="eastAsia" w:ascii="宋体" w:hAnsi="宋体"/>
          <w:color w:val="auto"/>
          <w:sz w:val="24"/>
          <w:szCs w:val="24"/>
          <w:highlight w:val="none"/>
        </w:rPr>
        <w:t xml:space="preserve">   年    月    日</w:t>
      </w:r>
    </w:p>
    <w:p w14:paraId="4A6F440B">
      <w:pPr>
        <w:pStyle w:val="8"/>
        <w:spacing w:line="360" w:lineRule="auto"/>
        <w:ind w:firstLine="0"/>
        <w:contextualSpacing/>
        <w:rPr>
          <w:rFonts w:hint="eastAsia" w:ascii="宋体" w:hAnsi="宋体" w:cs="仿宋_GB2312"/>
          <w:color w:val="auto"/>
          <w:sz w:val="24"/>
          <w:szCs w:val="24"/>
          <w:highlight w:val="none"/>
        </w:rPr>
      </w:pPr>
    </w:p>
    <w:p w14:paraId="299246CB">
      <w:pPr>
        <w:spacing w:line="360" w:lineRule="auto"/>
        <w:ind w:firstLine="321"/>
        <w:contextualSpacing/>
        <w:jc w:val="center"/>
        <w:rPr>
          <w:rFonts w:hint="eastAsia" w:ascii="宋体" w:hAnsi="宋体"/>
          <w:b/>
          <w:bCs/>
          <w:color w:val="auto"/>
          <w:sz w:val="32"/>
          <w:szCs w:val="32"/>
          <w:highlight w:val="none"/>
        </w:rPr>
      </w:pPr>
    </w:p>
    <w:p w14:paraId="6BB2A9B1">
      <w:pPr>
        <w:spacing w:line="360" w:lineRule="auto"/>
        <w:ind w:firstLine="321"/>
        <w:contextualSpacing/>
        <w:jc w:val="center"/>
        <w:rPr>
          <w:rFonts w:hint="eastAsia" w:ascii="宋体" w:hAnsi="宋体"/>
          <w:b/>
          <w:bCs/>
          <w:color w:val="auto"/>
          <w:sz w:val="32"/>
          <w:szCs w:val="32"/>
          <w:highlight w:val="none"/>
        </w:rPr>
      </w:pPr>
    </w:p>
    <w:p w14:paraId="4024E43C">
      <w:pPr>
        <w:spacing w:line="360" w:lineRule="auto"/>
        <w:ind w:firstLine="321"/>
        <w:contextualSpacing/>
        <w:jc w:val="center"/>
        <w:rPr>
          <w:rFonts w:hint="eastAsia" w:ascii="宋体" w:hAnsi="宋体"/>
          <w:b/>
          <w:bCs/>
          <w:color w:val="auto"/>
          <w:sz w:val="32"/>
          <w:szCs w:val="32"/>
          <w:highlight w:val="none"/>
        </w:rPr>
      </w:pPr>
    </w:p>
    <w:p w14:paraId="6254B23A">
      <w:pPr>
        <w:spacing w:line="360" w:lineRule="auto"/>
        <w:ind w:firstLine="321"/>
        <w:contextualSpacing/>
        <w:jc w:val="center"/>
        <w:rPr>
          <w:rFonts w:hint="eastAsia" w:ascii="宋体" w:hAnsi="宋体"/>
          <w:b/>
          <w:bCs/>
          <w:color w:val="auto"/>
          <w:sz w:val="32"/>
          <w:szCs w:val="32"/>
          <w:highlight w:val="none"/>
        </w:rPr>
      </w:pPr>
    </w:p>
    <w:p w14:paraId="66465281">
      <w:pPr>
        <w:spacing w:line="360" w:lineRule="auto"/>
        <w:ind w:firstLine="321"/>
        <w:contextualSpacing/>
        <w:jc w:val="center"/>
        <w:rPr>
          <w:rFonts w:hint="eastAsia" w:ascii="宋体" w:hAnsi="宋体"/>
          <w:b/>
          <w:bCs/>
          <w:color w:val="auto"/>
          <w:sz w:val="32"/>
          <w:szCs w:val="32"/>
          <w:highlight w:val="none"/>
        </w:rPr>
      </w:pPr>
    </w:p>
    <w:p w14:paraId="32D80D3C">
      <w:pPr>
        <w:spacing w:line="360" w:lineRule="auto"/>
        <w:ind w:firstLine="321"/>
        <w:contextualSpacing/>
        <w:jc w:val="center"/>
        <w:rPr>
          <w:rFonts w:hint="eastAsia" w:ascii="宋体" w:hAnsi="宋体"/>
          <w:b/>
          <w:bCs/>
          <w:color w:val="auto"/>
          <w:sz w:val="32"/>
          <w:szCs w:val="32"/>
          <w:highlight w:val="none"/>
        </w:rPr>
      </w:pPr>
    </w:p>
    <w:p w14:paraId="25807FA1">
      <w:pPr>
        <w:spacing w:line="360" w:lineRule="auto"/>
        <w:ind w:firstLine="321"/>
        <w:contextualSpacing/>
        <w:jc w:val="center"/>
        <w:rPr>
          <w:rFonts w:hint="eastAsia" w:ascii="宋体" w:hAnsi="宋体"/>
          <w:b/>
          <w:bCs/>
          <w:color w:val="auto"/>
          <w:sz w:val="32"/>
          <w:szCs w:val="32"/>
          <w:highlight w:val="none"/>
        </w:rPr>
      </w:pPr>
    </w:p>
    <w:p w14:paraId="4DAD0C3E">
      <w:pPr>
        <w:spacing w:line="360" w:lineRule="auto"/>
        <w:ind w:firstLine="321"/>
        <w:contextualSpacing/>
        <w:jc w:val="center"/>
        <w:rPr>
          <w:rFonts w:hint="eastAsia" w:ascii="宋体" w:hAnsi="宋体"/>
          <w:b/>
          <w:bCs/>
          <w:color w:val="auto"/>
          <w:sz w:val="32"/>
          <w:szCs w:val="32"/>
          <w:highlight w:val="none"/>
        </w:rPr>
      </w:pPr>
    </w:p>
    <w:p w14:paraId="02BB8EAE">
      <w:pPr>
        <w:spacing w:line="360" w:lineRule="auto"/>
        <w:ind w:firstLine="321"/>
        <w:contextualSpacing/>
        <w:jc w:val="center"/>
        <w:rPr>
          <w:rFonts w:hint="eastAsia" w:ascii="宋体" w:hAnsi="宋体"/>
          <w:b/>
          <w:bCs/>
          <w:color w:val="auto"/>
          <w:sz w:val="32"/>
          <w:szCs w:val="32"/>
          <w:highlight w:val="none"/>
        </w:rPr>
      </w:pPr>
    </w:p>
    <w:p w14:paraId="705D48C1">
      <w:pPr>
        <w:spacing w:line="360" w:lineRule="auto"/>
        <w:ind w:firstLine="321"/>
        <w:contextualSpacing/>
        <w:jc w:val="center"/>
        <w:rPr>
          <w:rFonts w:hint="eastAsia" w:ascii="宋体" w:hAnsi="宋体"/>
          <w:b/>
          <w:bCs/>
          <w:color w:val="auto"/>
          <w:sz w:val="32"/>
          <w:szCs w:val="32"/>
          <w:highlight w:val="none"/>
        </w:rPr>
      </w:pPr>
    </w:p>
    <w:p w14:paraId="45BD0003">
      <w:pPr>
        <w:spacing w:line="360" w:lineRule="auto"/>
        <w:ind w:firstLine="321"/>
        <w:contextualSpacing/>
        <w:jc w:val="center"/>
        <w:rPr>
          <w:rFonts w:hint="eastAsia" w:ascii="宋体" w:hAnsi="宋体"/>
          <w:b/>
          <w:bCs/>
          <w:color w:val="auto"/>
          <w:sz w:val="32"/>
          <w:szCs w:val="32"/>
          <w:highlight w:val="none"/>
        </w:rPr>
      </w:pPr>
    </w:p>
    <w:p w14:paraId="7EB65338">
      <w:pPr>
        <w:widowControl/>
        <w:jc w:val="center"/>
        <w:rPr>
          <w:rFonts w:hint="eastAsia" w:ascii="宋体" w:hAnsi="宋体" w:cs="宋体"/>
          <w:b/>
          <w:color w:val="auto"/>
          <w:sz w:val="32"/>
          <w:szCs w:val="32"/>
          <w:highlight w:val="none"/>
        </w:rPr>
      </w:pPr>
    </w:p>
    <w:p w14:paraId="33A38D45">
      <w:pPr>
        <w:widowControl/>
        <w:jc w:val="center"/>
        <w:rPr>
          <w:rFonts w:hint="eastAsia" w:ascii="宋体" w:hAnsi="宋体" w:cs="宋体"/>
          <w:color w:val="auto"/>
          <w:highlight w:val="none"/>
        </w:rPr>
      </w:pPr>
      <w:r>
        <w:rPr>
          <w:rFonts w:hint="eastAsia" w:ascii="宋体" w:hAnsi="宋体" w:cs="宋体"/>
          <w:b/>
          <w:color w:val="auto"/>
          <w:sz w:val="32"/>
          <w:szCs w:val="32"/>
          <w:highlight w:val="none"/>
        </w:rPr>
        <w:t>贵港市政府采购项目投标资格承诺函</w:t>
      </w:r>
    </w:p>
    <w:p w14:paraId="246F68B5">
      <w:pPr>
        <w:widowControl/>
        <w:spacing w:line="360" w:lineRule="auto"/>
        <w:ind w:firstLine="420"/>
        <w:jc w:val="left"/>
        <w:rPr>
          <w:rFonts w:hint="eastAsia" w:ascii="宋体" w:hAnsi="宋体" w:cs="宋体"/>
          <w:color w:val="auto"/>
          <w:szCs w:val="21"/>
          <w:highlight w:val="none"/>
        </w:rPr>
      </w:pPr>
    </w:p>
    <w:p w14:paraId="6110BD05">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本公司郑重承诺，根据《中华人民共和国政府采购法》第二十二条的规定，本公司为参加政府采购活动的合格供应商。即本公司同时满足以下条件： </w:t>
      </w:r>
    </w:p>
    <w:p w14:paraId="5A305DC7">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1.具有独立承担民事责任的能力。 </w:t>
      </w:r>
    </w:p>
    <w:p w14:paraId="0C8A89E4">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39D8A733">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3.具有履行合同所必需的设备和专业技术能力。 </w:t>
      </w:r>
    </w:p>
    <w:p w14:paraId="47933248">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4.有依法缴纳税收和社会保障资金的良好记录。 </w:t>
      </w:r>
    </w:p>
    <w:p w14:paraId="74FCDD6D">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5. 提交响应文件截止日期前三年内，在经营活动中没有重大违法记录。 </w:t>
      </w:r>
    </w:p>
    <w:p w14:paraId="23C7A6AB">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本公司对上述承诺的真实性负责，并接受政府采购、税务、社会保障等监督管理部门、采购文件规定的资格审查机构、社会公众的监督和检查。如有虚假，将依法承担相应责任。</w:t>
      </w:r>
    </w:p>
    <w:p w14:paraId="3D51C291">
      <w:pPr>
        <w:spacing w:line="320" w:lineRule="exact"/>
        <w:jc w:val="center"/>
        <w:rPr>
          <w:rFonts w:hint="eastAsia" w:ascii="宋体" w:hAnsi="宋体" w:cs="宋体"/>
          <w:b/>
          <w:color w:val="auto"/>
          <w:sz w:val="24"/>
          <w:highlight w:val="none"/>
        </w:rPr>
      </w:pPr>
    </w:p>
    <w:p w14:paraId="04A2035B">
      <w:pPr>
        <w:spacing w:line="320" w:lineRule="exact"/>
        <w:jc w:val="center"/>
        <w:rPr>
          <w:rFonts w:hint="eastAsia" w:ascii="宋体" w:hAnsi="宋体" w:cs="宋体"/>
          <w:b/>
          <w:color w:val="auto"/>
          <w:sz w:val="24"/>
          <w:highlight w:val="none"/>
        </w:rPr>
      </w:pPr>
    </w:p>
    <w:p w14:paraId="566762E5">
      <w:pPr>
        <w:spacing w:line="320" w:lineRule="exact"/>
        <w:jc w:val="center"/>
        <w:rPr>
          <w:rFonts w:hint="eastAsia" w:ascii="宋体" w:hAnsi="宋体" w:cs="宋体"/>
          <w:b/>
          <w:color w:val="auto"/>
          <w:sz w:val="24"/>
          <w:highlight w:val="none"/>
        </w:rPr>
      </w:pPr>
    </w:p>
    <w:p w14:paraId="5749C4CE">
      <w:pPr>
        <w:spacing w:line="320" w:lineRule="exact"/>
        <w:jc w:val="center"/>
        <w:rPr>
          <w:rFonts w:hint="eastAsia" w:ascii="宋体" w:hAnsi="宋体" w:cs="宋体"/>
          <w:b/>
          <w:color w:val="auto"/>
          <w:sz w:val="24"/>
          <w:highlight w:val="none"/>
        </w:rPr>
      </w:pPr>
    </w:p>
    <w:p w14:paraId="440FF5F7">
      <w:pPr>
        <w:spacing w:line="360" w:lineRule="auto"/>
        <w:ind w:right="-817"/>
        <w:contextualSpacing/>
        <w:jc w:val="center"/>
        <w:rPr>
          <w:rFonts w:hint="eastAsia" w:ascii="宋体" w:hAnsi="宋体" w:cs="宋体"/>
          <w:color w:val="auto"/>
          <w:sz w:val="24"/>
          <w:highlight w:val="none"/>
        </w:rPr>
      </w:pPr>
      <w:r>
        <w:rPr>
          <w:rFonts w:hint="eastAsia" w:ascii="宋体" w:hAnsi="宋体" w:cs="宋体"/>
          <w:color w:val="auto"/>
          <w:sz w:val="24"/>
          <w:highlight w:val="none"/>
        </w:rPr>
        <w:t>法定代表人（签字或盖章或电子签名）：</w:t>
      </w:r>
    </w:p>
    <w:p w14:paraId="335BEA7C">
      <w:pPr>
        <w:spacing w:line="320" w:lineRule="exact"/>
        <w:jc w:val="center"/>
        <w:rPr>
          <w:rFonts w:hint="eastAsia" w:ascii="宋体" w:hAnsi="宋体" w:cs="宋体"/>
          <w:b/>
          <w:color w:val="auto"/>
          <w:sz w:val="24"/>
          <w:highlight w:val="none"/>
        </w:rPr>
      </w:pPr>
      <w:r>
        <w:rPr>
          <w:rFonts w:hint="eastAsia" w:ascii="宋体" w:hAnsi="宋体" w:cs="宋体"/>
          <w:color w:val="auto"/>
          <w:sz w:val="24"/>
          <w:highlight w:val="none"/>
        </w:rPr>
        <w:t>供应商（公章或电子签章）：</w:t>
      </w:r>
    </w:p>
    <w:p w14:paraId="683F6425">
      <w:pPr>
        <w:spacing w:line="360" w:lineRule="auto"/>
        <w:contextualSpacing/>
        <w:jc w:val="both"/>
        <w:rPr>
          <w:rFonts w:hint="eastAsia" w:ascii="宋体" w:hAnsi="宋体"/>
          <w:b/>
          <w:bCs/>
          <w:color w:val="auto"/>
          <w:sz w:val="32"/>
          <w:szCs w:val="32"/>
          <w:highlight w:val="none"/>
        </w:rPr>
      </w:pPr>
    </w:p>
    <w:p w14:paraId="62F1DC1F">
      <w:pPr>
        <w:ind w:firstLine="4800"/>
        <w:rPr>
          <w:rFonts w:hint="eastAsia" w:ascii="宋体" w:hAnsi="宋体"/>
          <w:b/>
          <w:bCs/>
          <w:color w:val="auto"/>
          <w:sz w:val="32"/>
          <w:szCs w:val="32"/>
          <w:highlight w:val="none"/>
        </w:rPr>
      </w:pPr>
      <w:r>
        <w:rPr>
          <w:rFonts w:hint="eastAsia" w:ascii="宋体" w:hAnsi="宋体"/>
          <w:color w:val="auto"/>
          <w:sz w:val="24"/>
          <w:szCs w:val="24"/>
          <w:highlight w:val="none"/>
        </w:rPr>
        <w:t xml:space="preserve"> 年    月    日</w:t>
      </w:r>
    </w:p>
    <w:p w14:paraId="739674B0">
      <w:pPr>
        <w:spacing w:line="360" w:lineRule="auto"/>
        <w:ind w:firstLine="321"/>
        <w:contextualSpacing/>
        <w:jc w:val="center"/>
        <w:rPr>
          <w:rFonts w:hint="eastAsia" w:ascii="宋体" w:hAnsi="宋体"/>
          <w:b/>
          <w:bCs/>
          <w:color w:val="auto"/>
          <w:sz w:val="32"/>
          <w:szCs w:val="32"/>
          <w:highlight w:val="none"/>
        </w:rPr>
      </w:pPr>
    </w:p>
    <w:p w14:paraId="6E078590">
      <w:pPr>
        <w:spacing w:line="360" w:lineRule="auto"/>
        <w:ind w:firstLine="321"/>
        <w:contextualSpacing/>
        <w:jc w:val="center"/>
        <w:rPr>
          <w:rFonts w:hint="eastAsia" w:ascii="宋体" w:hAnsi="宋体"/>
          <w:b/>
          <w:bCs/>
          <w:color w:val="auto"/>
          <w:sz w:val="32"/>
          <w:szCs w:val="32"/>
          <w:highlight w:val="none"/>
        </w:rPr>
      </w:pPr>
    </w:p>
    <w:p w14:paraId="319BC872">
      <w:pPr>
        <w:rPr>
          <w:rFonts w:hint="eastAsia" w:ascii="宋体" w:hAnsi="宋体"/>
          <w:b/>
          <w:bCs/>
          <w:color w:val="auto"/>
          <w:sz w:val="32"/>
          <w:szCs w:val="32"/>
          <w:highlight w:val="none"/>
        </w:rPr>
      </w:pPr>
      <w:r>
        <w:rPr>
          <w:rFonts w:hint="eastAsia" w:ascii="宋体" w:hAnsi="宋体"/>
          <w:b/>
          <w:bCs/>
          <w:color w:val="auto"/>
          <w:sz w:val="32"/>
          <w:szCs w:val="32"/>
          <w:highlight w:val="none"/>
        </w:rPr>
        <w:br w:type="page" w:clear="all"/>
      </w:r>
    </w:p>
    <w:p w14:paraId="1D55B3EC">
      <w:pPr>
        <w:pStyle w:val="2"/>
        <w:rPr>
          <w:rFonts w:hint="eastAsia"/>
          <w:color w:val="auto"/>
          <w:highlight w:val="none"/>
        </w:rPr>
      </w:pPr>
    </w:p>
    <w:p w14:paraId="40657CE1">
      <w:pPr>
        <w:spacing w:line="360" w:lineRule="auto"/>
        <w:ind w:firstLine="321"/>
        <w:contextualSpacing/>
        <w:jc w:val="center"/>
        <w:rPr>
          <w:rFonts w:hint="eastAsia"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107497D0">
      <w:pPr>
        <w:spacing w:before="12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63F0B265">
      <w:pPr>
        <w:spacing w:before="120" w:after="50"/>
        <w:rPr>
          <w:rFonts w:hint="eastAsia" w:ascii="宋体" w:hAnsi="宋体"/>
          <w:bCs/>
          <w:color w:val="auto"/>
          <w:sz w:val="32"/>
          <w:szCs w:val="20"/>
          <w:highlight w:val="none"/>
        </w:rPr>
      </w:pPr>
    </w:p>
    <w:p w14:paraId="23F8B07F">
      <w:pPr>
        <w:spacing w:before="12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1697CFE1">
      <w:pPr>
        <w:spacing w:before="120" w:after="50"/>
        <w:rPr>
          <w:rFonts w:hint="eastAsia" w:ascii="宋体" w:hAnsi="宋体"/>
          <w:color w:val="auto"/>
          <w:sz w:val="24"/>
          <w:szCs w:val="20"/>
          <w:highlight w:val="none"/>
        </w:rPr>
      </w:pPr>
    </w:p>
    <w:p w14:paraId="590EB91D">
      <w:pPr>
        <w:spacing w:before="120" w:after="50"/>
        <w:rPr>
          <w:rFonts w:hint="eastAsia" w:ascii="宋体" w:hAnsi="宋体"/>
          <w:color w:val="auto"/>
          <w:sz w:val="24"/>
          <w:szCs w:val="20"/>
          <w:highlight w:val="none"/>
        </w:rPr>
      </w:pPr>
    </w:p>
    <w:p w14:paraId="24E0673A">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4FE4DFCE">
      <w:pPr>
        <w:spacing w:before="120" w:after="50"/>
        <w:rPr>
          <w:rFonts w:hint="eastAsia" w:ascii="宋体" w:hAnsi="宋体"/>
          <w:bCs/>
          <w:color w:val="auto"/>
          <w:sz w:val="24"/>
          <w:szCs w:val="20"/>
          <w:highlight w:val="none"/>
        </w:rPr>
      </w:pPr>
    </w:p>
    <w:p w14:paraId="1A6AC378">
      <w:pPr>
        <w:spacing w:before="120" w:after="50"/>
        <w:rPr>
          <w:rFonts w:hint="eastAsia" w:ascii="宋体" w:hAnsi="宋体"/>
          <w:bCs/>
          <w:color w:val="auto"/>
          <w:sz w:val="24"/>
          <w:szCs w:val="20"/>
          <w:highlight w:val="none"/>
        </w:rPr>
      </w:pPr>
    </w:p>
    <w:p w14:paraId="0CD9A013">
      <w:pPr>
        <w:spacing w:before="120" w:after="50"/>
        <w:rPr>
          <w:rFonts w:hint="eastAsia" w:ascii="宋体" w:hAnsi="宋体"/>
          <w:bCs/>
          <w:color w:val="auto"/>
          <w:sz w:val="24"/>
          <w:szCs w:val="20"/>
          <w:highlight w:val="none"/>
        </w:rPr>
      </w:pPr>
    </w:p>
    <w:p w14:paraId="13DEA556">
      <w:pPr>
        <w:spacing w:before="120" w:after="50"/>
        <w:rPr>
          <w:rFonts w:hint="eastAsia" w:ascii="宋体" w:hAnsi="宋体"/>
          <w:bCs/>
          <w:color w:val="auto"/>
          <w:sz w:val="24"/>
          <w:szCs w:val="20"/>
          <w:highlight w:val="none"/>
        </w:rPr>
      </w:pPr>
    </w:p>
    <w:p w14:paraId="5F79A311">
      <w:pPr>
        <w:spacing w:before="120" w:after="50"/>
        <w:rPr>
          <w:rFonts w:hint="eastAsia" w:ascii="宋体" w:hAnsi="宋体"/>
          <w:bCs/>
          <w:color w:val="auto"/>
          <w:sz w:val="24"/>
          <w:szCs w:val="20"/>
          <w:highlight w:val="none"/>
        </w:rPr>
      </w:pPr>
    </w:p>
    <w:p w14:paraId="5871A04F">
      <w:pPr>
        <w:spacing w:before="12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A1FEE70">
      <w:pPr>
        <w:spacing w:before="120" w:after="50"/>
        <w:ind w:firstLine="720"/>
        <w:rPr>
          <w:rFonts w:hint="eastAsia" w:ascii="宋体" w:hAnsi="宋体" w:cs="仿宋_GB2312"/>
          <w:bCs/>
          <w:color w:val="auto"/>
          <w:sz w:val="32"/>
          <w:szCs w:val="32"/>
          <w:highlight w:val="none"/>
        </w:rPr>
      </w:pPr>
    </w:p>
    <w:p w14:paraId="560AFC34">
      <w:pPr>
        <w:spacing w:before="12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E7A3599">
      <w:pPr>
        <w:spacing w:before="120" w:after="50"/>
        <w:ind w:firstLine="720"/>
        <w:rPr>
          <w:rFonts w:hint="eastAsia" w:ascii="宋体" w:hAnsi="宋体" w:cs="仿宋_GB2312"/>
          <w:bCs/>
          <w:color w:val="auto"/>
          <w:sz w:val="32"/>
          <w:szCs w:val="32"/>
          <w:highlight w:val="none"/>
        </w:rPr>
      </w:pPr>
    </w:p>
    <w:p w14:paraId="31671F33">
      <w:pPr>
        <w:pStyle w:val="8"/>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C24C1AA">
      <w:pPr>
        <w:pStyle w:val="8"/>
        <w:spacing w:before="50" w:after="50"/>
        <w:ind w:firstLine="640"/>
        <w:rPr>
          <w:rFonts w:hint="eastAsia" w:ascii="宋体" w:hAnsi="宋体" w:cs="仿宋_GB2312"/>
          <w:bCs/>
          <w:color w:val="auto"/>
          <w:sz w:val="32"/>
          <w:szCs w:val="32"/>
          <w:highlight w:val="none"/>
        </w:rPr>
      </w:pPr>
    </w:p>
    <w:p w14:paraId="0926844F">
      <w:pPr>
        <w:pStyle w:val="8"/>
        <w:spacing w:before="50" w:after="50"/>
        <w:ind w:firstLine="720"/>
        <w:rPr>
          <w:rFonts w:hint="eastAsia" w:ascii="宋体" w:hAnsi="宋体" w:cs="仿宋_GB2312"/>
          <w:bCs/>
          <w:color w:val="auto"/>
          <w:sz w:val="32"/>
          <w:szCs w:val="32"/>
          <w:highlight w:val="none"/>
        </w:rPr>
      </w:pPr>
    </w:p>
    <w:p w14:paraId="25AE6D3E">
      <w:pPr>
        <w:pStyle w:val="8"/>
        <w:spacing w:before="50" w:after="50"/>
        <w:ind w:firstLine="0"/>
        <w:rPr>
          <w:rFonts w:hint="eastAsia" w:ascii="宋体" w:hAnsi="宋体" w:cs="仿宋_GB2312"/>
          <w:bCs/>
          <w:color w:val="auto"/>
          <w:sz w:val="32"/>
          <w:szCs w:val="32"/>
          <w:highlight w:val="none"/>
        </w:rPr>
      </w:pPr>
    </w:p>
    <w:p w14:paraId="2FA1B340">
      <w:pPr>
        <w:pStyle w:val="8"/>
        <w:spacing w:before="50" w:after="50"/>
        <w:ind w:firstLine="1280"/>
        <w:rPr>
          <w:rFonts w:hint="eastAsia" w:ascii="宋体" w:hAnsi="宋体" w:cs="仿宋_GB2312"/>
          <w:bCs/>
          <w:color w:val="auto"/>
          <w:sz w:val="32"/>
          <w:szCs w:val="32"/>
          <w:highlight w:val="none"/>
        </w:rPr>
      </w:pPr>
    </w:p>
    <w:p w14:paraId="69665BEA">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16E10CA8">
      <w:pPr>
        <w:spacing w:before="120"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clear="all"/>
      </w:r>
      <w:r>
        <w:rPr>
          <w:rFonts w:hint="eastAsia" w:ascii="宋体" w:hAnsi="宋体"/>
          <w:b/>
          <w:bCs/>
          <w:color w:val="auto"/>
          <w:sz w:val="32"/>
          <w:szCs w:val="32"/>
          <w:highlight w:val="none"/>
        </w:rPr>
        <w:t>2.报价文件目录</w:t>
      </w:r>
    </w:p>
    <w:p w14:paraId="52AF4B0B">
      <w:pPr>
        <w:spacing w:line="520" w:lineRule="exact"/>
        <w:jc w:val="center"/>
        <w:rPr>
          <w:rFonts w:hint="eastAsia" w:ascii="宋体" w:hAnsi="宋体" w:cs="方正小标宋简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clear="all"/>
      </w:r>
      <w:r>
        <w:rPr>
          <w:rFonts w:hint="eastAsia" w:ascii="宋体" w:hAnsi="宋体" w:cs="方正小标宋简体"/>
          <w:b/>
          <w:bCs/>
          <w:color w:val="auto"/>
          <w:sz w:val="32"/>
          <w:szCs w:val="32"/>
          <w:highlight w:val="none"/>
        </w:rPr>
        <w:t>竞标函及竞标函附录</w:t>
      </w:r>
    </w:p>
    <w:p w14:paraId="29DEBFD0">
      <w:pPr>
        <w:spacing w:line="520" w:lineRule="exact"/>
        <w:jc w:val="center"/>
        <w:rPr>
          <w:rFonts w:hint="eastAsia" w:ascii="宋体" w:hAnsi="宋体" w:cs="方正小标宋简体"/>
          <w:b/>
          <w:bCs/>
          <w:color w:val="auto"/>
          <w:sz w:val="32"/>
          <w:szCs w:val="32"/>
          <w:highlight w:val="none"/>
        </w:rPr>
      </w:pPr>
    </w:p>
    <w:p w14:paraId="617147BB">
      <w:pPr>
        <w:spacing w:line="520" w:lineRule="exact"/>
        <w:jc w:val="center"/>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（一）竞标函</w:t>
      </w:r>
    </w:p>
    <w:p w14:paraId="51D9C17A">
      <w:pPr>
        <w:spacing w:line="520" w:lineRule="exact"/>
        <w:jc w:val="center"/>
        <w:rPr>
          <w:rFonts w:hint="eastAsia" w:ascii="宋体" w:hAnsi="宋体" w:cs="方正小标宋简体"/>
          <w:b/>
          <w:bCs/>
          <w:color w:val="auto"/>
          <w:sz w:val="32"/>
          <w:szCs w:val="32"/>
          <w:highlight w:val="none"/>
        </w:rPr>
      </w:pPr>
    </w:p>
    <w:p w14:paraId="29E0386B">
      <w:pPr>
        <w:spacing w:line="360" w:lineRule="auto"/>
        <w:rPr>
          <w:color w:val="auto"/>
          <w:szCs w:val="21"/>
          <w:highlight w:val="none"/>
          <w:u w:val="single"/>
        </w:rPr>
      </w:pPr>
      <w:r>
        <w:rPr>
          <w:rFonts w:hint="eastAsia"/>
          <w:color w:val="auto"/>
          <w:szCs w:val="21"/>
          <w:highlight w:val="none"/>
          <w:u w:val="single"/>
          <w:lang w:eastAsia="zh-CN"/>
        </w:rPr>
        <w:t>贵港市覃塘区人民医院</w:t>
      </w:r>
      <w:r>
        <w:rPr>
          <w:color w:val="auto"/>
          <w:szCs w:val="21"/>
          <w:highlight w:val="none"/>
          <w:u w:val="single"/>
        </w:rPr>
        <w:t>：</w:t>
      </w:r>
    </w:p>
    <w:p w14:paraId="56F0121E">
      <w:pPr>
        <w:pStyle w:val="237"/>
        <w:numPr>
          <w:ilvl w:val="0"/>
          <w:numId w:val="3"/>
        </w:numPr>
        <w:tabs>
          <w:tab w:val="left" w:pos="762"/>
          <w:tab w:val="left" w:pos="2074"/>
          <w:tab w:val="left" w:pos="3430"/>
          <w:tab w:val="left" w:pos="4687"/>
          <w:tab w:val="left" w:pos="7898"/>
        </w:tabs>
        <w:ind w:firstLine="440"/>
        <w:rPr>
          <w:rFonts w:ascii="Times New Roman" w:hAnsi="Times New Roman" w:cs="Times New Roman"/>
          <w:color w:val="auto"/>
          <w:szCs w:val="21"/>
          <w:highlight w:val="none"/>
        </w:rPr>
      </w:pPr>
      <w:bookmarkStart w:id="117" w:name="bookmark2065"/>
      <w:bookmarkEnd w:id="117"/>
      <w:r>
        <w:rPr>
          <w:rFonts w:ascii="Times New Roman" w:hAnsi="Times New Roman" w:cs="Times New Roman"/>
          <w:color w:val="auto"/>
          <w:szCs w:val="21"/>
          <w:highlight w:val="none"/>
        </w:rPr>
        <w:t>我方已仔细研究了</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（项目名称</w:t>
      </w:r>
      <w:r>
        <w:rPr>
          <w:rFonts w:hint="eastAsia" w:ascii="Times New Roman" w:hAnsi="Times New Roman" w:cs="Times New Roman"/>
          <w:color w:val="auto"/>
          <w:szCs w:val="21"/>
          <w:highlight w:val="none"/>
          <w:u w:val="single"/>
        </w:rPr>
        <w:t>、项目编号</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u w:val="single"/>
          <w:lang w:val="en-US"/>
        </w:rPr>
        <w:t xml:space="preserve">      </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文件的全部内容，愿意以人民币（大写）</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rPr>
        <w:t>元（¥</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rPr>
        <w:t>）的</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标总报价，工期</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rPr>
        <w:t>日历天，按合同约定实施和完成承包工程，修补工程中的任何缺陷，工程质量达到</w:t>
      </w:r>
      <w:r>
        <w:rPr>
          <w:rFonts w:hint="eastAsia" w:ascii="Times New Roman" w:hAnsi="Times New Roman" w:cs="Times New Roman"/>
          <w:color w:val="auto"/>
          <w:szCs w:val="21"/>
          <w:highlight w:val="none"/>
          <w:u w:val="single"/>
          <w:lang w:val="en-US"/>
        </w:rPr>
        <w:t xml:space="preserve">           </w:t>
      </w:r>
      <w:r>
        <w:rPr>
          <w:rFonts w:ascii="Times New Roman" w:hAnsi="Times New Roman" w:cs="Times New Roman"/>
          <w:color w:val="auto"/>
          <w:szCs w:val="21"/>
          <w:highlight w:val="none"/>
          <w:u w:val="single"/>
        </w:rPr>
        <w:t xml:space="preserve"> </w:t>
      </w:r>
      <w:r>
        <w:rPr>
          <w:rFonts w:ascii="Times New Roman" w:hAnsi="Times New Roman" w:cs="Times New Roman"/>
          <w:color w:val="auto"/>
          <w:szCs w:val="21"/>
          <w:highlight w:val="none"/>
          <w:lang w:val="en-US" w:bidi="en-US"/>
        </w:rPr>
        <w:t>。</w:t>
      </w:r>
    </w:p>
    <w:p w14:paraId="4B1DE1D1">
      <w:pPr>
        <w:pStyle w:val="237"/>
        <w:numPr>
          <w:ilvl w:val="0"/>
          <w:numId w:val="3"/>
        </w:numPr>
        <w:tabs>
          <w:tab w:val="left" w:pos="762"/>
        </w:tabs>
        <w:ind w:firstLine="420"/>
        <w:rPr>
          <w:rFonts w:hint="eastAsia" w:ascii="Times New Roman" w:hAnsi="Times New Roman" w:cs="Times New Roman"/>
          <w:color w:val="auto"/>
          <w:szCs w:val="21"/>
          <w:highlight w:val="none"/>
        </w:rPr>
      </w:pPr>
      <w:bookmarkStart w:id="118" w:name="bookmark2068"/>
      <w:bookmarkEnd w:id="118"/>
      <w:bookmarkStart w:id="119" w:name="bookmark2067"/>
      <w:bookmarkEnd w:id="119"/>
      <w:bookmarkStart w:id="120" w:name="bookmark2066"/>
      <w:bookmarkEnd w:id="120"/>
      <w:r>
        <w:rPr>
          <w:rFonts w:hint="eastAsia"/>
          <w:color w:val="auto"/>
          <w:highlight w:val="none"/>
        </w:rPr>
        <w:t>我方承认竞标函附录是我方竞标函的组成部分。</w:t>
      </w:r>
    </w:p>
    <w:p w14:paraId="5A5330A9">
      <w:pPr>
        <w:pStyle w:val="237"/>
        <w:numPr>
          <w:ilvl w:val="0"/>
          <w:numId w:val="3"/>
        </w:numPr>
        <w:tabs>
          <w:tab w:val="left" w:pos="762"/>
        </w:tabs>
        <w:ind w:firstLine="420"/>
        <w:rPr>
          <w:rFonts w:ascii="Times New Roman" w:hAnsi="Times New Roman" w:cs="Times New Roman"/>
          <w:color w:val="auto"/>
          <w:szCs w:val="21"/>
          <w:highlight w:val="none"/>
        </w:rPr>
      </w:pPr>
      <w:r>
        <w:rPr>
          <w:rFonts w:ascii="Times New Roman" w:hAnsi="Times New Roman" w:cs="Times New Roman"/>
          <w:color w:val="auto"/>
          <w:szCs w:val="21"/>
          <w:highlight w:val="none"/>
        </w:rPr>
        <w:t>如我方</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w:t>
      </w:r>
    </w:p>
    <w:p w14:paraId="7736CAF2">
      <w:pPr>
        <w:pStyle w:val="237"/>
        <w:tabs>
          <w:tab w:val="left" w:pos="903"/>
        </w:tabs>
        <w:ind w:firstLine="420"/>
        <w:rPr>
          <w:rFonts w:ascii="Times New Roman" w:hAnsi="Times New Roman" w:cs="Times New Roman"/>
          <w:color w:val="auto"/>
          <w:szCs w:val="21"/>
          <w:highlight w:val="none"/>
        </w:rPr>
      </w:pPr>
      <w:bookmarkStart w:id="121" w:name="bookmark2069"/>
      <w:r>
        <w:rPr>
          <w:rFonts w:ascii="Times New Roman" w:hAnsi="Times New Roman" w:cs="Times New Roman"/>
          <w:color w:val="auto"/>
          <w:szCs w:val="21"/>
          <w:highlight w:val="none"/>
        </w:rPr>
        <w:t>（</w:t>
      </w:r>
      <w:bookmarkEnd w:id="121"/>
      <w:r>
        <w:rPr>
          <w:rFonts w:ascii="Times New Roman" w:hAnsi="Times New Roman" w:cs="Times New Roman"/>
          <w:color w:val="auto"/>
          <w:szCs w:val="21"/>
          <w:highlight w:val="none"/>
        </w:rPr>
        <w:t>1）我方承诺在收到</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通知书后，在</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通知书规定的期限内与你方签订合同。</w:t>
      </w:r>
    </w:p>
    <w:p w14:paraId="558263D9">
      <w:pPr>
        <w:pStyle w:val="237"/>
        <w:tabs>
          <w:tab w:val="left" w:pos="903"/>
        </w:tabs>
        <w:ind w:firstLine="420"/>
        <w:rPr>
          <w:rFonts w:ascii="Times New Roman" w:hAnsi="Times New Roman" w:cs="Times New Roman"/>
          <w:color w:val="auto"/>
          <w:szCs w:val="21"/>
          <w:highlight w:val="none"/>
        </w:rPr>
      </w:pPr>
      <w:bookmarkStart w:id="122" w:name="bookmark2070"/>
      <w:r>
        <w:rPr>
          <w:rFonts w:ascii="Times New Roman" w:hAnsi="Times New Roman" w:cs="Times New Roman"/>
          <w:color w:val="auto"/>
          <w:szCs w:val="21"/>
          <w:highlight w:val="none"/>
        </w:rPr>
        <w:t>（</w:t>
      </w:r>
      <w:bookmarkEnd w:id="122"/>
      <w:r>
        <w:rPr>
          <w:rFonts w:ascii="Times New Roman" w:hAnsi="Times New Roman" w:cs="Times New Roman"/>
          <w:color w:val="auto"/>
          <w:szCs w:val="21"/>
          <w:highlight w:val="none"/>
        </w:rPr>
        <w:t>2）</w:t>
      </w:r>
      <w:r>
        <w:rPr>
          <w:color w:val="auto"/>
          <w:highlight w:val="none"/>
        </w:rPr>
        <w:t>在签订合同时不向你方提出附加条件</w:t>
      </w:r>
      <w:r>
        <w:rPr>
          <w:rFonts w:ascii="Times New Roman" w:hAnsi="Times New Roman" w:cs="Times New Roman"/>
          <w:color w:val="auto"/>
          <w:szCs w:val="21"/>
          <w:highlight w:val="none"/>
        </w:rPr>
        <w:t>。</w:t>
      </w:r>
    </w:p>
    <w:p w14:paraId="03CF016A">
      <w:pPr>
        <w:pStyle w:val="237"/>
        <w:tabs>
          <w:tab w:val="left" w:pos="903"/>
        </w:tabs>
        <w:ind w:firstLine="420"/>
        <w:rPr>
          <w:rFonts w:ascii="Times New Roman" w:hAnsi="Times New Roman" w:cs="Times New Roman"/>
          <w:color w:val="auto"/>
          <w:szCs w:val="21"/>
          <w:highlight w:val="none"/>
        </w:rPr>
      </w:pPr>
      <w:bookmarkStart w:id="123" w:name="bookmark2071"/>
      <w:r>
        <w:rPr>
          <w:rFonts w:ascii="Times New Roman" w:hAnsi="Times New Roman" w:cs="Times New Roman"/>
          <w:color w:val="auto"/>
          <w:szCs w:val="21"/>
          <w:highlight w:val="none"/>
        </w:rPr>
        <w:t>（</w:t>
      </w:r>
      <w:bookmarkEnd w:id="123"/>
      <w:r>
        <w:rPr>
          <w:rFonts w:ascii="Times New Roman" w:hAnsi="Times New Roman" w:cs="Times New Roman"/>
          <w:color w:val="auto"/>
          <w:szCs w:val="21"/>
          <w:highlight w:val="none"/>
        </w:rPr>
        <w:t>3）我方承诺按照</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文件规定向你方递交履约担保。</w:t>
      </w:r>
    </w:p>
    <w:p w14:paraId="6FEA8558">
      <w:pPr>
        <w:pStyle w:val="237"/>
        <w:tabs>
          <w:tab w:val="left" w:pos="903"/>
        </w:tabs>
        <w:ind w:firstLine="420"/>
        <w:rPr>
          <w:rFonts w:hint="eastAsia" w:ascii="Times New Roman" w:hAnsi="Times New Roman" w:cs="Times New Roman"/>
          <w:color w:val="auto"/>
          <w:szCs w:val="21"/>
          <w:highlight w:val="none"/>
        </w:rPr>
      </w:pPr>
      <w:bookmarkStart w:id="124" w:name="bookmark2072"/>
      <w:r>
        <w:rPr>
          <w:rFonts w:ascii="Times New Roman" w:hAnsi="Times New Roman" w:cs="Times New Roman"/>
          <w:color w:val="auto"/>
          <w:szCs w:val="21"/>
          <w:highlight w:val="none"/>
        </w:rPr>
        <w:t>（</w:t>
      </w:r>
      <w:bookmarkEnd w:id="124"/>
      <w:r>
        <w:rPr>
          <w:rFonts w:ascii="Times New Roman" w:hAnsi="Times New Roman" w:cs="Times New Roman"/>
          <w:color w:val="auto"/>
          <w:szCs w:val="21"/>
          <w:highlight w:val="none"/>
        </w:rPr>
        <w:t>4）我方承诺在合同约定的期限内完成并移交全部合同工程。</w:t>
      </w:r>
    </w:p>
    <w:p w14:paraId="6016686B">
      <w:pPr>
        <w:pStyle w:val="237"/>
        <w:numPr>
          <w:ilvl w:val="0"/>
          <w:numId w:val="3"/>
        </w:numPr>
        <w:tabs>
          <w:tab w:val="left" w:pos="762"/>
        </w:tabs>
        <w:ind w:firstLine="440"/>
        <w:rPr>
          <w:rFonts w:ascii="Times New Roman" w:hAnsi="Times New Roman" w:cs="Times New Roman"/>
          <w:color w:val="auto"/>
          <w:szCs w:val="21"/>
          <w:highlight w:val="none"/>
        </w:rPr>
      </w:pPr>
      <w:bookmarkStart w:id="125" w:name="bookmark2073"/>
      <w:bookmarkEnd w:id="125"/>
      <w:r>
        <w:rPr>
          <w:color w:val="auto"/>
          <w:highlight w:val="none"/>
        </w:rPr>
        <w:t>在合同协议书正式签署生效之前，本</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w:t>
      </w:r>
      <w:r>
        <w:rPr>
          <w:color w:val="auto"/>
          <w:highlight w:val="none"/>
        </w:rPr>
        <w:t>函连同你方的</w:t>
      </w:r>
      <w:r>
        <w:rPr>
          <w:rFonts w:hint="eastAsia"/>
          <w:color w:val="auto"/>
          <w:highlight w:val="none"/>
        </w:rPr>
        <w:t>成交</w:t>
      </w:r>
      <w:r>
        <w:rPr>
          <w:color w:val="auto"/>
          <w:highlight w:val="none"/>
        </w:rPr>
        <w:t>通知书将构成我们双方之间共同遵守的文件，对双方具有约束力</w:t>
      </w:r>
      <w:r>
        <w:rPr>
          <w:rFonts w:ascii="Times New Roman" w:hAnsi="Times New Roman" w:cs="Times New Roman"/>
          <w:color w:val="auto"/>
          <w:szCs w:val="21"/>
          <w:highlight w:val="none"/>
        </w:rPr>
        <w:t>。</w:t>
      </w:r>
    </w:p>
    <w:p w14:paraId="71C414E2">
      <w:pPr>
        <w:spacing w:line="360" w:lineRule="auto"/>
        <w:ind w:firstLine="420"/>
        <w:rPr>
          <w:rFonts w:hint="eastAsia"/>
          <w:color w:val="auto"/>
          <w:szCs w:val="21"/>
          <w:highlight w:val="none"/>
        </w:rPr>
      </w:pPr>
      <w:bookmarkStart w:id="126" w:name="bookmark2074"/>
      <w:bookmarkEnd w:id="126"/>
      <w:r>
        <w:rPr>
          <w:rFonts w:hint="eastAsia"/>
          <w:color w:val="auto"/>
          <w:szCs w:val="21"/>
          <w:highlight w:val="none"/>
        </w:rPr>
        <w:t>5.</w:t>
      </w:r>
      <w:r>
        <w:rPr>
          <w:rFonts w:hint="eastAsia"/>
          <w:color w:val="auto"/>
          <w:szCs w:val="21"/>
          <w:highlight w:val="none"/>
          <w:u w:val="single"/>
        </w:rPr>
        <w:t xml:space="preserve">                                                   </w:t>
      </w:r>
      <w:r>
        <w:rPr>
          <w:color w:val="auto"/>
          <w:szCs w:val="21"/>
          <w:highlight w:val="none"/>
        </w:rPr>
        <w:t>（其他补充说明）。</w:t>
      </w:r>
    </w:p>
    <w:p w14:paraId="67B09A55">
      <w:pPr>
        <w:spacing w:line="360" w:lineRule="auto"/>
        <w:jc w:val="center"/>
        <w:rPr>
          <w:rFonts w:hint="eastAsia" w:ascii="宋体" w:hAnsi="宋体" w:cs="方正小标宋简体"/>
          <w:b/>
          <w:bCs/>
          <w:color w:val="auto"/>
          <w:sz w:val="32"/>
          <w:szCs w:val="32"/>
          <w:highlight w:val="none"/>
        </w:rPr>
      </w:pPr>
    </w:p>
    <w:p w14:paraId="5A250DE5">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w:t>
      </w:r>
      <w:r>
        <w:rPr>
          <w:rFonts w:hint="eastAsia" w:ascii="宋体" w:hAnsi="宋体" w:cs="宋体"/>
          <w:color w:val="auto"/>
          <w:sz w:val="24"/>
          <w:highlight w:val="none"/>
        </w:rPr>
        <w:t>签字或盖章或电子签名</w:t>
      </w:r>
      <w:r>
        <w:rPr>
          <w:rFonts w:hint="eastAsia" w:ascii="宋体" w:hAnsi="宋体" w:cs="仿宋_GB2312"/>
          <w:color w:val="auto"/>
          <w:sz w:val="24"/>
          <w:highlight w:val="none"/>
        </w:rPr>
        <w:t xml:space="preserve">）：                    </w:t>
      </w:r>
    </w:p>
    <w:p w14:paraId="06FF3971">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7914E936">
      <w:pPr>
        <w:pStyle w:val="237"/>
        <w:tabs>
          <w:tab w:val="left" w:pos="903"/>
        </w:tabs>
        <w:ind w:firstLine="4800"/>
        <w:rPr>
          <w:rFonts w:hint="eastAsia" w:cs="方正小标宋简体"/>
          <w:b/>
          <w:bCs/>
          <w:color w:val="auto"/>
          <w:sz w:val="32"/>
          <w:szCs w:val="32"/>
          <w:highlight w:val="none"/>
        </w:rPr>
      </w:pPr>
      <w:r>
        <w:rPr>
          <w:rFonts w:hint="eastAsia" w:ascii="宋体" w:hAnsi="宋体" w:cs="仿宋_GB2312"/>
          <w:color w:val="auto"/>
          <w:sz w:val="24"/>
          <w:highlight w:val="none"/>
        </w:rPr>
        <w:t>日期：   年   月   日</w:t>
      </w:r>
      <w:r>
        <w:rPr>
          <w:rFonts w:ascii="宋体" w:hAnsi="宋体" w:cs="方正小标宋简体"/>
          <w:b/>
          <w:bCs/>
          <w:color w:val="auto"/>
          <w:sz w:val="32"/>
          <w:szCs w:val="32"/>
          <w:highlight w:val="none"/>
        </w:rPr>
        <w:br w:type="page" w:clear="all"/>
      </w:r>
    </w:p>
    <w:p w14:paraId="4EE23DE4">
      <w:pPr>
        <w:spacing w:line="360" w:lineRule="auto"/>
        <w:jc w:val="center"/>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（二）竞标函附录</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6062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674FE0">
            <w:pPr>
              <w:jc w:val="center"/>
              <w:rPr>
                <w:color w:val="auto"/>
                <w:highlight w:val="none"/>
              </w:rPr>
            </w:pPr>
            <w:r>
              <w:rPr>
                <w:rFonts w:hint="eastAsia" w:cs="宋体"/>
                <w:color w:val="auto"/>
                <w:highlight w:val="none"/>
              </w:rPr>
              <w:t>序</w:t>
            </w:r>
            <w:r>
              <w:rPr>
                <w:color w:val="auto"/>
                <w:highlight w:val="none"/>
              </w:rPr>
              <w:t xml:space="preserve"> </w:t>
            </w:r>
            <w:r>
              <w:rPr>
                <w:rFonts w:hint="eastAsia" w:cs="宋体"/>
                <w:color w:val="auto"/>
                <w:highlight w:val="none"/>
              </w:rPr>
              <w:t>号</w:t>
            </w:r>
          </w:p>
        </w:tc>
        <w:tc>
          <w:tcPr>
            <w:tcW w:w="1985" w:type="dxa"/>
            <w:noWrap w:val="0"/>
            <w:vAlign w:val="center"/>
          </w:tcPr>
          <w:p w14:paraId="237AC550">
            <w:pPr>
              <w:jc w:val="center"/>
              <w:rPr>
                <w:color w:val="auto"/>
                <w:highlight w:val="none"/>
              </w:rPr>
            </w:pPr>
            <w:r>
              <w:rPr>
                <w:rFonts w:hint="eastAsia" w:cs="宋体"/>
                <w:color w:val="auto"/>
                <w:highlight w:val="none"/>
              </w:rPr>
              <w:t>条款内容</w:t>
            </w:r>
          </w:p>
        </w:tc>
        <w:tc>
          <w:tcPr>
            <w:tcW w:w="2126" w:type="dxa"/>
            <w:noWrap w:val="0"/>
            <w:vAlign w:val="center"/>
          </w:tcPr>
          <w:p w14:paraId="6A26AD50">
            <w:pPr>
              <w:jc w:val="center"/>
              <w:rPr>
                <w:color w:val="auto"/>
                <w:highlight w:val="none"/>
              </w:rPr>
            </w:pPr>
            <w:r>
              <w:rPr>
                <w:rFonts w:hint="eastAsia" w:cs="宋体"/>
                <w:color w:val="auto"/>
                <w:highlight w:val="none"/>
              </w:rPr>
              <w:t>合同条款号</w:t>
            </w:r>
          </w:p>
        </w:tc>
        <w:tc>
          <w:tcPr>
            <w:tcW w:w="1984" w:type="dxa"/>
            <w:noWrap w:val="0"/>
            <w:vAlign w:val="center"/>
          </w:tcPr>
          <w:p w14:paraId="10C7924A">
            <w:pPr>
              <w:jc w:val="center"/>
              <w:rPr>
                <w:color w:val="auto"/>
                <w:highlight w:val="none"/>
              </w:rPr>
            </w:pPr>
            <w:r>
              <w:rPr>
                <w:rFonts w:hint="eastAsia" w:cs="宋体"/>
                <w:color w:val="auto"/>
                <w:highlight w:val="none"/>
              </w:rPr>
              <w:t>约定内容</w:t>
            </w:r>
          </w:p>
        </w:tc>
        <w:tc>
          <w:tcPr>
            <w:tcW w:w="1843" w:type="dxa"/>
            <w:noWrap w:val="0"/>
            <w:vAlign w:val="center"/>
          </w:tcPr>
          <w:p w14:paraId="2DFFDC6D">
            <w:pPr>
              <w:jc w:val="center"/>
              <w:rPr>
                <w:color w:val="auto"/>
                <w:highlight w:val="none"/>
              </w:rPr>
            </w:pPr>
            <w:r>
              <w:rPr>
                <w:rFonts w:hint="eastAsia" w:cs="宋体"/>
                <w:color w:val="auto"/>
                <w:highlight w:val="none"/>
              </w:rPr>
              <w:t>供应商响应情况</w:t>
            </w:r>
          </w:p>
        </w:tc>
      </w:tr>
      <w:tr w14:paraId="2CF4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EA171F4">
            <w:pPr>
              <w:jc w:val="center"/>
              <w:rPr>
                <w:color w:val="auto"/>
                <w:highlight w:val="none"/>
              </w:rPr>
            </w:pPr>
            <w:r>
              <w:rPr>
                <w:color w:val="auto"/>
                <w:highlight w:val="none"/>
              </w:rPr>
              <w:t>1</w:t>
            </w:r>
          </w:p>
        </w:tc>
        <w:tc>
          <w:tcPr>
            <w:tcW w:w="1985" w:type="dxa"/>
            <w:noWrap w:val="0"/>
            <w:vAlign w:val="center"/>
          </w:tcPr>
          <w:p w14:paraId="454AD29D">
            <w:pPr>
              <w:rPr>
                <w:color w:val="auto"/>
                <w:highlight w:val="none"/>
              </w:rPr>
            </w:pPr>
            <w:r>
              <w:rPr>
                <w:rFonts w:hint="eastAsia" w:cs="宋体"/>
                <w:color w:val="auto"/>
                <w:highlight w:val="none"/>
              </w:rPr>
              <w:t>项目经理</w:t>
            </w:r>
          </w:p>
        </w:tc>
        <w:tc>
          <w:tcPr>
            <w:tcW w:w="2126" w:type="dxa"/>
            <w:noWrap w:val="0"/>
            <w:tcMar>
              <w:left w:w="170" w:type="dxa"/>
            </w:tcMar>
            <w:vAlign w:val="center"/>
          </w:tcPr>
          <w:p w14:paraId="4E6B56BC">
            <w:pPr>
              <w:jc w:val="center"/>
              <w:rPr>
                <w:color w:val="auto"/>
                <w:highlight w:val="none"/>
              </w:rPr>
            </w:pPr>
            <w:r>
              <w:rPr>
                <w:rFonts w:hint="eastAsia" w:cs="宋体"/>
                <w:color w:val="auto"/>
                <w:highlight w:val="none"/>
              </w:rPr>
              <w:t>专用条款</w:t>
            </w:r>
          </w:p>
        </w:tc>
        <w:tc>
          <w:tcPr>
            <w:tcW w:w="1984" w:type="dxa"/>
            <w:noWrap w:val="0"/>
            <w:vAlign w:val="center"/>
          </w:tcPr>
          <w:p w14:paraId="1E69023B">
            <w:pPr>
              <w:rPr>
                <w:color w:val="auto"/>
                <w:highlight w:val="none"/>
              </w:rPr>
            </w:pPr>
            <w:r>
              <w:rPr>
                <w:rFonts w:hint="eastAsia" w:cs="宋体"/>
                <w:color w:val="auto"/>
                <w:highlight w:val="none"/>
              </w:rPr>
              <w:t>姓名：</w:t>
            </w:r>
            <w:r>
              <w:rPr>
                <w:color w:val="auto"/>
                <w:highlight w:val="none"/>
                <w:u w:val="single"/>
              </w:rPr>
              <w:t xml:space="preserve">          </w:t>
            </w:r>
          </w:p>
        </w:tc>
        <w:tc>
          <w:tcPr>
            <w:tcW w:w="1843" w:type="dxa"/>
            <w:noWrap w:val="0"/>
            <w:vAlign w:val="center"/>
          </w:tcPr>
          <w:p w14:paraId="05B61C12">
            <w:pPr>
              <w:jc w:val="center"/>
              <w:rPr>
                <w:color w:val="auto"/>
                <w:highlight w:val="none"/>
              </w:rPr>
            </w:pPr>
          </w:p>
        </w:tc>
      </w:tr>
      <w:tr w14:paraId="41A4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DF523BB">
            <w:pPr>
              <w:jc w:val="center"/>
              <w:rPr>
                <w:color w:val="auto"/>
                <w:highlight w:val="none"/>
              </w:rPr>
            </w:pPr>
            <w:r>
              <w:rPr>
                <w:color w:val="auto"/>
                <w:highlight w:val="none"/>
              </w:rPr>
              <w:t>2</w:t>
            </w:r>
          </w:p>
        </w:tc>
        <w:tc>
          <w:tcPr>
            <w:tcW w:w="1985" w:type="dxa"/>
            <w:noWrap w:val="0"/>
            <w:vAlign w:val="center"/>
          </w:tcPr>
          <w:p w14:paraId="3A26ED55">
            <w:pPr>
              <w:rPr>
                <w:color w:val="auto"/>
                <w:highlight w:val="none"/>
              </w:rPr>
            </w:pPr>
            <w:r>
              <w:rPr>
                <w:rFonts w:hint="eastAsia" w:cs="宋体"/>
                <w:color w:val="auto"/>
                <w:highlight w:val="none"/>
              </w:rPr>
              <w:t>竞标有效期</w:t>
            </w:r>
          </w:p>
        </w:tc>
        <w:tc>
          <w:tcPr>
            <w:tcW w:w="2126" w:type="dxa"/>
            <w:noWrap w:val="0"/>
            <w:tcMar>
              <w:left w:w="170" w:type="dxa"/>
            </w:tcMar>
            <w:vAlign w:val="center"/>
          </w:tcPr>
          <w:p w14:paraId="4F7A87E8">
            <w:pPr>
              <w:rPr>
                <w:color w:val="auto"/>
                <w:highlight w:val="none"/>
                <w:u w:val="single"/>
              </w:rPr>
            </w:pPr>
          </w:p>
        </w:tc>
        <w:tc>
          <w:tcPr>
            <w:tcW w:w="1984" w:type="dxa"/>
            <w:noWrap w:val="0"/>
            <w:vAlign w:val="center"/>
          </w:tcPr>
          <w:p w14:paraId="168C2BF5">
            <w:pPr>
              <w:jc w:val="center"/>
              <w:rPr>
                <w:color w:val="auto"/>
                <w:highlight w:val="none"/>
                <w:u w:val="single"/>
              </w:rPr>
            </w:pPr>
            <w:r>
              <w:rPr>
                <w:rFonts w:hint="eastAsia"/>
                <w:color w:val="auto"/>
                <w:highlight w:val="none"/>
              </w:rPr>
              <w:t xml:space="preserve">自首次响应文件提交截止之日起 </w:t>
            </w:r>
            <w:r>
              <w:rPr>
                <w:rFonts w:hint="eastAsia"/>
                <w:color w:val="auto"/>
                <w:highlight w:val="none"/>
                <w:u w:val="single"/>
                <w:lang w:val="en-US" w:eastAsia="zh-CN"/>
              </w:rPr>
              <w:t>90</w:t>
            </w:r>
            <w:r>
              <w:rPr>
                <w:rFonts w:hint="eastAsia"/>
                <w:color w:val="auto"/>
                <w:highlight w:val="none"/>
              </w:rPr>
              <w:t xml:space="preserve"> 日。</w:t>
            </w:r>
          </w:p>
        </w:tc>
        <w:tc>
          <w:tcPr>
            <w:tcW w:w="1843" w:type="dxa"/>
            <w:noWrap w:val="0"/>
            <w:vAlign w:val="center"/>
          </w:tcPr>
          <w:p w14:paraId="26EDB798">
            <w:pPr>
              <w:jc w:val="center"/>
              <w:rPr>
                <w:color w:val="auto"/>
                <w:highlight w:val="none"/>
              </w:rPr>
            </w:pPr>
          </w:p>
        </w:tc>
      </w:tr>
      <w:tr w14:paraId="77D6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5A2A071">
            <w:pPr>
              <w:jc w:val="center"/>
              <w:rPr>
                <w:color w:val="auto"/>
                <w:highlight w:val="none"/>
              </w:rPr>
            </w:pPr>
            <w:r>
              <w:rPr>
                <w:color w:val="auto"/>
                <w:highlight w:val="none"/>
              </w:rPr>
              <w:t>3</w:t>
            </w:r>
          </w:p>
        </w:tc>
        <w:tc>
          <w:tcPr>
            <w:tcW w:w="1985" w:type="dxa"/>
            <w:noWrap w:val="0"/>
            <w:vAlign w:val="center"/>
          </w:tcPr>
          <w:p w14:paraId="7329EF84">
            <w:pPr>
              <w:rPr>
                <w:color w:val="auto"/>
                <w:highlight w:val="none"/>
              </w:rPr>
            </w:pPr>
            <w:r>
              <w:rPr>
                <w:rFonts w:hint="eastAsia" w:cs="宋体"/>
                <w:color w:val="auto"/>
                <w:highlight w:val="none"/>
              </w:rPr>
              <w:t>工期</w:t>
            </w:r>
          </w:p>
        </w:tc>
        <w:tc>
          <w:tcPr>
            <w:tcW w:w="2126" w:type="dxa"/>
            <w:noWrap w:val="0"/>
            <w:tcMar>
              <w:left w:w="170" w:type="dxa"/>
            </w:tcMar>
            <w:vAlign w:val="center"/>
          </w:tcPr>
          <w:p w14:paraId="354BCF88">
            <w:pPr>
              <w:jc w:val="center"/>
              <w:rPr>
                <w:color w:val="auto"/>
                <w:highlight w:val="none"/>
              </w:rPr>
            </w:pPr>
            <w:r>
              <w:rPr>
                <w:rFonts w:hint="eastAsia" w:cs="宋体"/>
                <w:color w:val="auto"/>
                <w:highlight w:val="none"/>
              </w:rPr>
              <w:t>专用条款</w:t>
            </w:r>
          </w:p>
        </w:tc>
        <w:tc>
          <w:tcPr>
            <w:tcW w:w="1984" w:type="dxa"/>
            <w:noWrap w:val="0"/>
            <w:vAlign w:val="center"/>
          </w:tcPr>
          <w:p w14:paraId="1C3F0D6F">
            <w:pPr>
              <w:jc w:val="center"/>
              <w:rPr>
                <w:color w:val="auto"/>
                <w:highlight w:val="none"/>
              </w:rPr>
            </w:pPr>
            <w:r>
              <w:rPr>
                <w:color w:val="auto"/>
                <w:highlight w:val="none"/>
                <w:u w:val="single"/>
              </w:rPr>
              <w:t xml:space="preserve">  </w:t>
            </w:r>
            <w:r>
              <w:rPr>
                <w:rFonts w:hint="eastAsia"/>
                <w:color w:val="auto"/>
                <w:highlight w:val="none"/>
                <w:u w:val="single"/>
                <w:lang w:val="en-US" w:eastAsia="zh-CN"/>
              </w:rPr>
              <w:t xml:space="preserve"> </w:t>
            </w:r>
            <w:r>
              <w:rPr>
                <w:color w:val="auto"/>
                <w:highlight w:val="none"/>
                <w:u w:val="single"/>
              </w:rPr>
              <w:t xml:space="preserve"> </w:t>
            </w:r>
            <w:r>
              <w:rPr>
                <w:rFonts w:hint="eastAsia" w:cs="宋体"/>
                <w:color w:val="auto"/>
                <w:highlight w:val="none"/>
              </w:rPr>
              <w:t>日历天</w:t>
            </w:r>
          </w:p>
        </w:tc>
        <w:tc>
          <w:tcPr>
            <w:tcW w:w="1843" w:type="dxa"/>
            <w:noWrap w:val="0"/>
            <w:vAlign w:val="center"/>
          </w:tcPr>
          <w:p w14:paraId="0CE42D4A">
            <w:pPr>
              <w:jc w:val="center"/>
              <w:rPr>
                <w:color w:val="auto"/>
                <w:highlight w:val="none"/>
              </w:rPr>
            </w:pPr>
          </w:p>
        </w:tc>
      </w:tr>
      <w:tr w14:paraId="5DEE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AAB98F2">
            <w:pPr>
              <w:jc w:val="center"/>
              <w:rPr>
                <w:color w:val="auto"/>
                <w:highlight w:val="none"/>
              </w:rPr>
            </w:pPr>
            <w:r>
              <w:rPr>
                <w:color w:val="auto"/>
                <w:highlight w:val="none"/>
              </w:rPr>
              <w:t>4</w:t>
            </w:r>
          </w:p>
        </w:tc>
        <w:tc>
          <w:tcPr>
            <w:tcW w:w="1985" w:type="dxa"/>
            <w:noWrap w:val="0"/>
            <w:vAlign w:val="center"/>
          </w:tcPr>
          <w:p w14:paraId="39AEF605">
            <w:pPr>
              <w:rPr>
                <w:color w:val="auto"/>
                <w:highlight w:val="none"/>
              </w:rPr>
            </w:pPr>
            <w:r>
              <w:rPr>
                <w:rFonts w:hint="eastAsia" w:cs="宋体"/>
                <w:color w:val="auto"/>
                <w:highlight w:val="none"/>
              </w:rPr>
              <w:t>缺陷责任期</w:t>
            </w:r>
          </w:p>
        </w:tc>
        <w:tc>
          <w:tcPr>
            <w:tcW w:w="2126" w:type="dxa"/>
            <w:noWrap w:val="0"/>
            <w:tcMar>
              <w:left w:w="170" w:type="dxa"/>
            </w:tcMar>
            <w:vAlign w:val="center"/>
          </w:tcPr>
          <w:p w14:paraId="62621A54">
            <w:pPr>
              <w:jc w:val="center"/>
              <w:rPr>
                <w:color w:val="auto"/>
                <w:highlight w:val="none"/>
              </w:rPr>
            </w:pPr>
            <w:r>
              <w:rPr>
                <w:rFonts w:hint="eastAsia" w:cs="宋体"/>
                <w:color w:val="auto"/>
                <w:highlight w:val="none"/>
              </w:rPr>
              <w:t>专用条款</w:t>
            </w:r>
          </w:p>
        </w:tc>
        <w:tc>
          <w:tcPr>
            <w:tcW w:w="1984" w:type="dxa"/>
            <w:noWrap w:val="0"/>
            <w:vAlign w:val="center"/>
          </w:tcPr>
          <w:p w14:paraId="2B8D36C3">
            <w:pPr>
              <w:jc w:val="center"/>
              <w:rPr>
                <w:rFonts w:hint="default"/>
                <w:color w:val="auto"/>
                <w:highlight w:val="none"/>
                <w:lang w:val="en-US"/>
              </w:rPr>
            </w:pPr>
            <w:r>
              <w:rPr>
                <w:rFonts w:hint="eastAsia"/>
                <w:color w:val="auto"/>
                <w:highlight w:val="none"/>
                <w:lang w:val="en-US" w:eastAsia="zh-CN"/>
              </w:rPr>
              <w:t>24个月</w:t>
            </w:r>
          </w:p>
        </w:tc>
        <w:tc>
          <w:tcPr>
            <w:tcW w:w="1843" w:type="dxa"/>
            <w:noWrap w:val="0"/>
            <w:vAlign w:val="center"/>
          </w:tcPr>
          <w:p w14:paraId="756FB839">
            <w:pPr>
              <w:jc w:val="center"/>
              <w:rPr>
                <w:color w:val="auto"/>
                <w:highlight w:val="none"/>
              </w:rPr>
            </w:pPr>
          </w:p>
        </w:tc>
      </w:tr>
      <w:tr w14:paraId="4E35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FBBAA3D">
            <w:pPr>
              <w:jc w:val="center"/>
              <w:rPr>
                <w:color w:val="auto"/>
                <w:highlight w:val="none"/>
              </w:rPr>
            </w:pPr>
            <w:r>
              <w:rPr>
                <w:color w:val="auto"/>
                <w:highlight w:val="none"/>
              </w:rPr>
              <w:t>5</w:t>
            </w:r>
          </w:p>
        </w:tc>
        <w:tc>
          <w:tcPr>
            <w:tcW w:w="1985" w:type="dxa"/>
            <w:noWrap w:val="0"/>
            <w:vAlign w:val="center"/>
          </w:tcPr>
          <w:p w14:paraId="0D5A8CDC">
            <w:pPr>
              <w:rPr>
                <w:color w:val="auto"/>
                <w:highlight w:val="none"/>
              </w:rPr>
            </w:pPr>
            <w:r>
              <w:rPr>
                <w:rFonts w:hint="eastAsia" w:cs="宋体"/>
                <w:color w:val="auto"/>
                <w:highlight w:val="none"/>
              </w:rPr>
              <w:t>发包人支付担保</w:t>
            </w:r>
          </w:p>
        </w:tc>
        <w:tc>
          <w:tcPr>
            <w:tcW w:w="2126" w:type="dxa"/>
            <w:noWrap w:val="0"/>
            <w:tcMar>
              <w:left w:w="170" w:type="dxa"/>
            </w:tcMar>
            <w:vAlign w:val="center"/>
          </w:tcPr>
          <w:p w14:paraId="55F54AB7">
            <w:pPr>
              <w:jc w:val="center"/>
              <w:rPr>
                <w:color w:val="auto"/>
                <w:highlight w:val="none"/>
              </w:rPr>
            </w:pPr>
            <w:r>
              <w:rPr>
                <w:rFonts w:hint="eastAsia" w:cs="宋体"/>
                <w:color w:val="auto"/>
                <w:highlight w:val="none"/>
              </w:rPr>
              <w:t>专用条款</w:t>
            </w:r>
          </w:p>
        </w:tc>
        <w:tc>
          <w:tcPr>
            <w:tcW w:w="1984" w:type="dxa"/>
            <w:noWrap w:val="0"/>
            <w:vAlign w:val="center"/>
          </w:tcPr>
          <w:p w14:paraId="54FDA0B4">
            <w:pPr>
              <w:jc w:val="center"/>
              <w:rPr>
                <w:color w:val="auto"/>
                <w:highlight w:val="none"/>
              </w:rPr>
            </w:pPr>
          </w:p>
        </w:tc>
        <w:tc>
          <w:tcPr>
            <w:tcW w:w="1843" w:type="dxa"/>
            <w:noWrap w:val="0"/>
            <w:vAlign w:val="center"/>
          </w:tcPr>
          <w:p w14:paraId="7DAE8716">
            <w:pPr>
              <w:jc w:val="center"/>
              <w:rPr>
                <w:color w:val="auto"/>
                <w:highlight w:val="none"/>
              </w:rPr>
            </w:pPr>
          </w:p>
        </w:tc>
      </w:tr>
      <w:tr w14:paraId="359D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92817AF">
            <w:pPr>
              <w:jc w:val="center"/>
              <w:rPr>
                <w:color w:val="auto"/>
                <w:highlight w:val="none"/>
              </w:rPr>
            </w:pPr>
            <w:r>
              <w:rPr>
                <w:color w:val="auto"/>
                <w:highlight w:val="none"/>
              </w:rPr>
              <w:t>6</w:t>
            </w:r>
          </w:p>
        </w:tc>
        <w:tc>
          <w:tcPr>
            <w:tcW w:w="1985" w:type="dxa"/>
            <w:noWrap w:val="0"/>
            <w:vAlign w:val="center"/>
          </w:tcPr>
          <w:p w14:paraId="7C52CF83">
            <w:pPr>
              <w:rPr>
                <w:color w:val="auto"/>
                <w:highlight w:val="none"/>
              </w:rPr>
            </w:pPr>
            <w:r>
              <w:rPr>
                <w:rFonts w:hint="eastAsia" w:cs="宋体"/>
                <w:color w:val="auto"/>
                <w:highlight w:val="none"/>
              </w:rPr>
              <w:t>承包人履约担保金额</w:t>
            </w:r>
          </w:p>
        </w:tc>
        <w:tc>
          <w:tcPr>
            <w:tcW w:w="2126" w:type="dxa"/>
            <w:noWrap w:val="0"/>
            <w:tcMar>
              <w:left w:w="170" w:type="dxa"/>
            </w:tcMar>
            <w:vAlign w:val="center"/>
          </w:tcPr>
          <w:p w14:paraId="72207065">
            <w:pPr>
              <w:jc w:val="center"/>
              <w:rPr>
                <w:color w:val="auto"/>
                <w:highlight w:val="none"/>
              </w:rPr>
            </w:pPr>
            <w:r>
              <w:rPr>
                <w:rFonts w:hint="eastAsia" w:cs="宋体"/>
                <w:color w:val="auto"/>
                <w:highlight w:val="none"/>
              </w:rPr>
              <w:t>专用条款</w:t>
            </w:r>
          </w:p>
        </w:tc>
        <w:tc>
          <w:tcPr>
            <w:tcW w:w="1984" w:type="dxa"/>
            <w:noWrap w:val="0"/>
            <w:vAlign w:val="center"/>
          </w:tcPr>
          <w:p w14:paraId="18892BAE">
            <w:pPr>
              <w:jc w:val="center"/>
              <w:rPr>
                <w:color w:val="auto"/>
                <w:highlight w:val="none"/>
              </w:rPr>
            </w:pPr>
          </w:p>
        </w:tc>
        <w:tc>
          <w:tcPr>
            <w:tcW w:w="1843" w:type="dxa"/>
            <w:noWrap w:val="0"/>
            <w:vAlign w:val="center"/>
          </w:tcPr>
          <w:p w14:paraId="3698A017">
            <w:pPr>
              <w:jc w:val="center"/>
              <w:rPr>
                <w:color w:val="auto"/>
                <w:highlight w:val="none"/>
              </w:rPr>
            </w:pPr>
          </w:p>
        </w:tc>
      </w:tr>
      <w:tr w14:paraId="2042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F4B89E8">
            <w:pPr>
              <w:jc w:val="center"/>
              <w:rPr>
                <w:color w:val="auto"/>
                <w:highlight w:val="none"/>
              </w:rPr>
            </w:pPr>
            <w:r>
              <w:rPr>
                <w:color w:val="auto"/>
                <w:highlight w:val="none"/>
              </w:rPr>
              <w:t>7</w:t>
            </w:r>
          </w:p>
        </w:tc>
        <w:tc>
          <w:tcPr>
            <w:tcW w:w="1985" w:type="dxa"/>
            <w:noWrap w:val="0"/>
            <w:vAlign w:val="center"/>
          </w:tcPr>
          <w:p w14:paraId="2AEABA8D">
            <w:pPr>
              <w:rPr>
                <w:color w:val="auto"/>
                <w:highlight w:val="none"/>
              </w:rPr>
            </w:pPr>
            <w:r>
              <w:rPr>
                <w:rFonts w:hint="eastAsia" w:cs="宋体"/>
                <w:color w:val="auto"/>
                <w:highlight w:val="none"/>
              </w:rPr>
              <w:t>分包</w:t>
            </w:r>
          </w:p>
        </w:tc>
        <w:tc>
          <w:tcPr>
            <w:tcW w:w="2126" w:type="dxa"/>
            <w:noWrap w:val="0"/>
            <w:tcMar>
              <w:left w:w="170" w:type="dxa"/>
            </w:tcMar>
            <w:vAlign w:val="center"/>
          </w:tcPr>
          <w:p w14:paraId="015EEA15">
            <w:pPr>
              <w:jc w:val="center"/>
              <w:rPr>
                <w:color w:val="auto"/>
                <w:highlight w:val="none"/>
              </w:rPr>
            </w:pPr>
            <w:r>
              <w:rPr>
                <w:rFonts w:hint="eastAsia" w:cs="宋体"/>
                <w:color w:val="auto"/>
                <w:highlight w:val="none"/>
              </w:rPr>
              <w:t>专用条款</w:t>
            </w:r>
          </w:p>
        </w:tc>
        <w:tc>
          <w:tcPr>
            <w:tcW w:w="1984" w:type="dxa"/>
            <w:noWrap w:val="0"/>
            <w:vAlign w:val="center"/>
          </w:tcPr>
          <w:p w14:paraId="396350AE">
            <w:pPr>
              <w:jc w:val="center"/>
              <w:rPr>
                <w:color w:val="auto"/>
                <w:highlight w:val="none"/>
              </w:rPr>
            </w:pPr>
            <w:r>
              <w:rPr>
                <w:rFonts w:hint="eastAsia" w:cs="宋体"/>
                <w:color w:val="auto"/>
                <w:highlight w:val="none"/>
              </w:rPr>
              <w:t>见分包项目情况表</w:t>
            </w:r>
          </w:p>
        </w:tc>
        <w:tc>
          <w:tcPr>
            <w:tcW w:w="1843" w:type="dxa"/>
            <w:noWrap w:val="0"/>
            <w:vAlign w:val="center"/>
          </w:tcPr>
          <w:p w14:paraId="0266D4D0">
            <w:pPr>
              <w:jc w:val="center"/>
              <w:rPr>
                <w:color w:val="auto"/>
                <w:highlight w:val="none"/>
              </w:rPr>
            </w:pPr>
          </w:p>
        </w:tc>
      </w:tr>
      <w:tr w14:paraId="0961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C0D436">
            <w:pPr>
              <w:jc w:val="center"/>
              <w:rPr>
                <w:color w:val="auto"/>
                <w:highlight w:val="none"/>
              </w:rPr>
            </w:pPr>
            <w:r>
              <w:rPr>
                <w:color w:val="auto"/>
                <w:highlight w:val="none"/>
              </w:rPr>
              <w:t>8</w:t>
            </w:r>
          </w:p>
        </w:tc>
        <w:tc>
          <w:tcPr>
            <w:tcW w:w="1985" w:type="dxa"/>
            <w:noWrap w:val="0"/>
            <w:vAlign w:val="center"/>
          </w:tcPr>
          <w:p w14:paraId="33427C6B">
            <w:pPr>
              <w:rPr>
                <w:color w:val="auto"/>
                <w:highlight w:val="none"/>
              </w:rPr>
            </w:pPr>
            <w:r>
              <w:rPr>
                <w:rFonts w:hint="eastAsia" w:cs="宋体"/>
                <w:color w:val="auto"/>
                <w:highlight w:val="none"/>
              </w:rPr>
              <w:t>逾期竣工违约金</w:t>
            </w:r>
          </w:p>
        </w:tc>
        <w:tc>
          <w:tcPr>
            <w:tcW w:w="2126" w:type="dxa"/>
            <w:noWrap w:val="0"/>
            <w:tcMar>
              <w:left w:w="170" w:type="dxa"/>
            </w:tcMar>
            <w:vAlign w:val="center"/>
          </w:tcPr>
          <w:p w14:paraId="0EF17CE3">
            <w:pPr>
              <w:jc w:val="center"/>
              <w:rPr>
                <w:color w:val="auto"/>
                <w:highlight w:val="none"/>
              </w:rPr>
            </w:pPr>
            <w:r>
              <w:rPr>
                <w:rFonts w:hint="eastAsia" w:cs="宋体"/>
                <w:color w:val="auto"/>
                <w:highlight w:val="none"/>
              </w:rPr>
              <w:t>专用条款</w:t>
            </w:r>
          </w:p>
        </w:tc>
        <w:tc>
          <w:tcPr>
            <w:tcW w:w="1984" w:type="dxa"/>
            <w:noWrap w:val="0"/>
            <w:vAlign w:val="center"/>
          </w:tcPr>
          <w:p w14:paraId="031E3FCB">
            <w:pPr>
              <w:rPr>
                <w:color w:val="auto"/>
                <w:highlight w:val="none"/>
              </w:rPr>
            </w:pPr>
          </w:p>
        </w:tc>
        <w:tc>
          <w:tcPr>
            <w:tcW w:w="1843" w:type="dxa"/>
            <w:noWrap w:val="0"/>
            <w:vAlign w:val="center"/>
          </w:tcPr>
          <w:p w14:paraId="64BD06AE">
            <w:pPr>
              <w:jc w:val="center"/>
              <w:rPr>
                <w:color w:val="auto"/>
                <w:highlight w:val="none"/>
              </w:rPr>
            </w:pPr>
          </w:p>
        </w:tc>
      </w:tr>
      <w:tr w14:paraId="5E78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7EF112E">
            <w:pPr>
              <w:jc w:val="center"/>
              <w:rPr>
                <w:color w:val="auto"/>
                <w:highlight w:val="none"/>
              </w:rPr>
            </w:pPr>
            <w:r>
              <w:rPr>
                <w:color w:val="auto"/>
                <w:highlight w:val="none"/>
              </w:rPr>
              <w:t>9</w:t>
            </w:r>
          </w:p>
        </w:tc>
        <w:tc>
          <w:tcPr>
            <w:tcW w:w="1985" w:type="dxa"/>
            <w:noWrap w:val="0"/>
            <w:vAlign w:val="center"/>
          </w:tcPr>
          <w:p w14:paraId="569BA614">
            <w:pPr>
              <w:rPr>
                <w:color w:val="auto"/>
                <w:highlight w:val="none"/>
              </w:rPr>
            </w:pPr>
            <w:r>
              <w:rPr>
                <w:rFonts w:hint="eastAsia" w:cs="宋体"/>
                <w:color w:val="auto"/>
                <w:highlight w:val="none"/>
              </w:rPr>
              <w:t>逾期竣工违约金最高限额</w:t>
            </w:r>
          </w:p>
        </w:tc>
        <w:tc>
          <w:tcPr>
            <w:tcW w:w="2126" w:type="dxa"/>
            <w:noWrap w:val="0"/>
            <w:tcMar>
              <w:left w:w="170" w:type="dxa"/>
            </w:tcMar>
            <w:vAlign w:val="center"/>
          </w:tcPr>
          <w:p w14:paraId="4E28B307">
            <w:pPr>
              <w:jc w:val="center"/>
              <w:rPr>
                <w:color w:val="auto"/>
                <w:highlight w:val="none"/>
              </w:rPr>
            </w:pPr>
            <w:r>
              <w:rPr>
                <w:rFonts w:hint="eastAsia" w:cs="宋体"/>
                <w:color w:val="auto"/>
                <w:highlight w:val="none"/>
              </w:rPr>
              <w:t>专用条款</w:t>
            </w:r>
          </w:p>
        </w:tc>
        <w:tc>
          <w:tcPr>
            <w:tcW w:w="1984" w:type="dxa"/>
            <w:noWrap w:val="0"/>
            <w:vAlign w:val="center"/>
          </w:tcPr>
          <w:p w14:paraId="4ADAC241">
            <w:pPr>
              <w:rPr>
                <w:color w:val="auto"/>
                <w:highlight w:val="none"/>
              </w:rPr>
            </w:pPr>
          </w:p>
        </w:tc>
        <w:tc>
          <w:tcPr>
            <w:tcW w:w="1843" w:type="dxa"/>
            <w:noWrap w:val="0"/>
            <w:vAlign w:val="center"/>
          </w:tcPr>
          <w:p w14:paraId="3EF252F1">
            <w:pPr>
              <w:jc w:val="center"/>
              <w:rPr>
                <w:color w:val="auto"/>
                <w:highlight w:val="none"/>
              </w:rPr>
            </w:pPr>
          </w:p>
        </w:tc>
      </w:tr>
      <w:tr w14:paraId="6409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39BA339">
            <w:pPr>
              <w:jc w:val="center"/>
              <w:rPr>
                <w:color w:val="auto"/>
                <w:highlight w:val="none"/>
              </w:rPr>
            </w:pPr>
            <w:r>
              <w:rPr>
                <w:color w:val="auto"/>
                <w:highlight w:val="none"/>
              </w:rPr>
              <w:t>10</w:t>
            </w:r>
          </w:p>
        </w:tc>
        <w:tc>
          <w:tcPr>
            <w:tcW w:w="1985" w:type="dxa"/>
            <w:noWrap w:val="0"/>
            <w:vAlign w:val="center"/>
          </w:tcPr>
          <w:p w14:paraId="5863054B">
            <w:pPr>
              <w:rPr>
                <w:color w:val="auto"/>
                <w:highlight w:val="none"/>
              </w:rPr>
            </w:pPr>
            <w:r>
              <w:rPr>
                <w:rFonts w:hint="eastAsia" w:cs="宋体"/>
                <w:color w:val="auto"/>
                <w:highlight w:val="none"/>
              </w:rPr>
              <w:t>质量标准</w:t>
            </w:r>
          </w:p>
        </w:tc>
        <w:tc>
          <w:tcPr>
            <w:tcW w:w="2126" w:type="dxa"/>
            <w:noWrap w:val="0"/>
            <w:tcMar>
              <w:left w:w="170" w:type="dxa"/>
            </w:tcMar>
            <w:vAlign w:val="center"/>
          </w:tcPr>
          <w:p w14:paraId="33E41FB7">
            <w:pPr>
              <w:jc w:val="center"/>
              <w:rPr>
                <w:color w:val="auto"/>
                <w:highlight w:val="none"/>
              </w:rPr>
            </w:pPr>
            <w:r>
              <w:rPr>
                <w:rFonts w:hint="eastAsia" w:cs="宋体"/>
                <w:color w:val="auto"/>
                <w:highlight w:val="none"/>
              </w:rPr>
              <w:t>专用条款</w:t>
            </w:r>
          </w:p>
        </w:tc>
        <w:tc>
          <w:tcPr>
            <w:tcW w:w="1984" w:type="dxa"/>
            <w:noWrap w:val="0"/>
            <w:vAlign w:val="center"/>
          </w:tcPr>
          <w:p w14:paraId="6790A9AB">
            <w:pPr>
              <w:jc w:val="center"/>
              <w:rPr>
                <w:color w:val="auto"/>
                <w:highlight w:val="none"/>
              </w:rPr>
            </w:pPr>
          </w:p>
        </w:tc>
        <w:tc>
          <w:tcPr>
            <w:tcW w:w="1843" w:type="dxa"/>
            <w:noWrap w:val="0"/>
            <w:vAlign w:val="center"/>
          </w:tcPr>
          <w:p w14:paraId="569F6B22">
            <w:pPr>
              <w:jc w:val="center"/>
              <w:rPr>
                <w:color w:val="auto"/>
                <w:highlight w:val="none"/>
              </w:rPr>
            </w:pPr>
          </w:p>
        </w:tc>
      </w:tr>
      <w:tr w14:paraId="4B53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58AA549">
            <w:pPr>
              <w:jc w:val="center"/>
              <w:rPr>
                <w:color w:val="auto"/>
                <w:highlight w:val="none"/>
              </w:rPr>
            </w:pPr>
            <w:r>
              <w:rPr>
                <w:color w:val="auto"/>
                <w:highlight w:val="none"/>
              </w:rPr>
              <w:t>11</w:t>
            </w:r>
          </w:p>
        </w:tc>
        <w:tc>
          <w:tcPr>
            <w:tcW w:w="1985" w:type="dxa"/>
            <w:noWrap w:val="0"/>
            <w:vAlign w:val="center"/>
          </w:tcPr>
          <w:p w14:paraId="2457331C">
            <w:pPr>
              <w:rPr>
                <w:color w:val="auto"/>
                <w:highlight w:val="none"/>
              </w:rPr>
            </w:pPr>
            <w:r>
              <w:rPr>
                <w:rFonts w:hint="eastAsia" w:cs="宋体"/>
                <w:color w:val="auto"/>
                <w:highlight w:val="none"/>
              </w:rPr>
              <w:t>预付款额度</w:t>
            </w:r>
          </w:p>
        </w:tc>
        <w:tc>
          <w:tcPr>
            <w:tcW w:w="2126" w:type="dxa"/>
            <w:noWrap w:val="0"/>
            <w:tcMar>
              <w:left w:w="170" w:type="dxa"/>
            </w:tcMar>
            <w:vAlign w:val="center"/>
          </w:tcPr>
          <w:p w14:paraId="7724FE5A">
            <w:pPr>
              <w:jc w:val="center"/>
              <w:rPr>
                <w:color w:val="auto"/>
                <w:highlight w:val="none"/>
              </w:rPr>
            </w:pPr>
            <w:r>
              <w:rPr>
                <w:rFonts w:hint="eastAsia" w:cs="宋体"/>
                <w:color w:val="auto"/>
                <w:highlight w:val="none"/>
              </w:rPr>
              <w:t>专用条款</w:t>
            </w:r>
          </w:p>
        </w:tc>
        <w:tc>
          <w:tcPr>
            <w:tcW w:w="1984" w:type="dxa"/>
            <w:noWrap w:val="0"/>
            <w:vAlign w:val="center"/>
          </w:tcPr>
          <w:p w14:paraId="5C1A3B53">
            <w:pPr>
              <w:jc w:val="center"/>
              <w:rPr>
                <w:color w:val="auto"/>
                <w:highlight w:val="none"/>
              </w:rPr>
            </w:pPr>
          </w:p>
        </w:tc>
        <w:tc>
          <w:tcPr>
            <w:tcW w:w="1843" w:type="dxa"/>
            <w:noWrap w:val="0"/>
            <w:vAlign w:val="center"/>
          </w:tcPr>
          <w:p w14:paraId="28D02FCE">
            <w:pPr>
              <w:jc w:val="center"/>
              <w:rPr>
                <w:color w:val="auto"/>
                <w:highlight w:val="none"/>
              </w:rPr>
            </w:pPr>
          </w:p>
        </w:tc>
      </w:tr>
      <w:tr w14:paraId="1942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9731BCA">
            <w:pPr>
              <w:jc w:val="center"/>
              <w:rPr>
                <w:color w:val="auto"/>
                <w:highlight w:val="none"/>
              </w:rPr>
            </w:pPr>
            <w:r>
              <w:rPr>
                <w:color w:val="auto"/>
                <w:highlight w:val="none"/>
              </w:rPr>
              <w:t>12</w:t>
            </w:r>
          </w:p>
        </w:tc>
        <w:tc>
          <w:tcPr>
            <w:tcW w:w="1985" w:type="dxa"/>
            <w:noWrap w:val="0"/>
            <w:vAlign w:val="center"/>
          </w:tcPr>
          <w:p w14:paraId="0C55DA15">
            <w:pPr>
              <w:rPr>
                <w:color w:val="auto"/>
                <w:highlight w:val="none"/>
              </w:rPr>
            </w:pPr>
            <w:r>
              <w:rPr>
                <w:rFonts w:hint="eastAsia" w:cs="宋体"/>
                <w:color w:val="auto"/>
                <w:highlight w:val="none"/>
              </w:rPr>
              <w:t>预付款保函金额</w:t>
            </w:r>
          </w:p>
        </w:tc>
        <w:tc>
          <w:tcPr>
            <w:tcW w:w="2126" w:type="dxa"/>
            <w:noWrap w:val="0"/>
            <w:tcMar>
              <w:left w:w="170" w:type="dxa"/>
            </w:tcMar>
            <w:vAlign w:val="center"/>
          </w:tcPr>
          <w:p w14:paraId="17F526F9">
            <w:pPr>
              <w:jc w:val="center"/>
              <w:rPr>
                <w:color w:val="auto"/>
                <w:highlight w:val="none"/>
              </w:rPr>
            </w:pPr>
            <w:r>
              <w:rPr>
                <w:rFonts w:hint="eastAsia" w:cs="宋体"/>
                <w:color w:val="auto"/>
                <w:highlight w:val="none"/>
              </w:rPr>
              <w:t>专用条款</w:t>
            </w:r>
          </w:p>
        </w:tc>
        <w:tc>
          <w:tcPr>
            <w:tcW w:w="1984" w:type="dxa"/>
            <w:noWrap w:val="0"/>
            <w:vAlign w:val="center"/>
          </w:tcPr>
          <w:p w14:paraId="2278870C">
            <w:pPr>
              <w:jc w:val="center"/>
              <w:rPr>
                <w:color w:val="auto"/>
                <w:highlight w:val="none"/>
              </w:rPr>
            </w:pPr>
          </w:p>
        </w:tc>
        <w:tc>
          <w:tcPr>
            <w:tcW w:w="1843" w:type="dxa"/>
            <w:noWrap w:val="0"/>
            <w:vAlign w:val="center"/>
          </w:tcPr>
          <w:p w14:paraId="48F9DDE5">
            <w:pPr>
              <w:jc w:val="center"/>
              <w:rPr>
                <w:color w:val="auto"/>
                <w:highlight w:val="none"/>
              </w:rPr>
            </w:pPr>
          </w:p>
        </w:tc>
      </w:tr>
      <w:tr w14:paraId="37F7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F9EC440">
            <w:pPr>
              <w:jc w:val="center"/>
              <w:rPr>
                <w:color w:val="auto"/>
                <w:highlight w:val="none"/>
              </w:rPr>
            </w:pPr>
            <w:r>
              <w:rPr>
                <w:color w:val="auto"/>
                <w:highlight w:val="none"/>
              </w:rPr>
              <w:t>13</w:t>
            </w:r>
          </w:p>
        </w:tc>
        <w:tc>
          <w:tcPr>
            <w:tcW w:w="1985" w:type="dxa"/>
            <w:noWrap w:val="0"/>
            <w:vAlign w:val="center"/>
          </w:tcPr>
          <w:p w14:paraId="34732293">
            <w:pPr>
              <w:rPr>
                <w:color w:val="auto"/>
                <w:highlight w:val="none"/>
              </w:rPr>
            </w:pPr>
            <w:r>
              <w:rPr>
                <w:rFonts w:hint="eastAsia" w:cs="宋体"/>
                <w:color w:val="auto"/>
                <w:highlight w:val="none"/>
              </w:rPr>
              <w:t>质量保证金额度</w:t>
            </w:r>
          </w:p>
        </w:tc>
        <w:tc>
          <w:tcPr>
            <w:tcW w:w="2126" w:type="dxa"/>
            <w:noWrap w:val="0"/>
            <w:tcMar>
              <w:left w:w="170" w:type="dxa"/>
            </w:tcMar>
            <w:vAlign w:val="center"/>
          </w:tcPr>
          <w:p w14:paraId="4602AA95">
            <w:pPr>
              <w:jc w:val="center"/>
              <w:rPr>
                <w:color w:val="auto"/>
                <w:highlight w:val="none"/>
              </w:rPr>
            </w:pPr>
            <w:r>
              <w:rPr>
                <w:rFonts w:hint="eastAsia" w:cs="宋体"/>
                <w:color w:val="auto"/>
                <w:highlight w:val="none"/>
              </w:rPr>
              <w:t>专用条款</w:t>
            </w:r>
          </w:p>
        </w:tc>
        <w:tc>
          <w:tcPr>
            <w:tcW w:w="1984" w:type="dxa"/>
            <w:noWrap w:val="0"/>
            <w:vAlign w:val="center"/>
          </w:tcPr>
          <w:p w14:paraId="56907465">
            <w:pPr>
              <w:jc w:val="center"/>
              <w:rPr>
                <w:color w:val="auto"/>
                <w:highlight w:val="none"/>
              </w:rPr>
            </w:pPr>
            <w:r>
              <w:rPr>
                <w:rFonts w:hint="eastAsia" w:cs="宋体"/>
                <w:color w:val="auto"/>
                <w:highlight w:val="none"/>
              </w:rPr>
              <w:t>结算价的</w:t>
            </w:r>
            <w:r>
              <w:rPr>
                <w:color w:val="auto"/>
                <w:highlight w:val="none"/>
                <w:u w:val="single"/>
              </w:rPr>
              <w:t xml:space="preserve"> </w:t>
            </w:r>
            <w:r>
              <w:rPr>
                <w:rFonts w:hint="eastAsia"/>
                <w:color w:val="auto"/>
                <w:highlight w:val="none"/>
                <w:u w:val="single"/>
              </w:rPr>
              <w:t>3</w:t>
            </w:r>
            <w:r>
              <w:rPr>
                <w:color w:val="auto"/>
                <w:highlight w:val="none"/>
                <w:u w:val="single"/>
              </w:rPr>
              <w:t xml:space="preserve">  </w:t>
            </w:r>
            <w:r>
              <w:rPr>
                <w:color w:val="auto"/>
                <w:highlight w:val="none"/>
              </w:rPr>
              <w:t xml:space="preserve">% </w:t>
            </w:r>
          </w:p>
        </w:tc>
        <w:tc>
          <w:tcPr>
            <w:tcW w:w="1843" w:type="dxa"/>
            <w:noWrap w:val="0"/>
            <w:vAlign w:val="center"/>
          </w:tcPr>
          <w:p w14:paraId="298309AB">
            <w:pPr>
              <w:jc w:val="center"/>
              <w:rPr>
                <w:color w:val="auto"/>
                <w:highlight w:val="none"/>
              </w:rPr>
            </w:pPr>
          </w:p>
        </w:tc>
      </w:tr>
      <w:tr w14:paraId="38C7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505E17">
            <w:pPr>
              <w:jc w:val="center"/>
              <w:rPr>
                <w:color w:val="auto"/>
                <w:highlight w:val="none"/>
              </w:rPr>
            </w:pPr>
            <w:r>
              <w:rPr>
                <w:color w:val="auto"/>
                <w:highlight w:val="none"/>
              </w:rPr>
              <w:t>……</w:t>
            </w:r>
          </w:p>
        </w:tc>
        <w:tc>
          <w:tcPr>
            <w:tcW w:w="1985" w:type="dxa"/>
            <w:noWrap w:val="0"/>
            <w:vAlign w:val="center"/>
          </w:tcPr>
          <w:p w14:paraId="05051398">
            <w:pPr>
              <w:jc w:val="center"/>
              <w:rPr>
                <w:color w:val="auto"/>
                <w:highlight w:val="none"/>
              </w:rPr>
            </w:pPr>
            <w:r>
              <w:rPr>
                <w:color w:val="auto"/>
                <w:highlight w:val="none"/>
              </w:rPr>
              <w:t>……</w:t>
            </w:r>
          </w:p>
        </w:tc>
        <w:tc>
          <w:tcPr>
            <w:tcW w:w="2126" w:type="dxa"/>
            <w:noWrap w:val="0"/>
            <w:tcMar>
              <w:left w:w="170" w:type="dxa"/>
            </w:tcMar>
            <w:vAlign w:val="center"/>
          </w:tcPr>
          <w:p w14:paraId="789697C4">
            <w:pPr>
              <w:rPr>
                <w:color w:val="auto"/>
                <w:highlight w:val="none"/>
              </w:rPr>
            </w:pPr>
          </w:p>
        </w:tc>
        <w:tc>
          <w:tcPr>
            <w:tcW w:w="1984" w:type="dxa"/>
            <w:noWrap w:val="0"/>
            <w:vAlign w:val="center"/>
          </w:tcPr>
          <w:p w14:paraId="18AC4C39">
            <w:pPr>
              <w:jc w:val="center"/>
              <w:rPr>
                <w:color w:val="auto"/>
                <w:highlight w:val="none"/>
              </w:rPr>
            </w:pPr>
          </w:p>
        </w:tc>
        <w:tc>
          <w:tcPr>
            <w:tcW w:w="1843" w:type="dxa"/>
            <w:noWrap w:val="0"/>
            <w:vAlign w:val="center"/>
          </w:tcPr>
          <w:p w14:paraId="3CC93EC3">
            <w:pPr>
              <w:jc w:val="center"/>
              <w:rPr>
                <w:color w:val="auto"/>
                <w:highlight w:val="none"/>
              </w:rPr>
            </w:pPr>
          </w:p>
        </w:tc>
      </w:tr>
      <w:tr w14:paraId="6515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54DFE85D">
            <w:pPr>
              <w:spacing w:line="360" w:lineRule="auto"/>
              <w:rPr>
                <w:color w:val="auto"/>
                <w:highlight w:val="none"/>
              </w:rPr>
            </w:pPr>
            <w:r>
              <w:rPr>
                <w:rFonts w:hint="eastAsia" w:cs="宋体"/>
                <w:color w:val="auto"/>
                <w:highlight w:val="none"/>
              </w:rPr>
              <w:t>说明：供应商在响应磋商文件中规定的实质性要求和条件的基础上，可做出其他有利于采购人的承诺。此类承诺可在本表中予以补充填写。</w:t>
            </w:r>
          </w:p>
        </w:tc>
      </w:tr>
    </w:tbl>
    <w:p w14:paraId="59BCBD90">
      <w:pPr>
        <w:spacing w:line="360" w:lineRule="auto"/>
        <w:ind w:right="-817" w:firstLine="2640"/>
        <w:contextualSpacing/>
        <w:rPr>
          <w:rFonts w:hint="eastAsia" w:ascii="宋体" w:hAnsi="宋体" w:cs="仿宋_GB2312"/>
          <w:color w:val="auto"/>
          <w:sz w:val="24"/>
          <w:highlight w:val="none"/>
        </w:rPr>
      </w:pPr>
    </w:p>
    <w:p w14:paraId="2DB04791">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w:t>
      </w:r>
      <w:r>
        <w:rPr>
          <w:rFonts w:hint="eastAsia" w:ascii="宋体" w:hAnsi="宋体" w:cs="仿宋_GB2312"/>
          <w:color w:val="auto"/>
          <w:sz w:val="24"/>
          <w:highlight w:val="none"/>
          <w:lang w:eastAsia="zh-CN"/>
        </w:rPr>
        <w:t>盖章或者</w:t>
      </w:r>
      <w:r>
        <w:rPr>
          <w:rFonts w:hint="eastAsia" w:ascii="宋体" w:hAnsi="宋体" w:cs="仿宋_GB2312"/>
          <w:color w:val="auto"/>
          <w:sz w:val="24"/>
          <w:highlight w:val="none"/>
        </w:rPr>
        <w:t xml:space="preserve">电子签名）：                    </w:t>
      </w:r>
    </w:p>
    <w:p w14:paraId="5EEFC3F6">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630839B4">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79684D09">
      <w:pPr>
        <w:spacing w:line="360" w:lineRule="auto"/>
        <w:jc w:val="center"/>
        <w:rPr>
          <w:rFonts w:hint="eastAsia" w:ascii="方正小标宋简体" w:hAnsi="方正小标宋简体" w:eastAsia="方正小标宋简体" w:cs="方正小标宋简体"/>
          <w:bCs/>
          <w:color w:val="auto"/>
          <w:sz w:val="32"/>
          <w:szCs w:val="32"/>
          <w:highlight w:val="none"/>
        </w:rPr>
      </w:pPr>
      <w:r>
        <w:rPr>
          <w:rFonts w:ascii="宋体" w:hAnsi="宋体" w:cs="仿宋_GB2312"/>
          <w:color w:val="auto"/>
          <w:sz w:val="24"/>
          <w:highlight w:val="none"/>
        </w:rPr>
        <w:br w:type="page" w:clear="all"/>
      </w:r>
      <w:r>
        <w:rPr>
          <w:rFonts w:hint="eastAsia" w:ascii="宋体" w:hAnsi="宋体" w:cs="方正小标宋简体"/>
          <w:b/>
          <w:bCs/>
          <w:color w:val="auto"/>
          <w:sz w:val="32"/>
          <w:szCs w:val="32"/>
          <w:highlight w:val="none"/>
        </w:rPr>
        <w:t>竞标报价表</w:t>
      </w:r>
    </w:p>
    <w:p w14:paraId="496F9BC1">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22B84299">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bookmarkStart w:id="127" w:name="REVIEW_AI_BM_AI_11989_916_6_31"/>
      <w:r>
        <w:rPr>
          <w:rFonts w:hint="eastAsia" w:ascii="宋体" w:hAnsi="宋体" w:cs="仿宋_GB2312"/>
          <w:color w:val="auto"/>
          <w:sz w:val="24"/>
          <w:highlight w:val="none"/>
          <w:u w:val="single"/>
          <w:shd w:val="clear" w:color="FFFFFF" w:fill="FFFFFF"/>
        </w:rPr>
        <w:t>项目编号：</w:t>
      </w:r>
      <w:bookmarkEnd w:id="127"/>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406B7700">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分标（如有）：</w:t>
      </w:r>
      <w:r>
        <w:rPr>
          <w:rFonts w:hint="eastAsia" w:ascii="宋体" w:hAnsi="宋体" w:cs="仿宋_GB2312"/>
          <w:color w:val="auto"/>
          <w:sz w:val="24"/>
          <w:highlight w:val="none"/>
          <w:u w:val="single"/>
        </w:rPr>
        <w:t xml:space="preserve">            </w:t>
      </w:r>
    </w:p>
    <w:p w14:paraId="71E5EFC5">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2D4D62BA">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45"/>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457A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543C934">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00A032F4">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项目</w:t>
            </w:r>
            <w:r>
              <w:rPr>
                <w:rFonts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90B687E">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noWrap w:val="0"/>
            <w:vAlign w:val="center"/>
          </w:tcPr>
          <w:p w14:paraId="7DC0B3CD">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总价</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F3E08F4">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备注</w:t>
            </w:r>
          </w:p>
        </w:tc>
      </w:tr>
      <w:tr w14:paraId="24B2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BC0620A">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7318D34F">
            <w:pPr>
              <w:spacing w:line="360" w:lineRule="auto"/>
              <w:contextualSpacing/>
              <w:jc w:val="center"/>
              <w:rPr>
                <w:rFonts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B6AAC02">
            <w:pPr>
              <w:spacing w:line="360" w:lineRule="auto"/>
              <w:contextualSpacing/>
              <w:jc w:val="center"/>
              <w:rPr>
                <w:rFonts w:ascii="宋体" w:hAnsi="宋体" w:cs="仿宋_GB2312"/>
                <w:color w:val="auto"/>
                <w:sz w:val="24"/>
                <w:highlight w:val="none"/>
              </w:rPr>
            </w:pPr>
            <w:bookmarkStart w:id="128" w:name="REVIEW_AI_BM_AI_11989_926_0_32"/>
            <w:r>
              <w:rPr>
                <w:color w:val="auto"/>
                <w:highlight w:val="none"/>
                <w:shd w:val="clear" w:color="FFFFFF" w:fill="FFFFFF"/>
              </w:rPr>
              <w:t>1项</w:t>
            </w:r>
            <w:bookmarkEnd w:id="128"/>
          </w:p>
        </w:tc>
        <w:tc>
          <w:tcPr>
            <w:tcW w:w="3107" w:type="dxa"/>
            <w:tcBorders>
              <w:top w:val="single" w:color="auto" w:sz="4" w:space="0"/>
              <w:left w:val="single" w:color="auto" w:sz="4" w:space="0"/>
              <w:bottom w:val="single" w:color="auto" w:sz="4" w:space="0"/>
              <w:right w:val="single" w:color="auto" w:sz="4" w:space="0"/>
            </w:tcBorders>
            <w:noWrap w:val="0"/>
            <w:vAlign w:val="top"/>
          </w:tcPr>
          <w:p w14:paraId="1D84414B">
            <w:pPr>
              <w:spacing w:line="360" w:lineRule="auto"/>
              <w:contextualSpacing/>
              <w:rPr>
                <w:rFonts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369986AA">
            <w:pPr>
              <w:spacing w:line="360" w:lineRule="auto"/>
              <w:contextualSpacing/>
              <w:rPr>
                <w:rFonts w:ascii="宋体" w:hAnsi="宋体" w:cs="仿宋_GB2312"/>
                <w:color w:val="auto"/>
                <w:sz w:val="24"/>
                <w:highlight w:val="none"/>
              </w:rPr>
            </w:pPr>
          </w:p>
        </w:tc>
      </w:tr>
      <w:tr w14:paraId="60BA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5EE1AF1B">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55DFA065">
      <w:pPr>
        <w:spacing w:line="360" w:lineRule="auto"/>
        <w:contextualSpacing/>
        <w:jc w:val="left"/>
        <w:rPr>
          <w:rFonts w:ascii="宋体" w:hAnsi="宋体" w:cs="仿宋_GB2312"/>
          <w:color w:val="auto"/>
          <w:sz w:val="24"/>
          <w:highlight w:val="none"/>
        </w:rPr>
      </w:pPr>
    </w:p>
    <w:p w14:paraId="72E0CE10">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62A69EDB">
      <w:pPr>
        <w:spacing w:line="360" w:lineRule="auto"/>
        <w:ind w:firstLine="48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20D01EF8">
      <w:pPr>
        <w:spacing w:line="360" w:lineRule="auto"/>
        <w:ind w:firstLine="48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7008C878">
      <w:pPr>
        <w:spacing w:line="360" w:lineRule="auto"/>
        <w:ind w:firstLine="480"/>
        <w:contextualSpacing/>
        <w:jc w:val="left"/>
        <w:rPr>
          <w:rFonts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否则其响应文件按无效处理。</w:t>
      </w:r>
    </w:p>
    <w:p w14:paraId="3DA6598A">
      <w:pPr>
        <w:spacing w:line="360" w:lineRule="auto"/>
        <w:ind w:firstLine="48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283707F4">
      <w:pPr>
        <w:spacing w:line="360" w:lineRule="auto"/>
        <w:ind w:firstLine="480"/>
        <w:contextualSpacing/>
        <w:rPr>
          <w:rFonts w:hint="eastAsia"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否则其响应文件按无效处理。</w:t>
      </w:r>
    </w:p>
    <w:p w14:paraId="008A25EB">
      <w:pPr>
        <w:spacing w:line="360" w:lineRule="auto"/>
        <w:ind w:right="-817"/>
        <w:contextualSpacing/>
        <w:rPr>
          <w:rFonts w:hint="eastAsia" w:ascii="宋体" w:hAnsi="宋体" w:cs="仿宋_GB2312"/>
          <w:color w:val="auto"/>
          <w:sz w:val="24"/>
          <w:highlight w:val="none"/>
        </w:rPr>
      </w:pPr>
    </w:p>
    <w:p w14:paraId="0C1BD496">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2F45C9C1">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0C0F59FA">
      <w:pPr>
        <w:spacing w:line="360" w:lineRule="auto"/>
        <w:ind w:right="-817" w:firstLine="40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36F5056A">
      <w:pPr>
        <w:spacing w:line="360" w:lineRule="auto"/>
        <w:contextualSpacing/>
        <w:jc w:val="center"/>
        <w:rPr>
          <w:rFonts w:hint="eastAsia" w:ascii="宋体" w:hAnsi="宋体" w:cs="仿宋_GB2312"/>
          <w:b/>
          <w:color w:val="auto"/>
          <w:sz w:val="32"/>
          <w:szCs w:val="32"/>
          <w:highlight w:val="none"/>
        </w:rPr>
      </w:pPr>
      <w:r>
        <w:rPr>
          <w:rFonts w:ascii="宋体" w:hAnsi="宋体" w:cs="仿宋_GB2312"/>
          <w:color w:val="auto"/>
          <w:sz w:val="24"/>
          <w:highlight w:val="none"/>
        </w:rPr>
        <w:br w:type="page" w:clear="all"/>
      </w:r>
      <w:r>
        <w:rPr>
          <w:rFonts w:hint="eastAsia" w:ascii="宋体" w:hAnsi="宋体" w:cs="宋体"/>
          <w:b/>
          <w:color w:val="auto"/>
          <w:sz w:val="32"/>
          <w:szCs w:val="32"/>
          <w:highlight w:val="none"/>
        </w:rPr>
        <w:t>已标价工程量清单</w:t>
      </w:r>
    </w:p>
    <w:p w14:paraId="5F1FA634">
      <w:pPr>
        <w:spacing w:line="360" w:lineRule="auto"/>
        <w:ind w:firstLine="420"/>
        <w:rPr>
          <w:color w:val="auto"/>
          <w:highlight w:val="none"/>
        </w:rPr>
      </w:pPr>
      <w:r>
        <w:rPr>
          <w:color w:val="auto"/>
          <w:highlight w:val="none"/>
        </w:rPr>
        <w:t xml:space="preserve">1. </w:t>
      </w:r>
      <w:r>
        <w:rPr>
          <w:rFonts w:hint="eastAsia" w:cs="宋体"/>
          <w:color w:val="auto"/>
          <w:highlight w:val="none"/>
        </w:rPr>
        <w:t>已标价工程量清单应按第五章</w:t>
      </w:r>
      <w:r>
        <w:rPr>
          <w:rFonts w:hint="eastAsia"/>
          <w:color w:val="auto"/>
          <w:highlight w:val="none"/>
        </w:rPr>
        <w:t>“工程量清单及图纸”</w:t>
      </w:r>
      <w:r>
        <w:rPr>
          <w:rFonts w:hint="eastAsia" w:cs="宋体"/>
          <w:color w:val="auto"/>
          <w:highlight w:val="none"/>
        </w:rPr>
        <w:t>中的相关表格及竞标报价说明填写。构成合同文件的已标价工程量清单包括第五章</w:t>
      </w:r>
      <w:r>
        <w:rPr>
          <w:rFonts w:hint="eastAsia"/>
          <w:color w:val="auto"/>
          <w:highlight w:val="none"/>
        </w:rPr>
        <w:t>“工程量清单及图纸”</w:t>
      </w:r>
      <w:r>
        <w:rPr>
          <w:rFonts w:hint="eastAsia" w:cs="宋体"/>
          <w:color w:val="auto"/>
          <w:highlight w:val="none"/>
        </w:rPr>
        <w:t>有关工程量清单、竞标报价以及其他说明的内容。</w:t>
      </w:r>
    </w:p>
    <w:p w14:paraId="1BF44ECA">
      <w:pPr>
        <w:spacing w:line="360" w:lineRule="auto"/>
        <w:ind w:firstLine="420"/>
        <w:rPr>
          <w:color w:val="auto"/>
          <w:highlight w:val="none"/>
        </w:rPr>
      </w:pPr>
      <w:r>
        <w:rPr>
          <w:color w:val="auto"/>
          <w:highlight w:val="none"/>
        </w:rPr>
        <w:t xml:space="preserve">2. </w:t>
      </w:r>
      <w:r>
        <w:rPr>
          <w:rFonts w:hint="eastAsia" w:cs="宋体"/>
          <w:color w:val="auto"/>
          <w:highlight w:val="none"/>
        </w:rPr>
        <w:t>一般计税法建设工程已标价工程量清单表格按</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w:t>
      </w:r>
      <w:r>
        <w:rPr>
          <w:rFonts w:hint="eastAsia" w:ascii="宋体" w:hAnsi="宋体" w:cs="宋体"/>
          <w:color w:val="auto"/>
          <w:highlight w:val="none"/>
        </w:rPr>
        <w:t>附件“增值税一般计税方法工程计价表”</w:t>
      </w:r>
      <w:r>
        <w:rPr>
          <w:rFonts w:hint="eastAsia" w:cs="宋体"/>
          <w:color w:val="auto"/>
          <w:highlight w:val="none"/>
        </w:rPr>
        <w:t>要求提供，简易计税法表格按《</w:t>
      </w:r>
      <w:r>
        <w:rPr>
          <w:color w:val="auto"/>
          <w:highlight w:val="none"/>
        </w:rPr>
        <w:t>&lt;</w:t>
      </w:r>
      <w:r>
        <w:rPr>
          <w:rFonts w:hint="eastAsia" w:cs="宋体"/>
          <w:color w:val="auto"/>
          <w:highlight w:val="none"/>
        </w:rPr>
        <w:t>建设工程工程量清单计价规范</w:t>
      </w:r>
      <w:r>
        <w:rPr>
          <w:color w:val="auto"/>
          <w:highlight w:val="none"/>
        </w:rPr>
        <w:t>&gt;</w:t>
      </w:r>
      <w:r>
        <w:rPr>
          <w:rFonts w:hint="eastAsia" w:cs="宋体"/>
          <w:color w:val="auto"/>
          <w:highlight w:val="none"/>
        </w:rPr>
        <w:t>（GB/T 50500-2024）广西壮族自治区实施细则》要求的表格提供，但规费和税费按照</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cs="宋体"/>
          <w:color w:val="auto"/>
          <w:highlight w:val="none"/>
        </w:rPr>
        <w:t>，具体内容包括：</w:t>
      </w:r>
    </w:p>
    <w:p w14:paraId="3695053E">
      <w:pPr>
        <w:spacing w:line="360" w:lineRule="auto"/>
        <w:ind w:firstLine="630"/>
        <w:rPr>
          <w:color w:val="auto"/>
          <w:highlight w:val="none"/>
        </w:rPr>
      </w:pPr>
      <w:r>
        <w:rPr>
          <w:color w:val="auto"/>
          <w:highlight w:val="none"/>
        </w:rPr>
        <w:t xml:space="preserve">1.1 </w:t>
      </w:r>
      <w:r>
        <w:rPr>
          <w:rFonts w:hint="eastAsia" w:cs="宋体"/>
          <w:color w:val="auto"/>
          <w:highlight w:val="none"/>
        </w:rPr>
        <w:t>投标总价（封</w:t>
      </w:r>
      <w:r>
        <w:rPr>
          <w:color w:val="auto"/>
          <w:highlight w:val="none"/>
        </w:rPr>
        <w:t>-3</w:t>
      </w:r>
      <w:r>
        <w:rPr>
          <w:rFonts w:hint="eastAsia" w:cs="宋体"/>
          <w:color w:val="auto"/>
          <w:highlight w:val="none"/>
        </w:rPr>
        <w:t>）</w:t>
      </w:r>
    </w:p>
    <w:p w14:paraId="482AF1F9">
      <w:pPr>
        <w:spacing w:line="360" w:lineRule="auto"/>
        <w:ind w:firstLine="630"/>
        <w:rPr>
          <w:color w:val="auto"/>
          <w:highlight w:val="none"/>
        </w:rPr>
      </w:pPr>
      <w:r>
        <w:rPr>
          <w:color w:val="auto"/>
          <w:highlight w:val="none"/>
        </w:rPr>
        <w:t xml:space="preserve">1.2 </w:t>
      </w:r>
      <w:r>
        <w:rPr>
          <w:rFonts w:hint="eastAsia" w:cs="宋体"/>
          <w:color w:val="auto"/>
          <w:highlight w:val="none"/>
        </w:rPr>
        <w:t>投标总价（扉</w:t>
      </w:r>
      <w:r>
        <w:rPr>
          <w:color w:val="auto"/>
          <w:highlight w:val="none"/>
        </w:rPr>
        <w:t>-3</w:t>
      </w:r>
      <w:r>
        <w:rPr>
          <w:rFonts w:hint="eastAsia" w:cs="宋体"/>
          <w:color w:val="auto"/>
          <w:highlight w:val="none"/>
        </w:rPr>
        <w:t>）</w:t>
      </w:r>
    </w:p>
    <w:p w14:paraId="3BF03F07">
      <w:pPr>
        <w:spacing w:line="360" w:lineRule="auto"/>
        <w:ind w:firstLine="630"/>
        <w:rPr>
          <w:color w:val="auto"/>
          <w:highlight w:val="none"/>
        </w:rPr>
      </w:pPr>
      <w:r>
        <w:rPr>
          <w:color w:val="auto"/>
          <w:highlight w:val="none"/>
        </w:rPr>
        <w:t xml:space="preserve">1.3 </w:t>
      </w:r>
      <w:r>
        <w:rPr>
          <w:rFonts w:hint="eastAsia" w:cs="宋体"/>
          <w:color w:val="auto"/>
          <w:highlight w:val="none"/>
        </w:rPr>
        <w:t>总说明（表</w:t>
      </w:r>
      <w:r>
        <w:rPr>
          <w:color w:val="auto"/>
          <w:highlight w:val="none"/>
        </w:rPr>
        <w:t>-01</w:t>
      </w:r>
      <w:r>
        <w:rPr>
          <w:rFonts w:hint="eastAsia" w:cs="宋体"/>
          <w:color w:val="auto"/>
          <w:highlight w:val="none"/>
        </w:rPr>
        <w:t>）</w:t>
      </w:r>
    </w:p>
    <w:p w14:paraId="2A1CAC97">
      <w:pPr>
        <w:spacing w:line="360" w:lineRule="auto"/>
        <w:ind w:firstLine="630"/>
        <w:rPr>
          <w:color w:val="auto"/>
          <w:highlight w:val="none"/>
        </w:rPr>
      </w:pPr>
      <w:r>
        <w:rPr>
          <w:color w:val="auto"/>
          <w:highlight w:val="none"/>
        </w:rPr>
        <w:t xml:space="preserve">1.4 </w:t>
      </w:r>
      <w:r>
        <w:rPr>
          <w:rFonts w:hint="eastAsia" w:cs="宋体"/>
          <w:color w:val="auto"/>
          <w:highlight w:val="none"/>
        </w:rPr>
        <w:t>建设项目投标报价汇总表（表</w:t>
      </w:r>
      <w:r>
        <w:rPr>
          <w:color w:val="auto"/>
          <w:highlight w:val="none"/>
        </w:rPr>
        <w:t>-02</w:t>
      </w:r>
      <w:r>
        <w:rPr>
          <w:rFonts w:hint="eastAsia" w:cs="宋体"/>
          <w:color w:val="auto"/>
          <w:highlight w:val="none"/>
        </w:rPr>
        <w:t>）</w:t>
      </w:r>
    </w:p>
    <w:p w14:paraId="4506F935">
      <w:pPr>
        <w:spacing w:line="360" w:lineRule="auto"/>
        <w:ind w:firstLine="630"/>
        <w:rPr>
          <w:color w:val="auto"/>
          <w:highlight w:val="none"/>
        </w:rPr>
      </w:pPr>
      <w:r>
        <w:rPr>
          <w:color w:val="auto"/>
          <w:highlight w:val="none"/>
        </w:rPr>
        <w:t xml:space="preserve">1.5 </w:t>
      </w:r>
      <w:r>
        <w:rPr>
          <w:rFonts w:hint="eastAsia" w:cs="宋体"/>
          <w:color w:val="auto"/>
          <w:highlight w:val="none"/>
        </w:rPr>
        <w:t>单项工程投标报价汇总表（表</w:t>
      </w:r>
      <w:r>
        <w:rPr>
          <w:color w:val="auto"/>
          <w:highlight w:val="none"/>
        </w:rPr>
        <w:t>-03</w:t>
      </w:r>
      <w:r>
        <w:rPr>
          <w:rFonts w:hint="eastAsia" w:cs="宋体"/>
          <w:color w:val="auto"/>
          <w:highlight w:val="none"/>
        </w:rPr>
        <w:t>）</w:t>
      </w:r>
    </w:p>
    <w:p w14:paraId="4D1E0A47">
      <w:pPr>
        <w:spacing w:line="360" w:lineRule="auto"/>
        <w:ind w:firstLine="630"/>
        <w:rPr>
          <w:color w:val="auto"/>
          <w:highlight w:val="none"/>
        </w:rPr>
      </w:pPr>
      <w:r>
        <w:rPr>
          <w:color w:val="auto"/>
          <w:highlight w:val="none"/>
        </w:rPr>
        <w:t xml:space="preserve">1.6 </w:t>
      </w:r>
      <w:r>
        <w:rPr>
          <w:rFonts w:hint="eastAsia" w:cs="宋体"/>
          <w:color w:val="auto"/>
          <w:highlight w:val="none"/>
        </w:rPr>
        <w:t>单位工程投标报价汇总表（表</w:t>
      </w:r>
      <w:r>
        <w:rPr>
          <w:color w:val="auto"/>
          <w:highlight w:val="none"/>
        </w:rPr>
        <w:t>-04</w:t>
      </w:r>
      <w:r>
        <w:rPr>
          <w:rFonts w:hint="eastAsia" w:cs="宋体"/>
          <w:color w:val="auto"/>
          <w:highlight w:val="none"/>
        </w:rPr>
        <w:t>）</w:t>
      </w:r>
    </w:p>
    <w:p w14:paraId="1F197731">
      <w:pPr>
        <w:spacing w:line="360" w:lineRule="auto"/>
        <w:ind w:firstLine="630"/>
        <w:rPr>
          <w:color w:val="auto"/>
          <w:highlight w:val="none"/>
        </w:rPr>
      </w:pPr>
      <w:r>
        <w:rPr>
          <w:color w:val="auto"/>
          <w:highlight w:val="none"/>
        </w:rPr>
        <w:t xml:space="preserve">1.7 </w:t>
      </w:r>
      <w:r>
        <w:rPr>
          <w:rFonts w:hint="eastAsia" w:cs="宋体"/>
          <w:color w:val="auto"/>
          <w:highlight w:val="none"/>
        </w:rPr>
        <w:t>分部分项工程和单价措施项目清单与计价表（表</w:t>
      </w:r>
      <w:r>
        <w:rPr>
          <w:color w:val="auto"/>
          <w:highlight w:val="none"/>
        </w:rPr>
        <w:t>-08</w:t>
      </w:r>
      <w:r>
        <w:rPr>
          <w:rFonts w:hint="eastAsia" w:cs="宋体"/>
          <w:color w:val="auto"/>
          <w:highlight w:val="none"/>
        </w:rPr>
        <w:t>）</w:t>
      </w:r>
    </w:p>
    <w:p w14:paraId="3E7A0CC3">
      <w:pPr>
        <w:spacing w:line="360" w:lineRule="auto"/>
        <w:ind w:firstLine="630"/>
        <w:rPr>
          <w:color w:val="auto"/>
          <w:highlight w:val="none"/>
        </w:rPr>
      </w:pPr>
      <w:r>
        <w:rPr>
          <w:color w:val="auto"/>
          <w:highlight w:val="none"/>
        </w:rPr>
        <w:t xml:space="preserve">1.8 </w:t>
      </w:r>
      <w:r>
        <w:rPr>
          <w:rFonts w:hint="eastAsia" w:cs="宋体"/>
          <w:color w:val="auto"/>
          <w:highlight w:val="none"/>
        </w:rPr>
        <w:t>工程量清单综合单价分析表（表</w:t>
      </w:r>
      <w:r>
        <w:rPr>
          <w:color w:val="auto"/>
          <w:highlight w:val="none"/>
        </w:rPr>
        <w:t>-09</w:t>
      </w:r>
      <w:r>
        <w:rPr>
          <w:rFonts w:hint="eastAsia" w:cs="宋体"/>
          <w:color w:val="auto"/>
          <w:highlight w:val="none"/>
        </w:rPr>
        <w:t>）</w:t>
      </w:r>
    </w:p>
    <w:p w14:paraId="6C675FB8">
      <w:pPr>
        <w:spacing w:line="360" w:lineRule="auto"/>
        <w:ind w:firstLine="630"/>
        <w:rPr>
          <w:color w:val="auto"/>
          <w:highlight w:val="none"/>
        </w:rPr>
      </w:pPr>
      <w:r>
        <w:rPr>
          <w:color w:val="auto"/>
          <w:highlight w:val="none"/>
        </w:rPr>
        <w:t xml:space="preserve">1.9 </w:t>
      </w:r>
      <w:r>
        <w:rPr>
          <w:rFonts w:hint="eastAsia" w:cs="宋体"/>
          <w:color w:val="auto"/>
          <w:highlight w:val="none"/>
        </w:rPr>
        <w:t>主要清单项目工料机分析表（表</w:t>
      </w:r>
      <w:r>
        <w:rPr>
          <w:color w:val="auto"/>
          <w:highlight w:val="none"/>
        </w:rPr>
        <w:t>-10</w:t>
      </w:r>
      <w:r>
        <w:rPr>
          <w:rFonts w:hint="eastAsia" w:cs="宋体"/>
          <w:color w:val="auto"/>
          <w:highlight w:val="none"/>
        </w:rPr>
        <w:t>）【备注：可按要求有选择的提供】</w:t>
      </w:r>
    </w:p>
    <w:p w14:paraId="74B65A71">
      <w:pPr>
        <w:spacing w:line="360" w:lineRule="auto"/>
        <w:ind w:firstLine="630"/>
        <w:rPr>
          <w:color w:val="auto"/>
          <w:highlight w:val="none"/>
        </w:rPr>
      </w:pPr>
      <w:r>
        <w:rPr>
          <w:color w:val="auto"/>
          <w:highlight w:val="none"/>
        </w:rPr>
        <w:t xml:space="preserve">1.10 </w:t>
      </w:r>
      <w:r>
        <w:rPr>
          <w:rFonts w:hint="eastAsia" w:cs="宋体"/>
          <w:color w:val="auto"/>
          <w:highlight w:val="none"/>
        </w:rPr>
        <w:t>总价措施项目清单与计价表（表</w:t>
      </w:r>
      <w:r>
        <w:rPr>
          <w:color w:val="auto"/>
          <w:highlight w:val="none"/>
        </w:rPr>
        <w:t>-11</w:t>
      </w:r>
      <w:r>
        <w:rPr>
          <w:rFonts w:hint="eastAsia" w:cs="宋体"/>
          <w:color w:val="auto"/>
          <w:highlight w:val="none"/>
        </w:rPr>
        <w:t>）</w:t>
      </w:r>
    </w:p>
    <w:p w14:paraId="0FEA75CD">
      <w:pPr>
        <w:spacing w:line="360" w:lineRule="auto"/>
        <w:ind w:firstLine="630"/>
        <w:rPr>
          <w:color w:val="auto"/>
          <w:highlight w:val="none"/>
        </w:rPr>
      </w:pPr>
      <w:r>
        <w:rPr>
          <w:color w:val="auto"/>
          <w:highlight w:val="none"/>
        </w:rPr>
        <w:t xml:space="preserve">1.11 </w:t>
      </w:r>
      <w:r>
        <w:rPr>
          <w:rFonts w:hint="eastAsia" w:cs="宋体"/>
          <w:color w:val="auto"/>
          <w:highlight w:val="none"/>
        </w:rPr>
        <w:t>其他项目清单与计价汇总表（表</w:t>
      </w:r>
      <w:r>
        <w:rPr>
          <w:color w:val="auto"/>
          <w:highlight w:val="none"/>
        </w:rPr>
        <w:t>-12</w:t>
      </w:r>
      <w:r>
        <w:rPr>
          <w:rFonts w:hint="eastAsia" w:cs="宋体"/>
          <w:color w:val="auto"/>
          <w:highlight w:val="none"/>
        </w:rPr>
        <w:t>）</w:t>
      </w:r>
    </w:p>
    <w:p w14:paraId="469237C4">
      <w:pPr>
        <w:spacing w:line="360" w:lineRule="auto"/>
        <w:ind w:firstLine="630"/>
        <w:rPr>
          <w:color w:val="auto"/>
          <w:highlight w:val="none"/>
        </w:rPr>
      </w:pPr>
      <w:r>
        <w:rPr>
          <w:color w:val="auto"/>
          <w:highlight w:val="none"/>
        </w:rPr>
        <w:t xml:space="preserve">1.12 </w:t>
      </w:r>
      <w:r>
        <w:rPr>
          <w:rFonts w:hint="eastAsia" w:cs="宋体"/>
          <w:color w:val="auto"/>
          <w:highlight w:val="none"/>
        </w:rPr>
        <w:t>暂列金额明细表（表</w:t>
      </w:r>
      <w:r>
        <w:rPr>
          <w:color w:val="auto"/>
          <w:highlight w:val="none"/>
        </w:rPr>
        <w:t>12-1</w:t>
      </w:r>
      <w:r>
        <w:rPr>
          <w:rFonts w:hint="eastAsia" w:cs="宋体"/>
          <w:color w:val="auto"/>
          <w:highlight w:val="none"/>
        </w:rPr>
        <w:t>）</w:t>
      </w:r>
    </w:p>
    <w:p w14:paraId="4B76B138">
      <w:pPr>
        <w:spacing w:line="360" w:lineRule="auto"/>
        <w:ind w:firstLine="630"/>
        <w:rPr>
          <w:color w:val="auto"/>
          <w:highlight w:val="none"/>
        </w:rPr>
      </w:pPr>
      <w:r>
        <w:rPr>
          <w:color w:val="auto"/>
          <w:highlight w:val="none"/>
        </w:rPr>
        <w:t xml:space="preserve">1.13 </w:t>
      </w:r>
      <w:r>
        <w:rPr>
          <w:rFonts w:hint="eastAsia" w:cs="宋体"/>
          <w:color w:val="auto"/>
          <w:highlight w:val="none"/>
        </w:rPr>
        <w:t>材料（工程设备）暂估单价及调整表（表</w:t>
      </w:r>
      <w:r>
        <w:rPr>
          <w:color w:val="auto"/>
          <w:highlight w:val="none"/>
        </w:rPr>
        <w:t>12-2</w:t>
      </w:r>
      <w:r>
        <w:rPr>
          <w:rFonts w:hint="eastAsia" w:cs="宋体"/>
          <w:color w:val="auto"/>
          <w:highlight w:val="none"/>
        </w:rPr>
        <w:t>）</w:t>
      </w:r>
    </w:p>
    <w:p w14:paraId="18680E63">
      <w:pPr>
        <w:spacing w:line="360" w:lineRule="auto"/>
        <w:ind w:firstLine="630"/>
        <w:rPr>
          <w:color w:val="auto"/>
          <w:highlight w:val="none"/>
        </w:rPr>
      </w:pPr>
      <w:r>
        <w:rPr>
          <w:color w:val="auto"/>
          <w:highlight w:val="none"/>
        </w:rPr>
        <w:t xml:space="preserve">1.14 </w:t>
      </w:r>
      <w:r>
        <w:rPr>
          <w:rFonts w:hint="eastAsia" w:cs="宋体"/>
          <w:color w:val="auto"/>
          <w:highlight w:val="none"/>
        </w:rPr>
        <w:t>专业工程暂估价及结算价表（表</w:t>
      </w:r>
      <w:r>
        <w:rPr>
          <w:color w:val="auto"/>
          <w:highlight w:val="none"/>
        </w:rPr>
        <w:t>12-3</w:t>
      </w:r>
      <w:r>
        <w:rPr>
          <w:rFonts w:hint="eastAsia" w:cs="宋体"/>
          <w:color w:val="auto"/>
          <w:highlight w:val="none"/>
        </w:rPr>
        <w:t>）</w:t>
      </w:r>
    </w:p>
    <w:p w14:paraId="7C90AD44">
      <w:pPr>
        <w:spacing w:line="360" w:lineRule="auto"/>
        <w:ind w:firstLine="630"/>
        <w:rPr>
          <w:color w:val="auto"/>
          <w:highlight w:val="none"/>
        </w:rPr>
      </w:pPr>
      <w:r>
        <w:rPr>
          <w:color w:val="auto"/>
          <w:highlight w:val="none"/>
        </w:rPr>
        <w:t>1.15</w:t>
      </w:r>
      <w:r>
        <w:rPr>
          <w:rFonts w:hint="eastAsia" w:cs="宋体"/>
          <w:color w:val="auto"/>
          <w:highlight w:val="none"/>
        </w:rPr>
        <w:t>计日工表（表</w:t>
      </w:r>
      <w:r>
        <w:rPr>
          <w:color w:val="auto"/>
          <w:highlight w:val="none"/>
        </w:rPr>
        <w:t>12-4</w:t>
      </w:r>
      <w:r>
        <w:rPr>
          <w:rFonts w:hint="eastAsia" w:cs="宋体"/>
          <w:color w:val="auto"/>
          <w:highlight w:val="none"/>
        </w:rPr>
        <w:t>）</w:t>
      </w:r>
    </w:p>
    <w:p w14:paraId="6DDAFA72">
      <w:pPr>
        <w:spacing w:line="360" w:lineRule="auto"/>
        <w:ind w:firstLine="630"/>
        <w:rPr>
          <w:color w:val="auto"/>
          <w:highlight w:val="none"/>
        </w:rPr>
      </w:pPr>
      <w:r>
        <w:rPr>
          <w:color w:val="auto"/>
          <w:highlight w:val="none"/>
        </w:rPr>
        <w:t xml:space="preserve">1.16 </w:t>
      </w:r>
      <w:r>
        <w:rPr>
          <w:rFonts w:hint="eastAsia" w:cs="宋体"/>
          <w:color w:val="auto"/>
          <w:highlight w:val="none"/>
        </w:rPr>
        <w:t>总承包服务费计价表（表</w:t>
      </w:r>
      <w:r>
        <w:rPr>
          <w:color w:val="auto"/>
          <w:highlight w:val="none"/>
        </w:rPr>
        <w:t>12-5</w:t>
      </w:r>
      <w:r>
        <w:rPr>
          <w:rFonts w:hint="eastAsia" w:cs="宋体"/>
          <w:color w:val="auto"/>
          <w:highlight w:val="none"/>
        </w:rPr>
        <w:t>）</w:t>
      </w:r>
    </w:p>
    <w:p w14:paraId="04BE54C7">
      <w:pPr>
        <w:spacing w:line="360" w:lineRule="auto"/>
        <w:ind w:firstLine="630"/>
        <w:rPr>
          <w:color w:val="auto"/>
          <w:highlight w:val="none"/>
        </w:rPr>
      </w:pPr>
      <w:r>
        <w:rPr>
          <w:color w:val="auto"/>
          <w:highlight w:val="none"/>
        </w:rPr>
        <w:t xml:space="preserve">1.17 </w:t>
      </w:r>
      <w:r>
        <w:rPr>
          <w:rFonts w:hint="eastAsia" w:cs="宋体"/>
          <w:color w:val="auto"/>
          <w:highlight w:val="none"/>
        </w:rPr>
        <w:t>税前项目清单与计价表（表</w:t>
      </w:r>
      <w:r>
        <w:rPr>
          <w:color w:val="auto"/>
          <w:highlight w:val="none"/>
        </w:rPr>
        <w:t>-14</w:t>
      </w:r>
      <w:r>
        <w:rPr>
          <w:rFonts w:hint="eastAsia" w:cs="宋体"/>
          <w:color w:val="auto"/>
          <w:highlight w:val="none"/>
        </w:rPr>
        <w:t>）</w:t>
      </w:r>
    </w:p>
    <w:p w14:paraId="7E7325F6">
      <w:pPr>
        <w:spacing w:line="360" w:lineRule="auto"/>
        <w:ind w:firstLine="630"/>
        <w:rPr>
          <w:color w:val="auto"/>
          <w:highlight w:val="none"/>
        </w:rPr>
      </w:pPr>
      <w:r>
        <w:rPr>
          <w:color w:val="auto"/>
          <w:highlight w:val="none"/>
        </w:rPr>
        <w:t xml:space="preserve">1.18 </w:t>
      </w:r>
      <w:r>
        <w:rPr>
          <w:rFonts w:hint="eastAsia" w:cs="宋体"/>
          <w:color w:val="auto"/>
          <w:highlight w:val="none"/>
        </w:rPr>
        <w:t>规费、增值税计价表（表</w:t>
      </w:r>
      <w:r>
        <w:rPr>
          <w:color w:val="auto"/>
          <w:highlight w:val="none"/>
        </w:rPr>
        <w:t>-15</w:t>
      </w:r>
      <w:r>
        <w:rPr>
          <w:rFonts w:hint="eastAsia" w:cs="宋体"/>
          <w:color w:val="auto"/>
          <w:highlight w:val="none"/>
        </w:rPr>
        <w:t>）</w:t>
      </w:r>
    </w:p>
    <w:p w14:paraId="37AE7E8C">
      <w:pPr>
        <w:spacing w:line="360" w:lineRule="auto"/>
        <w:ind w:firstLine="630"/>
        <w:rPr>
          <w:color w:val="auto"/>
          <w:highlight w:val="none"/>
        </w:rPr>
      </w:pPr>
      <w:r>
        <w:rPr>
          <w:color w:val="auto"/>
          <w:highlight w:val="none"/>
        </w:rPr>
        <w:t xml:space="preserve">1.19 </w:t>
      </w:r>
      <w:r>
        <w:rPr>
          <w:rFonts w:hint="eastAsia" w:cs="宋体"/>
          <w:color w:val="auto"/>
          <w:highlight w:val="none"/>
        </w:rPr>
        <w:t>发包人提供主要材料和工程设备一览表（表</w:t>
      </w:r>
      <w:r>
        <w:rPr>
          <w:color w:val="auto"/>
          <w:highlight w:val="none"/>
        </w:rPr>
        <w:t>-21</w:t>
      </w:r>
      <w:r>
        <w:rPr>
          <w:rFonts w:hint="eastAsia" w:cs="宋体"/>
          <w:color w:val="auto"/>
          <w:highlight w:val="none"/>
        </w:rPr>
        <w:t>）</w:t>
      </w:r>
    </w:p>
    <w:p w14:paraId="545DF40E">
      <w:pPr>
        <w:spacing w:line="360" w:lineRule="auto"/>
        <w:ind w:firstLine="630"/>
        <w:rPr>
          <w:color w:val="auto"/>
          <w:highlight w:val="none"/>
        </w:rPr>
      </w:pPr>
      <w:r>
        <w:rPr>
          <w:color w:val="auto"/>
          <w:highlight w:val="none"/>
        </w:rPr>
        <w:t xml:space="preserve">1.20 </w:t>
      </w:r>
      <w:r>
        <w:rPr>
          <w:rFonts w:hint="eastAsia" w:cs="宋体"/>
          <w:color w:val="auto"/>
          <w:highlight w:val="none"/>
        </w:rPr>
        <w:t>允许调整主要材料和工程设备一览表（适用于造价信息差额调整法）（表</w:t>
      </w:r>
      <w:r>
        <w:rPr>
          <w:color w:val="auto"/>
          <w:highlight w:val="none"/>
        </w:rPr>
        <w:t>-22</w:t>
      </w:r>
      <w:r>
        <w:rPr>
          <w:rFonts w:hint="eastAsia" w:cs="宋体"/>
          <w:color w:val="auto"/>
          <w:highlight w:val="none"/>
        </w:rPr>
        <w:t>）</w:t>
      </w:r>
    </w:p>
    <w:p w14:paraId="3D2C5E78">
      <w:pPr>
        <w:spacing w:line="360" w:lineRule="auto"/>
        <w:ind w:firstLine="630"/>
        <w:rPr>
          <w:color w:val="auto"/>
          <w:highlight w:val="none"/>
        </w:rPr>
      </w:pPr>
      <w:r>
        <w:rPr>
          <w:color w:val="auto"/>
          <w:highlight w:val="none"/>
        </w:rPr>
        <w:t xml:space="preserve">1.21 </w:t>
      </w:r>
      <w:r>
        <w:rPr>
          <w:rFonts w:hint="eastAsia" w:cs="宋体"/>
          <w:color w:val="auto"/>
          <w:highlight w:val="none"/>
        </w:rPr>
        <w:t>允许调整主要材料和工程设备一览表（适用于价格指数差额调整法）（表</w:t>
      </w:r>
      <w:r>
        <w:rPr>
          <w:color w:val="auto"/>
          <w:highlight w:val="none"/>
        </w:rPr>
        <w:t>-23</w:t>
      </w:r>
      <w:r>
        <w:rPr>
          <w:rFonts w:hint="eastAsia" w:cs="宋体"/>
          <w:color w:val="auto"/>
          <w:highlight w:val="none"/>
        </w:rPr>
        <w:t>）</w:t>
      </w:r>
    </w:p>
    <w:p w14:paraId="07C6880B">
      <w:pPr>
        <w:spacing w:line="360" w:lineRule="auto"/>
        <w:ind w:firstLine="630"/>
        <w:rPr>
          <w:color w:val="auto"/>
          <w:highlight w:val="none"/>
        </w:rPr>
      </w:pPr>
      <w:r>
        <w:rPr>
          <w:rFonts w:hint="eastAsia"/>
          <w:color w:val="auto"/>
          <w:highlight w:val="none"/>
        </w:rPr>
        <w:t>1.22</w:t>
      </w:r>
      <w:r>
        <w:rPr>
          <w:rFonts w:hint="eastAsia" w:cs="宋体"/>
          <w:color w:val="auto"/>
          <w:highlight w:val="none"/>
        </w:rPr>
        <w:t>本工程</w:t>
      </w:r>
      <w:r>
        <w:rPr>
          <w:rFonts w:cs="宋体"/>
          <w:color w:val="auto"/>
          <w:highlight w:val="none"/>
          <w:lang w:val="en"/>
        </w:rPr>
        <w:t>材料和工程设备</w:t>
      </w:r>
      <w:r>
        <w:rPr>
          <w:rFonts w:hint="eastAsia" w:cs="宋体"/>
          <w:color w:val="auto"/>
          <w:highlight w:val="none"/>
        </w:rPr>
        <w:t>一览表（表-24）</w:t>
      </w:r>
    </w:p>
    <w:p w14:paraId="413B79DF">
      <w:pPr>
        <w:spacing w:line="360" w:lineRule="auto"/>
        <w:rPr>
          <w:color w:val="auto"/>
          <w:highlight w:val="none"/>
        </w:rPr>
      </w:pPr>
      <w:r>
        <w:rPr>
          <w:rFonts w:hint="eastAsia" w:cs="宋体"/>
          <w:color w:val="auto"/>
          <w:highlight w:val="none"/>
        </w:rPr>
        <w:t>备注：</w:t>
      </w:r>
    </w:p>
    <w:p w14:paraId="182BF096">
      <w:pPr>
        <w:spacing w:line="360" w:lineRule="auto"/>
        <w:ind w:firstLine="422"/>
        <w:rPr>
          <w:b/>
          <w:bCs/>
          <w:color w:val="auto"/>
          <w:highlight w:val="none"/>
        </w:rPr>
      </w:pPr>
      <w:r>
        <w:rPr>
          <w:rFonts w:hint="eastAsia" w:cs="宋体"/>
          <w:b/>
          <w:bCs/>
          <w:color w:val="auto"/>
          <w:highlight w:val="none"/>
        </w:rPr>
        <w:t>（</w:t>
      </w:r>
      <w:r>
        <w:rPr>
          <w:b/>
          <w:bCs/>
          <w:color w:val="auto"/>
          <w:highlight w:val="none"/>
        </w:rPr>
        <w:t>1</w:t>
      </w:r>
      <w:r>
        <w:rPr>
          <w:rFonts w:hint="eastAsia" w:cs="宋体"/>
          <w:b/>
          <w:bCs/>
          <w:color w:val="auto"/>
          <w:highlight w:val="none"/>
        </w:rPr>
        <w:t>）供应商在上传竞标报价文件时应上传纸质投标总价封面的原件扫描件。</w:t>
      </w:r>
      <w:r>
        <w:rPr>
          <w:rFonts w:hint="eastAsia" w:cs="宋体"/>
          <w:b/>
          <w:bCs/>
          <w:color w:val="auto"/>
          <w:highlight w:val="none"/>
          <w:lang w:eastAsia="zh-CN"/>
        </w:rPr>
        <w:t>竞</w:t>
      </w:r>
      <w:r>
        <w:rPr>
          <w:rFonts w:hint="eastAsia" w:cs="宋体"/>
          <w:b/>
          <w:bCs/>
          <w:color w:val="auto"/>
          <w:highlight w:val="none"/>
        </w:rPr>
        <w:t>标总价封面必须经供应商盖章，并由法定代表人（或其授权人）签字（或盖章），同时由编制人签字盖专用章。</w:t>
      </w:r>
    </w:p>
    <w:p w14:paraId="32027406">
      <w:pPr>
        <w:spacing w:line="360" w:lineRule="auto"/>
        <w:ind w:firstLine="420"/>
        <w:rPr>
          <w:color w:val="auto"/>
          <w:highlight w:val="none"/>
        </w:rPr>
      </w:pPr>
      <w:r>
        <w:rPr>
          <w:rFonts w:hint="eastAsia" w:cs="宋体"/>
          <w:color w:val="auto"/>
          <w:highlight w:val="none"/>
        </w:rPr>
        <w:t>（</w:t>
      </w:r>
      <w:r>
        <w:rPr>
          <w:color w:val="auto"/>
          <w:highlight w:val="none"/>
        </w:rPr>
        <w:t>2</w:t>
      </w:r>
      <w:r>
        <w:rPr>
          <w:rFonts w:hint="eastAsia" w:cs="宋体"/>
          <w:color w:val="auto"/>
          <w:highlight w:val="none"/>
        </w:rPr>
        <w:t>）</w:t>
      </w:r>
      <w:r>
        <w:rPr>
          <w:color w:val="auto"/>
          <w:highlight w:val="none"/>
        </w:rPr>
        <w:t>1.8</w:t>
      </w:r>
      <w:r>
        <w:rPr>
          <w:rFonts w:hint="eastAsia" w:cs="宋体"/>
          <w:color w:val="auto"/>
          <w:highlight w:val="none"/>
        </w:rPr>
        <w:t>工程量清单综合单价分析表和</w:t>
      </w:r>
      <w:r>
        <w:rPr>
          <w:color w:val="auto"/>
          <w:highlight w:val="none"/>
        </w:rPr>
        <w:t>1.9</w:t>
      </w:r>
      <w:r>
        <w:rPr>
          <w:rFonts w:hint="eastAsia" w:cs="宋体"/>
          <w:color w:val="auto"/>
          <w:highlight w:val="none"/>
        </w:rPr>
        <w:t>主要清单项目工料机分析表要求附上。</w:t>
      </w:r>
    </w:p>
    <w:p w14:paraId="06654BC7">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）已标价工程量清单表格要严格按照招标工程量清单给出的表格要求和内容填报。如本工程在合同中约定采用造价信息价差调整法，1.</w:t>
      </w:r>
      <w:r>
        <w:rPr>
          <w:color w:val="auto"/>
          <w:highlight w:val="none"/>
        </w:rPr>
        <w:t xml:space="preserve">18 </w:t>
      </w:r>
      <w:r>
        <w:rPr>
          <w:rFonts w:hint="eastAsia" w:cs="宋体"/>
          <w:color w:val="auto"/>
          <w:highlight w:val="none"/>
        </w:rPr>
        <w:t>允许调整主要材料和工程设备一览表（适用于造价信息差额调整法）（表</w:t>
      </w:r>
      <w:r>
        <w:rPr>
          <w:color w:val="auto"/>
          <w:highlight w:val="none"/>
        </w:rPr>
        <w:t>-22</w:t>
      </w:r>
      <w:r>
        <w:rPr>
          <w:rFonts w:hint="eastAsia" w:cs="宋体"/>
          <w:color w:val="auto"/>
          <w:highlight w:val="none"/>
        </w:rPr>
        <w:t>）载明的主要材料和工程设备为本工程允许调整的材料和工程设备，招标工程量清单必须提供该表格，且不能提供空白表。以下表格视工程实际需要选用，如该工程不发生如下表格相关项目和费用，招标工程量清单不应列入该部分表格，已标价工程量清单亦不包括这部分表格。</w:t>
      </w:r>
    </w:p>
    <w:p w14:paraId="70EA9E7B">
      <w:pPr>
        <w:spacing w:line="360" w:lineRule="auto"/>
        <w:ind w:firstLine="420"/>
        <w:rPr>
          <w:color w:val="auto"/>
          <w:highlight w:val="none"/>
        </w:rPr>
      </w:pPr>
      <w:r>
        <w:rPr>
          <w:rFonts w:hint="eastAsia" w:ascii="宋体" w:hAnsi="宋体" w:cs="宋体"/>
          <w:color w:val="auto"/>
          <w:highlight w:val="none"/>
        </w:rPr>
        <w:t>①</w:t>
      </w:r>
      <w:r>
        <w:rPr>
          <w:rFonts w:hint="eastAsia" w:cs="宋体"/>
          <w:color w:val="auto"/>
          <w:highlight w:val="none"/>
        </w:rPr>
        <w:t>建设项目投标报价汇总表（表</w:t>
      </w:r>
      <w:r>
        <w:rPr>
          <w:color w:val="auto"/>
          <w:highlight w:val="none"/>
        </w:rPr>
        <w:t>-02</w:t>
      </w:r>
      <w:r>
        <w:rPr>
          <w:rFonts w:hint="eastAsia" w:cs="宋体"/>
          <w:color w:val="auto"/>
          <w:highlight w:val="none"/>
        </w:rPr>
        <w:t>）</w:t>
      </w:r>
    </w:p>
    <w:p w14:paraId="505BBC11">
      <w:pPr>
        <w:spacing w:line="360" w:lineRule="auto"/>
        <w:ind w:firstLine="420"/>
        <w:rPr>
          <w:color w:val="auto"/>
          <w:highlight w:val="none"/>
        </w:rPr>
      </w:pPr>
      <w:r>
        <w:rPr>
          <w:rFonts w:hint="eastAsia" w:cs="宋体"/>
          <w:color w:val="auto"/>
          <w:highlight w:val="none"/>
        </w:rPr>
        <w:t>②暂列金额明细表（表</w:t>
      </w:r>
      <w:r>
        <w:rPr>
          <w:color w:val="auto"/>
          <w:highlight w:val="none"/>
        </w:rPr>
        <w:t>12-1</w:t>
      </w:r>
      <w:r>
        <w:rPr>
          <w:rFonts w:hint="eastAsia" w:cs="宋体"/>
          <w:color w:val="auto"/>
          <w:highlight w:val="none"/>
        </w:rPr>
        <w:t>）</w:t>
      </w:r>
    </w:p>
    <w:p w14:paraId="3A970EA8">
      <w:pPr>
        <w:spacing w:line="360" w:lineRule="auto"/>
        <w:ind w:firstLine="420"/>
        <w:rPr>
          <w:color w:val="auto"/>
          <w:highlight w:val="none"/>
        </w:rPr>
      </w:pPr>
      <w:r>
        <w:rPr>
          <w:rFonts w:hint="eastAsia" w:cs="宋体"/>
          <w:color w:val="auto"/>
          <w:highlight w:val="none"/>
        </w:rPr>
        <w:t>③材料（工程设备）暂估单位及调整表（表</w:t>
      </w:r>
      <w:r>
        <w:rPr>
          <w:color w:val="auto"/>
          <w:highlight w:val="none"/>
        </w:rPr>
        <w:t>12-2</w:t>
      </w:r>
      <w:r>
        <w:rPr>
          <w:rFonts w:hint="eastAsia" w:cs="宋体"/>
          <w:color w:val="auto"/>
          <w:highlight w:val="none"/>
        </w:rPr>
        <w:t>）</w:t>
      </w:r>
    </w:p>
    <w:p w14:paraId="0B65F872">
      <w:pPr>
        <w:spacing w:line="360" w:lineRule="auto"/>
        <w:ind w:firstLine="420"/>
        <w:rPr>
          <w:color w:val="auto"/>
          <w:highlight w:val="none"/>
        </w:rPr>
      </w:pPr>
      <w:r>
        <w:rPr>
          <w:rFonts w:hint="eastAsia" w:cs="宋体"/>
          <w:color w:val="auto"/>
          <w:highlight w:val="none"/>
        </w:rPr>
        <w:t>④专业工程暂估价及结算价表（表</w:t>
      </w:r>
      <w:r>
        <w:rPr>
          <w:color w:val="auto"/>
          <w:highlight w:val="none"/>
        </w:rPr>
        <w:t>12-3</w:t>
      </w:r>
      <w:r>
        <w:rPr>
          <w:rFonts w:hint="eastAsia" w:cs="宋体"/>
          <w:color w:val="auto"/>
          <w:highlight w:val="none"/>
        </w:rPr>
        <w:t>）</w:t>
      </w:r>
    </w:p>
    <w:p w14:paraId="0847AFBB">
      <w:pPr>
        <w:spacing w:line="360" w:lineRule="auto"/>
        <w:ind w:firstLine="420"/>
        <w:rPr>
          <w:color w:val="auto"/>
          <w:highlight w:val="none"/>
        </w:rPr>
      </w:pPr>
      <w:r>
        <w:rPr>
          <w:rFonts w:hint="eastAsia" w:cs="宋体"/>
          <w:color w:val="auto"/>
          <w:highlight w:val="none"/>
        </w:rPr>
        <w:t>⑤计日工表表</w:t>
      </w:r>
      <w:r>
        <w:rPr>
          <w:color w:val="auto"/>
          <w:highlight w:val="none"/>
        </w:rPr>
        <w:t>12-4</w:t>
      </w:r>
      <w:r>
        <w:rPr>
          <w:rFonts w:hint="eastAsia" w:cs="宋体"/>
          <w:color w:val="auto"/>
          <w:highlight w:val="none"/>
        </w:rPr>
        <w:t>）</w:t>
      </w:r>
    </w:p>
    <w:p w14:paraId="12A35431">
      <w:pPr>
        <w:spacing w:line="360" w:lineRule="auto"/>
        <w:ind w:firstLine="420"/>
        <w:rPr>
          <w:color w:val="auto"/>
          <w:highlight w:val="none"/>
        </w:rPr>
      </w:pPr>
      <w:r>
        <w:rPr>
          <w:rFonts w:hint="eastAsia" w:cs="宋体"/>
          <w:color w:val="auto"/>
          <w:highlight w:val="none"/>
        </w:rPr>
        <w:t>⑥总承包服务费计价表（表</w:t>
      </w:r>
      <w:r>
        <w:rPr>
          <w:color w:val="auto"/>
          <w:highlight w:val="none"/>
        </w:rPr>
        <w:t>12-5</w:t>
      </w:r>
      <w:r>
        <w:rPr>
          <w:rFonts w:hint="eastAsia" w:cs="宋体"/>
          <w:color w:val="auto"/>
          <w:highlight w:val="none"/>
        </w:rPr>
        <w:t>）</w:t>
      </w:r>
    </w:p>
    <w:p w14:paraId="63ED8635">
      <w:pPr>
        <w:spacing w:line="360" w:lineRule="auto"/>
        <w:ind w:firstLine="420"/>
        <w:rPr>
          <w:color w:val="auto"/>
          <w:highlight w:val="none"/>
        </w:rPr>
      </w:pPr>
      <w:r>
        <w:rPr>
          <w:rFonts w:hint="eastAsia" w:cs="宋体"/>
          <w:color w:val="auto"/>
          <w:highlight w:val="none"/>
        </w:rPr>
        <w:t>⑦税前项目清单与计价表（表</w:t>
      </w:r>
      <w:r>
        <w:rPr>
          <w:color w:val="auto"/>
          <w:highlight w:val="none"/>
        </w:rPr>
        <w:t>-14</w:t>
      </w:r>
      <w:r>
        <w:rPr>
          <w:rFonts w:hint="eastAsia" w:cs="宋体"/>
          <w:color w:val="auto"/>
          <w:highlight w:val="none"/>
        </w:rPr>
        <w:t>）</w:t>
      </w:r>
    </w:p>
    <w:p w14:paraId="5AE33A3D">
      <w:pPr>
        <w:spacing w:line="360" w:lineRule="auto"/>
        <w:ind w:firstLine="420"/>
        <w:rPr>
          <w:rFonts w:cs="宋体"/>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8 \* GB3</w:instrText>
      </w:r>
      <w:r>
        <w:rPr>
          <w:color w:val="auto"/>
          <w:highlight w:val="none"/>
        </w:rPr>
        <w:instrText xml:space="preserve"> </w:instrText>
      </w:r>
      <w:r>
        <w:rPr>
          <w:color w:val="auto"/>
          <w:highlight w:val="none"/>
        </w:rPr>
        <w:fldChar w:fldCharType="separate"/>
      </w:r>
      <w:r>
        <w:rPr>
          <w:rFonts w:hint="eastAsia"/>
          <w:color w:val="auto"/>
          <w:highlight w:val="none"/>
        </w:rPr>
        <w:t>⑧</w:t>
      </w:r>
      <w:r>
        <w:rPr>
          <w:color w:val="auto"/>
          <w:highlight w:val="none"/>
        </w:rPr>
        <w:fldChar w:fldCharType="end"/>
      </w:r>
      <w:r>
        <w:rPr>
          <w:color w:val="auto"/>
          <w:highlight w:val="none"/>
        </w:rPr>
        <w:t xml:space="preserve"> </w:t>
      </w:r>
      <w:r>
        <w:rPr>
          <w:rFonts w:hint="eastAsia" w:cs="宋体"/>
          <w:color w:val="auto"/>
          <w:highlight w:val="none"/>
        </w:rPr>
        <w:t>允许调整主要材料和工程设备一览表（适用于价格指数差额调整法）（表</w:t>
      </w:r>
      <w:r>
        <w:rPr>
          <w:color w:val="auto"/>
          <w:highlight w:val="none"/>
        </w:rPr>
        <w:t>-23</w:t>
      </w:r>
      <w:r>
        <w:rPr>
          <w:rFonts w:hint="eastAsia" w:cs="宋体"/>
          <w:color w:val="auto"/>
          <w:highlight w:val="none"/>
        </w:rPr>
        <w:t>）</w:t>
      </w:r>
    </w:p>
    <w:p w14:paraId="4CE87FB2">
      <w:pPr>
        <w:spacing w:line="360" w:lineRule="auto"/>
        <w:ind w:firstLine="420"/>
        <w:contextualSpacing/>
        <w:jc w:val="left"/>
        <w:rPr>
          <w:rFonts w:hint="eastAsia" w:hAnsi="宋体" w:cs="宋体"/>
          <w:color w:val="auto"/>
          <w:highlight w:val="none"/>
          <w:lang w:val="en"/>
        </w:rPr>
      </w:pPr>
      <w:r>
        <w:rPr>
          <w:rFonts w:hint="eastAsia" w:cs="宋体"/>
          <w:color w:val="auto"/>
          <w:highlight w:val="none"/>
        </w:rPr>
        <w:t>注：</w:t>
      </w:r>
      <w:r>
        <w:rPr>
          <w:rFonts w:hint="eastAsia" w:hAnsi="宋体" w:cs="宋体"/>
          <w:color w:val="auto"/>
          <w:highlight w:val="none"/>
          <w:lang w:val="en"/>
        </w:rPr>
        <w:t>因</w:t>
      </w:r>
      <w:r>
        <w:rPr>
          <w:rFonts w:hint="eastAsia" w:hAnsi="宋体" w:cs="宋体"/>
          <w:color w:val="auto"/>
          <w:highlight w:val="none"/>
        </w:rPr>
        <w:t>2021年《广西壮族自治区</w:t>
      </w:r>
      <w:r>
        <w:rPr>
          <w:rFonts w:hint="eastAsia" w:hAnsi="宋体" w:cs="宋体"/>
          <w:color w:val="auto"/>
          <w:highlight w:val="none"/>
          <w:lang w:val="en"/>
        </w:rPr>
        <w:t>园林绿化及仿古建筑工程费用定额</w:t>
      </w:r>
      <w:r>
        <w:rPr>
          <w:rFonts w:hint="eastAsia" w:hAnsi="宋体" w:cs="宋体"/>
          <w:color w:val="auto"/>
          <w:highlight w:val="none"/>
        </w:rPr>
        <w:t>》采用全费用综合单价形式，故园林绿化及仿古建筑工程的已标价工程量清单</w:t>
      </w:r>
      <w:r>
        <w:rPr>
          <w:rFonts w:hint="eastAsia" w:cs="黑体"/>
          <w:color w:val="auto"/>
          <w:highlight w:val="none"/>
        </w:rPr>
        <w:t>采用</w:t>
      </w:r>
      <w:r>
        <w:rPr>
          <w:rFonts w:hint="eastAsia" w:hAnsi="宋体" w:cs="宋体"/>
          <w:color w:val="auto"/>
          <w:highlight w:val="none"/>
          <w:lang w:val="en"/>
        </w:rPr>
        <w:t>《自治区住房和城乡建设厅关于建设工程造价改革试点项目招投标及计价规定调整的通知》（桂建标〔2021〕6号）中附件1《建设工程工程量清单计价规范（</w:t>
      </w:r>
      <w:r>
        <w:rPr>
          <w:rFonts w:hint="eastAsia" w:hAnsi="宋体" w:cs="宋体"/>
          <w:color w:val="auto"/>
          <w:highlight w:val="none"/>
          <w:lang w:val="en" w:eastAsia="zh-CN"/>
        </w:rPr>
        <w:t>GB/T 50500-2024</w:t>
      </w:r>
      <w:r>
        <w:rPr>
          <w:rFonts w:hint="eastAsia" w:hAnsi="宋体" w:cs="宋体"/>
          <w:color w:val="auto"/>
          <w:highlight w:val="none"/>
          <w:lang w:val="en"/>
        </w:rPr>
        <w:t>）广西壮族自治区实施细则》（适用于工程造价改革试点项目）相关表格，具体以招标人另册发放的工程量清单及相关说明为准。</w:t>
      </w:r>
    </w:p>
    <w:p w14:paraId="2D6D6C5B">
      <w:pPr>
        <w:spacing w:line="360" w:lineRule="auto"/>
        <w:contextualSpacing/>
        <w:jc w:val="center"/>
        <w:rPr>
          <w:rFonts w:hint="eastAsia" w:ascii="宋体" w:hAnsi="宋体"/>
          <w:b/>
          <w:bCs/>
          <w:color w:val="auto"/>
          <w:sz w:val="32"/>
          <w:szCs w:val="32"/>
          <w:highlight w:val="none"/>
        </w:rPr>
      </w:pPr>
      <w:r>
        <w:rPr>
          <w:rFonts w:ascii="宋体" w:hAnsi="宋体" w:cs="仿宋_GB2312"/>
          <w:color w:val="auto"/>
          <w:sz w:val="24"/>
          <w:highlight w:val="none"/>
        </w:rPr>
        <w:br w:type="page" w:clear="all"/>
      </w:r>
    </w:p>
    <w:p w14:paraId="59E2B154">
      <w:pPr>
        <w:spacing w:line="360" w:lineRule="auto"/>
        <w:ind w:firstLine="643"/>
        <w:contextualSpacing/>
        <w:jc w:val="center"/>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68B9CE49">
      <w:pPr>
        <w:spacing w:before="12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3B2BC081">
      <w:pPr>
        <w:spacing w:before="120" w:after="50"/>
        <w:rPr>
          <w:rFonts w:hint="eastAsia" w:ascii="宋体" w:hAnsi="宋体"/>
          <w:bCs/>
          <w:color w:val="auto"/>
          <w:sz w:val="32"/>
          <w:szCs w:val="20"/>
          <w:highlight w:val="none"/>
        </w:rPr>
      </w:pPr>
    </w:p>
    <w:p w14:paraId="1884E39E">
      <w:pPr>
        <w:spacing w:before="12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3D1CD434">
      <w:pPr>
        <w:spacing w:before="120" w:after="50"/>
        <w:rPr>
          <w:rFonts w:hint="eastAsia" w:ascii="宋体" w:hAnsi="宋体"/>
          <w:color w:val="auto"/>
          <w:sz w:val="24"/>
          <w:szCs w:val="20"/>
          <w:highlight w:val="none"/>
        </w:rPr>
      </w:pPr>
    </w:p>
    <w:p w14:paraId="1605A463">
      <w:pPr>
        <w:spacing w:before="120" w:after="50"/>
        <w:rPr>
          <w:rFonts w:hint="eastAsia" w:ascii="宋体" w:hAnsi="宋体"/>
          <w:color w:val="auto"/>
          <w:sz w:val="24"/>
          <w:szCs w:val="20"/>
          <w:highlight w:val="none"/>
        </w:rPr>
      </w:pPr>
    </w:p>
    <w:p w14:paraId="7180271B">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5C69190A">
      <w:pPr>
        <w:spacing w:before="120" w:after="50"/>
        <w:rPr>
          <w:rFonts w:hint="eastAsia" w:ascii="宋体" w:hAnsi="宋体"/>
          <w:bCs/>
          <w:color w:val="auto"/>
          <w:sz w:val="24"/>
          <w:szCs w:val="20"/>
          <w:highlight w:val="none"/>
        </w:rPr>
      </w:pPr>
    </w:p>
    <w:p w14:paraId="46F27391">
      <w:pPr>
        <w:spacing w:before="120" w:after="50"/>
        <w:rPr>
          <w:rFonts w:hint="eastAsia" w:ascii="宋体" w:hAnsi="宋体"/>
          <w:bCs/>
          <w:color w:val="auto"/>
          <w:sz w:val="24"/>
          <w:szCs w:val="20"/>
          <w:highlight w:val="none"/>
        </w:rPr>
      </w:pPr>
    </w:p>
    <w:p w14:paraId="5E4860D5">
      <w:pPr>
        <w:spacing w:before="120" w:after="50"/>
        <w:rPr>
          <w:rFonts w:hint="eastAsia" w:ascii="宋体" w:hAnsi="宋体"/>
          <w:bCs/>
          <w:color w:val="auto"/>
          <w:sz w:val="24"/>
          <w:szCs w:val="20"/>
          <w:highlight w:val="none"/>
        </w:rPr>
      </w:pPr>
    </w:p>
    <w:p w14:paraId="19B7BF72">
      <w:pPr>
        <w:spacing w:before="120" w:after="50"/>
        <w:rPr>
          <w:rFonts w:hint="eastAsia" w:ascii="宋体" w:hAnsi="宋体"/>
          <w:bCs/>
          <w:color w:val="auto"/>
          <w:sz w:val="24"/>
          <w:szCs w:val="20"/>
          <w:highlight w:val="none"/>
        </w:rPr>
      </w:pPr>
    </w:p>
    <w:p w14:paraId="393839C1">
      <w:pPr>
        <w:spacing w:before="120" w:after="50"/>
        <w:rPr>
          <w:rFonts w:hint="eastAsia" w:ascii="宋体" w:hAnsi="宋体"/>
          <w:bCs/>
          <w:color w:val="auto"/>
          <w:sz w:val="24"/>
          <w:szCs w:val="20"/>
          <w:highlight w:val="none"/>
        </w:rPr>
      </w:pPr>
    </w:p>
    <w:p w14:paraId="3D0C6393">
      <w:pPr>
        <w:spacing w:before="12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F54DCAA">
      <w:pPr>
        <w:spacing w:before="120" w:after="50"/>
        <w:ind w:firstLine="720"/>
        <w:rPr>
          <w:rFonts w:hint="eastAsia" w:ascii="宋体" w:hAnsi="宋体" w:cs="仿宋_GB2312"/>
          <w:bCs/>
          <w:color w:val="auto"/>
          <w:sz w:val="32"/>
          <w:szCs w:val="32"/>
          <w:highlight w:val="none"/>
        </w:rPr>
      </w:pPr>
    </w:p>
    <w:p w14:paraId="15A22C91">
      <w:pPr>
        <w:spacing w:before="12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0994831B">
      <w:pPr>
        <w:spacing w:before="120" w:after="50"/>
        <w:rPr>
          <w:rFonts w:hint="eastAsia" w:ascii="宋体" w:hAnsi="宋体" w:cs="仿宋_GB2312"/>
          <w:bCs/>
          <w:color w:val="auto"/>
          <w:sz w:val="32"/>
          <w:szCs w:val="32"/>
          <w:highlight w:val="none"/>
        </w:rPr>
      </w:pPr>
    </w:p>
    <w:p w14:paraId="217660C7">
      <w:pPr>
        <w:pStyle w:val="8"/>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56B6E16">
      <w:pPr>
        <w:pStyle w:val="8"/>
        <w:spacing w:before="50" w:after="50"/>
        <w:ind w:firstLine="640"/>
        <w:rPr>
          <w:rFonts w:hint="eastAsia" w:ascii="宋体" w:hAnsi="宋体" w:cs="仿宋_GB2312"/>
          <w:bCs/>
          <w:color w:val="auto"/>
          <w:sz w:val="32"/>
          <w:szCs w:val="32"/>
          <w:highlight w:val="none"/>
        </w:rPr>
      </w:pPr>
    </w:p>
    <w:p w14:paraId="156B19E3">
      <w:pPr>
        <w:pStyle w:val="8"/>
        <w:spacing w:before="50" w:after="50"/>
        <w:ind w:firstLine="720"/>
        <w:rPr>
          <w:rFonts w:hint="eastAsia" w:ascii="宋体" w:hAnsi="宋体" w:cs="仿宋_GB2312"/>
          <w:bCs/>
          <w:color w:val="auto"/>
          <w:sz w:val="32"/>
          <w:szCs w:val="32"/>
          <w:highlight w:val="none"/>
        </w:rPr>
      </w:pPr>
    </w:p>
    <w:p w14:paraId="48CCCF6A">
      <w:pPr>
        <w:pStyle w:val="8"/>
        <w:spacing w:before="50" w:after="50"/>
        <w:ind w:firstLine="0"/>
        <w:rPr>
          <w:rFonts w:hint="eastAsia" w:ascii="宋体" w:hAnsi="宋体" w:cs="仿宋_GB2312"/>
          <w:bCs/>
          <w:color w:val="auto"/>
          <w:sz w:val="32"/>
          <w:szCs w:val="32"/>
          <w:highlight w:val="none"/>
        </w:rPr>
      </w:pPr>
    </w:p>
    <w:p w14:paraId="743DE6F4">
      <w:pPr>
        <w:pStyle w:val="8"/>
        <w:spacing w:before="50" w:after="50"/>
        <w:ind w:firstLine="1280"/>
        <w:rPr>
          <w:rFonts w:hint="eastAsia" w:ascii="宋体" w:hAnsi="宋体" w:cs="仿宋_GB2312"/>
          <w:bCs/>
          <w:color w:val="auto"/>
          <w:sz w:val="32"/>
          <w:szCs w:val="32"/>
          <w:highlight w:val="none"/>
        </w:rPr>
      </w:pPr>
    </w:p>
    <w:p w14:paraId="05D2097E">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5C2DB25">
      <w:pPr>
        <w:spacing w:before="120" w:after="50" w:line="360" w:lineRule="auto"/>
        <w:ind w:right="480" w:firstLine="240"/>
        <w:jc w:val="left"/>
        <w:rPr>
          <w:rFonts w:hint="eastAsia" w:ascii="宋体" w:hAnsi="宋体"/>
          <w:b/>
          <w:bCs/>
          <w:color w:val="auto"/>
          <w:sz w:val="24"/>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2.商务技术文件目录</w:t>
      </w:r>
    </w:p>
    <w:p w14:paraId="7F5E195E">
      <w:pPr>
        <w:spacing w:before="120" w:after="50"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58001FD0">
      <w:pPr>
        <w:spacing w:line="400" w:lineRule="exact"/>
        <w:rPr>
          <w:rFonts w:hint="eastAsia" w:ascii="仿宋_GB2312" w:hAnsi="仿宋_GB2312" w:eastAsia="仿宋_GB2312" w:cs="仿宋_GB2312"/>
          <w:color w:val="auto"/>
          <w:sz w:val="32"/>
          <w:szCs w:val="32"/>
          <w:highlight w:val="none"/>
        </w:rPr>
      </w:pPr>
    </w:p>
    <w:p w14:paraId="17D1415C">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clear="all"/>
      </w:r>
      <w:r>
        <w:rPr>
          <w:rFonts w:hint="eastAsia" w:ascii="方正小标宋简体" w:hAnsi="方正小标宋简体" w:eastAsia="方正小标宋简体" w:cs="方正小标宋简体"/>
          <w:color w:val="auto"/>
          <w:sz w:val="44"/>
          <w:szCs w:val="44"/>
          <w:highlight w:val="none"/>
        </w:rPr>
        <w:t>无串通竞标行为的承诺函</w:t>
      </w:r>
    </w:p>
    <w:p w14:paraId="51C5353F">
      <w:pPr>
        <w:spacing w:line="360" w:lineRule="auto"/>
        <w:ind w:firstLine="640"/>
        <w:contextualSpacing/>
        <w:rPr>
          <w:rFonts w:hint="eastAsia" w:ascii="仿宋_GB2312" w:hAnsi="仿宋_GB2312" w:eastAsia="仿宋_GB2312" w:cs="仿宋_GB2312"/>
          <w:color w:val="auto"/>
          <w:sz w:val="32"/>
          <w:szCs w:val="32"/>
          <w:highlight w:val="none"/>
        </w:rPr>
      </w:pPr>
    </w:p>
    <w:p w14:paraId="15988F07">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18B3AA8E">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3FA2C71A">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62BD0F2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09FB3BCA">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06316816">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3072D435">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4043C248">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02811382">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2CD6236A">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2E197466">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21934433">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29AC1585">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49C2639C">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41743EC6">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23990960">
      <w:pPr>
        <w:spacing w:line="360" w:lineRule="auto"/>
        <w:ind w:firstLine="480"/>
        <w:contextualSpacing/>
        <w:rPr>
          <w:rFonts w:hint="eastAsia" w:ascii="宋体" w:hAnsi="宋体" w:cs="仿宋_GB2312"/>
          <w:color w:val="auto"/>
          <w:sz w:val="24"/>
          <w:highlight w:val="none"/>
        </w:rPr>
      </w:pPr>
    </w:p>
    <w:p w14:paraId="41095A60">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1EDCFF0D">
      <w:pPr>
        <w:spacing w:line="360" w:lineRule="auto"/>
        <w:contextualSpacing/>
        <w:rPr>
          <w:rFonts w:hint="eastAsia" w:ascii="宋体" w:hAnsi="宋体" w:cs="仿宋_GB2312"/>
          <w:color w:val="auto"/>
          <w:sz w:val="24"/>
          <w:highlight w:val="none"/>
        </w:rPr>
      </w:pPr>
    </w:p>
    <w:p w14:paraId="1F3157F6">
      <w:pPr>
        <w:spacing w:line="360" w:lineRule="auto"/>
        <w:ind w:firstLine="36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430841B9">
      <w:pPr>
        <w:spacing w:line="360" w:lineRule="auto"/>
        <w:ind w:firstLine="48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2ECE2961">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clear="all"/>
      </w:r>
      <w:r>
        <w:rPr>
          <w:rFonts w:hint="eastAsia" w:ascii="方正小标宋简体" w:hAnsi="方正小标宋简体" w:eastAsia="方正小标宋简体" w:cs="方正小标宋简体"/>
          <w:bCs/>
          <w:color w:val="auto"/>
          <w:sz w:val="44"/>
          <w:szCs w:val="44"/>
          <w:highlight w:val="none"/>
        </w:rPr>
        <w:t>法定代表人证明书</w:t>
      </w:r>
    </w:p>
    <w:p w14:paraId="3616398B">
      <w:pPr>
        <w:spacing w:line="360" w:lineRule="auto"/>
        <w:ind w:left="540"/>
        <w:contextualSpacing/>
        <w:rPr>
          <w:rFonts w:hint="eastAsia" w:ascii="仿宋_GB2312" w:hAnsi="仿宋_GB2312" w:eastAsia="仿宋_GB2312" w:cs="仿宋_GB2312"/>
          <w:color w:val="auto"/>
          <w:sz w:val="32"/>
          <w:szCs w:val="32"/>
          <w:highlight w:val="none"/>
        </w:rPr>
      </w:pPr>
    </w:p>
    <w:p w14:paraId="0DAA520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5A19A9C9">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25937CA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2621FD71">
      <w:pPr>
        <w:spacing w:line="360" w:lineRule="auto"/>
        <w:ind w:left="540"/>
        <w:contextualSpacing/>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0104ABAD">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2B3AB43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062137F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436CDFBA">
      <w:pPr>
        <w:spacing w:line="360" w:lineRule="auto"/>
        <w:ind w:left="540"/>
        <w:contextualSpacing/>
        <w:rPr>
          <w:rFonts w:hint="eastAsia" w:ascii="宋体" w:hAnsi="宋体" w:cs="仿宋_GB2312"/>
          <w:color w:val="auto"/>
          <w:sz w:val="24"/>
          <w:highlight w:val="none"/>
        </w:rPr>
      </w:pPr>
    </w:p>
    <w:p w14:paraId="42CFAE5C">
      <w:pPr>
        <w:spacing w:line="360" w:lineRule="auto"/>
        <w:ind w:left="540"/>
        <w:contextualSpacing/>
        <w:rPr>
          <w:rFonts w:hint="eastAsia" w:ascii="宋体" w:hAnsi="宋体" w:cs="仿宋_GB2312"/>
          <w:color w:val="auto"/>
          <w:sz w:val="24"/>
          <w:highlight w:val="none"/>
        </w:rPr>
      </w:pPr>
    </w:p>
    <w:p w14:paraId="3460E207">
      <w:pPr>
        <w:spacing w:line="360" w:lineRule="auto"/>
        <w:ind w:left="540"/>
        <w:contextualSpacing/>
        <w:rPr>
          <w:rFonts w:hint="eastAsia" w:ascii="宋体" w:hAnsi="宋体" w:cs="仿宋_GB2312"/>
          <w:color w:val="auto"/>
          <w:sz w:val="24"/>
          <w:highlight w:val="none"/>
        </w:rPr>
      </w:pPr>
    </w:p>
    <w:p w14:paraId="03CC01E2">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4470FEB0">
      <w:pPr>
        <w:spacing w:line="360" w:lineRule="auto"/>
        <w:ind w:left="540"/>
        <w:contextualSpacing/>
        <w:rPr>
          <w:rFonts w:hint="eastAsia" w:ascii="宋体" w:hAnsi="宋体" w:cs="仿宋_GB2312"/>
          <w:color w:val="auto"/>
          <w:sz w:val="24"/>
          <w:highlight w:val="none"/>
        </w:rPr>
      </w:pPr>
    </w:p>
    <w:p w14:paraId="3DE779A2">
      <w:pPr>
        <w:spacing w:line="360" w:lineRule="auto"/>
        <w:ind w:left="540" w:firstLine="30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74321191">
      <w:pPr>
        <w:spacing w:line="360" w:lineRule="auto"/>
        <w:ind w:firstLine="4080"/>
        <w:contextualSpacing/>
        <w:rPr>
          <w:rFonts w:hint="eastAsia" w:ascii="宋体" w:hAnsi="宋体" w:cs="仿宋_GB2312"/>
          <w:color w:val="auto"/>
          <w:sz w:val="24"/>
          <w:highlight w:val="none"/>
        </w:rPr>
      </w:pPr>
      <w:r>
        <w:rPr>
          <w:rFonts w:hint="eastAsia" w:ascii="宋体" w:hAnsi="宋体" w:cs="仿宋_GB2312"/>
          <w:color w:val="auto"/>
          <w:sz w:val="24"/>
          <w:highlight w:val="none"/>
        </w:rPr>
        <w:t>年  月  日</w:t>
      </w:r>
    </w:p>
    <w:p w14:paraId="3FD8E016">
      <w:pPr>
        <w:spacing w:line="360" w:lineRule="auto"/>
        <w:contextualSpacing/>
        <w:jc w:val="center"/>
        <w:rPr>
          <w:rFonts w:hint="eastAsia" w:ascii="宋体" w:hAnsi="宋体" w:cs="仿宋_GB2312"/>
          <w:b/>
          <w:color w:val="auto"/>
          <w:sz w:val="24"/>
          <w:highlight w:val="none"/>
        </w:rPr>
      </w:pPr>
    </w:p>
    <w:p w14:paraId="7E1981EE">
      <w:pPr>
        <w:spacing w:line="360" w:lineRule="auto"/>
        <w:contextualSpacing/>
        <w:jc w:val="left"/>
        <w:rPr>
          <w:rFonts w:hint="eastAsia" w:ascii="宋体" w:hAnsi="宋体" w:cs="仿宋_GB2312"/>
          <w:color w:val="auto"/>
          <w:sz w:val="24"/>
          <w:highlight w:val="none"/>
        </w:rPr>
      </w:pPr>
    </w:p>
    <w:p w14:paraId="339A94C7">
      <w:pPr>
        <w:spacing w:line="300" w:lineRule="auto"/>
        <w:jc w:val="left"/>
        <w:rPr>
          <w:rFonts w:hint="eastAsia" w:ascii="宋体" w:hAnsi="宋体"/>
          <w:b/>
          <w:color w:val="auto"/>
          <w:szCs w:val="21"/>
          <w:highlight w:val="none"/>
        </w:rPr>
      </w:pPr>
    </w:p>
    <w:p w14:paraId="4C4A5FF2">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clear="all"/>
      </w:r>
    </w:p>
    <w:p w14:paraId="5C4FB5F5">
      <w:pPr>
        <w:spacing w:line="520" w:lineRule="exact"/>
        <w:jc w:val="center"/>
        <w:rPr>
          <w:rFonts w:hint="eastAsia" w:ascii="方正小标宋简体" w:hAnsi="方正小标宋简体" w:eastAsia="方正小标宋简体" w:cs="方正小标宋简体"/>
          <w:color w:val="auto"/>
          <w:sz w:val="44"/>
          <w:szCs w:val="44"/>
          <w:highlight w:val="none"/>
        </w:rPr>
      </w:pPr>
      <w:bookmarkStart w:id="129" w:name="_Hlk65853643"/>
      <w:r>
        <w:rPr>
          <w:rFonts w:hint="eastAsia" w:ascii="方正小标宋简体" w:hAnsi="方正小标宋简体" w:eastAsia="方正小标宋简体" w:cs="方正小标宋简体"/>
          <w:color w:val="auto"/>
          <w:sz w:val="44"/>
          <w:szCs w:val="44"/>
          <w:highlight w:val="none"/>
        </w:rPr>
        <w:t>授权委托书</w:t>
      </w:r>
    </w:p>
    <w:p w14:paraId="7904592F">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36DE5078">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09C1D0C2">
      <w:pPr>
        <w:spacing w:line="520" w:lineRule="exact"/>
        <w:rPr>
          <w:rFonts w:hint="eastAsia" w:ascii="仿宋_GB2312" w:hAnsi="仿宋_GB2312" w:eastAsia="仿宋_GB2312" w:cs="仿宋_GB2312"/>
          <w:color w:val="auto"/>
          <w:sz w:val="32"/>
          <w:szCs w:val="32"/>
          <w:highlight w:val="none"/>
        </w:rPr>
      </w:pPr>
    </w:p>
    <w:p w14:paraId="6B7248B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lang w:eastAsia="zh-CN"/>
        </w:rPr>
        <w:t>贵港市覃塘区人民医院</w:t>
      </w:r>
      <w:r>
        <w:rPr>
          <w:rFonts w:hint="eastAsia" w:ascii="宋体" w:hAnsi="宋体" w:cs="仿宋_GB2312"/>
          <w:color w:val="auto"/>
          <w:sz w:val="24"/>
          <w:highlight w:val="none"/>
        </w:rPr>
        <w:t>：</w:t>
      </w:r>
    </w:p>
    <w:p w14:paraId="1A5B7A35">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以我方的名义参加项目的竞标活动，并代表我方全权办理针对上述项目的所有采购程序和环节的具体事务和签署相关文件。</w:t>
      </w:r>
    </w:p>
    <w:p w14:paraId="426BF6E1">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42EAF559">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4AD3287B">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21C4C5A9">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14DFA91B">
      <w:pPr>
        <w:spacing w:line="360" w:lineRule="auto"/>
        <w:rPr>
          <w:rFonts w:hint="eastAsia" w:ascii="宋体" w:hAnsi="宋体" w:cs="仿宋_GB2312"/>
          <w:color w:val="auto"/>
          <w:sz w:val="24"/>
          <w:highlight w:val="none"/>
        </w:rPr>
      </w:pPr>
    </w:p>
    <w:p w14:paraId="4868C140">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委托代理人（签字或者盖章或者电子签名）： </w:t>
      </w:r>
    </w:p>
    <w:p w14:paraId="567C107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1051B9C6">
      <w:pPr>
        <w:spacing w:line="360" w:lineRule="auto"/>
        <w:contextualSpacing/>
        <w:rPr>
          <w:rFonts w:hint="eastAsia" w:ascii="宋体" w:hAnsi="宋体" w:cs="仿宋_GB2312"/>
          <w:color w:val="auto"/>
          <w:sz w:val="24"/>
          <w:highlight w:val="none"/>
        </w:rPr>
      </w:pPr>
    </w:p>
    <w:p w14:paraId="636739F0">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法定代表人（签字或者盖章或者电子签名）：                    </w:t>
      </w:r>
    </w:p>
    <w:p w14:paraId="0A2690D2">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048E7999">
      <w:pPr>
        <w:spacing w:line="360" w:lineRule="auto"/>
        <w:contextualSpacing/>
        <w:rPr>
          <w:rFonts w:hint="eastAsia" w:ascii="宋体" w:hAnsi="宋体" w:cs="仿宋_GB2312"/>
          <w:color w:val="auto"/>
          <w:sz w:val="24"/>
          <w:highlight w:val="none"/>
        </w:rPr>
      </w:pPr>
    </w:p>
    <w:p w14:paraId="68DB83A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48556EEF">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108DB08D">
      <w:pPr>
        <w:spacing w:line="360" w:lineRule="auto"/>
        <w:rPr>
          <w:rFonts w:hint="eastAsia" w:ascii="宋体" w:hAnsi="宋体" w:cs="仿宋_GB2312"/>
          <w:color w:val="auto"/>
          <w:sz w:val="24"/>
          <w:highlight w:val="none"/>
        </w:rPr>
      </w:pPr>
    </w:p>
    <w:p w14:paraId="26BAD004">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bookmarkEnd w:id="129"/>
    </w:p>
    <w:p w14:paraId="67CAE52B">
      <w:pPr>
        <w:spacing w:line="360" w:lineRule="auto"/>
        <w:ind w:firstLine="420"/>
        <w:jc w:val="left"/>
        <w:rPr>
          <w:rFonts w:hint="eastAsia" w:ascii="仿宋_GB2312" w:hAnsi="仿宋_GB2312" w:eastAsia="仿宋_GB2312" w:cs="仿宋_GB2312"/>
          <w:color w:val="auto"/>
          <w:szCs w:val="21"/>
          <w:highlight w:val="none"/>
        </w:rPr>
      </w:pPr>
    </w:p>
    <w:p w14:paraId="3A04FDEE">
      <w:pPr>
        <w:spacing w:line="360" w:lineRule="auto"/>
        <w:contextualSpacing/>
        <w:jc w:val="center"/>
        <w:rPr>
          <w:rFonts w:hint="eastAsia" w:ascii="宋体" w:hAnsi="宋体" w:cs="方正小标宋简体"/>
          <w:b/>
          <w:bCs/>
          <w:color w:val="auto"/>
          <w:sz w:val="32"/>
          <w:szCs w:val="32"/>
          <w:highlight w:val="none"/>
        </w:rPr>
      </w:pPr>
      <w:r>
        <w:rPr>
          <w:rFonts w:hint="eastAsia" w:ascii="仿宋_GB2312" w:hAnsi="仿宋_GB2312" w:eastAsia="仿宋_GB2312" w:cs="仿宋_GB2312"/>
          <w:color w:val="auto"/>
          <w:sz w:val="32"/>
          <w:szCs w:val="32"/>
          <w:highlight w:val="none"/>
        </w:rPr>
        <w:br w:type="page" w:clear="all"/>
      </w:r>
      <w:r>
        <w:rPr>
          <w:rFonts w:ascii="方正小标宋简体" w:hAnsi="方正小标宋简体" w:eastAsia="方正小标宋简体" w:cs="方正小标宋简体"/>
          <w:bCs/>
          <w:color w:val="auto"/>
          <w:sz w:val="44"/>
          <w:szCs w:val="44"/>
          <w:highlight w:val="none"/>
        </w:rPr>
        <w:t xml:space="preserve"> </w:t>
      </w:r>
      <w:r>
        <w:rPr>
          <w:rFonts w:hint="eastAsia" w:ascii="宋体" w:hAnsi="宋体" w:cs="方正小标宋简体"/>
          <w:b/>
          <w:bCs/>
          <w:color w:val="auto"/>
          <w:sz w:val="32"/>
          <w:szCs w:val="32"/>
          <w:highlight w:val="none"/>
        </w:rPr>
        <w:t>施工组织设计（参考格式）</w:t>
      </w:r>
    </w:p>
    <w:p w14:paraId="6E7F0DCB">
      <w:pPr>
        <w:spacing w:line="360" w:lineRule="auto"/>
        <w:ind w:firstLine="420"/>
        <w:rPr>
          <w:rFonts w:cs="宋体"/>
          <w:color w:val="auto"/>
          <w:highlight w:val="none"/>
        </w:rPr>
      </w:pPr>
      <w:r>
        <w:rPr>
          <w:rFonts w:hint="eastAsia"/>
          <w:color w:val="auto"/>
          <w:highlight w:val="none"/>
        </w:rPr>
        <w:t>1.</w:t>
      </w:r>
      <w:r>
        <w:rPr>
          <w:color w:val="auto"/>
          <w:highlight w:val="none"/>
        </w:rPr>
        <w:t xml:space="preserve"> 施工组织</w:t>
      </w:r>
      <w:r>
        <w:rPr>
          <w:rFonts w:hint="eastAsia"/>
          <w:color w:val="auto"/>
          <w:highlight w:val="none"/>
        </w:rPr>
        <w:t>设计</w:t>
      </w:r>
      <w:r>
        <w:rPr>
          <w:rFonts w:hint="eastAsia" w:ascii="宋体" w:hAnsi="宋体"/>
          <w:color w:val="auto"/>
          <w:highlight w:val="none"/>
        </w:rPr>
        <w:t>应</w:t>
      </w:r>
      <w:r>
        <w:rPr>
          <w:rFonts w:hint="eastAsia"/>
          <w:color w:val="auto"/>
          <w:highlight w:val="none"/>
          <w:lang w:eastAsia="zh-CN"/>
        </w:rPr>
        <w:t>按</w:t>
      </w:r>
      <w:r>
        <w:rPr>
          <w:rFonts w:hint="eastAsia"/>
          <w:color w:val="auto"/>
          <w:highlight w:val="none"/>
        </w:rPr>
        <w:t>以下内容顺序编制，可</w:t>
      </w:r>
      <w:r>
        <w:rPr>
          <w:rFonts w:hint="eastAsia" w:ascii="宋体" w:hAnsi="宋体"/>
          <w:color w:val="auto"/>
          <w:highlight w:val="none"/>
        </w:rPr>
        <w:t>采用文字并结合图表形式说明施工方法，</w:t>
      </w:r>
      <w:r>
        <w:rPr>
          <w:color w:val="auto"/>
          <w:highlight w:val="none"/>
        </w:rPr>
        <w:t>施工组织</w:t>
      </w:r>
      <w:r>
        <w:rPr>
          <w:rFonts w:hint="eastAsia"/>
          <w:color w:val="auto"/>
          <w:highlight w:val="none"/>
        </w:rPr>
        <w:t>设计具体</w:t>
      </w:r>
      <w:r>
        <w:rPr>
          <w:color w:val="auto"/>
          <w:highlight w:val="none"/>
        </w:rPr>
        <w:t>内容</w:t>
      </w:r>
      <w:r>
        <w:rPr>
          <w:rFonts w:hint="eastAsia" w:cs="宋体"/>
          <w:color w:val="auto"/>
          <w:highlight w:val="none"/>
        </w:rPr>
        <w:t>如下：</w:t>
      </w:r>
    </w:p>
    <w:p w14:paraId="567BF3BF">
      <w:pPr>
        <w:spacing w:line="360" w:lineRule="auto"/>
        <w:ind w:firstLine="420"/>
        <w:rPr>
          <w:rFonts w:hint="eastAsia"/>
          <w:color w:val="auto"/>
          <w:highlight w:val="none"/>
        </w:rPr>
      </w:pPr>
      <w:r>
        <w:rPr>
          <w:rFonts w:hint="eastAsia"/>
          <w:color w:val="auto"/>
          <w:highlight w:val="none"/>
        </w:rPr>
        <w:t>（1）概述</w:t>
      </w:r>
    </w:p>
    <w:p w14:paraId="0BF22A7F">
      <w:pPr>
        <w:spacing w:line="360" w:lineRule="auto"/>
        <w:ind w:firstLine="420"/>
        <w:rPr>
          <w:rFonts w:hint="eastAsia"/>
          <w:color w:val="auto"/>
          <w:highlight w:val="none"/>
        </w:rPr>
      </w:pPr>
      <w:r>
        <w:rPr>
          <w:rFonts w:hint="eastAsia"/>
          <w:color w:val="auto"/>
          <w:highlight w:val="none"/>
        </w:rPr>
        <w:t>（2）主要施工方法；</w:t>
      </w:r>
    </w:p>
    <w:p w14:paraId="0077797B">
      <w:pPr>
        <w:spacing w:line="360" w:lineRule="auto"/>
        <w:ind w:firstLine="420"/>
        <w:rPr>
          <w:color w:val="auto"/>
          <w:highlight w:val="none"/>
        </w:rPr>
      </w:pPr>
      <w:r>
        <w:rPr>
          <w:rFonts w:hint="eastAsia"/>
          <w:color w:val="auto"/>
          <w:highlight w:val="none"/>
        </w:rPr>
        <w:t>（3）拟投入的主要物资计划</w:t>
      </w:r>
    </w:p>
    <w:p w14:paraId="7C26008A">
      <w:pPr>
        <w:spacing w:line="360" w:lineRule="auto"/>
        <w:ind w:firstLine="420"/>
        <w:rPr>
          <w:rFonts w:hint="eastAsia"/>
          <w:color w:val="auto"/>
          <w:highlight w:val="none"/>
        </w:rPr>
      </w:pPr>
      <w:r>
        <w:rPr>
          <w:rFonts w:hint="eastAsia"/>
          <w:color w:val="auto"/>
          <w:highlight w:val="none"/>
        </w:rPr>
        <w:t>（</w:t>
      </w:r>
      <w:r>
        <w:rPr>
          <w:color w:val="auto"/>
          <w:highlight w:val="none"/>
        </w:rPr>
        <w:t>4</w:t>
      </w:r>
      <w:r>
        <w:rPr>
          <w:rFonts w:hint="eastAsia"/>
          <w:color w:val="auto"/>
          <w:highlight w:val="none"/>
        </w:rPr>
        <w:t>）劳动力安排计划；</w:t>
      </w:r>
    </w:p>
    <w:p w14:paraId="4148F4CF">
      <w:pPr>
        <w:spacing w:line="360" w:lineRule="auto"/>
        <w:ind w:firstLine="420"/>
        <w:rPr>
          <w:rFonts w:hint="eastAsia"/>
          <w:color w:val="auto"/>
          <w:highlight w:val="none"/>
        </w:rPr>
      </w:pPr>
      <w:r>
        <w:rPr>
          <w:rFonts w:hint="eastAsia"/>
          <w:color w:val="auto"/>
          <w:highlight w:val="none"/>
        </w:rPr>
        <w:t>（</w:t>
      </w:r>
      <w:r>
        <w:rPr>
          <w:color w:val="auto"/>
          <w:highlight w:val="none"/>
        </w:rPr>
        <w:t>5</w:t>
      </w:r>
      <w:r>
        <w:rPr>
          <w:rFonts w:hint="eastAsia"/>
          <w:color w:val="auto"/>
          <w:highlight w:val="none"/>
        </w:rPr>
        <w:t>）确保工程质量的技术组织措施；</w:t>
      </w:r>
    </w:p>
    <w:p w14:paraId="06B60CCC">
      <w:pPr>
        <w:spacing w:line="360" w:lineRule="auto"/>
        <w:ind w:firstLine="420"/>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）确保安全生产的技术组织措施；</w:t>
      </w:r>
    </w:p>
    <w:p w14:paraId="14DE3571">
      <w:pPr>
        <w:spacing w:line="360" w:lineRule="auto"/>
        <w:ind w:firstLine="420"/>
        <w:rPr>
          <w:rFonts w:hint="eastAsia"/>
          <w:color w:val="auto"/>
          <w:highlight w:val="none"/>
        </w:rPr>
      </w:pPr>
      <w:r>
        <w:rPr>
          <w:rFonts w:hint="eastAsia"/>
          <w:color w:val="auto"/>
          <w:highlight w:val="none"/>
        </w:rPr>
        <w:t>（</w:t>
      </w:r>
      <w:r>
        <w:rPr>
          <w:color w:val="auto"/>
          <w:highlight w:val="none"/>
        </w:rPr>
        <w:t>7</w:t>
      </w:r>
      <w:r>
        <w:rPr>
          <w:rFonts w:hint="eastAsia"/>
          <w:color w:val="auto"/>
          <w:highlight w:val="none"/>
        </w:rPr>
        <w:t>）确保工期的技术组织措施；</w:t>
      </w:r>
    </w:p>
    <w:p w14:paraId="563DCCDE">
      <w:pPr>
        <w:spacing w:line="360" w:lineRule="auto"/>
        <w:ind w:firstLine="420"/>
        <w:rPr>
          <w:rFonts w:hint="eastAsia"/>
          <w:color w:val="auto"/>
          <w:highlight w:val="none"/>
        </w:rPr>
      </w:pPr>
      <w:r>
        <w:rPr>
          <w:rFonts w:hint="eastAsia"/>
          <w:color w:val="auto"/>
          <w:highlight w:val="none"/>
        </w:rPr>
        <w:t>（</w:t>
      </w:r>
      <w:r>
        <w:rPr>
          <w:color w:val="auto"/>
          <w:highlight w:val="none"/>
        </w:rPr>
        <w:t>8</w:t>
      </w:r>
      <w:r>
        <w:rPr>
          <w:rFonts w:hint="eastAsia"/>
          <w:color w:val="auto"/>
          <w:highlight w:val="none"/>
        </w:rPr>
        <w:t>）确保文明施工的技术组织措施；</w:t>
      </w:r>
    </w:p>
    <w:p w14:paraId="3A7296FB">
      <w:pPr>
        <w:spacing w:line="360" w:lineRule="auto"/>
        <w:ind w:firstLine="420"/>
        <w:rPr>
          <w:rFonts w:hint="eastAsia"/>
          <w:color w:val="auto"/>
          <w:highlight w:val="none"/>
        </w:rPr>
      </w:pPr>
      <w:r>
        <w:rPr>
          <w:rFonts w:hint="eastAsia"/>
          <w:color w:val="auto"/>
          <w:highlight w:val="none"/>
        </w:rPr>
        <w:t>（</w:t>
      </w:r>
      <w:r>
        <w:rPr>
          <w:color w:val="auto"/>
          <w:highlight w:val="none"/>
        </w:rPr>
        <w:t>9</w:t>
      </w:r>
      <w:r>
        <w:rPr>
          <w:rFonts w:hint="eastAsia"/>
          <w:color w:val="auto"/>
          <w:highlight w:val="none"/>
        </w:rPr>
        <w:t>）工程施工的重点和难点及保证措施；</w:t>
      </w:r>
    </w:p>
    <w:p w14:paraId="7BE95E3E">
      <w:pPr>
        <w:spacing w:line="360" w:lineRule="auto"/>
        <w:ind w:firstLine="420"/>
        <w:rPr>
          <w:color w:val="auto"/>
          <w:highlight w:val="none"/>
        </w:rPr>
      </w:pPr>
      <w:r>
        <w:rPr>
          <w:rFonts w:hint="eastAsia"/>
          <w:color w:val="auto"/>
          <w:highlight w:val="none"/>
        </w:rPr>
        <w:t>（1</w:t>
      </w:r>
      <w:r>
        <w:rPr>
          <w:color w:val="auto"/>
          <w:highlight w:val="none"/>
        </w:rPr>
        <w:t>0</w:t>
      </w:r>
      <w:r>
        <w:rPr>
          <w:rFonts w:hint="eastAsia"/>
          <w:color w:val="auto"/>
          <w:highlight w:val="none"/>
        </w:rPr>
        <w:t>）施工总平面布置图；</w:t>
      </w:r>
    </w:p>
    <w:p w14:paraId="28785A5C">
      <w:pPr>
        <w:spacing w:line="360" w:lineRule="auto"/>
        <w:ind w:firstLine="420"/>
        <w:rPr>
          <w:rFonts w:hint="eastAsia"/>
          <w:color w:val="auto"/>
          <w:highlight w:val="none"/>
        </w:rPr>
      </w:pPr>
      <w:r>
        <w:rPr>
          <w:rFonts w:hint="eastAsia"/>
          <w:color w:val="auto"/>
          <w:highlight w:val="none"/>
        </w:rPr>
        <w:t>（1</w:t>
      </w:r>
      <w:r>
        <w:rPr>
          <w:color w:val="auto"/>
          <w:highlight w:val="none"/>
        </w:rPr>
        <w:t>1</w:t>
      </w:r>
      <w:r>
        <w:rPr>
          <w:rFonts w:hint="eastAsia"/>
          <w:color w:val="auto"/>
          <w:highlight w:val="none"/>
        </w:rPr>
        <w:t>）其他（</w:t>
      </w:r>
      <w:r>
        <w:rPr>
          <w:color w:val="auto"/>
          <w:highlight w:val="none"/>
        </w:rPr>
        <w:t>如有）</w:t>
      </w:r>
      <w:r>
        <w:rPr>
          <w:rFonts w:hint="eastAsia"/>
          <w:color w:val="auto"/>
          <w:highlight w:val="none"/>
        </w:rPr>
        <w:t>（与第四章“评审程序、评审方法和评审标准”中的评审</w:t>
      </w:r>
      <w:r>
        <w:rPr>
          <w:color w:val="auto"/>
          <w:highlight w:val="none"/>
        </w:rPr>
        <w:t>标准一致</w:t>
      </w:r>
      <w:r>
        <w:rPr>
          <w:rFonts w:hint="eastAsia"/>
          <w:color w:val="auto"/>
          <w:highlight w:val="none"/>
        </w:rPr>
        <w:t>）</w:t>
      </w:r>
    </w:p>
    <w:p w14:paraId="444CC327">
      <w:pPr>
        <w:spacing w:line="360" w:lineRule="auto"/>
        <w:ind w:firstLine="420"/>
        <w:rPr>
          <w:color w:val="auto"/>
          <w:highlight w:val="none"/>
        </w:rPr>
      </w:pPr>
      <w:r>
        <w:rPr>
          <w:rFonts w:hint="eastAsia"/>
          <w:color w:val="auto"/>
          <w:highlight w:val="none"/>
        </w:rPr>
        <w:t>2. 技术标</w:t>
      </w:r>
      <w:r>
        <w:rPr>
          <w:color w:val="auto"/>
          <w:highlight w:val="none"/>
        </w:rPr>
        <w:t>施工组织</w:t>
      </w:r>
      <w:r>
        <w:rPr>
          <w:rFonts w:hint="eastAsia"/>
          <w:color w:val="auto"/>
          <w:highlight w:val="none"/>
        </w:rPr>
        <w:t>设计除采用文字表述外可附下列图表，图表及格式要求附后。</w:t>
      </w:r>
    </w:p>
    <w:p w14:paraId="7E40E2FE">
      <w:pPr>
        <w:spacing w:line="360" w:lineRule="auto"/>
        <w:ind w:firstLine="420"/>
        <w:rPr>
          <w:color w:val="auto"/>
          <w:highlight w:val="none"/>
        </w:rPr>
      </w:pPr>
      <w:r>
        <w:rPr>
          <w:rFonts w:hint="eastAsia"/>
          <w:color w:val="auto"/>
          <w:highlight w:val="none"/>
        </w:rPr>
        <w:t>附表一</w:t>
      </w:r>
      <w:r>
        <w:rPr>
          <w:color w:val="auto"/>
          <w:highlight w:val="none"/>
        </w:rPr>
        <w:t xml:space="preserve">  </w:t>
      </w:r>
      <w:r>
        <w:rPr>
          <w:rFonts w:hint="eastAsia"/>
          <w:color w:val="auto"/>
          <w:highlight w:val="none"/>
        </w:rPr>
        <w:t>劳动力计划表</w:t>
      </w:r>
    </w:p>
    <w:p w14:paraId="6C501DB0">
      <w:pPr>
        <w:spacing w:line="360" w:lineRule="auto"/>
        <w:ind w:firstLine="420"/>
        <w:rPr>
          <w:color w:val="auto"/>
          <w:highlight w:val="none"/>
        </w:rPr>
      </w:pPr>
      <w:r>
        <w:rPr>
          <w:rFonts w:hint="eastAsia"/>
          <w:color w:val="auto"/>
          <w:highlight w:val="none"/>
        </w:rPr>
        <w:t>附表二</w:t>
      </w:r>
      <w:r>
        <w:rPr>
          <w:color w:val="auto"/>
          <w:highlight w:val="none"/>
        </w:rPr>
        <w:t xml:space="preserve">  </w:t>
      </w:r>
      <w:r>
        <w:rPr>
          <w:rFonts w:hint="eastAsia"/>
          <w:color w:val="auto"/>
          <w:highlight w:val="none"/>
        </w:rPr>
        <w:t>计划开、竣工日期和施工进度计划（网络图或横道图）</w:t>
      </w:r>
    </w:p>
    <w:p w14:paraId="5D830CBB">
      <w:pPr>
        <w:spacing w:line="360" w:lineRule="auto"/>
        <w:ind w:firstLine="420"/>
        <w:rPr>
          <w:color w:val="auto"/>
          <w:highlight w:val="none"/>
        </w:rPr>
      </w:pPr>
      <w:r>
        <w:rPr>
          <w:rFonts w:hint="eastAsia"/>
          <w:color w:val="auto"/>
          <w:highlight w:val="none"/>
        </w:rPr>
        <w:t>附表三</w:t>
      </w:r>
      <w:r>
        <w:rPr>
          <w:color w:val="auto"/>
          <w:highlight w:val="none"/>
        </w:rPr>
        <w:t xml:space="preserve">  </w:t>
      </w:r>
      <w:r>
        <w:rPr>
          <w:rFonts w:hint="eastAsia"/>
          <w:color w:val="auto"/>
          <w:highlight w:val="none"/>
        </w:rPr>
        <w:t>施工总平面图</w:t>
      </w:r>
    </w:p>
    <w:p w14:paraId="3AD7902A">
      <w:pPr>
        <w:spacing w:line="360" w:lineRule="auto"/>
        <w:ind w:firstLine="420"/>
        <w:rPr>
          <w:rFonts w:hint="eastAsia"/>
          <w:color w:val="auto"/>
          <w:highlight w:val="none"/>
        </w:rPr>
      </w:pPr>
      <w:r>
        <w:rPr>
          <w:rFonts w:hint="eastAsia"/>
          <w:color w:val="auto"/>
          <w:highlight w:val="none"/>
        </w:rPr>
        <w:t>附表四</w:t>
      </w:r>
      <w:r>
        <w:rPr>
          <w:color w:val="auto"/>
          <w:highlight w:val="none"/>
        </w:rPr>
        <w:t xml:space="preserve">  </w:t>
      </w:r>
      <w:r>
        <w:rPr>
          <w:rFonts w:hint="eastAsia"/>
          <w:color w:val="auto"/>
          <w:highlight w:val="none"/>
        </w:rPr>
        <w:t>临时用地表</w:t>
      </w:r>
    </w:p>
    <w:p w14:paraId="551E442C">
      <w:pPr>
        <w:spacing w:line="360" w:lineRule="auto"/>
        <w:ind w:firstLine="420"/>
        <w:rPr>
          <w:rFonts w:hint="eastAsia"/>
          <w:color w:val="auto"/>
          <w:highlight w:val="none"/>
        </w:rPr>
      </w:pPr>
    </w:p>
    <w:p w14:paraId="730B8D90">
      <w:pPr>
        <w:rPr>
          <w:rFonts w:hint="eastAsia" w:cs="宋体"/>
          <w:color w:val="auto"/>
          <w:highlight w:val="none"/>
        </w:rPr>
      </w:pPr>
      <w:r>
        <w:rPr>
          <w:rFonts w:hint="eastAsia" w:cs="宋体"/>
          <w:color w:val="auto"/>
          <w:highlight w:val="none"/>
        </w:rPr>
        <w:br w:type="page" w:clear="all"/>
      </w:r>
    </w:p>
    <w:p w14:paraId="11081484">
      <w:pPr>
        <w:rPr>
          <w:rFonts w:hint="eastAsia" w:cs="宋体"/>
          <w:color w:val="auto"/>
          <w:highlight w:val="none"/>
        </w:rPr>
      </w:pPr>
      <w:r>
        <w:rPr>
          <w:rFonts w:hint="eastAsia" w:cs="宋体"/>
          <w:color w:val="auto"/>
          <w:highlight w:val="none"/>
        </w:rPr>
        <w:t>附表一：劳动力计划表</w:t>
      </w:r>
    </w:p>
    <w:p w14:paraId="64D084D0">
      <w:pPr>
        <w:rPr>
          <w:color w:val="auto"/>
          <w:highlight w:val="none"/>
        </w:rPr>
      </w:pPr>
      <w:r>
        <w:rPr>
          <w:rFonts w:hint="eastAsia" w:cs="宋体"/>
          <w:color w:val="auto"/>
          <w:highlight w:val="none"/>
        </w:rPr>
        <w:t>单位：人</w:t>
      </w:r>
    </w:p>
    <w:tbl>
      <w:tblPr>
        <w:tblStyle w:val="45"/>
        <w:tblW w:w="8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961"/>
        <w:gridCol w:w="1257"/>
        <w:gridCol w:w="1257"/>
        <w:gridCol w:w="1258"/>
        <w:gridCol w:w="1257"/>
        <w:gridCol w:w="1258"/>
      </w:tblGrid>
      <w:tr w14:paraId="0D45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4EC31325">
            <w:pPr>
              <w:spacing w:line="360" w:lineRule="auto"/>
              <w:jc w:val="center"/>
              <w:rPr>
                <w:color w:val="auto"/>
                <w:highlight w:val="none"/>
              </w:rPr>
            </w:pPr>
            <w:r>
              <w:rPr>
                <w:rFonts w:hint="eastAsia" w:cs="宋体"/>
                <w:color w:val="auto"/>
                <w:highlight w:val="none"/>
              </w:rPr>
              <w:t>工种</w:t>
            </w:r>
          </w:p>
        </w:tc>
        <w:tc>
          <w:tcPr>
            <w:tcW w:w="7248" w:type="dxa"/>
            <w:gridSpan w:val="6"/>
            <w:noWrap w:val="0"/>
            <w:vAlign w:val="center"/>
          </w:tcPr>
          <w:p w14:paraId="15E49B62">
            <w:pPr>
              <w:spacing w:line="360" w:lineRule="auto"/>
              <w:jc w:val="center"/>
              <w:rPr>
                <w:color w:val="auto"/>
                <w:highlight w:val="none"/>
              </w:rPr>
            </w:pPr>
            <w:r>
              <w:rPr>
                <w:rFonts w:hint="eastAsia" w:cs="宋体"/>
                <w:color w:val="auto"/>
                <w:highlight w:val="none"/>
              </w:rPr>
              <w:t>按工程施工阶段投入劳动力情况</w:t>
            </w:r>
          </w:p>
        </w:tc>
      </w:tr>
      <w:tr w14:paraId="56A3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2D515775">
            <w:pPr>
              <w:spacing w:line="360" w:lineRule="auto"/>
              <w:jc w:val="center"/>
              <w:rPr>
                <w:color w:val="auto"/>
                <w:highlight w:val="none"/>
              </w:rPr>
            </w:pPr>
          </w:p>
        </w:tc>
        <w:tc>
          <w:tcPr>
            <w:tcW w:w="961" w:type="dxa"/>
            <w:noWrap w:val="0"/>
            <w:vAlign w:val="center"/>
          </w:tcPr>
          <w:p w14:paraId="2ED210C2">
            <w:pPr>
              <w:spacing w:line="360" w:lineRule="auto"/>
              <w:jc w:val="center"/>
              <w:rPr>
                <w:color w:val="auto"/>
                <w:highlight w:val="none"/>
              </w:rPr>
            </w:pPr>
          </w:p>
        </w:tc>
        <w:tc>
          <w:tcPr>
            <w:tcW w:w="1257" w:type="dxa"/>
            <w:noWrap w:val="0"/>
            <w:vAlign w:val="center"/>
          </w:tcPr>
          <w:p w14:paraId="5DE9AAB2">
            <w:pPr>
              <w:spacing w:line="360" w:lineRule="auto"/>
              <w:jc w:val="center"/>
              <w:rPr>
                <w:color w:val="auto"/>
                <w:highlight w:val="none"/>
              </w:rPr>
            </w:pPr>
          </w:p>
        </w:tc>
        <w:tc>
          <w:tcPr>
            <w:tcW w:w="1257" w:type="dxa"/>
            <w:noWrap w:val="0"/>
            <w:vAlign w:val="center"/>
          </w:tcPr>
          <w:p w14:paraId="76039A71">
            <w:pPr>
              <w:spacing w:line="360" w:lineRule="auto"/>
              <w:jc w:val="center"/>
              <w:rPr>
                <w:color w:val="auto"/>
                <w:highlight w:val="none"/>
              </w:rPr>
            </w:pPr>
          </w:p>
        </w:tc>
        <w:tc>
          <w:tcPr>
            <w:tcW w:w="1258" w:type="dxa"/>
            <w:noWrap w:val="0"/>
            <w:vAlign w:val="center"/>
          </w:tcPr>
          <w:p w14:paraId="6D74D965">
            <w:pPr>
              <w:spacing w:line="360" w:lineRule="auto"/>
              <w:jc w:val="center"/>
              <w:rPr>
                <w:color w:val="auto"/>
                <w:highlight w:val="none"/>
              </w:rPr>
            </w:pPr>
          </w:p>
        </w:tc>
        <w:tc>
          <w:tcPr>
            <w:tcW w:w="1257" w:type="dxa"/>
            <w:noWrap w:val="0"/>
            <w:vAlign w:val="center"/>
          </w:tcPr>
          <w:p w14:paraId="6C0D7B80">
            <w:pPr>
              <w:spacing w:line="360" w:lineRule="auto"/>
              <w:jc w:val="center"/>
              <w:rPr>
                <w:color w:val="auto"/>
                <w:highlight w:val="none"/>
              </w:rPr>
            </w:pPr>
          </w:p>
        </w:tc>
        <w:tc>
          <w:tcPr>
            <w:tcW w:w="1258" w:type="dxa"/>
            <w:noWrap w:val="0"/>
            <w:vAlign w:val="center"/>
          </w:tcPr>
          <w:p w14:paraId="168E8780">
            <w:pPr>
              <w:spacing w:line="360" w:lineRule="auto"/>
              <w:jc w:val="center"/>
              <w:rPr>
                <w:color w:val="auto"/>
                <w:highlight w:val="none"/>
              </w:rPr>
            </w:pPr>
          </w:p>
        </w:tc>
      </w:tr>
      <w:tr w14:paraId="265A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935DE74">
            <w:pPr>
              <w:spacing w:line="360" w:lineRule="auto"/>
              <w:jc w:val="center"/>
              <w:rPr>
                <w:color w:val="auto"/>
                <w:highlight w:val="none"/>
              </w:rPr>
            </w:pPr>
          </w:p>
        </w:tc>
        <w:tc>
          <w:tcPr>
            <w:tcW w:w="961" w:type="dxa"/>
            <w:noWrap w:val="0"/>
            <w:vAlign w:val="center"/>
          </w:tcPr>
          <w:p w14:paraId="6E91D7A3">
            <w:pPr>
              <w:spacing w:line="360" w:lineRule="auto"/>
              <w:jc w:val="center"/>
              <w:rPr>
                <w:color w:val="auto"/>
                <w:highlight w:val="none"/>
              </w:rPr>
            </w:pPr>
          </w:p>
        </w:tc>
        <w:tc>
          <w:tcPr>
            <w:tcW w:w="1257" w:type="dxa"/>
            <w:noWrap w:val="0"/>
            <w:vAlign w:val="center"/>
          </w:tcPr>
          <w:p w14:paraId="4314B929">
            <w:pPr>
              <w:spacing w:line="360" w:lineRule="auto"/>
              <w:jc w:val="center"/>
              <w:rPr>
                <w:color w:val="auto"/>
                <w:highlight w:val="none"/>
              </w:rPr>
            </w:pPr>
          </w:p>
        </w:tc>
        <w:tc>
          <w:tcPr>
            <w:tcW w:w="1257" w:type="dxa"/>
            <w:noWrap w:val="0"/>
            <w:vAlign w:val="center"/>
          </w:tcPr>
          <w:p w14:paraId="0FF4D7CA">
            <w:pPr>
              <w:spacing w:line="360" w:lineRule="auto"/>
              <w:jc w:val="center"/>
              <w:rPr>
                <w:color w:val="auto"/>
                <w:highlight w:val="none"/>
              </w:rPr>
            </w:pPr>
          </w:p>
        </w:tc>
        <w:tc>
          <w:tcPr>
            <w:tcW w:w="1258" w:type="dxa"/>
            <w:noWrap w:val="0"/>
            <w:vAlign w:val="center"/>
          </w:tcPr>
          <w:p w14:paraId="5135A4F8">
            <w:pPr>
              <w:spacing w:line="360" w:lineRule="auto"/>
              <w:jc w:val="center"/>
              <w:rPr>
                <w:color w:val="auto"/>
                <w:highlight w:val="none"/>
              </w:rPr>
            </w:pPr>
          </w:p>
        </w:tc>
        <w:tc>
          <w:tcPr>
            <w:tcW w:w="1257" w:type="dxa"/>
            <w:noWrap w:val="0"/>
            <w:vAlign w:val="center"/>
          </w:tcPr>
          <w:p w14:paraId="4C9BD2E6">
            <w:pPr>
              <w:spacing w:line="360" w:lineRule="auto"/>
              <w:jc w:val="center"/>
              <w:rPr>
                <w:color w:val="auto"/>
                <w:highlight w:val="none"/>
              </w:rPr>
            </w:pPr>
          </w:p>
        </w:tc>
        <w:tc>
          <w:tcPr>
            <w:tcW w:w="1258" w:type="dxa"/>
            <w:noWrap w:val="0"/>
            <w:vAlign w:val="center"/>
          </w:tcPr>
          <w:p w14:paraId="25585CC6">
            <w:pPr>
              <w:spacing w:line="360" w:lineRule="auto"/>
              <w:jc w:val="center"/>
              <w:rPr>
                <w:color w:val="auto"/>
                <w:highlight w:val="none"/>
              </w:rPr>
            </w:pPr>
          </w:p>
        </w:tc>
      </w:tr>
      <w:tr w14:paraId="1B4C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62AEFDA0">
            <w:pPr>
              <w:spacing w:line="360" w:lineRule="auto"/>
              <w:jc w:val="center"/>
              <w:rPr>
                <w:color w:val="auto"/>
                <w:highlight w:val="none"/>
              </w:rPr>
            </w:pPr>
          </w:p>
        </w:tc>
        <w:tc>
          <w:tcPr>
            <w:tcW w:w="961" w:type="dxa"/>
            <w:noWrap w:val="0"/>
            <w:vAlign w:val="center"/>
          </w:tcPr>
          <w:p w14:paraId="5F9A97C2">
            <w:pPr>
              <w:spacing w:line="360" w:lineRule="auto"/>
              <w:jc w:val="center"/>
              <w:rPr>
                <w:color w:val="auto"/>
                <w:highlight w:val="none"/>
              </w:rPr>
            </w:pPr>
          </w:p>
        </w:tc>
        <w:tc>
          <w:tcPr>
            <w:tcW w:w="1257" w:type="dxa"/>
            <w:noWrap w:val="0"/>
            <w:vAlign w:val="center"/>
          </w:tcPr>
          <w:p w14:paraId="19DCB3C0">
            <w:pPr>
              <w:spacing w:line="360" w:lineRule="auto"/>
              <w:jc w:val="center"/>
              <w:rPr>
                <w:color w:val="auto"/>
                <w:highlight w:val="none"/>
              </w:rPr>
            </w:pPr>
          </w:p>
        </w:tc>
        <w:tc>
          <w:tcPr>
            <w:tcW w:w="1257" w:type="dxa"/>
            <w:noWrap w:val="0"/>
            <w:vAlign w:val="center"/>
          </w:tcPr>
          <w:p w14:paraId="64BA8190">
            <w:pPr>
              <w:spacing w:line="360" w:lineRule="auto"/>
              <w:jc w:val="center"/>
              <w:rPr>
                <w:color w:val="auto"/>
                <w:highlight w:val="none"/>
              </w:rPr>
            </w:pPr>
          </w:p>
        </w:tc>
        <w:tc>
          <w:tcPr>
            <w:tcW w:w="1258" w:type="dxa"/>
            <w:noWrap w:val="0"/>
            <w:vAlign w:val="center"/>
          </w:tcPr>
          <w:p w14:paraId="0A21FFE4">
            <w:pPr>
              <w:spacing w:line="360" w:lineRule="auto"/>
              <w:jc w:val="center"/>
              <w:rPr>
                <w:color w:val="auto"/>
                <w:highlight w:val="none"/>
              </w:rPr>
            </w:pPr>
          </w:p>
        </w:tc>
        <w:tc>
          <w:tcPr>
            <w:tcW w:w="1257" w:type="dxa"/>
            <w:noWrap w:val="0"/>
            <w:vAlign w:val="center"/>
          </w:tcPr>
          <w:p w14:paraId="27FBA693">
            <w:pPr>
              <w:spacing w:line="360" w:lineRule="auto"/>
              <w:jc w:val="center"/>
              <w:rPr>
                <w:color w:val="auto"/>
                <w:highlight w:val="none"/>
              </w:rPr>
            </w:pPr>
          </w:p>
        </w:tc>
        <w:tc>
          <w:tcPr>
            <w:tcW w:w="1258" w:type="dxa"/>
            <w:noWrap w:val="0"/>
            <w:vAlign w:val="center"/>
          </w:tcPr>
          <w:p w14:paraId="519B1181">
            <w:pPr>
              <w:spacing w:line="360" w:lineRule="auto"/>
              <w:jc w:val="center"/>
              <w:rPr>
                <w:color w:val="auto"/>
                <w:highlight w:val="none"/>
              </w:rPr>
            </w:pPr>
          </w:p>
        </w:tc>
      </w:tr>
      <w:tr w14:paraId="3EB6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02C68932">
            <w:pPr>
              <w:spacing w:line="360" w:lineRule="auto"/>
              <w:jc w:val="center"/>
              <w:rPr>
                <w:color w:val="auto"/>
                <w:highlight w:val="none"/>
              </w:rPr>
            </w:pPr>
          </w:p>
        </w:tc>
        <w:tc>
          <w:tcPr>
            <w:tcW w:w="961" w:type="dxa"/>
            <w:noWrap w:val="0"/>
            <w:vAlign w:val="center"/>
          </w:tcPr>
          <w:p w14:paraId="3BA1A57B">
            <w:pPr>
              <w:spacing w:line="360" w:lineRule="auto"/>
              <w:jc w:val="center"/>
              <w:rPr>
                <w:color w:val="auto"/>
                <w:highlight w:val="none"/>
              </w:rPr>
            </w:pPr>
          </w:p>
        </w:tc>
        <w:tc>
          <w:tcPr>
            <w:tcW w:w="1257" w:type="dxa"/>
            <w:noWrap w:val="0"/>
            <w:vAlign w:val="center"/>
          </w:tcPr>
          <w:p w14:paraId="2A996FF1">
            <w:pPr>
              <w:spacing w:line="360" w:lineRule="auto"/>
              <w:jc w:val="center"/>
              <w:rPr>
                <w:color w:val="auto"/>
                <w:highlight w:val="none"/>
              </w:rPr>
            </w:pPr>
          </w:p>
        </w:tc>
        <w:tc>
          <w:tcPr>
            <w:tcW w:w="1257" w:type="dxa"/>
            <w:noWrap w:val="0"/>
            <w:vAlign w:val="center"/>
          </w:tcPr>
          <w:p w14:paraId="6D1F4F66">
            <w:pPr>
              <w:spacing w:line="360" w:lineRule="auto"/>
              <w:jc w:val="center"/>
              <w:rPr>
                <w:color w:val="auto"/>
                <w:highlight w:val="none"/>
              </w:rPr>
            </w:pPr>
          </w:p>
        </w:tc>
        <w:tc>
          <w:tcPr>
            <w:tcW w:w="1258" w:type="dxa"/>
            <w:noWrap w:val="0"/>
            <w:vAlign w:val="center"/>
          </w:tcPr>
          <w:p w14:paraId="545BCECE">
            <w:pPr>
              <w:spacing w:line="360" w:lineRule="auto"/>
              <w:jc w:val="center"/>
              <w:rPr>
                <w:color w:val="auto"/>
                <w:highlight w:val="none"/>
              </w:rPr>
            </w:pPr>
          </w:p>
        </w:tc>
        <w:tc>
          <w:tcPr>
            <w:tcW w:w="1257" w:type="dxa"/>
            <w:noWrap w:val="0"/>
            <w:vAlign w:val="center"/>
          </w:tcPr>
          <w:p w14:paraId="6E753496">
            <w:pPr>
              <w:spacing w:line="360" w:lineRule="auto"/>
              <w:jc w:val="center"/>
              <w:rPr>
                <w:color w:val="auto"/>
                <w:highlight w:val="none"/>
              </w:rPr>
            </w:pPr>
          </w:p>
        </w:tc>
        <w:tc>
          <w:tcPr>
            <w:tcW w:w="1258" w:type="dxa"/>
            <w:noWrap w:val="0"/>
            <w:vAlign w:val="center"/>
          </w:tcPr>
          <w:p w14:paraId="34CD9041">
            <w:pPr>
              <w:spacing w:line="360" w:lineRule="auto"/>
              <w:jc w:val="center"/>
              <w:rPr>
                <w:color w:val="auto"/>
                <w:highlight w:val="none"/>
              </w:rPr>
            </w:pPr>
          </w:p>
        </w:tc>
      </w:tr>
      <w:tr w14:paraId="2D27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2C11277">
            <w:pPr>
              <w:spacing w:line="360" w:lineRule="auto"/>
              <w:jc w:val="center"/>
              <w:rPr>
                <w:color w:val="auto"/>
                <w:highlight w:val="none"/>
              </w:rPr>
            </w:pPr>
          </w:p>
        </w:tc>
        <w:tc>
          <w:tcPr>
            <w:tcW w:w="961" w:type="dxa"/>
            <w:noWrap w:val="0"/>
            <w:vAlign w:val="center"/>
          </w:tcPr>
          <w:p w14:paraId="560502F9">
            <w:pPr>
              <w:spacing w:line="360" w:lineRule="auto"/>
              <w:jc w:val="center"/>
              <w:rPr>
                <w:color w:val="auto"/>
                <w:highlight w:val="none"/>
              </w:rPr>
            </w:pPr>
          </w:p>
        </w:tc>
        <w:tc>
          <w:tcPr>
            <w:tcW w:w="1257" w:type="dxa"/>
            <w:noWrap w:val="0"/>
            <w:vAlign w:val="center"/>
          </w:tcPr>
          <w:p w14:paraId="3B1C0436">
            <w:pPr>
              <w:spacing w:line="360" w:lineRule="auto"/>
              <w:jc w:val="center"/>
              <w:rPr>
                <w:color w:val="auto"/>
                <w:highlight w:val="none"/>
              </w:rPr>
            </w:pPr>
          </w:p>
        </w:tc>
        <w:tc>
          <w:tcPr>
            <w:tcW w:w="1257" w:type="dxa"/>
            <w:noWrap w:val="0"/>
            <w:vAlign w:val="center"/>
          </w:tcPr>
          <w:p w14:paraId="38F965F7">
            <w:pPr>
              <w:spacing w:line="360" w:lineRule="auto"/>
              <w:jc w:val="center"/>
              <w:rPr>
                <w:color w:val="auto"/>
                <w:highlight w:val="none"/>
              </w:rPr>
            </w:pPr>
          </w:p>
        </w:tc>
        <w:tc>
          <w:tcPr>
            <w:tcW w:w="1258" w:type="dxa"/>
            <w:noWrap w:val="0"/>
            <w:vAlign w:val="center"/>
          </w:tcPr>
          <w:p w14:paraId="792A9C6E">
            <w:pPr>
              <w:spacing w:line="360" w:lineRule="auto"/>
              <w:jc w:val="center"/>
              <w:rPr>
                <w:color w:val="auto"/>
                <w:highlight w:val="none"/>
              </w:rPr>
            </w:pPr>
          </w:p>
        </w:tc>
        <w:tc>
          <w:tcPr>
            <w:tcW w:w="1257" w:type="dxa"/>
            <w:noWrap w:val="0"/>
            <w:vAlign w:val="center"/>
          </w:tcPr>
          <w:p w14:paraId="55D49921">
            <w:pPr>
              <w:spacing w:line="360" w:lineRule="auto"/>
              <w:jc w:val="center"/>
              <w:rPr>
                <w:color w:val="auto"/>
                <w:highlight w:val="none"/>
              </w:rPr>
            </w:pPr>
          </w:p>
        </w:tc>
        <w:tc>
          <w:tcPr>
            <w:tcW w:w="1258" w:type="dxa"/>
            <w:noWrap w:val="0"/>
            <w:vAlign w:val="center"/>
          </w:tcPr>
          <w:p w14:paraId="3C32EA43">
            <w:pPr>
              <w:spacing w:line="360" w:lineRule="auto"/>
              <w:jc w:val="center"/>
              <w:rPr>
                <w:color w:val="auto"/>
                <w:highlight w:val="none"/>
              </w:rPr>
            </w:pPr>
          </w:p>
        </w:tc>
      </w:tr>
      <w:tr w14:paraId="6D34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noWrap w:val="0"/>
            <w:vAlign w:val="center"/>
          </w:tcPr>
          <w:p w14:paraId="153D34EF">
            <w:pPr>
              <w:spacing w:line="360" w:lineRule="auto"/>
              <w:jc w:val="center"/>
              <w:rPr>
                <w:color w:val="auto"/>
                <w:highlight w:val="none"/>
              </w:rPr>
            </w:pPr>
          </w:p>
        </w:tc>
        <w:tc>
          <w:tcPr>
            <w:tcW w:w="961" w:type="dxa"/>
            <w:noWrap w:val="0"/>
            <w:vAlign w:val="center"/>
          </w:tcPr>
          <w:p w14:paraId="6696CD9A">
            <w:pPr>
              <w:spacing w:line="360" w:lineRule="auto"/>
              <w:jc w:val="center"/>
              <w:rPr>
                <w:color w:val="auto"/>
                <w:highlight w:val="none"/>
              </w:rPr>
            </w:pPr>
          </w:p>
        </w:tc>
        <w:tc>
          <w:tcPr>
            <w:tcW w:w="1257" w:type="dxa"/>
            <w:noWrap w:val="0"/>
            <w:vAlign w:val="center"/>
          </w:tcPr>
          <w:p w14:paraId="02555C44">
            <w:pPr>
              <w:spacing w:line="360" w:lineRule="auto"/>
              <w:jc w:val="center"/>
              <w:rPr>
                <w:color w:val="auto"/>
                <w:highlight w:val="none"/>
              </w:rPr>
            </w:pPr>
          </w:p>
        </w:tc>
        <w:tc>
          <w:tcPr>
            <w:tcW w:w="1257" w:type="dxa"/>
            <w:noWrap w:val="0"/>
            <w:vAlign w:val="center"/>
          </w:tcPr>
          <w:p w14:paraId="5EEDFAFC">
            <w:pPr>
              <w:spacing w:line="360" w:lineRule="auto"/>
              <w:jc w:val="center"/>
              <w:rPr>
                <w:color w:val="auto"/>
                <w:highlight w:val="none"/>
              </w:rPr>
            </w:pPr>
          </w:p>
        </w:tc>
        <w:tc>
          <w:tcPr>
            <w:tcW w:w="1258" w:type="dxa"/>
            <w:noWrap w:val="0"/>
            <w:vAlign w:val="center"/>
          </w:tcPr>
          <w:p w14:paraId="67ED1345">
            <w:pPr>
              <w:spacing w:line="360" w:lineRule="auto"/>
              <w:jc w:val="center"/>
              <w:rPr>
                <w:color w:val="auto"/>
                <w:highlight w:val="none"/>
              </w:rPr>
            </w:pPr>
          </w:p>
        </w:tc>
        <w:tc>
          <w:tcPr>
            <w:tcW w:w="1257" w:type="dxa"/>
            <w:noWrap w:val="0"/>
            <w:vAlign w:val="center"/>
          </w:tcPr>
          <w:p w14:paraId="0EB235E6">
            <w:pPr>
              <w:spacing w:line="360" w:lineRule="auto"/>
              <w:jc w:val="center"/>
              <w:rPr>
                <w:color w:val="auto"/>
                <w:highlight w:val="none"/>
              </w:rPr>
            </w:pPr>
          </w:p>
        </w:tc>
        <w:tc>
          <w:tcPr>
            <w:tcW w:w="1258" w:type="dxa"/>
            <w:noWrap w:val="0"/>
            <w:vAlign w:val="center"/>
          </w:tcPr>
          <w:p w14:paraId="516EE202">
            <w:pPr>
              <w:spacing w:line="360" w:lineRule="auto"/>
              <w:jc w:val="center"/>
              <w:rPr>
                <w:color w:val="auto"/>
                <w:highlight w:val="none"/>
              </w:rPr>
            </w:pPr>
          </w:p>
        </w:tc>
      </w:tr>
    </w:tbl>
    <w:p w14:paraId="009F246D">
      <w:pPr>
        <w:rPr>
          <w:color w:val="auto"/>
          <w:highlight w:val="none"/>
        </w:rPr>
      </w:pPr>
    </w:p>
    <w:p w14:paraId="49DAF282">
      <w:pPr>
        <w:rPr>
          <w:b/>
          <w:bCs/>
          <w:color w:val="auto"/>
          <w:highlight w:val="none"/>
        </w:rPr>
      </w:pPr>
    </w:p>
    <w:p w14:paraId="2E068FBB">
      <w:pPr>
        <w:rPr>
          <w:color w:val="auto"/>
          <w:highlight w:val="none"/>
        </w:rPr>
      </w:pPr>
      <w:r>
        <w:rPr>
          <w:rFonts w:hint="eastAsia" w:cs="宋体"/>
          <w:color w:val="auto"/>
          <w:highlight w:val="none"/>
        </w:rPr>
        <w:t>附表二：计划开、竣工日期和施工进度计划（网络图或横道图）</w:t>
      </w:r>
    </w:p>
    <w:p w14:paraId="4E63D6EF">
      <w:pPr>
        <w:spacing w:line="460" w:lineRule="exact"/>
        <w:ind w:left="-6" w:firstLine="420"/>
        <w:rPr>
          <w:color w:val="auto"/>
          <w:highlight w:val="none"/>
        </w:rPr>
      </w:pPr>
      <w:r>
        <w:rPr>
          <w:color w:val="auto"/>
          <w:highlight w:val="none"/>
        </w:rPr>
        <w:t xml:space="preserve">1. </w:t>
      </w:r>
      <w:r>
        <w:rPr>
          <w:rFonts w:hint="eastAsia" w:cs="宋体"/>
          <w:color w:val="auto"/>
          <w:highlight w:val="none"/>
        </w:rPr>
        <w:t>供应商应提交施工进度计划，说明按磋商文件要求的工期进行施工的各个关键日期。成交的供应商还应按合同条件有关条款的要求提交详细的施工进度计划。</w:t>
      </w:r>
    </w:p>
    <w:p w14:paraId="6297D11D">
      <w:pPr>
        <w:spacing w:line="460" w:lineRule="exact"/>
        <w:ind w:left="-6" w:firstLine="420"/>
        <w:rPr>
          <w:color w:val="auto"/>
          <w:highlight w:val="none"/>
        </w:rPr>
      </w:pPr>
      <w:r>
        <w:rPr>
          <w:color w:val="auto"/>
          <w:highlight w:val="none"/>
        </w:rPr>
        <w:t xml:space="preserve">2. </w:t>
      </w:r>
      <w:r>
        <w:rPr>
          <w:rFonts w:hint="eastAsia" w:cs="宋体"/>
          <w:color w:val="auto"/>
          <w:highlight w:val="none"/>
        </w:rPr>
        <w:t>施工进度计划可采用网络图（或横道图）表示，说明计划开工日期和各分项工程各阶段的完工日期和分包合同签订的日期。</w:t>
      </w:r>
    </w:p>
    <w:p w14:paraId="3BF2A337">
      <w:pPr>
        <w:spacing w:line="460" w:lineRule="exact"/>
        <w:ind w:left="-6" w:firstLine="420"/>
        <w:rPr>
          <w:color w:val="auto"/>
          <w:highlight w:val="none"/>
        </w:rPr>
      </w:pPr>
      <w:r>
        <w:rPr>
          <w:color w:val="auto"/>
          <w:highlight w:val="none"/>
        </w:rPr>
        <w:t xml:space="preserve">3. </w:t>
      </w:r>
      <w:r>
        <w:rPr>
          <w:rFonts w:hint="eastAsia" w:cs="宋体"/>
          <w:color w:val="auto"/>
          <w:highlight w:val="none"/>
        </w:rPr>
        <w:t>施工进度计划应与施工组织设计相适应。</w:t>
      </w:r>
    </w:p>
    <w:p w14:paraId="24C2CC4E">
      <w:pPr>
        <w:spacing w:line="360" w:lineRule="auto"/>
        <w:ind w:left="-6" w:firstLine="420"/>
        <w:rPr>
          <w:color w:val="auto"/>
          <w:highlight w:val="none"/>
        </w:rPr>
      </w:pPr>
    </w:p>
    <w:p w14:paraId="74C328D0">
      <w:pPr>
        <w:rPr>
          <w:color w:val="auto"/>
          <w:highlight w:val="none"/>
        </w:rPr>
      </w:pPr>
    </w:p>
    <w:p w14:paraId="23186084">
      <w:pPr>
        <w:rPr>
          <w:color w:val="auto"/>
          <w:highlight w:val="none"/>
        </w:rPr>
      </w:pPr>
      <w:r>
        <w:rPr>
          <w:rFonts w:hint="eastAsia" w:cs="宋体"/>
          <w:color w:val="auto"/>
          <w:highlight w:val="none"/>
        </w:rPr>
        <w:t>附表三：施工总平面图</w:t>
      </w:r>
    </w:p>
    <w:p w14:paraId="0B7F36E1">
      <w:pPr>
        <w:spacing w:line="460" w:lineRule="exact"/>
        <w:ind w:firstLine="420"/>
        <w:rPr>
          <w:color w:val="auto"/>
          <w:highlight w:val="none"/>
        </w:rPr>
      </w:pPr>
      <w:r>
        <w:rPr>
          <w:rFonts w:hint="eastAsia" w:cs="宋体"/>
          <w:color w:val="auto"/>
          <w:highlight w:val="none"/>
        </w:rPr>
        <w:t>供应商应递交一份施工总平面图，绘出现场临时设施布置图表并附文字说明，说明临时设施、加工车间、现场办公、设备及仓储、供电、供水、卫生、生活、道路、消防等设施的情况和布置。</w:t>
      </w:r>
    </w:p>
    <w:p w14:paraId="1D069F92">
      <w:pPr>
        <w:rPr>
          <w:color w:val="auto"/>
          <w:highlight w:val="none"/>
        </w:rPr>
      </w:pPr>
    </w:p>
    <w:p w14:paraId="74016A38">
      <w:pPr>
        <w:rPr>
          <w:color w:val="auto"/>
          <w:highlight w:val="none"/>
        </w:rPr>
      </w:pPr>
    </w:p>
    <w:p w14:paraId="788B56EE">
      <w:pPr>
        <w:rPr>
          <w:color w:val="auto"/>
          <w:highlight w:val="none"/>
        </w:rPr>
      </w:pPr>
      <w:r>
        <w:rPr>
          <w:rFonts w:hint="eastAsia" w:cs="宋体"/>
          <w:color w:val="auto"/>
          <w:highlight w:val="none"/>
        </w:rPr>
        <w:t>附表四：临时用地表</w:t>
      </w:r>
    </w:p>
    <w:tbl>
      <w:tblPr>
        <w:tblStyle w:val="45"/>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136"/>
      </w:tblGrid>
      <w:tr w14:paraId="0B20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noWrap w:val="0"/>
            <w:vAlign w:val="center"/>
          </w:tcPr>
          <w:p w14:paraId="53838947">
            <w:pPr>
              <w:jc w:val="center"/>
              <w:rPr>
                <w:color w:val="auto"/>
                <w:highlight w:val="none"/>
              </w:rPr>
            </w:pPr>
            <w:r>
              <w:rPr>
                <w:rFonts w:hint="eastAsia" w:cs="宋体"/>
                <w:color w:val="auto"/>
                <w:highlight w:val="none"/>
              </w:rPr>
              <w:t>用途</w:t>
            </w:r>
          </w:p>
        </w:tc>
        <w:tc>
          <w:tcPr>
            <w:tcW w:w="2357" w:type="dxa"/>
            <w:noWrap w:val="0"/>
            <w:vAlign w:val="center"/>
          </w:tcPr>
          <w:p w14:paraId="48169D42">
            <w:pPr>
              <w:jc w:val="center"/>
              <w:rPr>
                <w:color w:val="auto"/>
                <w:highlight w:val="none"/>
              </w:rPr>
            </w:pPr>
            <w:r>
              <w:rPr>
                <w:rFonts w:hint="eastAsia" w:cs="宋体"/>
                <w:color w:val="auto"/>
                <w:highlight w:val="none"/>
              </w:rPr>
              <w:t>面积（平方米）</w:t>
            </w:r>
          </w:p>
        </w:tc>
        <w:tc>
          <w:tcPr>
            <w:tcW w:w="2356" w:type="dxa"/>
            <w:noWrap w:val="0"/>
            <w:vAlign w:val="center"/>
          </w:tcPr>
          <w:p w14:paraId="2E42DA17">
            <w:pPr>
              <w:jc w:val="center"/>
              <w:rPr>
                <w:color w:val="auto"/>
                <w:highlight w:val="none"/>
              </w:rPr>
            </w:pPr>
            <w:r>
              <w:rPr>
                <w:rFonts w:hint="eastAsia" w:cs="宋体"/>
                <w:color w:val="auto"/>
                <w:highlight w:val="none"/>
              </w:rPr>
              <w:t>位置</w:t>
            </w:r>
          </w:p>
        </w:tc>
        <w:tc>
          <w:tcPr>
            <w:tcW w:w="2136" w:type="dxa"/>
            <w:noWrap w:val="0"/>
            <w:vAlign w:val="center"/>
          </w:tcPr>
          <w:p w14:paraId="5EFD9DCE">
            <w:pPr>
              <w:jc w:val="center"/>
              <w:rPr>
                <w:color w:val="auto"/>
                <w:highlight w:val="none"/>
              </w:rPr>
            </w:pPr>
            <w:r>
              <w:rPr>
                <w:rFonts w:hint="eastAsia" w:cs="宋体"/>
                <w:color w:val="auto"/>
                <w:highlight w:val="none"/>
              </w:rPr>
              <w:t>需用时间</w:t>
            </w:r>
          </w:p>
        </w:tc>
      </w:tr>
      <w:tr w14:paraId="2EBD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78419F7C">
            <w:pPr>
              <w:rPr>
                <w:color w:val="auto"/>
                <w:highlight w:val="none"/>
              </w:rPr>
            </w:pPr>
          </w:p>
        </w:tc>
        <w:tc>
          <w:tcPr>
            <w:tcW w:w="2357" w:type="dxa"/>
            <w:noWrap w:val="0"/>
            <w:vAlign w:val="top"/>
          </w:tcPr>
          <w:p w14:paraId="63097051">
            <w:pPr>
              <w:rPr>
                <w:color w:val="auto"/>
                <w:highlight w:val="none"/>
              </w:rPr>
            </w:pPr>
          </w:p>
        </w:tc>
        <w:tc>
          <w:tcPr>
            <w:tcW w:w="2356" w:type="dxa"/>
            <w:noWrap w:val="0"/>
            <w:vAlign w:val="top"/>
          </w:tcPr>
          <w:p w14:paraId="6D13D53C">
            <w:pPr>
              <w:rPr>
                <w:color w:val="auto"/>
                <w:highlight w:val="none"/>
              </w:rPr>
            </w:pPr>
          </w:p>
        </w:tc>
        <w:tc>
          <w:tcPr>
            <w:tcW w:w="2136" w:type="dxa"/>
            <w:noWrap w:val="0"/>
            <w:vAlign w:val="top"/>
          </w:tcPr>
          <w:p w14:paraId="428A90FB">
            <w:pPr>
              <w:rPr>
                <w:color w:val="auto"/>
                <w:highlight w:val="none"/>
              </w:rPr>
            </w:pPr>
          </w:p>
        </w:tc>
      </w:tr>
      <w:tr w14:paraId="2365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23629E6C">
            <w:pPr>
              <w:rPr>
                <w:color w:val="auto"/>
                <w:highlight w:val="none"/>
              </w:rPr>
            </w:pPr>
          </w:p>
        </w:tc>
        <w:tc>
          <w:tcPr>
            <w:tcW w:w="2357" w:type="dxa"/>
            <w:noWrap w:val="0"/>
            <w:vAlign w:val="top"/>
          </w:tcPr>
          <w:p w14:paraId="263F906A">
            <w:pPr>
              <w:rPr>
                <w:color w:val="auto"/>
                <w:highlight w:val="none"/>
              </w:rPr>
            </w:pPr>
          </w:p>
        </w:tc>
        <w:tc>
          <w:tcPr>
            <w:tcW w:w="2356" w:type="dxa"/>
            <w:noWrap w:val="0"/>
            <w:vAlign w:val="top"/>
          </w:tcPr>
          <w:p w14:paraId="6D15529E">
            <w:pPr>
              <w:rPr>
                <w:color w:val="auto"/>
                <w:highlight w:val="none"/>
              </w:rPr>
            </w:pPr>
          </w:p>
        </w:tc>
        <w:tc>
          <w:tcPr>
            <w:tcW w:w="2136" w:type="dxa"/>
            <w:noWrap w:val="0"/>
            <w:vAlign w:val="top"/>
          </w:tcPr>
          <w:p w14:paraId="666B6749">
            <w:pPr>
              <w:rPr>
                <w:color w:val="auto"/>
                <w:highlight w:val="none"/>
              </w:rPr>
            </w:pPr>
          </w:p>
        </w:tc>
      </w:tr>
      <w:tr w14:paraId="6E53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noWrap w:val="0"/>
            <w:vAlign w:val="top"/>
          </w:tcPr>
          <w:p w14:paraId="5886A41D">
            <w:pPr>
              <w:rPr>
                <w:color w:val="auto"/>
                <w:highlight w:val="none"/>
              </w:rPr>
            </w:pPr>
          </w:p>
        </w:tc>
        <w:tc>
          <w:tcPr>
            <w:tcW w:w="2357" w:type="dxa"/>
            <w:noWrap w:val="0"/>
            <w:vAlign w:val="top"/>
          </w:tcPr>
          <w:p w14:paraId="048C8A4B">
            <w:pPr>
              <w:rPr>
                <w:color w:val="auto"/>
                <w:highlight w:val="none"/>
              </w:rPr>
            </w:pPr>
          </w:p>
        </w:tc>
        <w:tc>
          <w:tcPr>
            <w:tcW w:w="2356" w:type="dxa"/>
            <w:noWrap w:val="0"/>
            <w:vAlign w:val="top"/>
          </w:tcPr>
          <w:p w14:paraId="66CB1858">
            <w:pPr>
              <w:rPr>
                <w:color w:val="auto"/>
                <w:highlight w:val="none"/>
              </w:rPr>
            </w:pPr>
          </w:p>
        </w:tc>
        <w:tc>
          <w:tcPr>
            <w:tcW w:w="2136" w:type="dxa"/>
            <w:noWrap w:val="0"/>
            <w:vAlign w:val="top"/>
          </w:tcPr>
          <w:p w14:paraId="025CE9F6">
            <w:pPr>
              <w:rPr>
                <w:color w:val="auto"/>
                <w:highlight w:val="none"/>
              </w:rPr>
            </w:pPr>
          </w:p>
        </w:tc>
      </w:tr>
      <w:tr w14:paraId="395B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58CAD3F9">
            <w:pPr>
              <w:rPr>
                <w:color w:val="auto"/>
                <w:highlight w:val="none"/>
              </w:rPr>
            </w:pPr>
          </w:p>
        </w:tc>
        <w:tc>
          <w:tcPr>
            <w:tcW w:w="2357" w:type="dxa"/>
            <w:noWrap w:val="0"/>
            <w:vAlign w:val="top"/>
          </w:tcPr>
          <w:p w14:paraId="3D8E724F">
            <w:pPr>
              <w:rPr>
                <w:color w:val="auto"/>
                <w:highlight w:val="none"/>
              </w:rPr>
            </w:pPr>
          </w:p>
        </w:tc>
        <w:tc>
          <w:tcPr>
            <w:tcW w:w="2356" w:type="dxa"/>
            <w:noWrap w:val="0"/>
            <w:vAlign w:val="top"/>
          </w:tcPr>
          <w:p w14:paraId="2572052E">
            <w:pPr>
              <w:rPr>
                <w:color w:val="auto"/>
                <w:highlight w:val="none"/>
              </w:rPr>
            </w:pPr>
          </w:p>
        </w:tc>
        <w:tc>
          <w:tcPr>
            <w:tcW w:w="2136" w:type="dxa"/>
            <w:noWrap w:val="0"/>
            <w:vAlign w:val="top"/>
          </w:tcPr>
          <w:p w14:paraId="15C0481A">
            <w:pPr>
              <w:rPr>
                <w:color w:val="auto"/>
                <w:highlight w:val="none"/>
              </w:rPr>
            </w:pPr>
          </w:p>
        </w:tc>
      </w:tr>
    </w:tbl>
    <w:p w14:paraId="3480B1B6">
      <w:pPr>
        <w:spacing w:line="360" w:lineRule="auto"/>
        <w:ind w:firstLine="880"/>
        <w:rPr>
          <w:rFonts w:ascii="方正小标宋简体" w:hAnsi="方正小标宋简体" w:eastAsia="方正小标宋简体" w:cs="方正小标宋简体"/>
          <w:bCs/>
          <w:color w:val="auto"/>
          <w:sz w:val="44"/>
          <w:szCs w:val="44"/>
          <w:highlight w:val="none"/>
        </w:rPr>
      </w:pPr>
    </w:p>
    <w:p w14:paraId="1D515E35">
      <w:pPr>
        <w:pStyle w:val="10"/>
        <w:rPr>
          <w:rFonts w:hint="eastAsia" w:ascii="宋体" w:hAnsi="宋体" w:cs="宋体"/>
          <w:b w:val="0"/>
          <w:color w:val="auto"/>
          <w:sz w:val="28"/>
          <w:szCs w:val="28"/>
          <w:highlight w:val="none"/>
        </w:rPr>
      </w:pPr>
      <w:r>
        <w:rPr>
          <w:rFonts w:ascii="方正小标宋简体" w:hAnsi="方正小标宋简体" w:eastAsia="方正小标宋简体" w:cs="方正小标宋简体"/>
          <w:bCs w:val="0"/>
          <w:color w:val="auto"/>
          <w:sz w:val="44"/>
          <w:szCs w:val="44"/>
          <w:highlight w:val="none"/>
        </w:rPr>
        <w:br w:type="page" w:clear="all"/>
      </w:r>
      <w:bookmarkStart w:id="130" w:name="bookmark2229"/>
      <w:bookmarkStart w:id="131" w:name="bookmark2230"/>
      <w:bookmarkStart w:id="132" w:name="bookmark2228"/>
      <w:r>
        <w:rPr>
          <w:rFonts w:hint="eastAsia" w:ascii="宋体" w:hAnsi="宋体" w:cs="宋体"/>
          <w:b w:val="0"/>
          <w:color w:val="auto"/>
          <w:sz w:val="28"/>
          <w:szCs w:val="28"/>
          <w:highlight w:val="none"/>
        </w:rPr>
        <w:t>附件一：拟投入本合同的主要施工设备表</w:t>
      </w:r>
      <w:bookmarkEnd w:id="130"/>
      <w:bookmarkEnd w:id="131"/>
      <w:bookmarkEnd w:id="132"/>
    </w:p>
    <w:p w14:paraId="582D524C">
      <w:pPr>
        <w:rPr>
          <w:rFonts w:hint="eastAsia"/>
          <w:color w:val="auto"/>
          <w:highlight w:val="none"/>
        </w:rPr>
      </w:pPr>
    </w:p>
    <w:p w14:paraId="6DD221E9">
      <w:pPr>
        <w:jc w:val="center"/>
        <w:rPr>
          <w:rFonts w:hint="eastAsia" w:ascii="宋体" w:hAnsi="宋体" w:cs="宋体"/>
          <w:b/>
          <w:bCs/>
          <w:color w:val="auto"/>
          <w:sz w:val="28"/>
          <w:szCs w:val="28"/>
          <w:highlight w:val="none"/>
        </w:rPr>
      </w:pPr>
      <w:bookmarkStart w:id="133" w:name="_Toc19570"/>
      <w:bookmarkStart w:id="134" w:name="bookmark2231"/>
      <w:bookmarkStart w:id="135" w:name="bookmark2233"/>
      <w:bookmarkStart w:id="136" w:name="bookmark2232"/>
      <w:bookmarkStart w:id="137" w:name="_Toc13379"/>
      <w:r>
        <w:rPr>
          <w:rFonts w:hint="eastAsia" w:ascii="宋体" w:hAnsi="宋体" w:cs="宋体"/>
          <w:b/>
          <w:bCs/>
          <w:color w:val="auto"/>
          <w:sz w:val="28"/>
          <w:szCs w:val="28"/>
          <w:highlight w:val="none"/>
        </w:rPr>
        <w:t>拟投入本合同的主要施工设备表</w:t>
      </w:r>
      <w:bookmarkEnd w:id="133"/>
      <w:bookmarkEnd w:id="134"/>
      <w:bookmarkEnd w:id="135"/>
      <w:bookmarkEnd w:id="136"/>
      <w:bookmarkEnd w:id="137"/>
    </w:p>
    <w:p w14:paraId="7B7BFA95">
      <w:pPr>
        <w:jc w:val="center"/>
        <w:rPr>
          <w:color w:val="auto"/>
          <w:highlight w:val="none"/>
        </w:rPr>
      </w:pPr>
    </w:p>
    <w:tbl>
      <w:tblPr>
        <w:tblStyle w:val="45"/>
        <w:tblW w:w="0" w:type="auto"/>
        <w:jc w:val="center"/>
        <w:tblLayout w:type="fixed"/>
        <w:tblCellMar>
          <w:top w:w="0" w:type="dxa"/>
          <w:left w:w="10" w:type="dxa"/>
          <w:bottom w:w="0" w:type="dxa"/>
          <w:right w:w="10" w:type="dxa"/>
        </w:tblCellMar>
      </w:tblPr>
      <w:tblGrid>
        <w:gridCol w:w="293"/>
        <w:gridCol w:w="1133"/>
        <w:gridCol w:w="864"/>
        <w:gridCol w:w="869"/>
        <w:gridCol w:w="864"/>
        <w:gridCol w:w="864"/>
        <w:gridCol w:w="864"/>
        <w:gridCol w:w="864"/>
        <w:gridCol w:w="864"/>
        <w:gridCol w:w="874"/>
      </w:tblGrid>
      <w:tr w14:paraId="557C5C4E">
        <w:tblPrEx>
          <w:tblCellMar>
            <w:top w:w="0" w:type="dxa"/>
            <w:left w:w="10" w:type="dxa"/>
            <w:bottom w:w="0" w:type="dxa"/>
            <w:right w:w="10" w:type="dxa"/>
          </w:tblCellMar>
        </w:tblPrEx>
        <w:trPr>
          <w:trHeight w:val="1142" w:hRule="exact"/>
          <w:jc w:val="center"/>
        </w:trPr>
        <w:tc>
          <w:tcPr>
            <w:tcW w:w="293" w:type="dxa"/>
            <w:tcBorders>
              <w:top w:val="single" w:color="auto" w:sz="4" w:space="0"/>
              <w:left w:val="single" w:color="auto" w:sz="4" w:space="0"/>
            </w:tcBorders>
            <w:noWrap w:val="0"/>
            <w:vAlign w:val="center"/>
          </w:tcPr>
          <w:p w14:paraId="166E479D">
            <w:pPr>
              <w:pStyle w:val="312"/>
              <w:spacing w:line="264" w:lineRule="exact"/>
              <w:ind w:firstLine="0"/>
              <w:jc w:val="center"/>
              <w:rPr>
                <w:color w:val="auto"/>
                <w:sz w:val="21"/>
                <w:szCs w:val="21"/>
                <w:highlight w:val="none"/>
              </w:rPr>
            </w:pPr>
            <w:r>
              <w:rPr>
                <w:color w:val="auto"/>
                <w:sz w:val="21"/>
                <w:szCs w:val="21"/>
                <w:highlight w:val="none"/>
              </w:rPr>
              <w:t>序 号</w:t>
            </w:r>
          </w:p>
        </w:tc>
        <w:tc>
          <w:tcPr>
            <w:tcW w:w="1133" w:type="dxa"/>
            <w:tcBorders>
              <w:top w:val="single" w:color="auto" w:sz="4" w:space="0"/>
              <w:left w:val="single" w:color="auto" w:sz="4" w:space="0"/>
            </w:tcBorders>
            <w:noWrap w:val="0"/>
            <w:vAlign w:val="center"/>
          </w:tcPr>
          <w:p w14:paraId="56FBDD4C">
            <w:pPr>
              <w:pStyle w:val="312"/>
              <w:spacing w:line="269" w:lineRule="exact"/>
              <w:ind w:left="180" w:firstLine="0"/>
              <w:jc w:val="center"/>
              <w:rPr>
                <w:color w:val="auto"/>
                <w:sz w:val="21"/>
                <w:szCs w:val="21"/>
                <w:highlight w:val="none"/>
              </w:rPr>
            </w:pPr>
            <w:r>
              <w:rPr>
                <w:color w:val="auto"/>
                <w:sz w:val="21"/>
                <w:szCs w:val="21"/>
                <w:highlight w:val="none"/>
              </w:rPr>
              <w:t>施工机械</w:t>
            </w:r>
          </w:p>
          <w:p w14:paraId="4AB5A946">
            <w:pPr>
              <w:pStyle w:val="312"/>
              <w:spacing w:line="269" w:lineRule="exact"/>
              <w:ind w:left="180" w:firstLine="0"/>
              <w:jc w:val="center"/>
              <w:rPr>
                <w:color w:val="auto"/>
                <w:sz w:val="21"/>
                <w:szCs w:val="21"/>
                <w:highlight w:val="none"/>
              </w:rPr>
            </w:pPr>
            <w:r>
              <w:rPr>
                <w:color w:val="auto"/>
                <w:sz w:val="21"/>
                <w:szCs w:val="21"/>
                <w:highlight w:val="none"/>
              </w:rPr>
              <w:t>名 称</w:t>
            </w:r>
          </w:p>
        </w:tc>
        <w:tc>
          <w:tcPr>
            <w:tcW w:w="864" w:type="dxa"/>
            <w:tcBorders>
              <w:top w:val="single" w:color="auto" w:sz="4" w:space="0"/>
              <w:left w:val="single" w:color="auto" w:sz="4" w:space="0"/>
            </w:tcBorders>
            <w:noWrap w:val="0"/>
            <w:vAlign w:val="center"/>
          </w:tcPr>
          <w:p w14:paraId="640C947A">
            <w:pPr>
              <w:pStyle w:val="312"/>
              <w:spacing w:after="60" w:line="240" w:lineRule="auto"/>
              <w:ind w:firstLine="0"/>
              <w:jc w:val="center"/>
              <w:rPr>
                <w:color w:val="auto"/>
                <w:sz w:val="21"/>
                <w:szCs w:val="21"/>
                <w:highlight w:val="none"/>
              </w:rPr>
            </w:pPr>
            <w:r>
              <w:rPr>
                <w:color w:val="auto"/>
                <w:sz w:val="21"/>
                <w:szCs w:val="21"/>
                <w:highlight w:val="none"/>
              </w:rPr>
              <w:t>型号</w:t>
            </w:r>
          </w:p>
          <w:p w14:paraId="0E54D7E4">
            <w:pPr>
              <w:pStyle w:val="312"/>
              <w:spacing w:line="240" w:lineRule="auto"/>
              <w:ind w:firstLine="0"/>
              <w:jc w:val="center"/>
              <w:rPr>
                <w:color w:val="auto"/>
                <w:sz w:val="21"/>
                <w:szCs w:val="21"/>
                <w:highlight w:val="none"/>
              </w:rPr>
            </w:pPr>
            <w:r>
              <w:rPr>
                <w:color w:val="auto"/>
                <w:sz w:val="21"/>
                <w:szCs w:val="21"/>
                <w:highlight w:val="none"/>
              </w:rPr>
              <w:t>规格</w:t>
            </w:r>
          </w:p>
        </w:tc>
        <w:tc>
          <w:tcPr>
            <w:tcW w:w="869" w:type="dxa"/>
            <w:tcBorders>
              <w:top w:val="single" w:color="auto" w:sz="4" w:space="0"/>
              <w:left w:val="single" w:color="auto" w:sz="4" w:space="0"/>
            </w:tcBorders>
            <w:noWrap w:val="0"/>
            <w:vAlign w:val="center"/>
          </w:tcPr>
          <w:p w14:paraId="7F7A7FEC">
            <w:pPr>
              <w:pStyle w:val="312"/>
              <w:spacing w:line="240" w:lineRule="auto"/>
              <w:ind w:firstLine="0"/>
              <w:jc w:val="center"/>
              <w:rPr>
                <w:color w:val="auto"/>
                <w:sz w:val="21"/>
                <w:szCs w:val="21"/>
                <w:highlight w:val="none"/>
              </w:rPr>
            </w:pPr>
            <w:r>
              <w:rPr>
                <w:color w:val="auto"/>
                <w:sz w:val="21"/>
                <w:szCs w:val="21"/>
                <w:highlight w:val="none"/>
              </w:rPr>
              <w:t>数量</w:t>
            </w:r>
          </w:p>
        </w:tc>
        <w:tc>
          <w:tcPr>
            <w:tcW w:w="864" w:type="dxa"/>
            <w:tcBorders>
              <w:top w:val="single" w:color="auto" w:sz="4" w:space="0"/>
              <w:left w:val="single" w:color="auto" w:sz="4" w:space="0"/>
            </w:tcBorders>
            <w:noWrap w:val="0"/>
            <w:vAlign w:val="center"/>
          </w:tcPr>
          <w:p w14:paraId="166735D8">
            <w:pPr>
              <w:pStyle w:val="312"/>
              <w:spacing w:line="266" w:lineRule="exact"/>
              <w:ind w:firstLine="0"/>
              <w:jc w:val="center"/>
              <w:rPr>
                <w:color w:val="auto"/>
                <w:sz w:val="21"/>
                <w:szCs w:val="21"/>
                <w:highlight w:val="none"/>
              </w:rPr>
            </w:pPr>
            <w:r>
              <w:rPr>
                <w:color w:val="auto"/>
                <w:sz w:val="21"/>
                <w:szCs w:val="21"/>
                <w:highlight w:val="none"/>
              </w:rPr>
              <w:t>制造 年份</w:t>
            </w:r>
          </w:p>
        </w:tc>
        <w:tc>
          <w:tcPr>
            <w:tcW w:w="864" w:type="dxa"/>
            <w:tcBorders>
              <w:top w:val="single" w:color="auto" w:sz="4" w:space="0"/>
              <w:left w:val="single" w:color="auto" w:sz="4" w:space="0"/>
            </w:tcBorders>
            <w:noWrap w:val="0"/>
            <w:vAlign w:val="center"/>
          </w:tcPr>
          <w:p w14:paraId="52DC1DAE">
            <w:pPr>
              <w:pStyle w:val="312"/>
              <w:spacing w:line="265" w:lineRule="exact"/>
              <w:ind w:firstLine="0"/>
              <w:jc w:val="center"/>
              <w:rPr>
                <w:color w:val="auto"/>
                <w:sz w:val="21"/>
                <w:szCs w:val="21"/>
                <w:highlight w:val="none"/>
              </w:rPr>
            </w:pPr>
            <w:r>
              <w:rPr>
                <w:color w:val="auto"/>
                <w:sz w:val="21"/>
                <w:szCs w:val="21"/>
                <w:highlight w:val="none"/>
              </w:rPr>
              <w:t xml:space="preserve">额定功率 </w:t>
            </w:r>
            <w:r>
              <w:rPr>
                <w:rFonts w:ascii="Times New Roman" w:hAnsi="Times New Roman" w:eastAsia="Times New Roman" w:cs="Times New Roman"/>
                <w:color w:val="auto"/>
                <w:sz w:val="21"/>
                <w:szCs w:val="21"/>
                <w:highlight w:val="none"/>
                <w:lang w:val="en-US" w:bidi="en-US"/>
              </w:rPr>
              <w:t>（KW）</w:t>
            </w:r>
            <w:r>
              <w:rPr>
                <w:color w:val="auto"/>
                <w:sz w:val="21"/>
                <w:szCs w:val="21"/>
                <w:highlight w:val="none"/>
              </w:rPr>
              <w:t>或 生产能力</w:t>
            </w:r>
          </w:p>
        </w:tc>
        <w:tc>
          <w:tcPr>
            <w:tcW w:w="864" w:type="dxa"/>
            <w:tcBorders>
              <w:top w:val="single" w:color="auto" w:sz="4" w:space="0"/>
              <w:left w:val="single" w:color="auto" w:sz="4" w:space="0"/>
            </w:tcBorders>
            <w:noWrap w:val="0"/>
            <w:vAlign w:val="center"/>
          </w:tcPr>
          <w:p w14:paraId="554E14E8">
            <w:pPr>
              <w:pStyle w:val="312"/>
              <w:spacing w:line="240" w:lineRule="auto"/>
              <w:ind w:firstLine="0"/>
              <w:jc w:val="center"/>
              <w:rPr>
                <w:color w:val="auto"/>
                <w:sz w:val="21"/>
                <w:szCs w:val="21"/>
                <w:highlight w:val="none"/>
              </w:rPr>
            </w:pPr>
            <w:r>
              <w:rPr>
                <w:color w:val="auto"/>
                <w:sz w:val="21"/>
                <w:szCs w:val="21"/>
                <w:highlight w:val="none"/>
              </w:rPr>
              <w:t>现在何处</w:t>
            </w:r>
          </w:p>
        </w:tc>
        <w:tc>
          <w:tcPr>
            <w:tcW w:w="864" w:type="dxa"/>
            <w:tcBorders>
              <w:top w:val="single" w:color="auto" w:sz="4" w:space="0"/>
              <w:left w:val="single" w:color="auto" w:sz="4" w:space="0"/>
            </w:tcBorders>
            <w:noWrap w:val="0"/>
            <w:vAlign w:val="center"/>
          </w:tcPr>
          <w:p w14:paraId="47EDE5C8">
            <w:pPr>
              <w:pStyle w:val="312"/>
              <w:spacing w:line="240" w:lineRule="auto"/>
              <w:ind w:firstLine="0"/>
              <w:jc w:val="center"/>
              <w:rPr>
                <w:color w:val="auto"/>
                <w:sz w:val="21"/>
                <w:szCs w:val="21"/>
                <w:highlight w:val="none"/>
              </w:rPr>
            </w:pPr>
            <w:r>
              <w:rPr>
                <w:color w:val="auto"/>
                <w:sz w:val="21"/>
                <w:szCs w:val="21"/>
                <w:highlight w:val="none"/>
              </w:rPr>
              <w:t>进场时间</w:t>
            </w:r>
          </w:p>
        </w:tc>
        <w:tc>
          <w:tcPr>
            <w:tcW w:w="864" w:type="dxa"/>
            <w:tcBorders>
              <w:top w:val="single" w:color="auto" w:sz="4" w:space="0"/>
              <w:left w:val="single" w:color="auto" w:sz="4" w:space="0"/>
            </w:tcBorders>
            <w:noWrap w:val="0"/>
            <w:vAlign w:val="center"/>
          </w:tcPr>
          <w:p w14:paraId="5D3DF22D">
            <w:pPr>
              <w:pStyle w:val="312"/>
              <w:spacing w:line="240" w:lineRule="auto"/>
              <w:ind w:firstLine="0"/>
              <w:jc w:val="center"/>
              <w:rPr>
                <w:color w:val="auto"/>
                <w:sz w:val="21"/>
                <w:szCs w:val="21"/>
                <w:highlight w:val="none"/>
              </w:rPr>
            </w:pPr>
            <w:r>
              <w:rPr>
                <w:color w:val="auto"/>
                <w:sz w:val="21"/>
                <w:szCs w:val="21"/>
                <w:highlight w:val="none"/>
              </w:rPr>
              <w:t>退场时间</w:t>
            </w:r>
          </w:p>
        </w:tc>
        <w:tc>
          <w:tcPr>
            <w:tcW w:w="874" w:type="dxa"/>
            <w:tcBorders>
              <w:top w:val="single" w:color="auto" w:sz="4" w:space="0"/>
              <w:left w:val="single" w:color="auto" w:sz="4" w:space="0"/>
              <w:right w:val="single" w:color="auto" w:sz="4" w:space="0"/>
            </w:tcBorders>
            <w:noWrap w:val="0"/>
            <w:vAlign w:val="center"/>
          </w:tcPr>
          <w:p w14:paraId="1E4EAB34">
            <w:pPr>
              <w:pStyle w:val="312"/>
              <w:spacing w:line="257" w:lineRule="exact"/>
              <w:ind w:firstLine="0"/>
              <w:jc w:val="center"/>
              <w:rPr>
                <w:color w:val="auto"/>
                <w:sz w:val="21"/>
                <w:szCs w:val="21"/>
                <w:highlight w:val="none"/>
              </w:rPr>
            </w:pPr>
            <w:r>
              <w:rPr>
                <w:color w:val="auto"/>
                <w:sz w:val="21"/>
                <w:szCs w:val="21"/>
                <w:highlight w:val="none"/>
              </w:rPr>
              <w:t>用于施工 部位</w:t>
            </w:r>
          </w:p>
        </w:tc>
      </w:tr>
      <w:tr w14:paraId="4E665918">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F38F66C">
            <w:pPr>
              <w:rPr>
                <w:color w:val="auto"/>
                <w:szCs w:val="21"/>
                <w:highlight w:val="none"/>
              </w:rPr>
            </w:pPr>
          </w:p>
        </w:tc>
        <w:tc>
          <w:tcPr>
            <w:tcW w:w="1133" w:type="dxa"/>
            <w:tcBorders>
              <w:top w:val="single" w:color="auto" w:sz="4" w:space="0"/>
              <w:left w:val="single" w:color="auto" w:sz="4" w:space="0"/>
            </w:tcBorders>
            <w:noWrap w:val="0"/>
            <w:vAlign w:val="top"/>
          </w:tcPr>
          <w:p w14:paraId="589C014B">
            <w:pPr>
              <w:rPr>
                <w:color w:val="auto"/>
                <w:szCs w:val="21"/>
                <w:highlight w:val="none"/>
              </w:rPr>
            </w:pPr>
          </w:p>
        </w:tc>
        <w:tc>
          <w:tcPr>
            <w:tcW w:w="864" w:type="dxa"/>
            <w:tcBorders>
              <w:top w:val="single" w:color="auto" w:sz="4" w:space="0"/>
              <w:left w:val="single" w:color="auto" w:sz="4" w:space="0"/>
            </w:tcBorders>
            <w:noWrap w:val="0"/>
            <w:vAlign w:val="top"/>
          </w:tcPr>
          <w:p w14:paraId="43E7472B">
            <w:pPr>
              <w:rPr>
                <w:color w:val="auto"/>
                <w:szCs w:val="21"/>
                <w:highlight w:val="none"/>
              </w:rPr>
            </w:pPr>
          </w:p>
        </w:tc>
        <w:tc>
          <w:tcPr>
            <w:tcW w:w="869" w:type="dxa"/>
            <w:tcBorders>
              <w:top w:val="single" w:color="auto" w:sz="4" w:space="0"/>
              <w:left w:val="single" w:color="auto" w:sz="4" w:space="0"/>
            </w:tcBorders>
            <w:noWrap w:val="0"/>
            <w:vAlign w:val="top"/>
          </w:tcPr>
          <w:p w14:paraId="644D52B0">
            <w:pPr>
              <w:rPr>
                <w:color w:val="auto"/>
                <w:szCs w:val="21"/>
                <w:highlight w:val="none"/>
              </w:rPr>
            </w:pPr>
          </w:p>
        </w:tc>
        <w:tc>
          <w:tcPr>
            <w:tcW w:w="864" w:type="dxa"/>
            <w:tcBorders>
              <w:top w:val="single" w:color="auto" w:sz="4" w:space="0"/>
              <w:left w:val="single" w:color="auto" w:sz="4" w:space="0"/>
            </w:tcBorders>
            <w:noWrap w:val="0"/>
            <w:vAlign w:val="top"/>
          </w:tcPr>
          <w:p w14:paraId="5F541619">
            <w:pPr>
              <w:rPr>
                <w:color w:val="auto"/>
                <w:szCs w:val="21"/>
                <w:highlight w:val="none"/>
              </w:rPr>
            </w:pPr>
          </w:p>
        </w:tc>
        <w:tc>
          <w:tcPr>
            <w:tcW w:w="864" w:type="dxa"/>
            <w:tcBorders>
              <w:top w:val="single" w:color="auto" w:sz="4" w:space="0"/>
              <w:left w:val="single" w:color="auto" w:sz="4" w:space="0"/>
            </w:tcBorders>
            <w:noWrap w:val="0"/>
            <w:vAlign w:val="top"/>
          </w:tcPr>
          <w:p w14:paraId="112FEE9F">
            <w:pPr>
              <w:rPr>
                <w:color w:val="auto"/>
                <w:szCs w:val="21"/>
                <w:highlight w:val="none"/>
              </w:rPr>
            </w:pPr>
          </w:p>
        </w:tc>
        <w:tc>
          <w:tcPr>
            <w:tcW w:w="864" w:type="dxa"/>
            <w:tcBorders>
              <w:top w:val="single" w:color="auto" w:sz="4" w:space="0"/>
              <w:left w:val="single" w:color="auto" w:sz="4" w:space="0"/>
            </w:tcBorders>
            <w:noWrap w:val="0"/>
            <w:vAlign w:val="top"/>
          </w:tcPr>
          <w:p w14:paraId="24BAB74A">
            <w:pPr>
              <w:rPr>
                <w:color w:val="auto"/>
                <w:szCs w:val="21"/>
                <w:highlight w:val="none"/>
              </w:rPr>
            </w:pPr>
          </w:p>
        </w:tc>
        <w:tc>
          <w:tcPr>
            <w:tcW w:w="864" w:type="dxa"/>
            <w:tcBorders>
              <w:top w:val="single" w:color="auto" w:sz="4" w:space="0"/>
              <w:left w:val="single" w:color="auto" w:sz="4" w:space="0"/>
            </w:tcBorders>
            <w:noWrap w:val="0"/>
            <w:vAlign w:val="top"/>
          </w:tcPr>
          <w:p w14:paraId="0F0928F3">
            <w:pPr>
              <w:rPr>
                <w:color w:val="auto"/>
                <w:szCs w:val="21"/>
                <w:highlight w:val="none"/>
              </w:rPr>
            </w:pPr>
          </w:p>
        </w:tc>
        <w:tc>
          <w:tcPr>
            <w:tcW w:w="864" w:type="dxa"/>
            <w:tcBorders>
              <w:top w:val="single" w:color="auto" w:sz="4" w:space="0"/>
              <w:left w:val="single" w:color="auto" w:sz="4" w:space="0"/>
            </w:tcBorders>
            <w:noWrap w:val="0"/>
            <w:vAlign w:val="top"/>
          </w:tcPr>
          <w:p w14:paraId="66601B9C">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62E8879E">
            <w:pPr>
              <w:rPr>
                <w:color w:val="auto"/>
                <w:szCs w:val="21"/>
                <w:highlight w:val="none"/>
              </w:rPr>
            </w:pPr>
          </w:p>
        </w:tc>
      </w:tr>
      <w:tr w14:paraId="73DF62EE">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1D011F33">
            <w:pPr>
              <w:rPr>
                <w:color w:val="auto"/>
                <w:szCs w:val="21"/>
                <w:highlight w:val="none"/>
              </w:rPr>
            </w:pPr>
          </w:p>
        </w:tc>
        <w:tc>
          <w:tcPr>
            <w:tcW w:w="1133" w:type="dxa"/>
            <w:tcBorders>
              <w:top w:val="single" w:color="auto" w:sz="4" w:space="0"/>
              <w:left w:val="single" w:color="auto" w:sz="4" w:space="0"/>
            </w:tcBorders>
            <w:noWrap w:val="0"/>
            <w:vAlign w:val="top"/>
          </w:tcPr>
          <w:p w14:paraId="21C14357">
            <w:pPr>
              <w:rPr>
                <w:color w:val="auto"/>
                <w:szCs w:val="21"/>
                <w:highlight w:val="none"/>
              </w:rPr>
            </w:pPr>
          </w:p>
        </w:tc>
        <w:tc>
          <w:tcPr>
            <w:tcW w:w="864" w:type="dxa"/>
            <w:tcBorders>
              <w:top w:val="single" w:color="auto" w:sz="4" w:space="0"/>
              <w:left w:val="single" w:color="auto" w:sz="4" w:space="0"/>
            </w:tcBorders>
            <w:noWrap w:val="0"/>
            <w:vAlign w:val="top"/>
          </w:tcPr>
          <w:p w14:paraId="4D10D4DA">
            <w:pPr>
              <w:rPr>
                <w:color w:val="auto"/>
                <w:szCs w:val="21"/>
                <w:highlight w:val="none"/>
              </w:rPr>
            </w:pPr>
          </w:p>
        </w:tc>
        <w:tc>
          <w:tcPr>
            <w:tcW w:w="869" w:type="dxa"/>
            <w:tcBorders>
              <w:top w:val="single" w:color="auto" w:sz="4" w:space="0"/>
              <w:left w:val="single" w:color="auto" w:sz="4" w:space="0"/>
            </w:tcBorders>
            <w:noWrap w:val="0"/>
            <w:vAlign w:val="top"/>
          </w:tcPr>
          <w:p w14:paraId="4B0D8489">
            <w:pPr>
              <w:rPr>
                <w:color w:val="auto"/>
                <w:szCs w:val="21"/>
                <w:highlight w:val="none"/>
              </w:rPr>
            </w:pPr>
          </w:p>
        </w:tc>
        <w:tc>
          <w:tcPr>
            <w:tcW w:w="864" w:type="dxa"/>
            <w:tcBorders>
              <w:top w:val="single" w:color="auto" w:sz="4" w:space="0"/>
              <w:left w:val="single" w:color="auto" w:sz="4" w:space="0"/>
            </w:tcBorders>
            <w:noWrap w:val="0"/>
            <w:vAlign w:val="top"/>
          </w:tcPr>
          <w:p w14:paraId="36D04212">
            <w:pPr>
              <w:rPr>
                <w:color w:val="auto"/>
                <w:szCs w:val="21"/>
                <w:highlight w:val="none"/>
              </w:rPr>
            </w:pPr>
          </w:p>
        </w:tc>
        <w:tc>
          <w:tcPr>
            <w:tcW w:w="864" w:type="dxa"/>
            <w:tcBorders>
              <w:top w:val="single" w:color="auto" w:sz="4" w:space="0"/>
              <w:left w:val="single" w:color="auto" w:sz="4" w:space="0"/>
            </w:tcBorders>
            <w:noWrap w:val="0"/>
            <w:vAlign w:val="top"/>
          </w:tcPr>
          <w:p w14:paraId="2D96F51A">
            <w:pPr>
              <w:rPr>
                <w:color w:val="auto"/>
                <w:szCs w:val="21"/>
                <w:highlight w:val="none"/>
              </w:rPr>
            </w:pPr>
          </w:p>
        </w:tc>
        <w:tc>
          <w:tcPr>
            <w:tcW w:w="864" w:type="dxa"/>
            <w:tcBorders>
              <w:top w:val="single" w:color="auto" w:sz="4" w:space="0"/>
              <w:left w:val="single" w:color="auto" w:sz="4" w:space="0"/>
            </w:tcBorders>
            <w:noWrap w:val="0"/>
            <w:vAlign w:val="top"/>
          </w:tcPr>
          <w:p w14:paraId="39E1FDD0">
            <w:pPr>
              <w:rPr>
                <w:color w:val="auto"/>
                <w:szCs w:val="21"/>
                <w:highlight w:val="none"/>
              </w:rPr>
            </w:pPr>
          </w:p>
        </w:tc>
        <w:tc>
          <w:tcPr>
            <w:tcW w:w="864" w:type="dxa"/>
            <w:tcBorders>
              <w:top w:val="single" w:color="auto" w:sz="4" w:space="0"/>
              <w:left w:val="single" w:color="auto" w:sz="4" w:space="0"/>
            </w:tcBorders>
            <w:noWrap w:val="0"/>
            <w:vAlign w:val="top"/>
          </w:tcPr>
          <w:p w14:paraId="655DECA6">
            <w:pPr>
              <w:rPr>
                <w:color w:val="auto"/>
                <w:szCs w:val="21"/>
                <w:highlight w:val="none"/>
              </w:rPr>
            </w:pPr>
          </w:p>
        </w:tc>
        <w:tc>
          <w:tcPr>
            <w:tcW w:w="864" w:type="dxa"/>
            <w:tcBorders>
              <w:top w:val="single" w:color="auto" w:sz="4" w:space="0"/>
              <w:left w:val="single" w:color="auto" w:sz="4" w:space="0"/>
            </w:tcBorders>
            <w:noWrap w:val="0"/>
            <w:vAlign w:val="top"/>
          </w:tcPr>
          <w:p w14:paraId="04141A23">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66A742DB">
            <w:pPr>
              <w:rPr>
                <w:color w:val="auto"/>
                <w:szCs w:val="21"/>
                <w:highlight w:val="none"/>
              </w:rPr>
            </w:pPr>
          </w:p>
        </w:tc>
      </w:tr>
      <w:tr w14:paraId="26A256D1">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0BF83FCB">
            <w:pPr>
              <w:rPr>
                <w:color w:val="auto"/>
                <w:szCs w:val="21"/>
                <w:highlight w:val="none"/>
              </w:rPr>
            </w:pPr>
          </w:p>
        </w:tc>
        <w:tc>
          <w:tcPr>
            <w:tcW w:w="1133" w:type="dxa"/>
            <w:tcBorders>
              <w:top w:val="single" w:color="auto" w:sz="4" w:space="0"/>
              <w:left w:val="single" w:color="auto" w:sz="4" w:space="0"/>
            </w:tcBorders>
            <w:noWrap w:val="0"/>
            <w:vAlign w:val="top"/>
          </w:tcPr>
          <w:p w14:paraId="022051BD">
            <w:pPr>
              <w:rPr>
                <w:color w:val="auto"/>
                <w:szCs w:val="21"/>
                <w:highlight w:val="none"/>
              </w:rPr>
            </w:pPr>
          </w:p>
        </w:tc>
        <w:tc>
          <w:tcPr>
            <w:tcW w:w="864" w:type="dxa"/>
            <w:tcBorders>
              <w:top w:val="single" w:color="auto" w:sz="4" w:space="0"/>
              <w:left w:val="single" w:color="auto" w:sz="4" w:space="0"/>
            </w:tcBorders>
            <w:noWrap w:val="0"/>
            <w:vAlign w:val="top"/>
          </w:tcPr>
          <w:p w14:paraId="2527BD0E">
            <w:pPr>
              <w:rPr>
                <w:color w:val="auto"/>
                <w:szCs w:val="21"/>
                <w:highlight w:val="none"/>
              </w:rPr>
            </w:pPr>
          </w:p>
        </w:tc>
        <w:tc>
          <w:tcPr>
            <w:tcW w:w="869" w:type="dxa"/>
            <w:tcBorders>
              <w:top w:val="single" w:color="auto" w:sz="4" w:space="0"/>
              <w:left w:val="single" w:color="auto" w:sz="4" w:space="0"/>
            </w:tcBorders>
            <w:noWrap w:val="0"/>
            <w:vAlign w:val="top"/>
          </w:tcPr>
          <w:p w14:paraId="7F726381">
            <w:pPr>
              <w:rPr>
                <w:color w:val="auto"/>
                <w:szCs w:val="21"/>
                <w:highlight w:val="none"/>
              </w:rPr>
            </w:pPr>
          </w:p>
        </w:tc>
        <w:tc>
          <w:tcPr>
            <w:tcW w:w="864" w:type="dxa"/>
            <w:tcBorders>
              <w:top w:val="single" w:color="auto" w:sz="4" w:space="0"/>
              <w:left w:val="single" w:color="auto" w:sz="4" w:space="0"/>
            </w:tcBorders>
            <w:noWrap w:val="0"/>
            <w:vAlign w:val="top"/>
          </w:tcPr>
          <w:p w14:paraId="1BCA3211">
            <w:pPr>
              <w:rPr>
                <w:color w:val="auto"/>
                <w:szCs w:val="21"/>
                <w:highlight w:val="none"/>
              </w:rPr>
            </w:pPr>
          </w:p>
        </w:tc>
        <w:tc>
          <w:tcPr>
            <w:tcW w:w="864" w:type="dxa"/>
            <w:tcBorders>
              <w:top w:val="single" w:color="auto" w:sz="4" w:space="0"/>
              <w:left w:val="single" w:color="auto" w:sz="4" w:space="0"/>
            </w:tcBorders>
            <w:noWrap w:val="0"/>
            <w:vAlign w:val="top"/>
          </w:tcPr>
          <w:p w14:paraId="06589AA4">
            <w:pPr>
              <w:rPr>
                <w:color w:val="auto"/>
                <w:szCs w:val="21"/>
                <w:highlight w:val="none"/>
              </w:rPr>
            </w:pPr>
          </w:p>
        </w:tc>
        <w:tc>
          <w:tcPr>
            <w:tcW w:w="864" w:type="dxa"/>
            <w:tcBorders>
              <w:top w:val="single" w:color="auto" w:sz="4" w:space="0"/>
              <w:left w:val="single" w:color="auto" w:sz="4" w:space="0"/>
            </w:tcBorders>
            <w:noWrap w:val="0"/>
            <w:vAlign w:val="top"/>
          </w:tcPr>
          <w:p w14:paraId="0459EA00">
            <w:pPr>
              <w:rPr>
                <w:color w:val="auto"/>
                <w:szCs w:val="21"/>
                <w:highlight w:val="none"/>
              </w:rPr>
            </w:pPr>
          </w:p>
        </w:tc>
        <w:tc>
          <w:tcPr>
            <w:tcW w:w="864" w:type="dxa"/>
            <w:tcBorders>
              <w:top w:val="single" w:color="auto" w:sz="4" w:space="0"/>
              <w:left w:val="single" w:color="auto" w:sz="4" w:space="0"/>
            </w:tcBorders>
            <w:noWrap w:val="0"/>
            <w:vAlign w:val="top"/>
          </w:tcPr>
          <w:p w14:paraId="51115B1D">
            <w:pPr>
              <w:rPr>
                <w:color w:val="auto"/>
                <w:szCs w:val="21"/>
                <w:highlight w:val="none"/>
              </w:rPr>
            </w:pPr>
          </w:p>
        </w:tc>
        <w:tc>
          <w:tcPr>
            <w:tcW w:w="864" w:type="dxa"/>
            <w:tcBorders>
              <w:top w:val="single" w:color="auto" w:sz="4" w:space="0"/>
              <w:left w:val="single" w:color="auto" w:sz="4" w:space="0"/>
            </w:tcBorders>
            <w:noWrap w:val="0"/>
            <w:vAlign w:val="top"/>
          </w:tcPr>
          <w:p w14:paraId="30FD0305">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71445460">
            <w:pPr>
              <w:rPr>
                <w:color w:val="auto"/>
                <w:szCs w:val="21"/>
                <w:highlight w:val="none"/>
              </w:rPr>
            </w:pPr>
          </w:p>
        </w:tc>
      </w:tr>
      <w:tr w14:paraId="20920261">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67986510">
            <w:pPr>
              <w:rPr>
                <w:color w:val="auto"/>
                <w:szCs w:val="21"/>
                <w:highlight w:val="none"/>
              </w:rPr>
            </w:pPr>
          </w:p>
        </w:tc>
        <w:tc>
          <w:tcPr>
            <w:tcW w:w="1133" w:type="dxa"/>
            <w:tcBorders>
              <w:top w:val="single" w:color="auto" w:sz="4" w:space="0"/>
              <w:left w:val="single" w:color="auto" w:sz="4" w:space="0"/>
            </w:tcBorders>
            <w:noWrap w:val="0"/>
            <w:vAlign w:val="top"/>
          </w:tcPr>
          <w:p w14:paraId="4927523A">
            <w:pPr>
              <w:rPr>
                <w:color w:val="auto"/>
                <w:szCs w:val="21"/>
                <w:highlight w:val="none"/>
              </w:rPr>
            </w:pPr>
          </w:p>
        </w:tc>
        <w:tc>
          <w:tcPr>
            <w:tcW w:w="864" w:type="dxa"/>
            <w:tcBorders>
              <w:top w:val="single" w:color="auto" w:sz="4" w:space="0"/>
              <w:left w:val="single" w:color="auto" w:sz="4" w:space="0"/>
            </w:tcBorders>
            <w:noWrap w:val="0"/>
            <w:vAlign w:val="top"/>
          </w:tcPr>
          <w:p w14:paraId="4CE8B7D5">
            <w:pPr>
              <w:rPr>
                <w:color w:val="auto"/>
                <w:szCs w:val="21"/>
                <w:highlight w:val="none"/>
              </w:rPr>
            </w:pPr>
          </w:p>
        </w:tc>
        <w:tc>
          <w:tcPr>
            <w:tcW w:w="869" w:type="dxa"/>
            <w:tcBorders>
              <w:top w:val="single" w:color="auto" w:sz="4" w:space="0"/>
              <w:left w:val="single" w:color="auto" w:sz="4" w:space="0"/>
            </w:tcBorders>
            <w:noWrap w:val="0"/>
            <w:vAlign w:val="top"/>
          </w:tcPr>
          <w:p w14:paraId="38F17E07">
            <w:pPr>
              <w:rPr>
                <w:color w:val="auto"/>
                <w:szCs w:val="21"/>
                <w:highlight w:val="none"/>
              </w:rPr>
            </w:pPr>
          </w:p>
        </w:tc>
        <w:tc>
          <w:tcPr>
            <w:tcW w:w="864" w:type="dxa"/>
            <w:tcBorders>
              <w:top w:val="single" w:color="auto" w:sz="4" w:space="0"/>
              <w:left w:val="single" w:color="auto" w:sz="4" w:space="0"/>
            </w:tcBorders>
            <w:noWrap w:val="0"/>
            <w:vAlign w:val="top"/>
          </w:tcPr>
          <w:p w14:paraId="1C9DA0EC">
            <w:pPr>
              <w:rPr>
                <w:color w:val="auto"/>
                <w:szCs w:val="21"/>
                <w:highlight w:val="none"/>
              </w:rPr>
            </w:pPr>
          </w:p>
        </w:tc>
        <w:tc>
          <w:tcPr>
            <w:tcW w:w="864" w:type="dxa"/>
            <w:tcBorders>
              <w:top w:val="single" w:color="auto" w:sz="4" w:space="0"/>
              <w:left w:val="single" w:color="auto" w:sz="4" w:space="0"/>
            </w:tcBorders>
            <w:noWrap w:val="0"/>
            <w:vAlign w:val="top"/>
          </w:tcPr>
          <w:p w14:paraId="5B320787">
            <w:pPr>
              <w:rPr>
                <w:color w:val="auto"/>
                <w:szCs w:val="21"/>
                <w:highlight w:val="none"/>
              </w:rPr>
            </w:pPr>
          </w:p>
        </w:tc>
        <w:tc>
          <w:tcPr>
            <w:tcW w:w="864" w:type="dxa"/>
            <w:tcBorders>
              <w:top w:val="single" w:color="auto" w:sz="4" w:space="0"/>
              <w:left w:val="single" w:color="auto" w:sz="4" w:space="0"/>
            </w:tcBorders>
            <w:noWrap w:val="0"/>
            <w:vAlign w:val="top"/>
          </w:tcPr>
          <w:p w14:paraId="3BF78758">
            <w:pPr>
              <w:rPr>
                <w:color w:val="auto"/>
                <w:szCs w:val="21"/>
                <w:highlight w:val="none"/>
              </w:rPr>
            </w:pPr>
          </w:p>
        </w:tc>
        <w:tc>
          <w:tcPr>
            <w:tcW w:w="864" w:type="dxa"/>
            <w:tcBorders>
              <w:top w:val="single" w:color="auto" w:sz="4" w:space="0"/>
              <w:left w:val="single" w:color="auto" w:sz="4" w:space="0"/>
            </w:tcBorders>
            <w:noWrap w:val="0"/>
            <w:vAlign w:val="top"/>
          </w:tcPr>
          <w:p w14:paraId="2B07DAFC">
            <w:pPr>
              <w:rPr>
                <w:color w:val="auto"/>
                <w:szCs w:val="21"/>
                <w:highlight w:val="none"/>
              </w:rPr>
            </w:pPr>
          </w:p>
        </w:tc>
        <w:tc>
          <w:tcPr>
            <w:tcW w:w="864" w:type="dxa"/>
            <w:tcBorders>
              <w:top w:val="single" w:color="auto" w:sz="4" w:space="0"/>
              <w:left w:val="single" w:color="auto" w:sz="4" w:space="0"/>
            </w:tcBorders>
            <w:noWrap w:val="0"/>
            <w:vAlign w:val="top"/>
          </w:tcPr>
          <w:p w14:paraId="723884CD">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7CB30868">
            <w:pPr>
              <w:rPr>
                <w:color w:val="auto"/>
                <w:szCs w:val="21"/>
                <w:highlight w:val="none"/>
              </w:rPr>
            </w:pPr>
          </w:p>
        </w:tc>
      </w:tr>
      <w:tr w14:paraId="6C8B6CE1">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6E72BADB">
            <w:pPr>
              <w:rPr>
                <w:color w:val="auto"/>
                <w:szCs w:val="21"/>
                <w:highlight w:val="none"/>
              </w:rPr>
            </w:pPr>
          </w:p>
        </w:tc>
        <w:tc>
          <w:tcPr>
            <w:tcW w:w="1133" w:type="dxa"/>
            <w:tcBorders>
              <w:top w:val="single" w:color="auto" w:sz="4" w:space="0"/>
              <w:left w:val="single" w:color="auto" w:sz="4" w:space="0"/>
            </w:tcBorders>
            <w:noWrap w:val="0"/>
            <w:vAlign w:val="top"/>
          </w:tcPr>
          <w:p w14:paraId="3C1B33B4">
            <w:pPr>
              <w:rPr>
                <w:color w:val="auto"/>
                <w:szCs w:val="21"/>
                <w:highlight w:val="none"/>
              </w:rPr>
            </w:pPr>
          </w:p>
        </w:tc>
        <w:tc>
          <w:tcPr>
            <w:tcW w:w="864" w:type="dxa"/>
            <w:tcBorders>
              <w:top w:val="single" w:color="auto" w:sz="4" w:space="0"/>
              <w:left w:val="single" w:color="auto" w:sz="4" w:space="0"/>
            </w:tcBorders>
            <w:noWrap w:val="0"/>
            <w:vAlign w:val="top"/>
          </w:tcPr>
          <w:p w14:paraId="1871FD41">
            <w:pPr>
              <w:rPr>
                <w:color w:val="auto"/>
                <w:szCs w:val="21"/>
                <w:highlight w:val="none"/>
              </w:rPr>
            </w:pPr>
          </w:p>
        </w:tc>
        <w:tc>
          <w:tcPr>
            <w:tcW w:w="869" w:type="dxa"/>
            <w:tcBorders>
              <w:top w:val="single" w:color="auto" w:sz="4" w:space="0"/>
              <w:left w:val="single" w:color="auto" w:sz="4" w:space="0"/>
            </w:tcBorders>
            <w:noWrap w:val="0"/>
            <w:vAlign w:val="top"/>
          </w:tcPr>
          <w:p w14:paraId="59131225">
            <w:pPr>
              <w:rPr>
                <w:color w:val="auto"/>
                <w:szCs w:val="21"/>
                <w:highlight w:val="none"/>
              </w:rPr>
            </w:pPr>
          </w:p>
        </w:tc>
        <w:tc>
          <w:tcPr>
            <w:tcW w:w="864" w:type="dxa"/>
            <w:tcBorders>
              <w:top w:val="single" w:color="auto" w:sz="4" w:space="0"/>
              <w:left w:val="single" w:color="auto" w:sz="4" w:space="0"/>
            </w:tcBorders>
            <w:noWrap w:val="0"/>
            <w:vAlign w:val="top"/>
          </w:tcPr>
          <w:p w14:paraId="29E89078">
            <w:pPr>
              <w:rPr>
                <w:color w:val="auto"/>
                <w:szCs w:val="21"/>
                <w:highlight w:val="none"/>
              </w:rPr>
            </w:pPr>
          </w:p>
        </w:tc>
        <w:tc>
          <w:tcPr>
            <w:tcW w:w="864" w:type="dxa"/>
            <w:tcBorders>
              <w:top w:val="single" w:color="auto" w:sz="4" w:space="0"/>
              <w:left w:val="single" w:color="auto" w:sz="4" w:space="0"/>
            </w:tcBorders>
            <w:noWrap w:val="0"/>
            <w:vAlign w:val="top"/>
          </w:tcPr>
          <w:p w14:paraId="3E81E698">
            <w:pPr>
              <w:rPr>
                <w:color w:val="auto"/>
                <w:szCs w:val="21"/>
                <w:highlight w:val="none"/>
              </w:rPr>
            </w:pPr>
          </w:p>
        </w:tc>
        <w:tc>
          <w:tcPr>
            <w:tcW w:w="864" w:type="dxa"/>
            <w:tcBorders>
              <w:top w:val="single" w:color="auto" w:sz="4" w:space="0"/>
              <w:left w:val="single" w:color="auto" w:sz="4" w:space="0"/>
            </w:tcBorders>
            <w:noWrap w:val="0"/>
            <w:vAlign w:val="top"/>
          </w:tcPr>
          <w:p w14:paraId="6E5E9E86">
            <w:pPr>
              <w:rPr>
                <w:color w:val="auto"/>
                <w:szCs w:val="21"/>
                <w:highlight w:val="none"/>
              </w:rPr>
            </w:pPr>
          </w:p>
        </w:tc>
        <w:tc>
          <w:tcPr>
            <w:tcW w:w="864" w:type="dxa"/>
            <w:tcBorders>
              <w:top w:val="single" w:color="auto" w:sz="4" w:space="0"/>
              <w:left w:val="single" w:color="auto" w:sz="4" w:space="0"/>
            </w:tcBorders>
            <w:noWrap w:val="0"/>
            <w:vAlign w:val="top"/>
          </w:tcPr>
          <w:p w14:paraId="2D8FDF0E">
            <w:pPr>
              <w:rPr>
                <w:color w:val="auto"/>
                <w:szCs w:val="21"/>
                <w:highlight w:val="none"/>
              </w:rPr>
            </w:pPr>
          </w:p>
        </w:tc>
        <w:tc>
          <w:tcPr>
            <w:tcW w:w="864" w:type="dxa"/>
            <w:tcBorders>
              <w:top w:val="single" w:color="auto" w:sz="4" w:space="0"/>
              <w:left w:val="single" w:color="auto" w:sz="4" w:space="0"/>
            </w:tcBorders>
            <w:noWrap w:val="0"/>
            <w:vAlign w:val="top"/>
          </w:tcPr>
          <w:p w14:paraId="7640AF95">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50463250">
            <w:pPr>
              <w:rPr>
                <w:color w:val="auto"/>
                <w:szCs w:val="21"/>
                <w:highlight w:val="none"/>
              </w:rPr>
            </w:pPr>
          </w:p>
        </w:tc>
      </w:tr>
      <w:tr w14:paraId="568F74F7">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2C926117">
            <w:pPr>
              <w:rPr>
                <w:color w:val="auto"/>
                <w:szCs w:val="21"/>
                <w:highlight w:val="none"/>
              </w:rPr>
            </w:pPr>
          </w:p>
        </w:tc>
        <w:tc>
          <w:tcPr>
            <w:tcW w:w="1133" w:type="dxa"/>
            <w:tcBorders>
              <w:top w:val="single" w:color="auto" w:sz="4" w:space="0"/>
              <w:left w:val="single" w:color="auto" w:sz="4" w:space="0"/>
            </w:tcBorders>
            <w:noWrap w:val="0"/>
            <w:vAlign w:val="top"/>
          </w:tcPr>
          <w:p w14:paraId="6919F016">
            <w:pPr>
              <w:rPr>
                <w:color w:val="auto"/>
                <w:szCs w:val="21"/>
                <w:highlight w:val="none"/>
              </w:rPr>
            </w:pPr>
          </w:p>
        </w:tc>
        <w:tc>
          <w:tcPr>
            <w:tcW w:w="864" w:type="dxa"/>
            <w:tcBorders>
              <w:top w:val="single" w:color="auto" w:sz="4" w:space="0"/>
              <w:left w:val="single" w:color="auto" w:sz="4" w:space="0"/>
            </w:tcBorders>
            <w:noWrap w:val="0"/>
            <w:vAlign w:val="top"/>
          </w:tcPr>
          <w:p w14:paraId="7D886804">
            <w:pPr>
              <w:rPr>
                <w:color w:val="auto"/>
                <w:szCs w:val="21"/>
                <w:highlight w:val="none"/>
              </w:rPr>
            </w:pPr>
          </w:p>
        </w:tc>
        <w:tc>
          <w:tcPr>
            <w:tcW w:w="869" w:type="dxa"/>
            <w:tcBorders>
              <w:top w:val="single" w:color="auto" w:sz="4" w:space="0"/>
              <w:left w:val="single" w:color="auto" w:sz="4" w:space="0"/>
            </w:tcBorders>
            <w:noWrap w:val="0"/>
            <w:vAlign w:val="top"/>
          </w:tcPr>
          <w:p w14:paraId="092932B5">
            <w:pPr>
              <w:rPr>
                <w:color w:val="auto"/>
                <w:szCs w:val="21"/>
                <w:highlight w:val="none"/>
              </w:rPr>
            </w:pPr>
          </w:p>
        </w:tc>
        <w:tc>
          <w:tcPr>
            <w:tcW w:w="864" w:type="dxa"/>
            <w:tcBorders>
              <w:top w:val="single" w:color="auto" w:sz="4" w:space="0"/>
              <w:left w:val="single" w:color="auto" w:sz="4" w:space="0"/>
            </w:tcBorders>
            <w:noWrap w:val="0"/>
            <w:vAlign w:val="top"/>
          </w:tcPr>
          <w:p w14:paraId="5EEA13D8">
            <w:pPr>
              <w:rPr>
                <w:color w:val="auto"/>
                <w:szCs w:val="21"/>
                <w:highlight w:val="none"/>
              </w:rPr>
            </w:pPr>
          </w:p>
        </w:tc>
        <w:tc>
          <w:tcPr>
            <w:tcW w:w="864" w:type="dxa"/>
            <w:tcBorders>
              <w:top w:val="single" w:color="auto" w:sz="4" w:space="0"/>
              <w:left w:val="single" w:color="auto" w:sz="4" w:space="0"/>
            </w:tcBorders>
            <w:noWrap w:val="0"/>
            <w:vAlign w:val="top"/>
          </w:tcPr>
          <w:p w14:paraId="46D71185">
            <w:pPr>
              <w:rPr>
                <w:color w:val="auto"/>
                <w:szCs w:val="21"/>
                <w:highlight w:val="none"/>
              </w:rPr>
            </w:pPr>
          </w:p>
        </w:tc>
        <w:tc>
          <w:tcPr>
            <w:tcW w:w="864" w:type="dxa"/>
            <w:tcBorders>
              <w:top w:val="single" w:color="auto" w:sz="4" w:space="0"/>
              <w:left w:val="single" w:color="auto" w:sz="4" w:space="0"/>
            </w:tcBorders>
            <w:noWrap w:val="0"/>
            <w:vAlign w:val="top"/>
          </w:tcPr>
          <w:p w14:paraId="7C04B9FE">
            <w:pPr>
              <w:rPr>
                <w:color w:val="auto"/>
                <w:szCs w:val="21"/>
                <w:highlight w:val="none"/>
              </w:rPr>
            </w:pPr>
          </w:p>
        </w:tc>
        <w:tc>
          <w:tcPr>
            <w:tcW w:w="864" w:type="dxa"/>
            <w:tcBorders>
              <w:top w:val="single" w:color="auto" w:sz="4" w:space="0"/>
              <w:left w:val="single" w:color="auto" w:sz="4" w:space="0"/>
            </w:tcBorders>
            <w:noWrap w:val="0"/>
            <w:vAlign w:val="top"/>
          </w:tcPr>
          <w:p w14:paraId="4BB5DBD3">
            <w:pPr>
              <w:rPr>
                <w:color w:val="auto"/>
                <w:szCs w:val="21"/>
                <w:highlight w:val="none"/>
              </w:rPr>
            </w:pPr>
          </w:p>
        </w:tc>
        <w:tc>
          <w:tcPr>
            <w:tcW w:w="864" w:type="dxa"/>
            <w:tcBorders>
              <w:top w:val="single" w:color="auto" w:sz="4" w:space="0"/>
              <w:left w:val="single" w:color="auto" w:sz="4" w:space="0"/>
            </w:tcBorders>
            <w:noWrap w:val="0"/>
            <w:vAlign w:val="top"/>
          </w:tcPr>
          <w:p w14:paraId="26D3AB4F">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7303B0D3">
            <w:pPr>
              <w:rPr>
                <w:color w:val="auto"/>
                <w:szCs w:val="21"/>
                <w:highlight w:val="none"/>
              </w:rPr>
            </w:pPr>
          </w:p>
        </w:tc>
      </w:tr>
      <w:tr w14:paraId="22545EF4">
        <w:tblPrEx>
          <w:tblCellMar>
            <w:top w:w="0" w:type="dxa"/>
            <w:left w:w="10" w:type="dxa"/>
            <w:bottom w:w="0" w:type="dxa"/>
            <w:right w:w="10" w:type="dxa"/>
          </w:tblCellMar>
        </w:tblPrEx>
        <w:trPr>
          <w:trHeight w:val="571" w:hRule="exact"/>
          <w:jc w:val="center"/>
        </w:trPr>
        <w:tc>
          <w:tcPr>
            <w:tcW w:w="293" w:type="dxa"/>
            <w:tcBorders>
              <w:top w:val="single" w:color="auto" w:sz="4" w:space="0"/>
              <w:left w:val="single" w:color="auto" w:sz="4" w:space="0"/>
            </w:tcBorders>
            <w:noWrap w:val="0"/>
            <w:vAlign w:val="top"/>
          </w:tcPr>
          <w:p w14:paraId="6B085D5C">
            <w:pPr>
              <w:rPr>
                <w:color w:val="auto"/>
                <w:szCs w:val="21"/>
                <w:highlight w:val="none"/>
              </w:rPr>
            </w:pPr>
          </w:p>
        </w:tc>
        <w:tc>
          <w:tcPr>
            <w:tcW w:w="1133" w:type="dxa"/>
            <w:tcBorders>
              <w:top w:val="single" w:color="auto" w:sz="4" w:space="0"/>
              <w:left w:val="single" w:color="auto" w:sz="4" w:space="0"/>
            </w:tcBorders>
            <w:noWrap w:val="0"/>
            <w:vAlign w:val="top"/>
          </w:tcPr>
          <w:p w14:paraId="025E6509">
            <w:pPr>
              <w:rPr>
                <w:color w:val="auto"/>
                <w:szCs w:val="21"/>
                <w:highlight w:val="none"/>
              </w:rPr>
            </w:pPr>
          </w:p>
        </w:tc>
        <w:tc>
          <w:tcPr>
            <w:tcW w:w="864" w:type="dxa"/>
            <w:tcBorders>
              <w:top w:val="single" w:color="auto" w:sz="4" w:space="0"/>
              <w:left w:val="single" w:color="auto" w:sz="4" w:space="0"/>
            </w:tcBorders>
            <w:noWrap w:val="0"/>
            <w:vAlign w:val="top"/>
          </w:tcPr>
          <w:p w14:paraId="6B4BD97D">
            <w:pPr>
              <w:rPr>
                <w:color w:val="auto"/>
                <w:szCs w:val="21"/>
                <w:highlight w:val="none"/>
              </w:rPr>
            </w:pPr>
          </w:p>
        </w:tc>
        <w:tc>
          <w:tcPr>
            <w:tcW w:w="869" w:type="dxa"/>
            <w:tcBorders>
              <w:top w:val="single" w:color="auto" w:sz="4" w:space="0"/>
              <w:left w:val="single" w:color="auto" w:sz="4" w:space="0"/>
            </w:tcBorders>
            <w:noWrap w:val="0"/>
            <w:vAlign w:val="top"/>
          </w:tcPr>
          <w:p w14:paraId="6CA7D25C">
            <w:pPr>
              <w:rPr>
                <w:color w:val="auto"/>
                <w:szCs w:val="21"/>
                <w:highlight w:val="none"/>
              </w:rPr>
            </w:pPr>
          </w:p>
        </w:tc>
        <w:tc>
          <w:tcPr>
            <w:tcW w:w="864" w:type="dxa"/>
            <w:tcBorders>
              <w:top w:val="single" w:color="auto" w:sz="4" w:space="0"/>
              <w:left w:val="single" w:color="auto" w:sz="4" w:space="0"/>
            </w:tcBorders>
            <w:noWrap w:val="0"/>
            <w:vAlign w:val="top"/>
          </w:tcPr>
          <w:p w14:paraId="60859E7E">
            <w:pPr>
              <w:rPr>
                <w:color w:val="auto"/>
                <w:szCs w:val="21"/>
                <w:highlight w:val="none"/>
              </w:rPr>
            </w:pPr>
          </w:p>
        </w:tc>
        <w:tc>
          <w:tcPr>
            <w:tcW w:w="864" w:type="dxa"/>
            <w:tcBorders>
              <w:top w:val="single" w:color="auto" w:sz="4" w:space="0"/>
              <w:left w:val="single" w:color="auto" w:sz="4" w:space="0"/>
            </w:tcBorders>
            <w:noWrap w:val="0"/>
            <w:vAlign w:val="top"/>
          </w:tcPr>
          <w:p w14:paraId="3DA7F403">
            <w:pPr>
              <w:rPr>
                <w:color w:val="auto"/>
                <w:szCs w:val="21"/>
                <w:highlight w:val="none"/>
              </w:rPr>
            </w:pPr>
          </w:p>
        </w:tc>
        <w:tc>
          <w:tcPr>
            <w:tcW w:w="864" w:type="dxa"/>
            <w:tcBorders>
              <w:top w:val="single" w:color="auto" w:sz="4" w:space="0"/>
              <w:left w:val="single" w:color="auto" w:sz="4" w:space="0"/>
            </w:tcBorders>
            <w:noWrap w:val="0"/>
            <w:vAlign w:val="top"/>
          </w:tcPr>
          <w:p w14:paraId="4D73AD5B">
            <w:pPr>
              <w:rPr>
                <w:color w:val="auto"/>
                <w:szCs w:val="21"/>
                <w:highlight w:val="none"/>
              </w:rPr>
            </w:pPr>
          </w:p>
        </w:tc>
        <w:tc>
          <w:tcPr>
            <w:tcW w:w="864" w:type="dxa"/>
            <w:tcBorders>
              <w:top w:val="single" w:color="auto" w:sz="4" w:space="0"/>
              <w:left w:val="single" w:color="auto" w:sz="4" w:space="0"/>
            </w:tcBorders>
            <w:noWrap w:val="0"/>
            <w:vAlign w:val="top"/>
          </w:tcPr>
          <w:p w14:paraId="3BC2E17D">
            <w:pPr>
              <w:rPr>
                <w:color w:val="auto"/>
                <w:szCs w:val="21"/>
                <w:highlight w:val="none"/>
              </w:rPr>
            </w:pPr>
          </w:p>
        </w:tc>
        <w:tc>
          <w:tcPr>
            <w:tcW w:w="864" w:type="dxa"/>
            <w:tcBorders>
              <w:top w:val="single" w:color="auto" w:sz="4" w:space="0"/>
              <w:left w:val="single" w:color="auto" w:sz="4" w:space="0"/>
            </w:tcBorders>
            <w:noWrap w:val="0"/>
            <w:vAlign w:val="top"/>
          </w:tcPr>
          <w:p w14:paraId="5D6F6823">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18062BE0">
            <w:pPr>
              <w:rPr>
                <w:color w:val="auto"/>
                <w:szCs w:val="21"/>
                <w:highlight w:val="none"/>
              </w:rPr>
            </w:pPr>
          </w:p>
        </w:tc>
      </w:tr>
      <w:tr w14:paraId="7C662DFC">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9B73EC1">
            <w:pPr>
              <w:rPr>
                <w:color w:val="auto"/>
                <w:szCs w:val="21"/>
                <w:highlight w:val="none"/>
              </w:rPr>
            </w:pPr>
          </w:p>
        </w:tc>
        <w:tc>
          <w:tcPr>
            <w:tcW w:w="1133" w:type="dxa"/>
            <w:tcBorders>
              <w:top w:val="single" w:color="auto" w:sz="4" w:space="0"/>
              <w:left w:val="single" w:color="auto" w:sz="4" w:space="0"/>
            </w:tcBorders>
            <w:noWrap w:val="0"/>
            <w:vAlign w:val="top"/>
          </w:tcPr>
          <w:p w14:paraId="1F4C0E6E">
            <w:pPr>
              <w:rPr>
                <w:color w:val="auto"/>
                <w:szCs w:val="21"/>
                <w:highlight w:val="none"/>
              </w:rPr>
            </w:pPr>
          </w:p>
        </w:tc>
        <w:tc>
          <w:tcPr>
            <w:tcW w:w="864" w:type="dxa"/>
            <w:tcBorders>
              <w:top w:val="single" w:color="auto" w:sz="4" w:space="0"/>
              <w:left w:val="single" w:color="auto" w:sz="4" w:space="0"/>
            </w:tcBorders>
            <w:noWrap w:val="0"/>
            <w:vAlign w:val="top"/>
          </w:tcPr>
          <w:p w14:paraId="1A09117F">
            <w:pPr>
              <w:rPr>
                <w:color w:val="auto"/>
                <w:szCs w:val="21"/>
                <w:highlight w:val="none"/>
              </w:rPr>
            </w:pPr>
          </w:p>
        </w:tc>
        <w:tc>
          <w:tcPr>
            <w:tcW w:w="869" w:type="dxa"/>
            <w:tcBorders>
              <w:top w:val="single" w:color="auto" w:sz="4" w:space="0"/>
              <w:left w:val="single" w:color="auto" w:sz="4" w:space="0"/>
            </w:tcBorders>
            <w:noWrap w:val="0"/>
            <w:vAlign w:val="top"/>
          </w:tcPr>
          <w:p w14:paraId="1E13288B">
            <w:pPr>
              <w:rPr>
                <w:color w:val="auto"/>
                <w:szCs w:val="21"/>
                <w:highlight w:val="none"/>
              </w:rPr>
            </w:pPr>
          </w:p>
        </w:tc>
        <w:tc>
          <w:tcPr>
            <w:tcW w:w="864" w:type="dxa"/>
            <w:tcBorders>
              <w:top w:val="single" w:color="auto" w:sz="4" w:space="0"/>
              <w:left w:val="single" w:color="auto" w:sz="4" w:space="0"/>
            </w:tcBorders>
            <w:noWrap w:val="0"/>
            <w:vAlign w:val="top"/>
          </w:tcPr>
          <w:p w14:paraId="40D60528">
            <w:pPr>
              <w:rPr>
                <w:color w:val="auto"/>
                <w:szCs w:val="21"/>
                <w:highlight w:val="none"/>
              </w:rPr>
            </w:pPr>
          </w:p>
        </w:tc>
        <w:tc>
          <w:tcPr>
            <w:tcW w:w="864" w:type="dxa"/>
            <w:tcBorders>
              <w:top w:val="single" w:color="auto" w:sz="4" w:space="0"/>
              <w:left w:val="single" w:color="auto" w:sz="4" w:space="0"/>
            </w:tcBorders>
            <w:noWrap w:val="0"/>
            <w:vAlign w:val="top"/>
          </w:tcPr>
          <w:p w14:paraId="55E0FF29">
            <w:pPr>
              <w:rPr>
                <w:color w:val="auto"/>
                <w:szCs w:val="21"/>
                <w:highlight w:val="none"/>
              </w:rPr>
            </w:pPr>
          </w:p>
        </w:tc>
        <w:tc>
          <w:tcPr>
            <w:tcW w:w="864" w:type="dxa"/>
            <w:tcBorders>
              <w:top w:val="single" w:color="auto" w:sz="4" w:space="0"/>
              <w:left w:val="single" w:color="auto" w:sz="4" w:space="0"/>
            </w:tcBorders>
            <w:noWrap w:val="0"/>
            <w:vAlign w:val="top"/>
          </w:tcPr>
          <w:p w14:paraId="17DA71E1">
            <w:pPr>
              <w:rPr>
                <w:color w:val="auto"/>
                <w:szCs w:val="21"/>
                <w:highlight w:val="none"/>
              </w:rPr>
            </w:pPr>
          </w:p>
        </w:tc>
        <w:tc>
          <w:tcPr>
            <w:tcW w:w="864" w:type="dxa"/>
            <w:tcBorders>
              <w:top w:val="single" w:color="auto" w:sz="4" w:space="0"/>
              <w:left w:val="single" w:color="auto" w:sz="4" w:space="0"/>
            </w:tcBorders>
            <w:noWrap w:val="0"/>
            <w:vAlign w:val="top"/>
          </w:tcPr>
          <w:p w14:paraId="0C5DC623">
            <w:pPr>
              <w:rPr>
                <w:color w:val="auto"/>
                <w:szCs w:val="21"/>
                <w:highlight w:val="none"/>
              </w:rPr>
            </w:pPr>
          </w:p>
        </w:tc>
        <w:tc>
          <w:tcPr>
            <w:tcW w:w="864" w:type="dxa"/>
            <w:tcBorders>
              <w:top w:val="single" w:color="auto" w:sz="4" w:space="0"/>
              <w:left w:val="single" w:color="auto" w:sz="4" w:space="0"/>
            </w:tcBorders>
            <w:noWrap w:val="0"/>
            <w:vAlign w:val="top"/>
          </w:tcPr>
          <w:p w14:paraId="613FFD9C">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413A0E87">
            <w:pPr>
              <w:rPr>
                <w:color w:val="auto"/>
                <w:szCs w:val="21"/>
                <w:highlight w:val="none"/>
              </w:rPr>
            </w:pPr>
          </w:p>
        </w:tc>
      </w:tr>
      <w:tr w14:paraId="5FC28B9A">
        <w:tblPrEx>
          <w:tblCellMar>
            <w:top w:w="0" w:type="dxa"/>
            <w:left w:w="10" w:type="dxa"/>
            <w:bottom w:w="0" w:type="dxa"/>
            <w:right w:w="10" w:type="dxa"/>
          </w:tblCellMar>
        </w:tblPrEx>
        <w:trPr>
          <w:trHeight w:val="566" w:hRule="exact"/>
          <w:jc w:val="center"/>
        </w:trPr>
        <w:tc>
          <w:tcPr>
            <w:tcW w:w="293" w:type="dxa"/>
            <w:tcBorders>
              <w:top w:val="single" w:color="auto" w:sz="4" w:space="0"/>
              <w:left w:val="single" w:color="auto" w:sz="4" w:space="0"/>
            </w:tcBorders>
            <w:noWrap w:val="0"/>
            <w:vAlign w:val="top"/>
          </w:tcPr>
          <w:p w14:paraId="484C6E85">
            <w:pPr>
              <w:rPr>
                <w:color w:val="auto"/>
                <w:szCs w:val="21"/>
                <w:highlight w:val="none"/>
              </w:rPr>
            </w:pPr>
          </w:p>
        </w:tc>
        <w:tc>
          <w:tcPr>
            <w:tcW w:w="1133" w:type="dxa"/>
            <w:tcBorders>
              <w:top w:val="single" w:color="auto" w:sz="4" w:space="0"/>
              <w:left w:val="single" w:color="auto" w:sz="4" w:space="0"/>
            </w:tcBorders>
            <w:noWrap w:val="0"/>
            <w:vAlign w:val="top"/>
          </w:tcPr>
          <w:p w14:paraId="52B1A6E6">
            <w:pPr>
              <w:rPr>
                <w:color w:val="auto"/>
                <w:szCs w:val="21"/>
                <w:highlight w:val="none"/>
              </w:rPr>
            </w:pPr>
          </w:p>
        </w:tc>
        <w:tc>
          <w:tcPr>
            <w:tcW w:w="864" w:type="dxa"/>
            <w:tcBorders>
              <w:top w:val="single" w:color="auto" w:sz="4" w:space="0"/>
              <w:left w:val="single" w:color="auto" w:sz="4" w:space="0"/>
            </w:tcBorders>
            <w:noWrap w:val="0"/>
            <w:vAlign w:val="top"/>
          </w:tcPr>
          <w:p w14:paraId="1E3160BF">
            <w:pPr>
              <w:rPr>
                <w:color w:val="auto"/>
                <w:szCs w:val="21"/>
                <w:highlight w:val="none"/>
              </w:rPr>
            </w:pPr>
          </w:p>
        </w:tc>
        <w:tc>
          <w:tcPr>
            <w:tcW w:w="869" w:type="dxa"/>
            <w:tcBorders>
              <w:top w:val="single" w:color="auto" w:sz="4" w:space="0"/>
              <w:left w:val="single" w:color="auto" w:sz="4" w:space="0"/>
            </w:tcBorders>
            <w:noWrap w:val="0"/>
            <w:vAlign w:val="top"/>
          </w:tcPr>
          <w:p w14:paraId="451BA711">
            <w:pPr>
              <w:rPr>
                <w:color w:val="auto"/>
                <w:szCs w:val="21"/>
                <w:highlight w:val="none"/>
              </w:rPr>
            </w:pPr>
          </w:p>
        </w:tc>
        <w:tc>
          <w:tcPr>
            <w:tcW w:w="864" w:type="dxa"/>
            <w:tcBorders>
              <w:top w:val="single" w:color="auto" w:sz="4" w:space="0"/>
              <w:left w:val="single" w:color="auto" w:sz="4" w:space="0"/>
            </w:tcBorders>
            <w:noWrap w:val="0"/>
            <w:vAlign w:val="top"/>
          </w:tcPr>
          <w:p w14:paraId="7F218602">
            <w:pPr>
              <w:rPr>
                <w:color w:val="auto"/>
                <w:szCs w:val="21"/>
                <w:highlight w:val="none"/>
              </w:rPr>
            </w:pPr>
          </w:p>
        </w:tc>
        <w:tc>
          <w:tcPr>
            <w:tcW w:w="864" w:type="dxa"/>
            <w:tcBorders>
              <w:top w:val="single" w:color="auto" w:sz="4" w:space="0"/>
              <w:left w:val="single" w:color="auto" w:sz="4" w:space="0"/>
            </w:tcBorders>
            <w:noWrap w:val="0"/>
            <w:vAlign w:val="top"/>
          </w:tcPr>
          <w:p w14:paraId="0E38F197">
            <w:pPr>
              <w:rPr>
                <w:color w:val="auto"/>
                <w:szCs w:val="21"/>
                <w:highlight w:val="none"/>
              </w:rPr>
            </w:pPr>
          </w:p>
        </w:tc>
        <w:tc>
          <w:tcPr>
            <w:tcW w:w="864" w:type="dxa"/>
            <w:tcBorders>
              <w:top w:val="single" w:color="auto" w:sz="4" w:space="0"/>
              <w:left w:val="single" w:color="auto" w:sz="4" w:space="0"/>
            </w:tcBorders>
            <w:noWrap w:val="0"/>
            <w:vAlign w:val="top"/>
          </w:tcPr>
          <w:p w14:paraId="4A506B2D">
            <w:pPr>
              <w:rPr>
                <w:color w:val="auto"/>
                <w:szCs w:val="21"/>
                <w:highlight w:val="none"/>
              </w:rPr>
            </w:pPr>
          </w:p>
        </w:tc>
        <w:tc>
          <w:tcPr>
            <w:tcW w:w="864" w:type="dxa"/>
            <w:tcBorders>
              <w:top w:val="single" w:color="auto" w:sz="4" w:space="0"/>
              <w:left w:val="single" w:color="auto" w:sz="4" w:space="0"/>
            </w:tcBorders>
            <w:noWrap w:val="0"/>
            <w:vAlign w:val="top"/>
          </w:tcPr>
          <w:p w14:paraId="660B51E0">
            <w:pPr>
              <w:rPr>
                <w:color w:val="auto"/>
                <w:szCs w:val="21"/>
                <w:highlight w:val="none"/>
              </w:rPr>
            </w:pPr>
          </w:p>
        </w:tc>
        <w:tc>
          <w:tcPr>
            <w:tcW w:w="864" w:type="dxa"/>
            <w:tcBorders>
              <w:top w:val="single" w:color="auto" w:sz="4" w:space="0"/>
              <w:left w:val="single" w:color="auto" w:sz="4" w:space="0"/>
            </w:tcBorders>
            <w:noWrap w:val="0"/>
            <w:vAlign w:val="top"/>
          </w:tcPr>
          <w:p w14:paraId="3E12E499">
            <w:pPr>
              <w:rPr>
                <w:color w:val="auto"/>
                <w:szCs w:val="21"/>
                <w:highlight w:val="none"/>
              </w:rPr>
            </w:pPr>
          </w:p>
        </w:tc>
        <w:tc>
          <w:tcPr>
            <w:tcW w:w="874" w:type="dxa"/>
            <w:tcBorders>
              <w:top w:val="single" w:color="auto" w:sz="4" w:space="0"/>
              <w:left w:val="single" w:color="auto" w:sz="4" w:space="0"/>
              <w:right w:val="single" w:color="auto" w:sz="4" w:space="0"/>
            </w:tcBorders>
            <w:noWrap w:val="0"/>
            <w:vAlign w:val="top"/>
          </w:tcPr>
          <w:p w14:paraId="16F5F741">
            <w:pPr>
              <w:rPr>
                <w:color w:val="auto"/>
                <w:szCs w:val="21"/>
                <w:highlight w:val="none"/>
              </w:rPr>
            </w:pPr>
          </w:p>
        </w:tc>
      </w:tr>
      <w:tr w14:paraId="3C54E398">
        <w:tblPrEx>
          <w:tblCellMar>
            <w:top w:w="0" w:type="dxa"/>
            <w:left w:w="10" w:type="dxa"/>
            <w:bottom w:w="0" w:type="dxa"/>
            <w:right w:w="10" w:type="dxa"/>
          </w:tblCellMar>
        </w:tblPrEx>
        <w:trPr>
          <w:trHeight w:val="576" w:hRule="exact"/>
          <w:jc w:val="center"/>
        </w:trPr>
        <w:tc>
          <w:tcPr>
            <w:tcW w:w="293" w:type="dxa"/>
            <w:tcBorders>
              <w:top w:val="single" w:color="auto" w:sz="4" w:space="0"/>
              <w:left w:val="single" w:color="auto" w:sz="4" w:space="0"/>
              <w:bottom w:val="single" w:color="auto" w:sz="4" w:space="0"/>
            </w:tcBorders>
            <w:noWrap w:val="0"/>
            <w:vAlign w:val="top"/>
          </w:tcPr>
          <w:p w14:paraId="3DB33F2C">
            <w:pPr>
              <w:rPr>
                <w:color w:val="auto"/>
                <w:szCs w:val="21"/>
                <w:highlight w:val="none"/>
              </w:rPr>
            </w:pPr>
          </w:p>
        </w:tc>
        <w:tc>
          <w:tcPr>
            <w:tcW w:w="1133" w:type="dxa"/>
            <w:tcBorders>
              <w:top w:val="single" w:color="auto" w:sz="4" w:space="0"/>
              <w:left w:val="single" w:color="auto" w:sz="4" w:space="0"/>
              <w:bottom w:val="single" w:color="auto" w:sz="4" w:space="0"/>
            </w:tcBorders>
            <w:noWrap w:val="0"/>
            <w:vAlign w:val="top"/>
          </w:tcPr>
          <w:p w14:paraId="1D0631D0">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7B0BDCE4">
            <w:pPr>
              <w:rPr>
                <w:color w:val="auto"/>
                <w:szCs w:val="21"/>
                <w:highlight w:val="none"/>
              </w:rPr>
            </w:pPr>
          </w:p>
        </w:tc>
        <w:tc>
          <w:tcPr>
            <w:tcW w:w="869" w:type="dxa"/>
            <w:tcBorders>
              <w:top w:val="single" w:color="auto" w:sz="4" w:space="0"/>
              <w:left w:val="single" w:color="auto" w:sz="4" w:space="0"/>
              <w:bottom w:val="single" w:color="auto" w:sz="4" w:space="0"/>
            </w:tcBorders>
            <w:noWrap w:val="0"/>
            <w:vAlign w:val="top"/>
          </w:tcPr>
          <w:p w14:paraId="4567D86A">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64DA68D4">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0C7A26BC">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1AC46303">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137DF36F">
            <w:pPr>
              <w:rPr>
                <w:color w:val="auto"/>
                <w:szCs w:val="21"/>
                <w:highlight w:val="none"/>
              </w:rPr>
            </w:pPr>
          </w:p>
        </w:tc>
        <w:tc>
          <w:tcPr>
            <w:tcW w:w="864" w:type="dxa"/>
            <w:tcBorders>
              <w:top w:val="single" w:color="auto" w:sz="4" w:space="0"/>
              <w:left w:val="single" w:color="auto" w:sz="4" w:space="0"/>
              <w:bottom w:val="single" w:color="auto" w:sz="4" w:space="0"/>
            </w:tcBorders>
            <w:noWrap w:val="0"/>
            <w:vAlign w:val="top"/>
          </w:tcPr>
          <w:p w14:paraId="684DA60D">
            <w:pPr>
              <w:rPr>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1DB3F829">
            <w:pPr>
              <w:rPr>
                <w:color w:val="auto"/>
                <w:szCs w:val="21"/>
                <w:highlight w:val="none"/>
              </w:rPr>
            </w:pPr>
          </w:p>
        </w:tc>
      </w:tr>
    </w:tbl>
    <w:p w14:paraId="701FBE49">
      <w:pPr>
        <w:spacing w:after="299" w:line="1" w:lineRule="exact"/>
        <w:rPr>
          <w:color w:val="auto"/>
          <w:highlight w:val="none"/>
        </w:rPr>
      </w:pPr>
    </w:p>
    <w:p w14:paraId="071AD1F6">
      <w:pPr>
        <w:pStyle w:val="237"/>
        <w:tabs>
          <w:tab w:val="left" w:pos="847"/>
          <w:tab w:val="left" w:leader="underscore" w:pos="850"/>
          <w:tab w:val="left" w:leader="underscore" w:pos="1906"/>
          <w:tab w:val="left" w:pos="1908"/>
          <w:tab w:val="left" w:pos="2964"/>
        </w:tabs>
        <w:spacing w:after="420" w:line="353" w:lineRule="exact"/>
        <w:ind w:firstLine="420"/>
        <w:jc w:val="right"/>
        <w:rPr>
          <w:color w:val="auto"/>
          <w:highlight w:val="none"/>
        </w:rPr>
        <w:sectPr>
          <w:headerReference r:id="rId9" w:type="default"/>
          <w:footerReference r:id="rId11" w:type="default"/>
          <w:headerReference r:id="rId10" w:type="even"/>
          <w:footerReference r:id="rId12" w:type="even"/>
          <w:pgSz w:w="11900" w:h="16832"/>
          <w:pgMar w:top="1440" w:right="1803" w:bottom="1440" w:left="1803" w:header="851" w:footer="851" w:gutter="0"/>
          <w:pgNumType w:start="1"/>
          <w:cols w:space="720" w:num="1"/>
        </w:sectPr>
      </w:pPr>
      <w:bookmarkStart w:id="138" w:name="_Toc27417"/>
      <w:bookmarkStart w:id="139" w:name="_Toc3373"/>
      <w:bookmarkStart w:id="140" w:name="bookmark2235"/>
      <w:bookmarkStart w:id="141" w:name="bookmark2236"/>
      <w:bookmarkStart w:id="142" w:name="bookmark2234"/>
    </w:p>
    <w:p w14:paraId="0A5CC60C">
      <w:pPr>
        <w:pStyle w:val="10"/>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附件二：拟投入本合同工程的试验和检测仪器设备表</w:t>
      </w:r>
      <w:bookmarkEnd w:id="138"/>
    </w:p>
    <w:p w14:paraId="5A2CB9A2">
      <w:pPr>
        <w:rPr>
          <w:rFonts w:hint="eastAsia"/>
          <w:color w:val="auto"/>
          <w:highlight w:val="none"/>
        </w:rPr>
      </w:pPr>
    </w:p>
    <w:p w14:paraId="3D69E6BC">
      <w:pPr>
        <w:jc w:val="center"/>
        <w:rPr>
          <w:rFonts w:hint="eastAsia" w:ascii="宋体" w:hAnsi="宋体" w:cs="宋体"/>
          <w:b/>
          <w:bCs/>
          <w:color w:val="auto"/>
          <w:sz w:val="28"/>
          <w:szCs w:val="28"/>
          <w:highlight w:val="none"/>
        </w:rPr>
      </w:pPr>
      <w:bookmarkStart w:id="143" w:name="_Toc24555"/>
      <w:r>
        <w:rPr>
          <w:rFonts w:hint="eastAsia" w:ascii="宋体" w:hAnsi="宋体" w:cs="宋体"/>
          <w:b/>
          <w:bCs/>
          <w:color w:val="auto"/>
          <w:sz w:val="28"/>
          <w:szCs w:val="28"/>
          <w:highlight w:val="none"/>
        </w:rPr>
        <w:t>拟投入本合同工程的试验和检测仪器设备表</w:t>
      </w:r>
      <w:bookmarkEnd w:id="139"/>
      <w:bookmarkEnd w:id="140"/>
      <w:bookmarkEnd w:id="141"/>
      <w:bookmarkEnd w:id="142"/>
      <w:bookmarkEnd w:id="143"/>
    </w:p>
    <w:p w14:paraId="092B9AF2">
      <w:pPr>
        <w:jc w:val="center"/>
        <w:rPr>
          <w:b/>
          <w:color w:val="auto"/>
          <w:highlight w:val="none"/>
        </w:rPr>
      </w:pPr>
    </w:p>
    <w:tbl>
      <w:tblPr>
        <w:tblStyle w:val="45"/>
        <w:tblW w:w="0" w:type="auto"/>
        <w:jc w:val="center"/>
        <w:tblLayout w:type="fixed"/>
        <w:tblCellMar>
          <w:top w:w="0" w:type="dxa"/>
          <w:left w:w="10" w:type="dxa"/>
          <w:bottom w:w="0" w:type="dxa"/>
          <w:right w:w="10" w:type="dxa"/>
        </w:tblCellMar>
      </w:tblPr>
      <w:tblGrid>
        <w:gridCol w:w="576"/>
        <w:gridCol w:w="1416"/>
        <w:gridCol w:w="907"/>
        <w:gridCol w:w="907"/>
        <w:gridCol w:w="907"/>
        <w:gridCol w:w="912"/>
        <w:gridCol w:w="902"/>
        <w:gridCol w:w="907"/>
        <w:gridCol w:w="917"/>
      </w:tblGrid>
      <w:tr w14:paraId="51EBE169">
        <w:tblPrEx>
          <w:tblCellMar>
            <w:top w:w="0" w:type="dxa"/>
            <w:left w:w="10" w:type="dxa"/>
            <w:bottom w:w="0" w:type="dxa"/>
            <w:right w:w="10" w:type="dxa"/>
          </w:tblCellMar>
        </w:tblPrEx>
        <w:trPr>
          <w:trHeight w:val="859" w:hRule="exact"/>
          <w:jc w:val="center"/>
        </w:trPr>
        <w:tc>
          <w:tcPr>
            <w:tcW w:w="576" w:type="dxa"/>
            <w:tcBorders>
              <w:top w:val="single" w:color="auto" w:sz="4" w:space="0"/>
              <w:left w:val="single" w:color="auto" w:sz="4" w:space="0"/>
            </w:tcBorders>
            <w:shd w:val="clear" w:color="auto" w:fill="FFFFFF"/>
            <w:noWrap w:val="0"/>
            <w:vAlign w:val="center"/>
          </w:tcPr>
          <w:p w14:paraId="36E41BFA">
            <w:pPr>
              <w:pStyle w:val="312"/>
              <w:spacing w:line="240" w:lineRule="auto"/>
              <w:ind w:firstLine="0"/>
              <w:jc w:val="center"/>
              <w:rPr>
                <w:color w:val="auto"/>
                <w:sz w:val="21"/>
                <w:szCs w:val="21"/>
                <w:highlight w:val="none"/>
              </w:rPr>
            </w:pPr>
            <w:r>
              <w:rPr>
                <w:color w:val="auto"/>
                <w:sz w:val="21"/>
                <w:szCs w:val="21"/>
                <w:highlight w:val="none"/>
              </w:rPr>
              <w:t>序号</w:t>
            </w:r>
          </w:p>
        </w:tc>
        <w:tc>
          <w:tcPr>
            <w:tcW w:w="1416" w:type="dxa"/>
            <w:tcBorders>
              <w:top w:val="single" w:color="auto" w:sz="4" w:space="0"/>
              <w:left w:val="single" w:color="auto" w:sz="4" w:space="0"/>
            </w:tcBorders>
            <w:shd w:val="clear" w:color="auto" w:fill="FFFFFF"/>
            <w:noWrap w:val="0"/>
            <w:vAlign w:val="center"/>
          </w:tcPr>
          <w:p w14:paraId="7706D7C8">
            <w:pPr>
              <w:pStyle w:val="312"/>
              <w:spacing w:line="240" w:lineRule="auto"/>
              <w:ind w:firstLine="0"/>
              <w:jc w:val="center"/>
              <w:rPr>
                <w:color w:val="auto"/>
                <w:sz w:val="21"/>
                <w:szCs w:val="21"/>
                <w:highlight w:val="none"/>
              </w:rPr>
            </w:pPr>
            <w:r>
              <w:rPr>
                <w:color w:val="auto"/>
                <w:sz w:val="21"/>
                <w:szCs w:val="21"/>
                <w:highlight w:val="none"/>
              </w:rPr>
              <w:t>仪器设备名称</w:t>
            </w:r>
          </w:p>
        </w:tc>
        <w:tc>
          <w:tcPr>
            <w:tcW w:w="907" w:type="dxa"/>
            <w:tcBorders>
              <w:top w:val="single" w:color="auto" w:sz="4" w:space="0"/>
              <w:left w:val="single" w:color="auto" w:sz="4" w:space="0"/>
            </w:tcBorders>
            <w:shd w:val="clear" w:color="auto" w:fill="FFFFFF"/>
            <w:noWrap w:val="0"/>
            <w:vAlign w:val="center"/>
          </w:tcPr>
          <w:p w14:paraId="7E443926">
            <w:pPr>
              <w:pStyle w:val="312"/>
              <w:spacing w:line="240" w:lineRule="auto"/>
              <w:ind w:firstLine="0"/>
              <w:jc w:val="center"/>
              <w:rPr>
                <w:color w:val="auto"/>
                <w:sz w:val="21"/>
                <w:szCs w:val="21"/>
                <w:highlight w:val="none"/>
              </w:rPr>
            </w:pPr>
            <w:r>
              <w:rPr>
                <w:color w:val="auto"/>
                <w:sz w:val="21"/>
                <w:szCs w:val="21"/>
                <w:highlight w:val="none"/>
              </w:rPr>
              <w:t>型号规格</w:t>
            </w:r>
          </w:p>
        </w:tc>
        <w:tc>
          <w:tcPr>
            <w:tcW w:w="907" w:type="dxa"/>
            <w:tcBorders>
              <w:top w:val="single" w:color="auto" w:sz="4" w:space="0"/>
              <w:left w:val="single" w:color="auto" w:sz="4" w:space="0"/>
            </w:tcBorders>
            <w:shd w:val="clear" w:color="auto" w:fill="FFFFFF"/>
            <w:noWrap w:val="0"/>
            <w:vAlign w:val="center"/>
          </w:tcPr>
          <w:p w14:paraId="4EF9070F">
            <w:pPr>
              <w:pStyle w:val="312"/>
              <w:spacing w:line="240" w:lineRule="auto"/>
              <w:ind w:firstLine="0"/>
              <w:jc w:val="center"/>
              <w:rPr>
                <w:color w:val="auto"/>
                <w:sz w:val="21"/>
                <w:szCs w:val="21"/>
                <w:highlight w:val="none"/>
              </w:rPr>
            </w:pPr>
            <w:r>
              <w:rPr>
                <w:color w:val="auto"/>
                <w:sz w:val="21"/>
                <w:szCs w:val="21"/>
                <w:highlight w:val="none"/>
              </w:rPr>
              <w:t>数量</w:t>
            </w:r>
          </w:p>
        </w:tc>
        <w:tc>
          <w:tcPr>
            <w:tcW w:w="907" w:type="dxa"/>
            <w:tcBorders>
              <w:top w:val="single" w:color="auto" w:sz="4" w:space="0"/>
              <w:left w:val="single" w:color="auto" w:sz="4" w:space="0"/>
            </w:tcBorders>
            <w:shd w:val="clear" w:color="auto" w:fill="FFFFFF"/>
            <w:noWrap w:val="0"/>
            <w:vAlign w:val="center"/>
          </w:tcPr>
          <w:p w14:paraId="380DC367">
            <w:pPr>
              <w:pStyle w:val="312"/>
              <w:spacing w:line="240" w:lineRule="auto"/>
              <w:ind w:firstLine="0"/>
              <w:jc w:val="center"/>
              <w:rPr>
                <w:color w:val="auto"/>
                <w:sz w:val="21"/>
                <w:szCs w:val="21"/>
                <w:highlight w:val="none"/>
              </w:rPr>
            </w:pPr>
            <w:r>
              <w:rPr>
                <w:color w:val="auto"/>
                <w:sz w:val="21"/>
                <w:szCs w:val="21"/>
                <w:highlight w:val="none"/>
              </w:rPr>
              <w:t>国别产地</w:t>
            </w:r>
          </w:p>
        </w:tc>
        <w:tc>
          <w:tcPr>
            <w:tcW w:w="912" w:type="dxa"/>
            <w:tcBorders>
              <w:top w:val="single" w:color="auto" w:sz="4" w:space="0"/>
              <w:left w:val="single" w:color="auto" w:sz="4" w:space="0"/>
            </w:tcBorders>
            <w:shd w:val="clear" w:color="auto" w:fill="FFFFFF"/>
            <w:noWrap w:val="0"/>
            <w:vAlign w:val="center"/>
          </w:tcPr>
          <w:p w14:paraId="76EB60DA">
            <w:pPr>
              <w:pStyle w:val="312"/>
              <w:spacing w:line="240" w:lineRule="auto"/>
              <w:ind w:firstLine="0"/>
              <w:jc w:val="center"/>
              <w:rPr>
                <w:color w:val="auto"/>
                <w:sz w:val="21"/>
                <w:szCs w:val="21"/>
                <w:highlight w:val="none"/>
              </w:rPr>
            </w:pPr>
            <w:r>
              <w:rPr>
                <w:color w:val="auto"/>
                <w:sz w:val="21"/>
                <w:szCs w:val="21"/>
                <w:highlight w:val="none"/>
              </w:rPr>
              <w:t>制造年份</w:t>
            </w:r>
          </w:p>
        </w:tc>
        <w:tc>
          <w:tcPr>
            <w:tcW w:w="902" w:type="dxa"/>
            <w:tcBorders>
              <w:top w:val="single" w:color="auto" w:sz="4" w:space="0"/>
              <w:left w:val="single" w:color="auto" w:sz="4" w:space="0"/>
            </w:tcBorders>
            <w:shd w:val="clear" w:color="auto" w:fill="FFFFFF"/>
            <w:noWrap w:val="0"/>
            <w:vAlign w:val="center"/>
          </w:tcPr>
          <w:p w14:paraId="2ACAC484">
            <w:pPr>
              <w:pStyle w:val="312"/>
              <w:spacing w:line="264" w:lineRule="exact"/>
              <w:ind w:firstLine="0"/>
              <w:jc w:val="center"/>
              <w:rPr>
                <w:color w:val="auto"/>
                <w:sz w:val="21"/>
                <w:szCs w:val="21"/>
                <w:highlight w:val="none"/>
              </w:rPr>
            </w:pPr>
            <w:r>
              <w:rPr>
                <w:rFonts w:hint="eastAsia"/>
                <w:color w:val="auto"/>
                <w:sz w:val="21"/>
                <w:szCs w:val="21"/>
                <w:highlight w:val="none"/>
              </w:rPr>
              <w:t>已</w:t>
            </w:r>
            <w:r>
              <w:rPr>
                <w:color w:val="auto"/>
                <w:sz w:val="21"/>
                <w:szCs w:val="21"/>
                <w:highlight w:val="none"/>
              </w:rPr>
              <w:t>使用</w:t>
            </w:r>
          </w:p>
          <w:p w14:paraId="5F14386F">
            <w:pPr>
              <w:pStyle w:val="312"/>
              <w:spacing w:line="264" w:lineRule="exact"/>
              <w:ind w:firstLine="0"/>
              <w:jc w:val="center"/>
              <w:rPr>
                <w:color w:val="auto"/>
                <w:sz w:val="21"/>
                <w:szCs w:val="21"/>
                <w:highlight w:val="none"/>
              </w:rPr>
            </w:pPr>
            <w:r>
              <w:rPr>
                <w:color w:val="auto"/>
                <w:sz w:val="21"/>
                <w:szCs w:val="21"/>
                <w:highlight w:val="none"/>
              </w:rPr>
              <w:t>台时数</w:t>
            </w:r>
          </w:p>
        </w:tc>
        <w:tc>
          <w:tcPr>
            <w:tcW w:w="907" w:type="dxa"/>
            <w:tcBorders>
              <w:top w:val="single" w:color="auto" w:sz="4" w:space="0"/>
              <w:left w:val="single" w:color="auto" w:sz="4" w:space="0"/>
            </w:tcBorders>
            <w:shd w:val="clear" w:color="auto" w:fill="FFFFFF"/>
            <w:noWrap w:val="0"/>
            <w:vAlign w:val="center"/>
          </w:tcPr>
          <w:p w14:paraId="18F309AB">
            <w:pPr>
              <w:pStyle w:val="312"/>
              <w:spacing w:line="240" w:lineRule="auto"/>
              <w:ind w:firstLine="0"/>
              <w:jc w:val="center"/>
              <w:rPr>
                <w:color w:val="auto"/>
                <w:sz w:val="21"/>
                <w:szCs w:val="21"/>
                <w:highlight w:val="none"/>
              </w:rPr>
            </w:pPr>
            <w:r>
              <w:rPr>
                <w:color w:val="auto"/>
                <w:sz w:val="21"/>
                <w:szCs w:val="21"/>
                <w:highlight w:val="none"/>
              </w:rPr>
              <w:t>用途</w:t>
            </w:r>
          </w:p>
        </w:tc>
        <w:tc>
          <w:tcPr>
            <w:tcW w:w="917" w:type="dxa"/>
            <w:tcBorders>
              <w:top w:val="single" w:color="auto" w:sz="4" w:space="0"/>
              <w:left w:val="single" w:color="auto" w:sz="4" w:space="0"/>
              <w:right w:val="single" w:color="auto" w:sz="4" w:space="0"/>
            </w:tcBorders>
            <w:shd w:val="clear" w:color="auto" w:fill="FFFFFF"/>
            <w:noWrap w:val="0"/>
            <w:vAlign w:val="center"/>
          </w:tcPr>
          <w:p w14:paraId="17610DB9">
            <w:pPr>
              <w:pStyle w:val="312"/>
              <w:spacing w:line="240" w:lineRule="auto"/>
              <w:ind w:firstLine="0"/>
              <w:jc w:val="center"/>
              <w:rPr>
                <w:color w:val="auto"/>
                <w:sz w:val="21"/>
                <w:szCs w:val="21"/>
                <w:highlight w:val="none"/>
              </w:rPr>
            </w:pPr>
            <w:r>
              <w:rPr>
                <w:color w:val="auto"/>
                <w:sz w:val="21"/>
                <w:szCs w:val="21"/>
                <w:highlight w:val="none"/>
              </w:rPr>
              <w:t>备注</w:t>
            </w:r>
          </w:p>
        </w:tc>
      </w:tr>
      <w:tr w14:paraId="7AE961E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35402B5C">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3ED46250">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0B4043A">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F0D6BC7">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6E71726F">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7D7FE7E9">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279D65D6">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F6B63EA">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5F985E0">
            <w:pPr>
              <w:rPr>
                <w:color w:val="auto"/>
                <w:szCs w:val="21"/>
                <w:highlight w:val="none"/>
              </w:rPr>
            </w:pPr>
          </w:p>
        </w:tc>
      </w:tr>
      <w:tr w14:paraId="0BBE152E">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34B7F55D">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13B791BF">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775E56C6">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4720E39">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64749490">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2B39AF32">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6BA1143F">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FB4FA5A">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3E1A005D">
            <w:pPr>
              <w:rPr>
                <w:color w:val="auto"/>
                <w:szCs w:val="21"/>
                <w:highlight w:val="none"/>
              </w:rPr>
            </w:pPr>
          </w:p>
        </w:tc>
      </w:tr>
      <w:tr w14:paraId="33D9F16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C7261A2">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0A52E88C">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8C44AC5">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EBC91C8">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86DC1D7">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1F8A807D">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1B747499">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40637D2">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7692600E">
            <w:pPr>
              <w:rPr>
                <w:color w:val="auto"/>
                <w:szCs w:val="21"/>
                <w:highlight w:val="none"/>
              </w:rPr>
            </w:pPr>
          </w:p>
        </w:tc>
      </w:tr>
      <w:tr w14:paraId="646BD649">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BF68CE3">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5A8C5762">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B9750F2">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DA9E5EA">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65731E25">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436E8DFA">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3E36C158">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C2D2A64">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5ECC6346">
            <w:pPr>
              <w:rPr>
                <w:color w:val="auto"/>
                <w:szCs w:val="21"/>
                <w:highlight w:val="none"/>
              </w:rPr>
            </w:pPr>
          </w:p>
        </w:tc>
      </w:tr>
      <w:tr w14:paraId="78C38D0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806BF54">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20FC4036">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BA56D9F">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7CAD018">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4508F61">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061C9E52">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0444AF3D">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703B37BD">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C04EC32">
            <w:pPr>
              <w:rPr>
                <w:color w:val="auto"/>
                <w:szCs w:val="21"/>
                <w:highlight w:val="none"/>
              </w:rPr>
            </w:pPr>
          </w:p>
        </w:tc>
      </w:tr>
      <w:tr w14:paraId="1146DCBF">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5D08D428">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647956D2">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24AD32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7D2BFCA0">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BC7F88B">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77131A0A">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5B62FD07">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3A9A288">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6E6BBC3B">
            <w:pPr>
              <w:rPr>
                <w:color w:val="auto"/>
                <w:szCs w:val="21"/>
                <w:highlight w:val="none"/>
              </w:rPr>
            </w:pPr>
          </w:p>
        </w:tc>
      </w:tr>
      <w:tr w14:paraId="2246D5C5">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CE3C1B0">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036C18B4">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0F9445D">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71E500E6">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8F5ACC9">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5B54EB60">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723E2F70">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6CD8C2F">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B27A748">
            <w:pPr>
              <w:rPr>
                <w:color w:val="auto"/>
                <w:szCs w:val="21"/>
                <w:highlight w:val="none"/>
              </w:rPr>
            </w:pPr>
          </w:p>
        </w:tc>
      </w:tr>
      <w:tr w14:paraId="6BFF123C">
        <w:tblPrEx>
          <w:tblCellMar>
            <w:top w:w="0" w:type="dxa"/>
            <w:left w:w="10" w:type="dxa"/>
            <w:bottom w:w="0" w:type="dxa"/>
            <w:right w:w="10" w:type="dxa"/>
          </w:tblCellMar>
        </w:tblPrEx>
        <w:trPr>
          <w:trHeight w:val="571" w:hRule="exact"/>
          <w:jc w:val="center"/>
        </w:trPr>
        <w:tc>
          <w:tcPr>
            <w:tcW w:w="576" w:type="dxa"/>
            <w:tcBorders>
              <w:top w:val="single" w:color="auto" w:sz="4" w:space="0"/>
              <w:left w:val="single" w:color="auto" w:sz="4" w:space="0"/>
            </w:tcBorders>
            <w:shd w:val="clear" w:color="auto" w:fill="FFFFFF"/>
            <w:noWrap w:val="0"/>
            <w:vAlign w:val="top"/>
          </w:tcPr>
          <w:p w14:paraId="6DD596F8">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64101019">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7DD2CD8">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E33117E">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F70D191">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121C04CA">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1D57AF2C">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56E0092">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25183B23">
            <w:pPr>
              <w:rPr>
                <w:color w:val="auto"/>
                <w:szCs w:val="21"/>
                <w:highlight w:val="none"/>
              </w:rPr>
            </w:pPr>
          </w:p>
        </w:tc>
      </w:tr>
      <w:tr w14:paraId="2E14D09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11502CC9">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6EE49B5A">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2B56442">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D8C7E44">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16AAEAA">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33B7CF72">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3C8727BE">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C9DF2BA">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5C775D80">
            <w:pPr>
              <w:rPr>
                <w:color w:val="auto"/>
                <w:szCs w:val="21"/>
                <w:highlight w:val="none"/>
              </w:rPr>
            </w:pPr>
          </w:p>
        </w:tc>
      </w:tr>
      <w:tr w14:paraId="6FAA4843">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2EB40C4">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23D15594">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964FC69">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BB2A2EC">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3684414">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725C5064">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0115C58D">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82777B0">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0FE99C76">
            <w:pPr>
              <w:rPr>
                <w:color w:val="auto"/>
                <w:szCs w:val="21"/>
                <w:highlight w:val="none"/>
              </w:rPr>
            </w:pPr>
          </w:p>
        </w:tc>
      </w:tr>
      <w:tr w14:paraId="789771D0">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4D22BBB6">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44F3FF07">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BD03AD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FD3238B">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A3F4C80">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7ED782B4">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177271E3">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7966DEA">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6ED0DB49">
            <w:pPr>
              <w:rPr>
                <w:color w:val="auto"/>
                <w:szCs w:val="21"/>
                <w:highlight w:val="none"/>
              </w:rPr>
            </w:pPr>
          </w:p>
        </w:tc>
      </w:tr>
      <w:tr w14:paraId="574C8DED">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09EEA3E">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56918990">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D2E532D">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6D8869F">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BE46265">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012DD27D">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02F7D457">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68B7AE71">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01E3D67">
            <w:pPr>
              <w:rPr>
                <w:color w:val="auto"/>
                <w:szCs w:val="21"/>
                <w:highlight w:val="none"/>
              </w:rPr>
            </w:pPr>
          </w:p>
        </w:tc>
      </w:tr>
      <w:tr w14:paraId="3B8DFB5A">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90E050D">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2D21731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AA5871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E0D1F44">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709557CF">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4A5D6281">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2DE3B8B5">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F4A21F0">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1EECC037">
            <w:pPr>
              <w:rPr>
                <w:color w:val="auto"/>
                <w:szCs w:val="21"/>
                <w:highlight w:val="none"/>
              </w:rPr>
            </w:pPr>
          </w:p>
        </w:tc>
      </w:tr>
      <w:tr w14:paraId="58301DD7">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23A60113">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59D1FC3E">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C89218A">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506FC65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F605A10">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7EF00AC2">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32644384">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1F6297B3">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46F6C22E">
            <w:pPr>
              <w:rPr>
                <w:color w:val="auto"/>
                <w:szCs w:val="21"/>
                <w:highlight w:val="none"/>
              </w:rPr>
            </w:pPr>
          </w:p>
        </w:tc>
      </w:tr>
      <w:tr w14:paraId="6A0AB558">
        <w:tblPrEx>
          <w:tblCellMar>
            <w:top w:w="0" w:type="dxa"/>
            <w:left w:w="10" w:type="dxa"/>
            <w:bottom w:w="0" w:type="dxa"/>
            <w:right w:w="10" w:type="dxa"/>
          </w:tblCellMar>
        </w:tblPrEx>
        <w:trPr>
          <w:trHeight w:val="566" w:hRule="exact"/>
          <w:jc w:val="center"/>
        </w:trPr>
        <w:tc>
          <w:tcPr>
            <w:tcW w:w="576" w:type="dxa"/>
            <w:tcBorders>
              <w:top w:val="single" w:color="auto" w:sz="4" w:space="0"/>
              <w:left w:val="single" w:color="auto" w:sz="4" w:space="0"/>
            </w:tcBorders>
            <w:shd w:val="clear" w:color="auto" w:fill="FFFFFF"/>
            <w:noWrap w:val="0"/>
            <w:vAlign w:val="top"/>
          </w:tcPr>
          <w:p w14:paraId="71862DA4">
            <w:pPr>
              <w:rPr>
                <w:color w:val="auto"/>
                <w:szCs w:val="21"/>
                <w:highlight w:val="none"/>
              </w:rPr>
            </w:pPr>
          </w:p>
        </w:tc>
        <w:tc>
          <w:tcPr>
            <w:tcW w:w="1416" w:type="dxa"/>
            <w:tcBorders>
              <w:top w:val="single" w:color="auto" w:sz="4" w:space="0"/>
              <w:left w:val="single" w:color="auto" w:sz="4" w:space="0"/>
            </w:tcBorders>
            <w:shd w:val="clear" w:color="auto" w:fill="FFFFFF"/>
            <w:noWrap w:val="0"/>
            <w:vAlign w:val="top"/>
          </w:tcPr>
          <w:p w14:paraId="1E068D73">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4321CF4E">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2EC752A3">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0FE34F7F">
            <w:pPr>
              <w:rPr>
                <w:color w:val="auto"/>
                <w:szCs w:val="21"/>
                <w:highlight w:val="none"/>
              </w:rPr>
            </w:pPr>
          </w:p>
        </w:tc>
        <w:tc>
          <w:tcPr>
            <w:tcW w:w="912" w:type="dxa"/>
            <w:tcBorders>
              <w:top w:val="single" w:color="auto" w:sz="4" w:space="0"/>
              <w:left w:val="single" w:color="auto" w:sz="4" w:space="0"/>
            </w:tcBorders>
            <w:shd w:val="clear" w:color="auto" w:fill="FFFFFF"/>
            <w:noWrap w:val="0"/>
            <w:vAlign w:val="top"/>
          </w:tcPr>
          <w:p w14:paraId="5A7CFC2F">
            <w:pPr>
              <w:rPr>
                <w:color w:val="auto"/>
                <w:szCs w:val="21"/>
                <w:highlight w:val="none"/>
              </w:rPr>
            </w:pPr>
          </w:p>
        </w:tc>
        <w:tc>
          <w:tcPr>
            <w:tcW w:w="902" w:type="dxa"/>
            <w:tcBorders>
              <w:top w:val="single" w:color="auto" w:sz="4" w:space="0"/>
              <w:left w:val="single" w:color="auto" w:sz="4" w:space="0"/>
            </w:tcBorders>
            <w:shd w:val="clear" w:color="auto" w:fill="FFFFFF"/>
            <w:noWrap w:val="0"/>
            <w:vAlign w:val="top"/>
          </w:tcPr>
          <w:p w14:paraId="37453201">
            <w:pPr>
              <w:rPr>
                <w:color w:val="auto"/>
                <w:szCs w:val="21"/>
                <w:highlight w:val="none"/>
              </w:rPr>
            </w:pPr>
          </w:p>
        </w:tc>
        <w:tc>
          <w:tcPr>
            <w:tcW w:w="907" w:type="dxa"/>
            <w:tcBorders>
              <w:top w:val="single" w:color="auto" w:sz="4" w:space="0"/>
              <w:left w:val="single" w:color="auto" w:sz="4" w:space="0"/>
            </w:tcBorders>
            <w:shd w:val="clear" w:color="auto" w:fill="FFFFFF"/>
            <w:noWrap w:val="0"/>
            <w:vAlign w:val="top"/>
          </w:tcPr>
          <w:p w14:paraId="39EB8C4B">
            <w:pP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top"/>
          </w:tcPr>
          <w:p w14:paraId="26C52D57">
            <w:pPr>
              <w:rPr>
                <w:color w:val="auto"/>
                <w:szCs w:val="21"/>
                <w:highlight w:val="none"/>
              </w:rPr>
            </w:pPr>
          </w:p>
        </w:tc>
      </w:tr>
      <w:tr w14:paraId="1975A03F">
        <w:tblPrEx>
          <w:tblCellMar>
            <w:top w:w="0" w:type="dxa"/>
            <w:left w:w="10" w:type="dxa"/>
            <w:bottom w:w="0" w:type="dxa"/>
            <w:right w:w="10" w:type="dxa"/>
          </w:tblCellMar>
        </w:tblPrEx>
        <w:trPr>
          <w:trHeight w:val="581" w:hRule="exact"/>
          <w:jc w:val="center"/>
        </w:trPr>
        <w:tc>
          <w:tcPr>
            <w:tcW w:w="576" w:type="dxa"/>
            <w:tcBorders>
              <w:top w:val="single" w:color="auto" w:sz="4" w:space="0"/>
              <w:left w:val="single" w:color="auto" w:sz="4" w:space="0"/>
              <w:bottom w:val="single" w:color="auto" w:sz="4" w:space="0"/>
            </w:tcBorders>
            <w:shd w:val="clear" w:color="auto" w:fill="FFFFFF"/>
            <w:noWrap w:val="0"/>
            <w:vAlign w:val="top"/>
          </w:tcPr>
          <w:p w14:paraId="69F7040C">
            <w:pPr>
              <w:rPr>
                <w:color w:val="auto"/>
                <w:szCs w:val="21"/>
                <w:highlight w:val="none"/>
              </w:rPr>
            </w:pPr>
          </w:p>
        </w:tc>
        <w:tc>
          <w:tcPr>
            <w:tcW w:w="1416" w:type="dxa"/>
            <w:tcBorders>
              <w:top w:val="single" w:color="auto" w:sz="4" w:space="0"/>
              <w:left w:val="single" w:color="auto" w:sz="4" w:space="0"/>
              <w:bottom w:val="single" w:color="auto" w:sz="4" w:space="0"/>
            </w:tcBorders>
            <w:shd w:val="clear" w:color="auto" w:fill="FFFFFF"/>
            <w:noWrap w:val="0"/>
            <w:vAlign w:val="top"/>
          </w:tcPr>
          <w:p w14:paraId="54AD6484">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5C03CF0A">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54B24392">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2B534CAF">
            <w:pP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noWrap w:val="0"/>
            <w:vAlign w:val="top"/>
          </w:tcPr>
          <w:p w14:paraId="17D726FD">
            <w:pP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noWrap w:val="0"/>
            <w:vAlign w:val="top"/>
          </w:tcPr>
          <w:p w14:paraId="19CD5439">
            <w:pP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top"/>
          </w:tcPr>
          <w:p w14:paraId="1EE93A1C">
            <w:pP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6D27B93">
            <w:pPr>
              <w:rPr>
                <w:color w:val="auto"/>
                <w:szCs w:val="21"/>
                <w:highlight w:val="none"/>
              </w:rPr>
            </w:pPr>
          </w:p>
        </w:tc>
      </w:tr>
    </w:tbl>
    <w:p w14:paraId="769DB5ED">
      <w:pPr>
        <w:spacing w:after="299" w:line="1" w:lineRule="exact"/>
        <w:rPr>
          <w:color w:val="auto"/>
          <w:highlight w:val="none"/>
        </w:rPr>
      </w:pPr>
    </w:p>
    <w:p w14:paraId="07AE905D">
      <w:pPr>
        <w:pStyle w:val="237"/>
        <w:tabs>
          <w:tab w:val="left" w:pos="847"/>
          <w:tab w:val="left" w:leader="underscore" w:pos="850"/>
          <w:tab w:val="left" w:leader="underscore" w:pos="1906"/>
          <w:tab w:val="left" w:pos="1908"/>
          <w:tab w:val="left" w:pos="2964"/>
        </w:tabs>
        <w:spacing w:after="420" w:line="353" w:lineRule="exact"/>
        <w:ind w:firstLine="420"/>
        <w:jc w:val="right"/>
        <w:rPr>
          <w:color w:val="auto"/>
          <w:highlight w:val="none"/>
        </w:rPr>
        <w:sectPr>
          <w:headerReference r:id="rId13" w:type="default"/>
          <w:footerReference r:id="rId15" w:type="default"/>
          <w:headerReference r:id="rId14" w:type="even"/>
          <w:footerReference r:id="rId16" w:type="even"/>
          <w:pgSz w:w="11900" w:h="16832"/>
          <w:pgMar w:top="1440" w:right="1803" w:bottom="1440" w:left="1803" w:header="851" w:footer="851" w:gutter="0"/>
          <w:cols w:space="720" w:num="1"/>
        </w:sectPr>
      </w:pPr>
      <w:bookmarkStart w:id="144" w:name="bookmark2238"/>
      <w:bookmarkStart w:id="145" w:name="bookmark2237"/>
      <w:bookmarkStart w:id="146" w:name="bookmark2239"/>
    </w:p>
    <w:p w14:paraId="4A1B44CD">
      <w:pPr>
        <w:pStyle w:val="10"/>
        <w:rPr>
          <w:rFonts w:hint="eastAsia" w:ascii="宋体" w:hAnsi="宋体" w:cs="宋体"/>
          <w:b w:val="0"/>
          <w:color w:val="auto"/>
          <w:sz w:val="28"/>
          <w:szCs w:val="28"/>
          <w:highlight w:val="none"/>
        </w:rPr>
      </w:pPr>
      <w:r>
        <w:rPr>
          <w:rFonts w:hint="eastAsia" w:ascii="宋体" w:hAnsi="宋体" w:cs="宋体"/>
          <w:b w:val="0"/>
          <w:color w:val="auto"/>
          <w:sz w:val="28"/>
          <w:szCs w:val="28"/>
          <w:highlight w:val="none"/>
        </w:rPr>
        <w:t>附件三：拟投入本合同工程的劳动力计划表</w:t>
      </w:r>
      <w:bookmarkEnd w:id="144"/>
      <w:bookmarkEnd w:id="145"/>
      <w:bookmarkEnd w:id="146"/>
    </w:p>
    <w:p w14:paraId="4695C099">
      <w:pPr>
        <w:rPr>
          <w:rFonts w:hint="eastAsia"/>
          <w:color w:val="auto"/>
          <w:highlight w:val="none"/>
        </w:rPr>
      </w:pPr>
    </w:p>
    <w:p w14:paraId="17CB43D5">
      <w:pPr>
        <w:jc w:val="center"/>
        <w:rPr>
          <w:rFonts w:hint="eastAsia" w:ascii="宋体" w:hAnsi="宋体" w:cs="宋体"/>
          <w:b/>
          <w:bCs/>
          <w:color w:val="auto"/>
          <w:sz w:val="28"/>
          <w:szCs w:val="28"/>
          <w:highlight w:val="none"/>
        </w:rPr>
      </w:pPr>
      <w:bookmarkStart w:id="147" w:name="_Toc26872"/>
      <w:bookmarkStart w:id="148" w:name="bookmark2242"/>
      <w:bookmarkStart w:id="149" w:name="bookmark2241"/>
      <w:bookmarkStart w:id="150" w:name="bookmark2240"/>
      <w:bookmarkStart w:id="151" w:name="_Toc30824"/>
      <w:r>
        <w:rPr>
          <w:rFonts w:hint="eastAsia" w:ascii="宋体" w:hAnsi="宋体" w:cs="宋体"/>
          <w:b/>
          <w:bCs/>
          <w:color w:val="auto"/>
          <w:sz w:val="28"/>
          <w:szCs w:val="28"/>
          <w:highlight w:val="none"/>
        </w:rPr>
        <w:t>拟投入本合同工程的劳动力计划表</w:t>
      </w:r>
      <w:bookmarkEnd w:id="147"/>
      <w:bookmarkEnd w:id="148"/>
      <w:bookmarkEnd w:id="149"/>
      <w:bookmarkEnd w:id="150"/>
      <w:bookmarkEnd w:id="151"/>
    </w:p>
    <w:p w14:paraId="764FE507">
      <w:pPr>
        <w:jc w:val="center"/>
        <w:rPr>
          <w:b/>
          <w:color w:val="auto"/>
          <w:highlight w:val="none"/>
        </w:rPr>
      </w:pPr>
      <w:r>
        <w:rPr>
          <w:color w:val="auto"/>
          <w:sz w:val="18"/>
          <w:szCs w:val="18"/>
          <w:highlight w:val="none"/>
          <w:lang w:bidi="mn-Mong-CN"/>
        </w:rPr>
        <mc:AlternateContent>
          <mc:Choice Requires="wps">
            <w:drawing>
              <wp:anchor distT="0" distB="0" distL="114300" distR="114300" simplePos="0" relativeHeight="251659264" behindDoc="0" locked="0" layoutInCell="1" allowOverlap="1">
                <wp:simplePos x="0" y="0"/>
                <wp:positionH relativeFrom="column">
                  <wp:posOffset>-26035</wp:posOffset>
                </wp:positionH>
                <wp:positionV relativeFrom="paragraph">
                  <wp:posOffset>173355</wp:posOffset>
                </wp:positionV>
                <wp:extent cx="1822450" cy="366395"/>
                <wp:effectExtent l="635" t="4445" r="5715" b="10160"/>
                <wp:wrapNone/>
                <wp:docPr id="13" name="直接箭头连接符 5"/>
                <wp:cNvGraphicFramePr/>
                <a:graphic xmlns:a="http://schemas.openxmlformats.org/drawingml/2006/main">
                  <a:graphicData uri="http://schemas.microsoft.com/office/word/2010/wordprocessingShape">
                    <wps:wsp>
                      <wps:cNvCnPr/>
                      <wps:spPr bwMode="auto">
                        <a:xfrm>
                          <a:off x="0" y="0"/>
                          <a:ext cx="1822450" cy="366395"/>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5" o:spid="_x0000_s1026" o:spt="32" type="#_x0000_t32" style="position:absolute;left:0pt;margin-left:-2.05pt;margin-top:13.65pt;height:28.85pt;width:143.5pt;z-index:251659264;mso-width-relative:page;mso-height-relative:page;" filled="f" stroked="t" coordsize="21600,21600" o:gfxdata="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jkGhq1wAA&#10;AAgBAAAPAAAAAAAAAAEAIAAAACIAAABkcnMvZG93bnJldi54bWxQSwECFAAUAAAACACHTuJAhJ9e&#10;jB8CAAAiBAAADgAAAAAAAAABACAAAAAmAQAAZHJzL2Uyb0RvYy54bWxQSwUGAAAAAAYABgBZAQAA&#10;twUAAAAA&#10;">
                <v:fill on="f" focussize="0,0"/>
                <v:stroke color="#000000" joinstyle="round"/>
                <v:imagedata o:title=""/>
                <o:lock v:ext="edit" aspectratio="f"/>
              </v:shape>
            </w:pict>
          </mc:Fallback>
        </mc:AlternateContent>
      </w:r>
    </w:p>
    <w:tbl>
      <w:tblPr>
        <w:tblStyle w:val="45"/>
        <w:tblW w:w="0" w:type="auto"/>
        <w:jc w:val="center"/>
        <w:tblLayout w:type="fixed"/>
        <w:tblCellMar>
          <w:top w:w="0" w:type="dxa"/>
          <w:left w:w="10" w:type="dxa"/>
          <w:bottom w:w="0" w:type="dxa"/>
          <w:right w:w="10" w:type="dxa"/>
        </w:tblCellMar>
      </w:tblPr>
      <w:tblGrid>
        <w:gridCol w:w="1426"/>
        <w:gridCol w:w="1421"/>
        <w:gridCol w:w="643"/>
        <w:gridCol w:w="648"/>
        <w:gridCol w:w="643"/>
        <w:gridCol w:w="648"/>
        <w:gridCol w:w="648"/>
        <w:gridCol w:w="1133"/>
        <w:gridCol w:w="1142"/>
      </w:tblGrid>
      <w:tr w14:paraId="73E3A9F0">
        <w:tblPrEx>
          <w:tblCellMar>
            <w:top w:w="0" w:type="dxa"/>
            <w:left w:w="10" w:type="dxa"/>
            <w:bottom w:w="0" w:type="dxa"/>
            <w:right w:w="10" w:type="dxa"/>
          </w:tblCellMar>
        </w:tblPrEx>
        <w:trPr>
          <w:trHeight w:val="576" w:hRule="exact"/>
          <w:jc w:val="center"/>
        </w:trPr>
        <w:tc>
          <w:tcPr>
            <w:tcW w:w="2847" w:type="dxa"/>
            <w:gridSpan w:val="2"/>
            <w:vMerge w:val="restart"/>
            <w:tcBorders>
              <w:top w:val="single" w:color="auto" w:sz="4" w:space="0"/>
              <w:left w:val="single" w:color="auto" w:sz="4" w:space="0"/>
            </w:tcBorders>
            <w:shd w:val="clear" w:color="auto" w:fill="FFFFFF"/>
            <w:noWrap w:val="0"/>
            <w:vAlign w:val="center"/>
          </w:tcPr>
          <w:p w14:paraId="7521FE51">
            <w:pPr>
              <w:pStyle w:val="312"/>
              <w:spacing w:line="266" w:lineRule="exact"/>
              <w:ind w:left="1060" w:firstLine="1220"/>
              <w:rPr>
                <w:color w:val="auto"/>
                <w:sz w:val="21"/>
                <w:szCs w:val="21"/>
                <w:highlight w:val="none"/>
              </w:rPr>
            </w:pPr>
            <w:r>
              <w:rPr>
                <w:color w:val="auto"/>
                <w:sz w:val="21"/>
                <w:szCs w:val="21"/>
                <w:highlight w:val="none"/>
                <w:lang w:val="en-US" w:bidi="mn-Mong-CN"/>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-8255</wp:posOffset>
                      </wp:positionV>
                      <wp:extent cx="1139190" cy="728980"/>
                      <wp:effectExtent l="2540" t="3810" r="20320" b="10160"/>
                      <wp:wrapNone/>
                      <wp:docPr id="14" name="直接箭头连接符 6"/>
                      <wp:cNvGraphicFramePr/>
                      <a:graphic xmlns:a="http://schemas.openxmlformats.org/drawingml/2006/main">
                        <a:graphicData uri="http://schemas.microsoft.com/office/word/2010/wordprocessingShape">
                          <wps:wsp>
                            <wps:cNvCnPr/>
                            <wps:spPr bwMode="auto">
                              <a:xfrm>
                                <a:off x="0" y="0"/>
                                <a:ext cx="1139190" cy="728980"/>
                              </a:xfrm>
                              <a:prstGeom prst="straightConnector1">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shape id="直接箭头连接符 6" o:spid="_x0000_s1026" o:spt="32" type="#_x0000_t32" style="position:absolute;left:0pt;margin-left:-1.1pt;margin-top:-0.65pt;height:57.4pt;width:89.7pt;z-index:251660288;mso-width-relative:page;mso-height-relative:page;" filled="f" stroked="t" coordsize="21600,21600" o:gfxdata="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Fr7VdcA&#10;AAAJAQAADwAAAAAAAAABACAAAAAiAAAAZHJzL2Rvd25yZXYueG1sUEsBAhQAFAAAAAgAh07iQLJ8&#10;w4EgAgAAIgQAAA4AAAAAAAAAAQAgAAAAJgEAAGRycy9lMm9Eb2MueG1sUEsFBgAAAAAGAAYAWQEA&#10;ALgFAAAAAA==&#10;">
                      <v:fill on="f" focussize="0,0"/>
                      <v:stroke color="#000000" joinstyle="round"/>
                      <v:imagedata o:title=""/>
                      <o:lock v:ext="edit" aspectratio="f"/>
                    </v:shape>
                  </w:pict>
                </mc:Fallback>
              </mc:AlternateContent>
            </w:r>
            <w:r>
              <w:rPr>
                <w:color w:val="auto"/>
                <w:sz w:val="21"/>
                <w:szCs w:val="21"/>
                <w:highlight w:val="none"/>
              </w:rPr>
              <w:t>工种 人数</w:t>
            </w:r>
          </w:p>
          <w:p w14:paraId="4D354336">
            <w:pPr>
              <w:pStyle w:val="312"/>
              <w:spacing w:line="266" w:lineRule="exact"/>
              <w:ind w:firstLine="180"/>
              <w:rPr>
                <w:color w:val="auto"/>
                <w:sz w:val="21"/>
                <w:szCs w:val="21"/>
                <w:highlight w:val="none"/>
              </w:rPr>
            </w:pPr>
            <w:r>
              <w:rPr>
                <w:color w:val="auto"/>
                <w:sz w:val="21"/>
                <w:szCs w:val="21"/>
                <w:highlight w:val="none"/>
              </w:rPr>
              <w:t>时间</w:t>
            </w:r>
          </w:p>
        </w:tc>
        <w:tc>
          <w:tcPr>
            <w:tcW w:w="643" w:type="dxa"/>
            <w:vMerge w:val="restart"/>
            <w:tcBorders>
              <w:top w:val="single" w:color="auto" w:sz="4" w:space="0"/>
              <w:left w:val="single" w:color="auto" w:sz="4" w:space="0"/>
            </w:tcBorders>
            <w:shd w:val="clear" w:color="auto" w:fill="FFFFFF"/>
            <w:noWrap w:val="0"/>
            <w:vAlign w:val="top"/>
          </w:tcPr>
          <w:p w14:paraId="54278953">
            <w:pPr>
              <w:rPr>
                <w:color w:val="auto"/>
                <w:szCs w:val="21"/>
                <w:highlight w:val="none"/>
              </w:rPr>
            </w:pPr>
          </w:p>
        </w:tc>
        <w:tc>
          <w:tcPr>
            <w:tcW w:w="648" w:type="dxa"/>
            <w:vMerge w:val="restart"/>
            <w:tcBorders>
              <w:top w:val="single" w:color="auto" w:sz="4" w:space="0"/>
              <w:left w:val="single" w:color="auto" w:sz="4" w:space="0"/>
            </w:tcBorders>
            <w:shd w:val="clear" w:color="auto" w:fill="FFFFFF"/>
            <w:noWrap w:val="0"/>
            <w:vAlign w:val="top"/>
          </w:tcPr>
          <w:p w14:paraId="1E7D0ABA">
            <w:pPr>
              <w:rPr>
                <w:color w:val="auto"/>
                <w:szCs w:val="21"/>
                <w:highlight w:val="none"/>
              </w:rPr>
            </w:pPr>
          </w:p>
        </w:tc>
        <w:tc>
          <w:tcPr>
            <w:tcW w:w="643" w:type="dxa"/>
            <w:vMerge w:val="restart"/>
            <w:tcBorders>
              <w:top w:val="single" w:color="auto" w:sz="4" w:space="0"/>
              <w:left w:val="single" w:color="auto" w:sz="4" w:space="0"/>
            </w:tcBorders>
            <w:shd w:val="clear" w:color="auto" w:fill="FFFFFF"/>
            <w:noWrap w:val="0"/>
            <w:vAlign w:val="top"/>
          </w:tcPr>
          <w:p w14:paraId="1712F146">
            <w:pPr>
              <w:rPr>
                <w:color w:val="auto"/>
                <w:szCs w:val="21"/>
                <w:highlight w:val="none"/>
              </w:rPr>
            </w:pPr>
          </w:p>
        </w:tc>
        <w:tc>
          <w:tcPr>
            <w:tcW w:w="648" w:type="dxa"/>
            <w:vMerge w:val="restart"/>
            <w:tcBorders>
              <w:top w:val="single" w:color="auto" w:sz="4" w:space="0"/>
              <w:left w:val="single" w:color="auto" w:sz="4" w:space="0"/>
            </w:tcBorders>
            <w:shd w:val="clear" w:color="auto" w:fill="FFFFFF"/>
            <w:noWrap w:val="0"/>
            <w:vAlign w:val="top"/>
          </w:tcPr>
          <w:p w14:paraId="2A3E6791">
            <w:pPr>
              <w:rPr>
                <w:color w:val="auto"/>
                <w:szCs w:val="21"/>
                <w:highlight w:val="none"/>
              </w:rPr>
            </w:pPr>
          </w:p>
        </w:tc>
        <w:tc>
          <w:tcPr>
            <w:tcW w:w="648" w:type="dxa"/>
            <w:vMerge w:val="restart"/>
            <w:tcBorders>
              <w:top w:val="single" w:color="auto" w:sz="4" w:space="0"/>
              <w:left w:val="single" w:color="auto" w:sz="4" w:space="0"/>
            </w:tcBorders>
            <w:shd w:val="clear" w:color="auto" w:fill="FFFFFF"/>
            <w:noWrap w:val="0"/>
            <w:vAlign w:val="top"/>
          </w:tcPr>
          <w:p w14:paraId="6BD6DB9A">
            <w:pPr>
              <w:rPr>
                <w:color w:val="auto"/>
                <w:szCs w:val="21"/>
                <w:highlight w:val="none"/>
              </w:rPr>
            </w:pPr>
          </w:p>
        </w:tc>
        <w:tc>
          <w:tcPr>
            <w:tcW w:w="2275" w:type="dxa"/>
            <w:gridSpan w:val="2"/>
            <w:tcBorders>
              <w:top w:val="single" w:color="auto" w:sz="4" w:space="0"/>
              <w:left w:val="single" w:color="auto" w:sz="4" w:space="0"/>
              <w:right w:val="single" w:color="auto" w:sz="4" w:space="0"/>
            </w:tcBorders>
            <w:shd w:val="clear" w:color="auto" w:fill="FFFFFF"/>
            <w:noWrap w:val="0"/>
            <w:vAlign w:val="center"/>
          </w:tcPr>
          <w:p w14:paraId="074D2DB6">
            <w:pPr>
              <w:pStyle w:val="312"/>
              <w:spacing w:line="240" w:lineRule="auto"/>
              <w:ind w:firstLine="0"/>
              <w:jc w:val="center"/>
              <w:rPr>
                <w:color w:val="auto"/>
                <w:sz w:val="21"/>
                <w:szCs w:val="21"/>
                <w:highlight w:val="none"/>
              </w:rPr>
            </w:pPr>
            <w:r>
              <w:rPr>
                <w:color w:val="auto"/>
                <w:sz w:val="21"/>
                <w:szCs w:val="21"/>
                <w:highlight w:val="none"/>
              </w:rPr>
              <w:t>合 计</w:t>
            </w:r>
          </w:p>
        </w:tc>
      </w:tr>
      <w:tr w14:paraId="5C6FB294">
        <w:tblPrEx>
          <w:tblCellMar>
            <w:top w:w="0" w:type="dxa"/>
            <w:left w:w="10" w:type="dxa"/>
            <w:bottom w:w="0" w:type="dxa"/>
            <w:right w:w="10" w:type="dxa"/>
          </w:tblCellMar>
        </w:tblPrEx>
        <w:trPr>
          <w:trHeight w:val="566" w:hRule="exact"/>
          <w:jc w:val="center"/>
        </w:trPr>
        <w:tc>
          <w:tcPr>
            <w:tcW w:w="2847" w:type="dxa"/>
            <w:gridSpan w:val="2"/>
            <w:vMerge w:val="continue"/>
            <w:tcBorders>
              <w:left w:val="single" w:color="auto" w:sz="4" w:space="0"/>
            </w:tcBorders>
            <w:shd w:val="clear" w:color="auto" w:fill="FFFFFF"/>
            <w:noWrap w:val="0"/>
            <w:vAlign w:val="center"/>
          </w:tcPr>
          <w:p w14:paraId="253D1870">
            <w:pPr>
              <w:rPr>
                <w:color w:val="auto"/>
                <w:szCs w:val="21"/>
                <w:highlight w:val="none"/>
              </w:rPr>
            </w:pPr>
          </w:p>
        </w:tc>
        <w:tc>
          <w:tcPr>
            <w:tcW w:w="643" w:type="dxa"/>
            <w:vMerge w:val="continue"/>
            <w:tcBorders>
              <w:left w:val="single" w:color="auto" w:sz="4" w:space="0"/>
            </w:tcBorders>
            <w:shd w:val="clear" w:color="auto" w:fill="FFFFFF"/>
            <w:noWrap w:val="0"/>
            <w:vAlign w:val="top"/>
          </w:tcPr>
          <w:p w14:paraId="12C42F6F">
            <w:pPr>
              <w:rPr>
                <w:color w:val="auto"/>
                <w:szCs w:val="21"/>
                <w:highlight w:val="none"/>
              </w:rPr>
            </w:pPr>
          </w:p>
        </w:tc>
        <w:tc>
          <w:tcPr>
            <w:tcW w:w="648" w:type="dxa"/>
            <w:vMerge w:val="continue"/>
            <w:tcBorders>
              <w:left w:val="single" w:color="auto" w:sz="4" w:space="0"/>
            </w:tcBorders>
            <w:shd w:val="clear" w:color="auto" w:fill="FFFFFF"/>
            <w:noWrap w:val="0"/>
            <w:vAlign w:val="top"/>
          </w:tcPr>
          <w:p w14:paraId="4E196C91">
            <w:pPr>
              <w:rPr>
                <w:color w:val="auto"/>
                <w:szCs w:val="21"/>
                <w:highlight w:val="none"/>
              </w:rPr>
            </w:pPr>
          </w:p>
        </w:tc>
        <w:tc>
          <w:tcPr>
            <w:tcW w:w="643" w:type="dxa"/>
            <w:vMerge w:val="continue"/>
            <w:tcBorders>
              <w:left w:val="single" w:color="auto" w:sz="4" w:space="0"/>
            </w:tcBorders>
            <w:shd w:val="clear" w:color="auto" w:fill="FFFFFF"/>
            <w:noWrap w:val="0"/>
            <w:vAlign w:val="top"/>
          </w:tcPr>
          <w:p w14:paraId="36EF136B">
            <w:pPr>
              <w:rPr>
                <w:color w:val="auto"/>
                <w:szCs w:val="21"/>
                <w:highlight w:val="none"/>
              </w:rPr>
            </w:pPr>
          </w:p>
        </w:tc>
        <w:tc>
          <w:tcPr>
            <w:tcW w:w="648" w:type="dxa"/>
            <w:vMerge w:val="continue"/>
            <w:tcBorders>
              <w:left w:val="single" w:color="auto" w:sz="4" w:space="0"/>
            </w:tcBorders>
            <w:shd w:val="clear" w:color="auto" w:fill="FFFFFF"/>
            <w:noWrap w:val="0"/>
            <w:vAlign w:val="top"/>
          </w:tcPr>
          <w:p w14:paraId="1CD907BD">
            <w:pPr>
              <w:rPr>
                <w:color w:val="auto"/>
                <w:szCs w:val="21"/>
                <w:highlight w:val="none"/>
              </w:rPr>
            </w:pPr>
          </w:p>
        </w:tc>
        <w:tc>
          <w:tcPr>
            <w:tcW w:w="648" w:type="dxa"/>
            <w:vMerge w:val="continue"/>
            <w:tcBorders>
              <w:left w:val="single" w:color="auto" w:sz="4" w:space="0"/>
            </w:tcBorders>
            <w:shd w:val="clear" w:color="auto" w:fill="FFFFFF"/>
            <w:noWrap w:val="0"/>
            <w:vAlign w:val="top"/>
          </w:tcPr>
          <w:p w14:paraId="3210F56A">
            <w:pPr>
              <w:rPr>
                <w:color w:val="auto"/>
                <w:szCs w:val="21"/>
                <w:highlight w:val="none"/>
              </w:rPr>
            </w:pPr>
          </w:p>
        </w:tc>
        <w:tc>
          <w:tcPr>
            <w:tcW w:w="1133" w:type="dxa"/>
            <w:tcBorders>
              <w:top w:val="single" w:color="auto" w:sz="4" w:space="0"/>
              <w:left w:val="single" w:color="auto" w:sz="4" w:space="0"/>
            </w:tcBorders>
            <w:shd w:val="clear" w:color="auto" w:fill="FFFFFF"/>
            <w:noWrap w:val="0"/>
            <w:vAlign w:val="center"/>
          </w:tcPr>
          <w:p w14:paraId="0059170B">
            <w:pPr>
              <w:pStyle w:val="312"/>
              <w:spacing w:line="240" w:lineRule="auto"/>
              <w:ind w:firstLine="0"/>
              <w:jc w:val="center"/>
              <w:rPr>
                <w:color w:val="auto"/>
                <w:sz w:val="21"/>
                <w:szCs w:val="21"/>
                <w:highlight w:val="none"/>
              </w:rPr>
            </w:pPr>
            <w:r>
              <w:rPr>
                <w:color w:val="auto"/>
                <w:sz w:val="21"/>
                <w:szCs w:val="21"/>
                <w:highlight w:val="none"/>
              </w:rPr>
              <w:t>人数</w:t>
            </w:r>
          </w:p>
        </w:tc>
        <w:tc>
          <w:tcPr>
            <w:tcW w:w="1142" w:type="dxa"/>
            <w:tcBorders>
              <w:top w:val="single" w:color="auto" w:sz="4" w:space="0"/>
              <w:left w:val="single" w:color="auto" w:sz="4" w:space="0"/>
              <w:right w:val="single" w:color="auto" w:sz="4" w:space="0"/>
            </w:tcBorders>
            <w:shd w:val="clear" w:color="auto" w:fill="FFFFFF"/>
            <w:noWrap w:val="0"/>
            <w:vAlign w:val="center"/>
          </w:tcPr>
          <w:p w14:paraId="085E9591">
            <w:pPr>
              <w:pStyle w:val="312"/>
              <w:spacing w:line="240" w:lineRule="auto"/>
              <w:ind w:firstLine="0"/>
              <w:jc w:val="center"/>
              <w:rPr>
                <w:color w:val="auto"/>
                <w:sz w:val="21"/>
                <w:szCs w:val="21"/>
                <w:highlight w:val="none"/>
              </w:rPr>
            </w:pPr>
            <w:r>
              <w:rPr>
                <w:color w:val="auto"/>
                <w:sz w:val="21"/>
                <w:szCs w:val="21"/>
                <w:highlight w:val="none"/>
              </w:rPr>
              <w:t>人工工日数</w:t>
            </w:r>
          </w:p>
        </w:tc>
      </w:tr>
      <w:tr w14:paraId="7571AE65">
        <w:tblPrEx>
          <w:tblCellMar>
            <w:top w:w="0" w:type="dxa"/>
            <w:left w:w="10" w:type="dxa"/>
            <w:bottom w:w="0" w:type="dxa"/>
            <w:right w:w="10" w:type="dxa"/>
          </w:tblCellMar>
        </w:tblPrEx>
        <w:trPr>
          <w:trHeight w:val="566" w:hRule="exact"/>
          <w:jc w:val="center"/>
        </w:trPr>
        <w:tc>
          <w:tcPr>
            <w:tcW w:w="1426" w:type="dxa"/>
            <w:vMerge w:val="restart"/>
            <w:tcBorders>
              <w:top w:val="single" w:color="auto" w:sz="4" w:space="0"/>
              <w:left w:val="single" w:color="auto" w:sz="4" w:space="0"/>
            </w:tcBorders>
            <w:shd w:val="clear" w:color="auto" w:fill="FFFFFF"/>
            <w:noWrap w:val="0"/>
            <w:vAlign w:val="center"/>
          </w:tcPr>
          <w:p w14:paraId="2A45B831">
            <w:pPr>
              <w:pStyle w:val="312"/>
              <w:spacing w:line="240" w:lineRule="auto"/>
              <w:ind w:left="1120" w:firstLine="0"/>
              <w:rPr>
                <w:color w:val="auto"/>
                <w:sz w:val="21"/>
                <w:szCs w:val="21"/>
                <w:highlight w:val="none"/>
              </w:rPr>
            </w:pPr>
            <w:r>
              <w:rPr>
                <w:color w:val="auto"/>
                <w:sz w:val="21"/>
                <w:szCs w:val="21"/>
                <w:highlight w:val="none"/>
              </w:rPr>
              <w:t>年</w:t>
            </w:r>
          </w:p>
        </w:tc>
        <w:tc>
          <w:tcPr>
            <w:tcW w:w="1421" w:type="dxa"/>
            <w:tcBorders>
              <w:top w:val="single" w:color="auto" w:sz="4" w:space="0"/>
              <w:left w:val="single" w:color="auto" w:sz="4" w:space="0"/>
            </w:tcBorders>
            <w:shd w:val="clear" w:color="auto" w:fill="FFFFFF"/>
            <w:noWrap w:val="0"/>
            <w:vAlign w:val="center"/>
          </w:tcPr>
          <w:p w14:paraId="698713B5">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335C4EC3">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2E8B1FFD">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760EA0CC">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55C71296">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35AC0CB5">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721E44A7">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center"/>
          </w:tcPr>
          <w:p w14:paraId="1AEA55FD">
            <w:pPr>
              <w:jc w:val="center"/>
              <w:rPr>
                <w:color w:val="auto"/>
                <w:szCs w:val="21"/>
                <w:highlight w:val="none"/>
              </w:rPr>
            </w:pPr>
          </w:p>
        </w:tc>
      </w:tr>
      <w:tr w14:paraId="491755BB">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12EA5D14">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272678BE">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520B09DD">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033920F2">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287D6E04">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21A7EB13">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14A0868F">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3EF916BE">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center"/>
          </w:tcPr>
          <w:p w14:paraId="50D75B6E">
            <w:pPr>
              <w:jc w:val="center"/>
              <w:rPr>
                <w:color w:val="auto"/>
                <w:szCs w:val="21"/>
                <w:highlight w:val="none"/>
              </w:rPr>
            </w:pPr>
          </w:p>
        </w:tc>
      </w:tr>
      <w:tr w14:paraId="5F18905C">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3A38EDC9">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27C030C3">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29A8FF63">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3F009806">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7D06FB94">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19C09143">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5DDF844">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22ACE072">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04753390">
            <w:pPr>
              <w:rPr>
                <w:color w:val="auto"/>
                <w:szCs w:val="21"/>
                <w:highlight w:val="none"/>
              </w:rPr>
            </w:pPr>
          </w:p>
        </w:tc>
      </w:tr>
      <w:tr w14:paraId="21B226B1">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192E5243">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3F5219ED">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062EFD96">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9CCE3F1">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077DA2E2">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2D9D8C7D">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F8CAA18">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1C1270A9">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99F4741">
            <w:pPr>
              <w:rPr>
                <w:color w:val="auto"/>
                <w:szCs w:val="21"/>
                <w:highlight w:val="none"/>
              </w:rPr>
            </w:pPr>
          </w:p>
        </w:tc>
      </w:tr>
      <w:tr w14:paraId="7A6ECACC">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51610BD3">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716EBDFB">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64E0D471">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153C10A3">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18FD53C3">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571FA6B9">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B2E21F9">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51CD7658">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C5C9CBF">
            <w:pPr>
              <w:rPr>
                <w:color w:val="auto"/>
                <w:szCs w:val="21"/>
                <w:highlight w:val="none"/>
              </w:rPr>
            </w:pPr>
          </w:p>
        </w:tc>
      </w:tr>
      <w:tr w14:paraId="0D5CEDA3">
        <w:tblPrEx>
          <w:tblCellMar>
            <w:top w:w="0" w:type="dxa"/>
            <w:left w:w="10" w:type="dxa"/>
            <w:bottom w:w="0" w:type="dxa"/>
            <w:right w:w="10" w:type="dxa"/>
          </w:tblCellMar>
        </w:tblPrEx>
        <w:trPr>
          <w:trHeight w:val="566" w:hRule="exact"/>
          <w:jc w:val="center"/>
        </w:trPr>
        <w:tc>
          <w:tcPr>
            <w:tcW w:w="1426" w:type="dxa"/>
            <w:vMerge w:val="continue"/>
            <w:tcBorders>
              <w:left w:val="single" w:color="auto" w:sz="4" w:space="0"/>
            </w:tcBorders>
            <w:shd w:val="clear" w:color="auto" w:fill="FFFFFF"/>
            <w:noWrap w:val="0"/>
            <w:vAlign w:val="center"/>
          </w:tcPr>
          <w:p w14:paraId="455B2BD5">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3570A9E4">
            <w:pPr>
              <w:pStyle w:val="312"/>
              <w:spacing w:line="240" w:lineRule="auto"/>
              <w:ind w:left="1120" w:firstLine="0"/>
              <w:rPr>
                <w:color w:val="auto"/>
                <w:sz w:val="21"/>
                <w:szCs w:val="21"/>
                <w:highlight w:val="none"/>
              </w:rPr>
            </w:pPr>
            <w:r>
              <w:rPr>
                <w:color w:val="auto"/>
                <w:sz w:val="21"/>
                <w:szCs w:val="21"/>
                <w:highlight w:val="none"/>
              </w:rPr>
              <w:t>月</w:t>
            </w:r>
          </w:p>
        </w:tc>
        <w:tc>
          <w:tcPr>
            <w:tcW w:w="643" w:type="dxa"/>
            <w:tcBorders>
              <w:top w:val="single" w:color="auto" w:sz="4" w:space="0"/>
              <w:left w:val="single" w:color="auto" w:sz="4" w:space="0"/>
            </w:tcBorders>
            <w:shd w:val="clear" w:color="auto" w:fill="FFFFFF"/>
            <w:noWrap w:val="0"/>
            <w:vAlign w:val="top"/>
          </w:tcPr>
          <w:p w14:paraId="306D1D72">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0F0F5BFE">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2BBFA217">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E73A666">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46FB1A7B">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4C739777">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1566E97F">
            <w:pPr>
              <w:rPr>
                <w:color w:val="auto"/>
                <w:szCs w:val="21"/>
                <w:highlight w:val="none"/>
              </w:rPr>
            </w:pPr>
          </w:p>
        </w:tc>
      </w:tr>
      <w:tr w14:paraId="52E799C0">
        <w:tblPrEx>
          <w:tblCellMar>
            <w:top w:w="0" w:type="dxa"/>
            <w:left w:w="10" w:type="dxa"/>
            <w:bottom w:w="0" w:type="dxa"/>
            <w:right w:w="10" w:type="dxa"/>
          </w:tblCellMar>
        </w:tblPrEx>
        <w:trPr>
          <w:trHeight w:val="571" w:hRule="exact"/>
          <w:jc w:val="center"/>
        </w:trPr>
        <w:tc>
          <w:tcPr>
            <w:tcW w:w="1426" w:type="dxa"/>
            <w:vMerge w:val="continue"/>
            <w:tcBorders>
              <w:left w:val="single" w:color="auto" w:sz="4" w:space="0"/>
            </w:tcBorders>
            <w:shd w:val="clear" w:color="auto" w:fill="FFFFFF"/>
            <w:noWrap w:val="0"/>
            <w:vAlign w:val="center"/>
          </w:tcPr>
          <w:p w14:paraId="6EBCB9AF">
            <w:pPr>
              <w:rPr>
                <w:color w:val="auto"/>
                <w:szCs w:val="21"/>
                <w:highlight w:val="none"/>
              </w:rPr>
            </w:pPr>
          </w:p>
        </w:tc>
        <w:tc>
          <w:tcPr>
            <w:tcW w:w="1421" w:type="dxa"/>
            <w:tcBorders>
              <w:top w:val="single" w:color="auto" w:sz="4" w:space="0"/>
              <w:left w:val="single" w:color="auto" w:sz="4" w:space="0"/>
            </w:tcBorders>
            <w:shd w:val="clear" w:color="auto" w:fill="FFFFFF"/>
            <w:noWrap w:val="0"/>
            <w:vAlign w:val="center"/>
          </w:tcPr>
          <w:p w14:paraId="736EAFC6">
            <w:pPr>
              <w:pStyle w:val="312"/>
              <w:tabs>
                <w:tab w:val="left" w:leader="dot" w:pos="326"/>
              </w:tabs>
              <w:spacing w:line="240" w:lineRule="auto"/>
              <w:ind w:firstLine="0"/>
              <w:jc w:val="right"/>
              <w:rPr>
                <w:color w:val="auto"/>
                <w:sz w:val="21"/>
                <w:szCs w:val="21"/>
                <w:highlight w:val="none"/>
              </w:rPr>
            </w:pPr>
            <w:r>
              <w:rPr>
                <w:rFonts w:ascii="Arial" w:hAnsi="Arial" w:eastAsia="Arial" w:cs="Arial"/>
                <w:color w:val="auto"/>
                <w:sz w:val="21"/>
                <w:szCs w:val="21"/>
                <w:highlight w:val="none"/>
                <w:lang w:val="en-US" w:eastAsia="en-US" w:bidi="en-US"/>
              </w:rPr>
              <w:tab/>
            </w:r>
          </w:p>
        </w:tc>
        <w:tc>
          <w:tcPr>
            <w:tcW w:w="643" w:type="dxa"/>
            <w:tcBorders>
              <w:top w:val="single" w:color="auto" w:sz="4" w:space="0"/>
              <w:left w:val="single" w:color="auto" w:sz="4" w:space="0"/>
            </w:tcBorders>
            <w:shd w:val="clear" w:color="auto" w:fill="FFFFFF"/>
            <w:noWrap w:val="0"/>
            <w:vAlign w:val="top"/>
          </w:tcPr>
          <w:p w14:paraId="397C156B">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20699A5D">
            <w:pPr>
              <w:rPr>
                <w:color w:val="auto"/>
                <w:szCs w:val="21"/>
                <w:highlight w:val="none"/>
              </w:rPr>
            </w:pPr>
          </w:p>
        </w:tc>
        <w:tc>
          <w:tcPr>
            <w:tcW w:w="643" w:type="dxa"/>
            <w:tcBorders>
              <w:top w:val="single" w:color="auto" w:sz="4" w:space="0"/>
              <w:left w:val="single" w:color="auto" w:sz="4" w:space="0"/>
            </w:tcBorders>
            <w:shd w:val="clear" w:color="auto" w:fill="FFFFFF"/>
            <w:noWrap w:val="0"/>
            <w:vAlign w:val="top"/>
          </w:tcPr>
          <w:p w14:paraId="59C13024">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01A0BEE0">
            <w:pPr>
              <w:rPr>
                <w:color w:val="auto"/>
                <w:szCs w:val="21"/>
                <w:highlight w:val="none"/>
              </w:rPr>
            </w:pPr>
          </w:p>
        </w:tc>
        <w:tc>
          <w:tcPr>
            <w:tcW w:w="648" w:type="dxa"/>
            <w:tcBorders>
              <w:top w:val="single" w:color="auto" w:sz="4" w:space="0"/>
              <w:left w:val="single" w:color="auto" w:sz="4" w:space="0"/>
            </w:tcBorders>
            <w:shd w:val="clear" w:color="auto" w:fill="FFFFFF"/>
            <w:noWrap w:val="0"/>
            <w:vAlign w:val="top"/>
          </w:tcPr>
          <w:p w14:paraId="355A3A25">
            <w:pPr>
              <w:rPr>
                <w:color w:val="auto"/>
                <w:szCs w:val="21"/>
                <w:highlight w:val="none"/>
              </w:rPr>
            </w:pPr>
          </w:p>
        </w:tc>
        <w:tc>
          <w:tcPr>
            <w:tcW w:w="1133" w:type="dxa"/>
            <w:tcBorders>
              <w:top w:val="single" w:color="auto" w:sz="4" w:space="0"/>
              <w:left w:val="single" w:color="auto" w:sz="4" w:space="0"/>
            </w:tcBorders>
            <w:shd w:val="clear" w:color="auto" w:fill="FFFFFF"/>
            <w:noWrap w:val="0"/>
            <w:vAlign w:val="top"/>
          </w:tcPr>
          <w:p w14:paraId="47A5ED60">
            <w:pPr>
              <w:rPr>
                <w:color w:val="auto"/>
                <w:szCs w:val="21"/>
                <w:highlight w:val="none"/>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00C5906C">
            <w:pPr>
              <w:rPr>
                <w:color w:val="auto"/>
                <w:szCs w:val="21"/>
                <w:highlight w:val="none"/>
              </w:rPr>
            </w:pPr>
          </w:p>
        </w:tc>
      </w:tr>
      <w:tr w14:paraId="4861FA93">
        <w:tblPrEx>
          <w:tblCellMar>
            <w:top w:w="0" w:type="dxa"/>
            <w:left w:w="10" w:type="dxa"/>
            <w:bottom w:w="0" w:type="dxa"/>
            <w:right w:w="10" w:type="dxa"/>
          </w:tblCellMar>
        </w:tblPrEx>
        <w:trPr>
          <w:trHeight w:val="576" w:hRule="exact"/>
          <w:jc w:val="center"/>
        </w:trPr>
        <w:tc>
          <w:tcPr>
            <w:tcW w:w="6077" w:type="dxa"/>
            <w:gridSpan w:val="7"/>
            <w:tcBorders>
              <w:top w:val="single" w:color="auto" w:sz="4" w:space="0"/>
              <w:left w:val="single" w:color="auto" w:sz="4" w:space="0"/>
              <w:bottom w:val="single" w:color="auto" w:sz="4" w:space="0"/>
            </w:tcBorders>
            <w:shd w:val="clear" w:color="auto" w:fill="FFFFFF"/>
            <w:noWrap w:val="0"/>
            <w:vAlign w:val="center"/>
          </w:tcPr>
          <w:p w14:paraId="5F6F6C2A">
            <w:pPr>
              <w:pStyle w:val="312"/>
              <w:spacing w:line="240" w:lineRule="auto"/>
              <w:ind w:firstLine="0"/>
              <w:jc w:val="center"/>
              <w:rPr>
                <w:color w:val="auto"/>
                <w:sz w:val="21"/>
                <w:szCs w:val="21"/>
                <w:highlight w:val="none"/>
              </w:rPr>
            </w:pPr>
            <w:r>
              <w:rPr>
                <w:color w:val="auto"/>
                <w:sz w:val="21"/>
                <w:szCs w:val="21"/>
                <w:highlight w:val="none"/>
              </w:rPr>
              <w:t>总 计</w:t>
            </w:r>
          </w:p>
        </w:tc>
        <w:tc>
          <w:tcPr>
            <w:tcW w:w="1133" w:type="dxa"/>
            <w:tcBorders>
              <w:top w:val="single" w:color="auto" w:sz="4" w:space="0"/>
              <w:left w:val="single" w:color="auto" w:sz="4" w:space="0"/>
              <w:bottom w:val="single" w:color="auto" w:sz="4" w:space="0"/>
            </w:tcBorders>
            <w:shd w:val="clear" w:color="auto" w:fill="FFFFFF"/>
            <w:noWrap w:val="0"/>
            <w:vAlign w:val="top"/>
          </w:tcPr>
          <w:p w14:paraId="09CBB2D6">
            <w:pPr>
              <w:rPr>
                <w:color w:val="auto"/>
                <w:szCs w:val="21"/>
                <w:highlight w:val="none"/>
              </w:rPr>
            </w:pPr>
          </w:p>
        </w:tc>
        <w:tc>
          <w:tcPr>
            <w:tcW w:w="114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A1FBEDB">
            <w:pPr>
              <w:rPr>
                <w:color w:val="auto"/>
                <w:szCs w:val="21"/>
                <w:highlight w:val="none"/>
              </w:rPr>
            </w:pPr>
          </w:p>
        </w:tc>
      </w:tr>
    </w:tbl>
    <w:p w14:paraId="05441989">
      <w:pPr>
        <w:spacing w:after="299" w:line="1" w:lineRule="exact"/>
        <w:rPr>
          <w:color w:val="auto"/>
          <w:highlight w:val="none"/>
        </w:rPr>
      </w:pPr>
    </w:p>
    <w:p w14:paraId="551D4EAE">
      <w:pPr>
        <w:pStyle w:val="237"/>
        <w:tabs>
          <w:tab w:val="left" w:pos="847"/>
          <w:tab w:val="left" w:leader="underscore" w:pos="850"/>
          <w:tab w:val="left" w:leader="underscore" w:pos="1906"/>
          <w:tab w:val="left" w:pos="1908"/>
          <w:tab w:val="left" w:pos="2964"/>
        </w:tabs>
        <w:spacing w:after="420" w:line="350" w:lineRule="exact"/>
        <w:ind w:firstLine="0"/>
        <w:rPr>
          <w:b/>
          <w:color w:val="auto"/>
          <w:sz w:val="28"/>
          <w:szCs w:val="28"/>
          <w:highlight w:val="none"/>
        </w:rPr>
      </w:pPr>
      <w:bookmarkStart w:id="152" w:name="bookmark2244"/>
      <w:bookmarkStart w:id="153" w:name="bookmark2243"/>
      <w:bookmarkStart w:id="154" w:name="bookmark2245"/>
      <w:r>
        <w:rPr>
          <w:rStyle w:val="213"/>
          <w:rFonts w:hint="eastAsia"/>
          <w:b w:val="0"/>
          <w:bCs w:val="0"/>
          <w:color w:val="auto"/>
          <w:sz w:val="28"/>
          <w:szCs w:val="28"/>
          <w:highlight w:val="none"/>
          <w:lang w:val="en-US"/>
        </w:rPr>
        <w:br w:type="page" w:clear="all"/>
      </w:r>
      <w:r>
        <w:rPr>
          <w:rStyle w:val="213"/>
          <w:rFonts w:hint="eastAsia"/>
          <w:b w:val="0"/>
          <w:bCs w:val="0"/>
          <w:color w:val="auto"/>
          <w:sz w:val="28"/>
          <w:szCs w:val="28"/>
          <w:highlight w:val="none"/>
          <w:lang w:val="en-US"/>
        </w:rPr>
        <w:t>附件四：拟投入本合同工程的材料进场计划表</w:t>
      </w:r>
      <w:bookmarkEnd w:id="152"/>
      <w:bookmarkEnd w:id="153"/>
      <w:bookmarkEnd w:id="154"/>
    </w:p>
    <w:p w14:paraId="55DF93A2">
      <w:pPr>
        <w:jc w:val="center"/>
        <w:rPr>
          <w:rFonts w:hint="eastAsia" w:ascii="宋体" w:hAnsi="宋体" w:cs="宋体"/>
          <w:b/>
          <w:bCs/>
          <w:color w:val="auto"/>
          <w:sz w:val="28"/>
          <w:szCs w:val="28"/>
          <w:highlight w:val="none"/>
        </w:rPr>
      </w:pPr>
      <w:bookmarkStart w:id="155" w:name="_Toc16708"/>
      <w:bookmarkStart w:id="156" w:name="_Toc16851"/>
      <w:bookmarkStart w:id="157" w:name="bookmark2246"/>
      <w:bookmarkStart w:id="158" w:name="bookmark2248"/>
      <w:bookmarkStart w:id="159" w:name="bookmark2247"/>
      <w:r>
        <w:rPr>
          <w:rFonts w:hint="eastAsia" w:ascii="宋体" w:hAnsi="宋体" w:cs="宋体"/>
          <w:b/>
          <w:bCs/>
          <w:color w:val="auto"/>
          <w:sz w:val="28"/>
          <w:szCs w:val="28"/>
          <w:highlight w:val="none"/>
        </w:rPr>
        <w:t>拟投入本合同工程的材料进场计划表</w:t>
      </w:r>
      <w:bookmarkEnd w:id="155"/>
      <w:bookmarkEnd w:id="156"/>
      <w:bookmarkEnd w:id="157"/>
      <w:bookmarkEnd w:id="158"/>
      <w:bookmarkEnd w:id="159"/>
    </w:p>
    <w:p w14:paraId="7A6E5579">
      <w:pPr>
        <w:jc w:val="center"/>
        <w:rPr>
          <w:b/>
          <w:color w:val="auto"/>
          <w:highlight w:val="none"/>
        </w:rPr>
      </w:pPr>
    </w:p>
    <w:tbl>
      <w:tblPr>
        <w:tblStyle w:val="45"/>
        <w:tblW w:w="0" w:type="auto"/>
        <w:jc w:val="center"/>
        <w:tblLayout w:type="fixed"/>
        <w:tblCellMar>
          <w:top w:w="0" w:type="dxa"/>
          <w:left w:w="10" w:type="dxa"/>
          <w:bottom w:w="0" w:type="dxa"/>
          <w:right w:w="10" w:type="dxa"/>
        </w:tblCellMar>
      </w:tblPr>
      <w:tblGrid>
        <w:gridCol w:w="1090"/>
        <w:gridCol w:w="902"/>
        <w:gridCol w:w="907"/>
        <w:gridCol w:w="907"/>
        <w:gridCol w:w="907"/>
        <w:gridCol w:w="912"/>
        <w:gridCol w:w="902"/>
        <w:gridCol w:w="907"/>
        <w:gridCol w:w="917"/>
      </w:tblGrid>
      <w:tr w14:paraId="274E0F5F">
        <w:tblPrEx>
          <w:tblCellMar>
            <w:top w:w="0" w:type="dxa"/>
            <w:left w:w="10" w:type="dxa"/>
            <w:bottom w:w="0" w:type="dxa"/>
            <w:right w:w="10" w:type="dxa"/>
          </w:tblCellMar>
        </w:tblPrEx>
        <w:trPr>
          <w:trHeight w:val="576" w:hRule="exact"/>
          <w:jc w:val="center"/>
        </w:trPr>
        <w:tc>
          <w:tcPr>
            <w:tcW w:w="1090" w:type="dxa"/>
            <w:vMerge w:val="restart"/>
            <w:tcBorders>
              <w:top w:val="single" w:color="auto" w:sz="4" w:space="0"/>
              <w:left w:val="single" w:color="auto" w:sz="4" w:space="0"/>
            </w:tcBorders>
            <w:shd w:val="clear" w:color="auto" w:fill="FFFFFF"/>
            <w:noWrap w:val="0"/>
            <w:vAlign w:val="center"/>
          </w:tcPr>
          <w:p w14:paraId="3577B014">
            <w:pPr>
              <w:pStyle w:val="312"/>
              <w:spacing w:line="240" w:lineRule="auto"/>
              <w:ind w:firstLine="0"/>
              <w:jc w:val="center"/>
              <w:rPr>
                <w:color w:val="auto"/>
                <w:sz w:val="21"/>
                <w:szCs w:val="21"/>
                <w:highlight w:val="none"/>
              </w:rPr>
            </w:pPr>
            <w:r>
              <w:rPr>
                <w:color w:val="auto"/>
                <w:sz w:val="21"/>
                <w:szCs w:val="21"/>
                <w:highlight w:val="none"/>
              </w:rPr>
              <w:t>名称</w:t>
            </w:r>
          </w:p>
        </w:tc>
        <w:tc>
          <w:tcPr>
            <w:tcW w:w="902" w:type="dxa"/>
            <w:vMerge w:val="restart"/>
            <w:tcBorders>
              <w:top w:val="single" w:color="auto" w:sz="4" w:space="0"/>
              <w:left w:val="single" w:color="auto" w:sz="4" w:space="0"/>
            </w:tcBorders>
            <w:shd w:val="clear" w:color="auto" w:fill="FFFFFF"/>
            <w:noWrap w:val="0"/>
            <w:vAlign w:val="center"/>
          </w:tcPr>
          <w:p w14:paraId="029E1260">
            <w:pPr>
              <w:pStyle w:val="312"/>
              <w:spacing w:line="240" w:lineRule="auto"/>
              <w:ind w:firstLine="0"/>
              <w:jc w:val="center"/>
              <w:rPr>
                <w:color w:val="auto"/>
                <w:sz w:val="21"/>
                <w:szCs w:val="21"/>
                <w:highlight w:val="none"/>
              </w:rPr>
            </w:pPr>
            <w:r>
              <w:rPr>
                <w:color w:val="auto"/>
                <w:sz w:val="21"/>
                <w:szCs w:val="21"/>
                <w:highlight w:val="none"/>
              </w:rPr>
              <w:t>规格</w:t>
            </w:r>
          </w:p>
        </w:tc>
        <w:tc>
          <w:tcPr>
            <w:tcW w:w="907" w:type="dxa"/>
            <w:vMerge w:val="restart"/>
            <w:tcBorders>
              <w:top w:val="single" w:color="auto" w:sz="4" w:space="0"/>
              <w:left w:val="single" w:color="auto" w:sz="4" w:space="0"/>
            </w:tcBorders>
            <w:shd w:val="clear" w:color="auto" w:fill="FFFFFF"/>
            <w:noWrap w:val="0"/>
            <w:vAlign w:val="center"/>
          </w:tcPr>
          <w:p w14:paraId="6B04E5ED">
            <w:pPr>
              <w:pStyle w:val="312"/>
              <w:spacing w:line="269" w:lineRule="exact"/>
              <w:ind w:firstLine="0"/>
              <w:jc w:val="center"/>
              <w:rPr>
                <w:color w:val="auto"/>
                <w:sz w:val="21"/>
                <w:szCs w:val="21"/>
                <w:highlight w:val="none"/>
              </w:rPr>
            </w:pPr>
            <w:r>
              <w:rPr>
                <w:color w:val="auto"/>
                <w:sz w:val="21"/>
                <w:szCs w:val="21"/>
                <w:highlight w:val="none"/>
              </w:rPr>
              <w:t>计量 单位</w:t>
            </w:r>
          </w:p>
        </w:tc>
        <w:tc>
          <w:tcPr>
            <w:tcW w:w="4535" w:type="dxa"/>
            <w:gridSpan w:val="5"/>
            <w:tcBorders>
              <w:top w:val="single" w:color="auto" w:sz="4" w:space="0"/>
              <w:left w:val="single" w:color="auto" w:sz="4" w:space="0"/>
            </w:tcBorders>
            <w:shd w:val="clear" w:color="auto" w:fill="FFFFFF"/>
            <w:noWrap w:val="0"/>
            <w:vAlign w:val="center"/>
          </w:tcPr>
          <w:p w14:paraId="288C68DD">
            <w:pPr>
              <w:pStyle w:val="312"/>
              <w:spacing w:line="240" w:lineRule="auto"/>
              <w:ind w:firstLine="0"/>
              <w:jc w:val="center"/>
              <w:rPr>
                <w:color w:val="auto"/>
                <w:sz w:val="21"/>
                <w:szCs w:val="21"/>
                <w:highlight w:val="none"/>
              </w:rPr>
            </w:pPr>
            <w:r>
              <w:rPr>
                <w:color w:val="auto"/>
                <w:sz w:val="21"/>
                <w:szCs w:val="21"/>
                <w:highlight w:val="none"/>
              </w:rPr>
              <w:t>数 量</w:t>
            </w:r>
          </w:p>
        </w:tc>
        <w:tc>
          <w:tcPr>
            <w:tcW w:w="917" w:type="dxa"/>
            <w:vMerge w:val="restart"/>
            <w:tcBorders>
              <w:top w:val="single" w:color="auto" w:sz="4" w:space="0"/>
              <w:left w:val="single" w:color="auto" w:sz="4" w:space="0"/>
              <w:right w:val="single" w:color="auto" w:sz="4" w:space="0"/>
            </w:tcBorders>
            <w:shd w:val="clear" w:color="auto" w:fill="FFFFFF"/>
            <w:noWrap w:val="0"/>
            <w:vAlign w:val="center"/>
          </w:tcPr>
          <w:p w14:paraId="074C5271">
            <w:pPr>
              <w:pStyle w:val="312"/>
              <w:spacing w:line="240" w:lineRule="auto"/>
              <w:ind w:firstLine="0"/>
              <w:jc w:val="center"/>
              <w:rPr>
                <w:color w:val="auto"/>
                <w:sz w:val="21"/>
                <w:szCs w:val="21"/>
                <w:highlight w:val="none"/>
              </w:rPr>
            </w:pPr>
            <w:r>
              <w:rPr>
                <w:color w:val="auto"/>
                <w:sz w:val="21"/>
                <w:szCs w:val="21"/>
                <w:highlight w:val="none"/>
              </w:rPr>
              <w:t>备注</w:t>
            </w:r>
          </w:p>
        </w:tc>
      </w:tr>
      <w:tr w14:paraId="7DE45504">
        <w:tblPrEx>
          <w:tblCellMar>
            <w:top w:w="0" w:type="dxa"/>
            <w:left w:w="10" w:type="dxa"/>
            <w:bottom w:w="0" w:type="dxa"/>
            <w:right w:w="10" w:type="dxa"/>
          </w:tblCellMar>
        </w:tblPrEx>
        <w:trPr>
          <w:trHeight w:val="566" w:hRule="exact"/>
          <w:jc w:val="center"/>
        </w:trPr>
        <w:tc>
          <w:tcPr>
            <w:tcW w:w="1090" w:type="dxa"/>
            <w:vMerge w:val="continue"/>
            <w:tcBorders>
              <w:left w:val="single" w:color="auto" w:sz="4" w:space="0"/>
            </w:tcBorders>
            <w:shd w:val="clear" w:color="auto" w:fill="FFFFFF"/>
            <w:noWrap w:val="0"/>
            <w:vAlign w:val="center"/>
          </w:tcPr>
          <w:p w14:paraId="3E2DCA41">
            <w:pPr>
              <w:jc w:val="center"/>
              <w:rPr>
                <w:color w:val="auto"/>
                <w:szCs w:val="21"/>
                <w:highlight w:val="none"/>
              </w:rPr>
            </w:pPr>
          </w:p>
        </w:tc>
        <w:tc>
          <w:tcPr>
            <w:tcW w:w="902" w:type="dxa"/>
            <w:vMerge w:val="continue"/>
            <w:tcBorders>
              <w:left w:val="single" w:color="auto" w:sz="4" w:space="0"/>
            </w:tcBorders>
            <w:shd w:val="clear" w:color="auto" w:fill="FFFFFF"/>
            <w:noWrap w:val="0"/>
            <w:vAlign w:val="center"/>
          </w:tcPr>
          <w:p w14:paraId="4A86BA3A">
            <w:pPr>
              <w:jc w:val="center"/>
              <w:rPr>
                <w:color w:val="auto"/>
                <w:szCs w:val="21"/>
                <w:highlight w:val="none"/>
              </w:rPr>
            </w:pPr>
          </w:p>
        </w:tc>
        <w:tc>
          <w:tcPr>
            <w:tcW w:w="907" w:type="dxa"/>
            <w:vMerge w:val="continue"/>
            <w:tcBorders>
              <w:left w:val="single" w:color="auto" w:sz="4" w:space="0"/>
            </w:tcBorders>
            <w:shd w:val="clear" w:color="auto" w:fill="FFFFFF"/>
            <w:noWrap w:val="0"/>
            <w:vAlign w:val="center"/>
          </w:tcPr>
          <w:p w14:paraId="351EABE2">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0EC213DC">
            <w:pPr>
              <w:pStyle w:val="312"/>
              <w:spacing w:line="240" w:lineRule="auto"/>
              <w:ind w:firstLine="0"/>
              <w:jc w:val="center"/>
              <w:rPr>
                <w:color w:val="auto"/>
                <w:sz w:val="21"/>
                <w:szCs w:val="21"/>
                <w:highlight w:val="none"/>
              </w:rPr>
            </w:pPr>
            <w:r>
              <w:rPr>
                <w:color w:val="auto"/>
                <w:sz w:val="21"/>
                <w:szCs w:val="21"/>
                <w:highlight w:val="none"/>
              </w:rPr>
              <w:t>总量</w:t>
            </w:r>
          </w:p>
        </w:tc>
        <w:tc>
          <w:tcPr>
            <w:tcW w:w="907" w:type="dxa"/>
            <w:tcBorders>
              <w:top w:val="single" w:color="auto" w:sz="4" w:space="0"/>
              <w:left w:val="single" w:color="auto" w:sz="4" w:space="0"/>
            </w:tcBorders>
            <w:shd w:val="clear" w:color="auto" w:fill="FFFFFF"/>
            <w:noWrap w:val="0"/>
            <w:vAlign w:val="center"/>
          </w:tcPr>
          <w:p w14:paraId="7EB6DF78">
            <w:pPr>
              <w:pStyle w:val="312"/>
              <w:spacing w:line="240" w:lineRule="auto"/>
              <w:ind w:firstLine="0"/>
              <w:jc w:val="center"/>
              <w:rPr>
                <w:color w:val="auto"/>
                <w:sz w:val="21"/>
                <w:szCs w:val="21"/>
                <w:highlight w:val="none"/>
              </w:rPr>
            </w:pPr>
            <w:r>
              <w:rPr>
                <w:color w:val="auto"/>
                <w:sz w:val="21"/>
                <w:szCs w:val="21"/>
                <w:highlight w:val="none"/>
              </w:rPr>
              <w:t>月</w:t>
            </w:r>
          </w:p>
        </w:tc>
        <w:tc>
          <w:tcPr>
            <w:tcW w:w="912" w:type="dxa"/>
            <w:tcBorders>
              <w:top w:val="single" w:color="auto" w:sz="4" w:space="0"/>
              <w:left w:val="single" w:color="auto" w:sz="4" w:space="0"/>
            </w:tcBorders>
            <w:shd w:val="clear" w:color="auto" w:fill="FFFFFF"/>
            <w:noWrap w:val="0"/>
            <w:vAlign w:val="center"/>
          </w:tcPr>
          <w:p w14:paraId="5F5FB63D">
            <w:pPr>
              <w:pStyle w:val="312"/>
              <w:spacing w:line="240" w:lineRule="auto"/>
              <w:ind w:firstLine="0"/>
              <w:jc w:val="center"/>
              <w:rPr>
                <w:color w:val="auto"/>
                <w:sz w:val="21"/>
                <w:szCs w:val="21"/>
                <w:highlight w:val="none"/>
              </w:rPr>
            </w:pPr>
            <w:r>
              <w:rPr>
                <w:color w:val="auto"/>
                <w:sz w:val="21"/>
                <w:szCs w:val="21"/>
                <w:highlight w:val="none"/>
              </w:rPr>
              <w:t>月</w:t>
            </w:r>
          </w:p>
        </w:tc>
        <w:tc>
          <w:tcPr>
            <w:tcW w:w="902" w:type="dxa"/>
            <w:tcBorders>
              <w:top w:val="single" w:color="auto" w:sz="4" w:space="0"/>
              <w:left w:val="single" w:color="auto" w:sz="4" w:space="0"/>
            </w:tcBorders>
            <w:shd w:val="clear" w:color="auto" w:fill="FFFFFF"/>
            <w:noWrap w:val="0"/>
            <w:vAlign w:val="center"/>
          </w:tcPr>
          <w:p w14:paraId="1235C5DD">
            <w:pPr>
              <w:pStyle w:val="312"/>
              <w:spacing w:line="240" w:lineRule="auto"/>
              <w:ind w:firstLine="0"/>
              <w:jc w:val="center"/>
              <w:rPr>
                <w:color w:val="auto"/>
                <w:sz w:val="21"/>
                <w:szCs w:val="21"/>
                <w:highlight w:val="none"/>
              </w:rPr>
            </w:pPr>
            <w:r>
              <w:rPr>
                <w:color w:val="auto"/>
                <w:sz w:val="21"/>
                <w:szCs w:val="21"/>
                <w:highlight w:val="none"/>
              </w:rPr>
              <w:t>月</w:t>
            </w:r>
          </w:p>
        </w:tc>
        <w:tc>
          <w:tcPr>
            <w:tcW w:w="907" w:type="dxa"/>
            <w:tcBorders>
              <w:top w:val="single" w:color="auto" w:sz="4" w:space="0"/>
              <w:left w:val="single" w:color="auto" w:sz="4" w:space="0"/>
            </w:tcBorders>
            <w:shd w:val="clear" w:color="auto" w:fill="FFFFFF"/>
            <w:noWrap w:val="0"/>
            <w:vAlign w:val="center"/>
          </w:tcPr>
          <w:p w14:paraId="1DB9072C">
            <w:pPr>
              <w:pStyle w:val="312"/>
              <w:spacing w:line="240" w:lineRule="auto"/>
              <w:ind w:right="380" w:firstLine="0"/>
              <w:jc w:val="center"/>
              <w:rPr>
                <w:color w:val="auto"/>
                <w:sz w:val="21"/>
                <w:szCs w:val="21"/>
                <w:highlight w:val="none"/>
              </w:rPr>
            </w:pPr>
            <w:r>
              <w:rPr>
                <w:color w:val="auto"/>
                <w:sz w:val="21"/>
                <w:szCs w:val="21"/>
                <w:highlight w:val="none"/>
              </w:rPr>
              <w:t>月</w:t>
            </w:r>
          </w:p>
        </w:tc>
        <w:tc>
          <w:tcPr>
            <w:tcW w:w="917" w:type="dxa"/>
            <w:vMerge w:val="continue"/>
            <w:tcBorders>
              <w:left w:val="single" w:color="auto" w:sz="4" w:space="0"/>
              <w:right w:val="single" w:color="auto" w:sz="4" w:space="0"/>
            </w:tcBorders>
            <w:shd w:val="clear" w:color="auto" w:fill="FFFFFF"/>
            <w:noWrap w:val="0"/>
            <w:vAlign w:val="center"/>
          </w:tcPr>
          <w:p w14:paraId="4B21E39D">
            <w:pPr>
              <w:jc w:val="center"/>
              <w:rPr>
                <w:color w:val="auto"/>
                <w:szCs w:val="21"/>
                <w:highlight w:val="none"/>
              </w:rPr>
            </w:pPr>
          </w:p>
        </w:tc>
      </w:tr>
      <w:tr w14:paraId="00B07537">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16D5FB5A">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15E791E4">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5EA35463">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0837F92F">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22188C95">
            <w:pPr>
              <w:jc w:val="center"/>
              <w:rPr>
                <w:color w:val="auto"/>
                <w:szCs w:val="21"/>
                <w:highlight w:val="none"/>
              </w:rPr>
            </w:pPr>
          </w:p>
        </w:tc>
        <w:tc>
          <w:tcPr>
            <w:tcW w:w="912" w:type="dxa"/>
            <w:tcBorders>
              <w:top w:val="single" w:color="auto" w:sz="4" w:space="0"/>
              <w:left w:val="single" w:color="auto" w:sz="4" w:space="0"/>
            </w:tcBorders>
            <w:shd w:val="clear" w:color="auto" w:fill="FFFFFF"/>
            <w:noWrap w:val="0"/>
            <w:vAlign w:val="center"/>
          </w:tcPr>
          <w:p w14:paraId="4EDA83A9">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4B8AF446">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26A4617E">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7DE0A6D2">
            <w:pPr>
              <w:jc w:val="center"/>
              <w:rPr>
                <w:color w:val="auto"/>
                <w:szCs w:val="21"/>
                <w:highlight w:val="none"/>
              </w:rPr>
            </w:pPr>
          </w:p>
        </w:tc>
      </w:tr>
      <w:tr w14:paraId="6E993B51">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26D05487">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5E090D62">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381FD7FE">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3E6C8977">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3051DA70">
            <w:pPr>
              <w:jc w:val="center"/>
              <w:rPr>
                <w:color w:val="auto"/>
                <w:szCs w:val="21"/>
                <w:highlight w:val="none"/>
              </w:rPr>
            </w:pPr>
          </w:p>
        </w:tc>
        <w:tc>
          <w:tcPr>
            <w:tcW w:w="912" w:type="dxa"/>
            <w:tcBorders>
              <w:top w:val="single" w:color="auto" w:sz="4" w:space="0"/>
              <w:left w:val="single" w:color="auto" w:sz="4" w:space="0"/>
            </w:tcBorders>
            <w:shd w:val="clear" w:color="auto" w:fill="FFFFFF"/>
            <w:noWrap w:val="0"/>
            <w:vAlign w:val="center"/>
          </w:tcPr>
          <w:p w14:paraId="5FE93F1C">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71509E78">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793E5BAA">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655BB941">
            <w:pPr>
              <w:jc w:val="center"/>
              <w:rPr>
                <w:color w:val="auto"/>
                <w:szCs w:val="21"/>
                <w:highlight w:val="none"/>
              </w:rPr>
            </w:pPr>
          </w:p>
        </w:tc>
      </w:tr>
      <w:tr w14:paraId="1C65D30A">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030FD863">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6C5D2396">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14610C60">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6FF151BD">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75F42C62">
            <w:pPr>
              <w:jc w:val="center"/>
              <w:rPr>
                <w:color w:val="auto"/>
                <w:szCs w:val="21"/>
                <w:highlight w:val="none"/>
              </w:rPr>
            </w:pPr>
          </w:p>
        </w:tc>
        <w:tc>
          <w:tcPr>
            <w:tcW w:w="912" w:type="dxa"/>
            <w:tcBorders>
              <w:top w:val="single" w:color="auto" w:sz="4" w:space="0"/>
              <w:left w:val="single" w:color="auto" w:sz="4" w:space="0"/>
            </w:tcBorders>
            <w:shd w:val="clear" w:color="auto" w:fill="FFFFFF"/>
            <w:noWrap w:val="0"/>
            <w:vAlign w:val="center"/>
          </w:tcPr>
          <w:p w14:paraId="6D3AAA73">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439E27DF">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32374126">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7E1DB95D">
            <w:pPr>
              <w:jc w:val="center"/>
              <w:rPr>
                <w:color w:val="auto"/>
                <w:szCs w:val="21"/>
                <w:highlight w:val="none"/>
              </w:rPr>
            </w:pPr>
          </w:p>
        </w:tc>
      </w:tr>
      <w:tr w14:paraId="133D5637">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301C3D63">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15CDEB27">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1D63628B">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1893F75D">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62BB805A">
            <w:pPr>
              <w:jc w:val="center"/>
              <w:rPr>
                <w:color w:val="auto"/>
                <w:szCs w:val="21"/>
                <w:highlight w:val="none"/>
              </w:rPr>
            </w:pPr>
          </w:p>
        </w:tc>
        <w:tc>
          <w:tcPr>
            <w:tcW w:w="912" w:type="dxa"/>
            <w:tcBorders>
              <w:top w:val="single" w:color="auto" w:sz="4" w:space="0"/>
              <w:left w:val="single" w:color="auto" w:sz="4" w:space="0"/>
            </w:tcBorders>
            <w:shd w:val="clear" w:color="auto" w:fill="FFFFFF"/>
            <w:noWrap w:val="0"/>
            <w:vAlign w:val="center"/>
          </w:tcPr>
          <w:p w14:paraId="06FB9912">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7AC0A186">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696B291B">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29616E9F">
            <w:pPr>
              <w:jc w:val="center"/>
              <w:rPr>
                <w:color w:val="auto"/>
                <w:szCs w:val="21"/>
                <w:highlight w:val="none"/>
              </w:rPr>
            </w:pPr>
          </w:p>
        </w:tc>
      </w:tr>
      <w:tr w14:paraId="0522CBC7">
        <w:tblPrEx>
          <w:tblCellMar>
            <w:top w:w="0" w:type="dxa"/>
            <w:left w:w="10" w:type="dxa"/>
            <w:bottom w:w="0" w:type="dxa"/>
            <w:right w:w="10" w:type="dxa"/>
          </w:tblCellMar>
        </w:tblPrEx>
        <w:trPr>
          <w:trHeight w:val="566" w:hRule="exact"/>
          <w:jc w:val="center"/>
        </w:trPr>
        <w:tc>
          <w:tcPr>
            <w:tcW w:w="1090" w:type="dxa"/>
            <w:tcBorders>
              <w:top w:val="single" w:color="auto" w:sz="4" w:space="0"/>
              <w:left w:val="single" w:color="auto" w:sz="4" w:space="0"/>
            </w:tcBorders>
            <w:shd w:val="clear" w:color="auto" w:fill="FFFFFF"/>
            <w:noWrap w:val="0"/>
            <w:vAlign w:val="center"/>
          </w:tcPr>
          <w:p w14:paraId="61EB3DE1">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7014EB1A">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1B593933">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18E5CD7C">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5B6D48F0">
            <w:pPr>
              <w:jc w:val="center"/>
              <w:rPr>
                <w:color w:val="auto"/>
                <w:szCs w:val="21"/>
                <w:highlight w:val="none"/>
              </w:rPr>
            </w:pPr>
          </w:p>
        </w:tc>
        <w:tc>
          <w:tcPr>
            <w:tcW w:w="912" w:type="dxa"/>
            <w:tcBorders>
              <w:top w:val="single" w:color="auto" w:sz="4" w:space="0"/>
              <w:left w:val="single" w:color="auto" w:sz="4" w:space="0"/>
            </w:tcBorders>
            <w:shd w:val="clear" w:color="auto" w:fill="FFFFFF"/>
            <w:noWrap w:val="0"/>
            <w:vAlign w:val="center"/>
          </w:tcPr>
          <w:p w14:paraId="7E123EAF">
            <w:pPr>
              <w:jc w:val="center"/>
              <w:rPr>
                <w:color w:val="auto"/>
                <w:szCs w:val="21"/>
                <w:highlight w:val="none"/>
              </w:rPr>
            </w:pPr>
          </w:p>
        </w:tc>
        <w:tc>
          <w:tcPr>
            <w:tcW w:w="902" w:type="dxa"/>
            <w:tcBorders>
              <w:top w:val="single" w:color="auto" w:sz="4" w:space="0"/>
              <w:left w:val="single" w:color="auto" w:sz="4" w:space="0"/>
            </w:tcBorders>
            <w:shd w:val="clear" w:color="auto" w:fill="FFFFFF"/>
            <w:noWrap w:val="0"/>
            <w:vAlign w:val="center"/>
          </w:tcPr>
          <w:p w14:paraId="140FB876">
            <w:pPr>
              <w:jc w:val="center"/>
              <w:rPr>
                <w:color w:val="auto"/>
                <w:szCs w:val="21"/>
                <w:highlight w:val="none"/>
              </w:rPr>
            </w:pPr>
          </w:p>
        </w:tc>
        <w:tc>
          <w:tcPr>
            <w:tcW w:w="907" w:type="dxa"/>
            <w:tcBorders>
              <w:top w:val="single" w:color="auto" w:sz="4" w:space="0"/>
              <w:left w:val="single" w:color="auto" w:sz="4" w:space="0"/>
            </w:tcBorders>
            <w:shd w:val="clear" w:color="auto" w:fill="FFFFFF"/>
            <w:noWrap w:val="0"/>
            <w:vAlign w:val="center"/>
          </w:tcPr>
          <w:p w14:paraId="3E85DFFF">
            <w:pPr>
              <w:jc w:val="center"/>
              <w:rPr>
                <w:color w:val="auto"/>
                <w:szCs w:val="21"/>
                <w:highlight w:val="none"/>
              </w:rPr>
            </w:pPr>
          </w:p>
        </w:tc>
        <w:tc>
          <w:tcPr>
            <w:tcW w:w="917" w:type="dxa"/>
            <w:tcBorders>
              <w:top w:val="single" w:color="auto" w:sz="4" w:space="0"/>
              <w:left w:val="single" w:color="auto" w:sz="4" w:space="0"/>
              <w:right w:val="single" w:color="auto" w:sz="4" w:space="0"/>
            </w:tcBorders>
            <w:shd w:val="clear" w:color="auto" w:fill="FFFFFF"/>
            <w:noWrap w:val="0"/>
            <w:vAlign w:val="center"/>
          </w:tcPr>
          <w:p w14:paraId="6DA6E16B">
            <w:pPr>
              <w:jc w:val="center"/>
              <w:rPr>
                <w:color w:val="auto"/>
                <w:szCs w:val="21"/>
                <w:highlight w:val="none"/>
              </w:rPr>
            </w:pPr>
          </w:p>
        </w:tc>
      </w:tr>
      <w:tr w14:paraId="3747A055">
        <w:tblPrEx>
          <w:tblCellMar>
            <w:top w:w="0" w:type="dxa"/>
            <w:left w:w="10" w:type="dxa"/>
            <w:bottom w:w="0" w:type="dxa"/>
            <w:right w:w="10" w:type="dxa"/>
          </w:tblCellMar>
        </w:tblPrEx>
        <w:trPr>
          <w:trHeight w:val="581" w:hRule="exact"/>
          <w:jc w:val="center"/>
        </w:trPr>
        <w:tc>
          <w:tcPr>
            <w:tcW w:w="1090" w:type="dxa"/>
            <w:tcBorders>
              <w:top w:val="single" w:color="auto" w:sz="4" w:space="0"/>
              <w:left w:val="single" w:color="auto" w:sz="4" w:space="0"/>
              <w:bottom w:val="single" w:color="auto" w:sz="4" w:space="0"/>
            </w:tcBorders>
            <w:shd w:val="clear" w:color="auto" w:fill="FFFFFF"/>
            <w:noWrap w:val="0"/>
            <w:vAlign w:val="center"/>
          </w:tcPr>
          <w:p w14:paraId="6B3E04B7">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noWrap w:val="0"/>
            <w:vAlign w:val="center"/>
          </w:tcPr>
          <w:p w14:paraId="29FD7A8D">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35772CFE">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5AF1187E">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08FA3932">
            <w:pPr>
              <w:jc w:val="center"/>
              <w:rPr>
                <w:color w:val="auto"/>
                <w:szCs w:val="21"/>
                <w:highlight w:val="none"/>
              </w:rPr>
            </w:pPr>
          </w:p>
        </w:tc>
        <w:tc>
          <w:tcPr>
            <w:tcW w:w="912" w:type="dxa"/>
            <w:tcBorders>
              <w:top w:val="single" w:color="auto" w:sz="4" w:space="0"/>
              <w:left w:val="single" w:color="auto" w:sz="4" w:space="0"/>
              <w:bottom w:val="single" w:color="auto" w:sz="4" w:space="0"/>
            </w:tcBorders>
            <w:shd w:val="clear" w:color="auto" w:fill="FFFFFF"/>
            <w:noWrap w:val="0"/>
            <w:vAlign w:val="center"/>
          </w:tcPr>
          <w:p w14:paraId="03902FE8">
            <w:pPr>
              <w:jc w:val="center"/>
              <w:rPr>
                <w:color w:val="auto"/>
                <w:szCs w:val="21"/>
                <w:highlight w:val="none"/>
              </w:rPr>
            </w:pPr>
          </w:p>
        </w:tc>
        <w:tc>
          <w:tcPr>
            <w:tcW w:w="902" w:type="dxa"/>
            <w:tcBorders>
              <w:top w:val="single" w:color="auto" w:sz="4" w:space="0"/>
              <w:left w:val="single" w:color="auto" w:sz="4" w:space="0"/>
              <w:bottom w:val="single" w:color="auto" w:sz="4" w:space="0"/>
            </w:tcBorders>
            <w:shd w:val="clear" w:color="auto" w:fill="FFFFFF"/>
            <w:noWrap w:val="0"/>
            <w:vAlign w:val="center"/>
          </w:tcPr>
          <w:p w14:paraId="21EB4631">
            <w:pPr>
              <w:jc w:val="center"/>
              <w:rPr>
                <w:color w:val="auto"/>
                <w:szCs w:val="21"/>
                <w:highlight w:val="none"/>
              </w:rPr>
            </w:pPr>
          </w:p>
        </w:tc>
        <w:tc>
          <w:tcPr>
            <w:tcW w:w="907" w:type="dxa"/>
            <w:tcBorders>
              <w:top w:val="single" w:color="auto" w:sz="4" w:space="0"/>
              <w:left w:val="single" w:color="auto" w:sz="4" w:space="0"/>
              <w:bottom w:val="single" w:color="auto" w:sz="4" w:space="0"/>
            </w:tcBorders>
            <w:shd w:val="clear" w:color="auto" w:fill="FFFFFF"/>
            <w:noWrap w:val="0"/>
            <w:vAlign w:val="center"/>
          </w:tcPr>
          <w:p w14:paraId="55C7C251">
            <w:pPr>
              <w:jc w:val="center"/>
              <w:rPr>
                <w:color w:val="auto"/>
                <w:szCs w:val="21"/>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7F0C52">
            <w:pPr>
              <w:jc w:val="center"/>
              <w:rPr>
                <w:color w:val="auto"/>
                <w:szCs w:val="21"/>
                <w:highlight w:val="none"/>
              </w:rPr>
            </w:pPr>
          </w:p>
        </w:tc>
      </w:tr>
    </w:tbl>
    <w:p w14:paraId="7E4C2A80">
      <w:pPr>
        <w:spacing w:after="299" w:line="1" w:lineRule="exact"/>
        <w:rPr>
          <w:color w:val="auto"/>
          <w:highlight w:val="none"/>
        </w:rPr>
      </w:pPr>
    </w:p>
    <w:p w14:paraId="6D7DC294">
      <w:pPr>
        <w:pStyle w:val="237"/>
        <w:tabs>
          <w:tab w:val="left" w:pos="847"/>
          <w:tab w:val="left" w:leader="underscore" w:pos="850"/>
          <w:tab w:val="left" w:leader="underscore" w:pos="1906"/>
          <w:tab w:val="left" w:pos="1908"/>
          <w:tab w:val="left" w:pos="2964"/>
        </w:tabs>
        <w:spacing w:after="420" w:line="353" w:lineRule="exact"/>
        <w:ind w:firstLine="420"/>
        <w:jc w:val="right"/>
        <w:rPr>
          <w:color w:val="auto"/>
          <w:highlight w:val="none"/>
        </w:rPr>
        <w:sectPr>
          <w:headerReference r:id="rId17" w:type="default"/>
          <w:footerReference r:id="rId19" w:type="default"/>
          <w:headerReference r:id="rId18" w:type="even"/>
          <w:footerReference r:id="rId20" w:type="even"/>
          <w:pgSz w:w="11900" w:h="16832"/>
          <w:pgMar w:top="1440" w:right="1803" w:bottom="1440" w:left="1803" w:header="851" w:footer="851" w:gutter="0"/>
          <w:cols w:space="720" w:num="1"/>
        </w:sectPr>
      </w:pPr>
    </w:p>
    <w:p w14:paraId="1E7C27F8">
      <w:pPr>
        <w:pStyle w:val="10"/>
        <w:rPr>
          <w:rFonts w:hint="eastAsia"/>
          <w:b w:val="0"/>
          <w:bCs w:val="0"/>
          <w:color w:val="auto"/>
          <w:sz w:val="28"/>
          <w:szCs w:val="28"/>
          <w:highlight w:val="none"/>
        </w:rPr>
      </w:pPr>
      <w:bookmarkStart w:id="160" w:name="bookmark2251"/>
      <w:bookmarkStart w:id="161" w:name="bookmark2250"/>
      <w:bookmarkStart w:id="162" w:name="bookmark2249"/>
      <w:r>
        <w:rPr>
          <w:rFonts w:hint="eastAsia"/>
          <w:b w:val="0"/>
          <w:bCs w:val="0"/>
          <w:color w:val="auto"/>
          <w:sz w:val="28"/>
          <w:szCs w:val="28"/>
          <w:highlight w:val="none"/>
        </w:rPr>
        <w:t>附件五：计划开工日期、完工日期和施工进度网络图（或横道图）</w:t>
      </w:r>
      <w:bookmarkEnd w:id="160"/>
      <w:bookmarkEnd w:id="161"/>
      <w:bookmarkEnd w:id="162"/>
    </w:p>
    <w:p w14:paraId="040DFB58">
      <w:pPr>
        <w:rPr>
          <w:rFonts w:hint="eastAsia"/>
          <w:color w:val="auto"/>
          <w:highlight w:val="none"/>
        </w:rPr>
      </w:pPr>
    </w:p>
    <w:p w14:paraId="4E939A08">
      <w:pPr>
        <w:jc w:val="center"/>
        <w:rPr>
          <w:rFonts w:hint="eastAsia" w:ascii="宋体" w:hAnsi="宋体" w:cs="宋体"/>
          <w:b/>
          <w:bCs/>
          <w:color w:val="auto"/>
          <w:sz w:val="28"/>
          <w:szCs w:val="28"/>
          <w:highlight w:val="none"/>
        </w:rPr>
      </w:pPr>
      <w:bookmarkStart w:id="163" w:name="bookmark2254"/>
      <w:bookmarkStart w:id="164" w:name="bookmark2252"/>
      <w:bookmarkStart w:id="165" w:name="_Toc2597"/>
      <w:bookmarkStart w:id="166" w:name="_Toc24573"/>
      <w:bookmarkStart w:id="167" w:name="bookmark2253"/>
      <w:r>
        <w:rPr>
          <w:rFonts w:hint="eastAsia" w:ascii="宋体" w:hAnsi="宋体" w:cs="宋体"/>
          <w:b/>
          <w:bCs/>
          <w:color w:val="auto"/>
          <w:sz w:val="28"/>
          <w:szCs w:val="28"/>
          <w:highlight w:val="none"/>
        </w:rPr>
        <w:t>计划开工日期、完工日期和施工进度网络图（或横道图）</w:t>
      </w:r>
      <w:bookmarkEnd w:id="163"/>
      <w:bookmarkEnd w:id="164"/>
      <w:bookmarkEnd w:id="165"/>
      <w:bookmarkEnd w:id="166"/>
      <w:bookmarkEnd w:id="167"/>
    </w:p>
    <w:p w14:paraId="356F3BCD">
      <w:pPr>
        <w:jc w:val="center"/>
        <w:rPr>
          <w:b/>
          <w:color w:val="auto"/>
          <w:highlight w:val="none"/>
        </w:rPr>
      </w:pPr>
    </w:p>
    <w:p w14:paraId="02488992">
      <w:pPr>
        <w:pStyle w:val="237"/>
        <w:tabs>
          <w:tab w:val="left" w:pos="747"/>
        </w:tabs>
        <w:ind w:firstLine="420"/>
        <w:rPr>
          <w:color w:val="auto"/>
          <w:highlight w:val="none"/>
        </w:rPr>
      </w:pPr>
      <w:bookmarkStart w:id="168" w:name="bookmark2255"/>
      <w:bookmarkEnd w:id="168"/>
      <w:r>
        <w:rPr>
          <w:rFonts w:hint="eastAsia"/>
          <w:color w:val="auto"/>
          <w:highlight w:val="none"/>
        </w:rPr>
        <w:t>供应商</w:t>
      </w:r>
      <w:r>
        <w:rPr>
          <w:color w:val="auto"/>
          <w:highlight w:val="none"/>
        </w:rPr>
        <w:t>应递交施工进度网络图或施工进度表，说明按</w:t>
      </w:r>
      <w:r>
        <w:rPr>
          <w:rFonts w:hint="eastAsia"/>
          <w:color w:val="auto"/>
          <w:highlight w:val="none"/>
        </w:rPr>
        <w:t>磋商</w:t>
      </w:r>
      <w:r>
        <w:rPr>
          <w:color w:val="auto"/>
          <w:highlight w:val="none"/>
        </w:rPr>
        <w:t>文件要求的计划工期进行施工的各个关键日期。</w:t>
      </w:r>
    </w:p>
    <w:p w14:paraId="60996A03">
      <w:pPr>
        <w:spacing w:line="360" w:lineRule="auto"/>
        <w:ind w:firstLine="420"/>
        <w:rPr>
          <w:color w:val="auto"/>
          <w:highlight w:val="none"/>
        </w:rPr>
        <w:sectPr>
          <w:headerReference r:id="rId21" w:type="default"/>
          <w:footerReference r:id="rId23" w:type="default"/>
          <w:headerReference r:id="rId22" w:type="even"/>
          <w:footerReference r:id="rId24" w:type="even"/>
          <w:pgSz w:w="11900" w:h="16832"/>
          <w:pgMar w:top="1440" w:right="1803" w:bottom="1440" w:left="1803" w:header="851" w:footer="851" w:gutter="0"/>
          <w:cols w:space="720" w:num="1"/>
        </w:sectPr>
      </w:pPr>
      <w:bookmarkStart w:id="169" w:name="bookmark2256"/>
      <w:bookmarkEnd w:id="169"/>
      <w:r>
        <w:rPr>
          <w:color w:val="auto"/>
          <w:highlight w:val="none"/>
        </w:rPr>
        <w:t>施工进度表可采用网络图（或横道图）表示。</w:t>
      </w:r>
    </w:p>
    <w:p w14:paraId="0422F9A3">
      <w:pPr>
        <w:pStyle w:val="10"/>
        <w:rPr>
          <w:b w:val="0"/>
          <w:bCs w:val="0"/>
          <w:color w:val="auto"/>
          <w:sz w:val="28"/>
          <w:szCs w:val="28"/>
          <w:highlight w:val="none"/>
        </w:rPr>
      </w:pPr>
      <w:bookmarkStart w:id="170" w:name="bookmark2259"/>
      <w:bookmarkStart w:id="171" w:name="bookmark2257"/>
      <w:bookmarkStart w:id="172" w:name="bookmark2258"/>
      <w:r>
        <w:rPr>
          <w:rFonts w:hint="eastAsia"/>
          <w:b w:val="0"/>
          <w:bCs w:val="0"/>
          <w:color w:val="auto"/>
          <w:sz w:val="28"/>
          <w:szCs w:val="28"/>
          <w:highlight w:val="none"/>
        </w:rPr>
        <w:t>附件六：施工总平面图</w:t>
      </w:r>
      <w:bookmarkEnd w:id="170"/>
      <w:bookmarkEnd w:id="171"/>
      <w:bookmarkEnd w:id="172"/>
    </w:p>
    <w:p w14:paraId="180047D6">
      <w:pPr>
        <w:jc w:val="center"/>
        <w:rPr>
          <w:rFonts w:hint="eastAsia" w:ascii="宋体" w:hAnsi="宋体" w:cs="宋体"/>
          <w:b/>
          <w:bCs/>
          <w:color w:val="auto"/>
          <w:sz w:val="28"/>
          <w:szCs w:val="28"/>
          <w:highlight w:val="none"/>
        </w:rPr>
      </w:pPr>
      <w:bookmarkStart w:id="173" w:name="bookmark2261"/>
      <w:bookmarkStart w:id="174" w:name="_Toc30163"/>
      <w:bookmarkStart w:id="175" w:name="bookmark2260"/>
      <w:bookmarkStart w:id="176" w:name="_Toc768"/>
      <w:bookmarkStart w:id="177" w:name="bookmark2262"/>
    </w:p>
    <w:p w14:paraId="4D9E5BBB">
      <w:pPr>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施工总平面图</w:t>
      </w:r>
      <w:bookmarkEnd w:id="173"/>
      <w:bookmarkEnd w:id="174"/>
      <w:bookmarkEnd w:id="175"/>
      <w:bookmarkEnd w:id="176"/>
      <w:bookmarkEnd w:id="177"/>
    </w:p>
    <w:p w14:paraId="22F91805">
      <w:pPr>
        <w:jc w:val="center"/>
        <w:rPr>
          <w:b/>
          <w:color w:val="auto"/>
          <w:highlight w:val="none"/>
        </w:rPr>
      </w:pPr>
    </w:p>
    <w:p w14:paraId="414ABDE2">
      <w:pPr>
        <w:pStyle w:val="237"/>
        <w:ind w:firstLine="420"/>
        <w:rPr>
          <w:color w:val="auto"/>
          <w:highlight w:val="none"/>
        </w:rPr>
      </w:pPr>
      <w:r>
        <w:rPr>
          <w:rFonts w:hint="eastAsia"/>
          <w:color w:val="auto"/>
          <w:highlight w:val="none"/>
        </w:rPr>
        <w:t>供应商</w:t>
      </w:r>
      <w:r>
        <w:rPr>
          <w:color w:val="auto"/>
          <w:highlight w:val="none"/>
        </w:rPr>
        <w:t>应递交一份施工总平面图，绘出现场临时设施布置图及表并附文字说明，说明临时设施、加工车间、现场办公、设备及仓储、供电、供水、卫生、生活、道路、消防等设施的情况和布置。</w:t>
      </w:r>
    </w:p>
    <w:p w14:paraId="7853968B">
      <w:pPr>
        <w:spacing w:line="360" w:lineRule="auto"/>
        <w:jc w:val="center"/>
        <w:rPr>
          <w:rFonts w:hint="eastAsia" w:ascii="宋体" w:hAnsi="宋体"/>
          <w:b/>
          <w:color w:val="auto"/>
          <w:sz w:val="32"/>
          <w:szCs w:val="32"/>
          <w:highlight w:val="none"/>
        </w:rPr>
      </w:pPr>
      <w:r>
        <w:rPr>
          <w:rFonts w:hint="eastAsia"/>
          <w:color w:val="auto"/>
          <w:highlight w:val="none"/>
        </w:rPr>
        <w:t>其他平面图由供应商根据需要制作。</w:t>
      </w:r>
      <w:r>
        <w:rPr>
          <w:color w:val="auto"/>
          <w:highlight w:val="none"/>
        </w:rPr>
        <w:br w:type="page" w:clear="all"/>
      </w:r>
      <w:r>
        <w:rPr>
          <w:rFonts w:hint="eastAsia" w:ascii="宋体" w:hAnsi="宋体" w:cs="方正小标宋简体"/>
          <w:b/>
          <w:bCs/>
          <w:color w:val="auto"/>
          <w:sz w:val="32"/>
          <w:szCs w:val="32"/>
          <w:highlight w:val="none"/>
        </w:rPr>
        <w:t>项目管理机构配备情况表及主要人员简历表</w:t>
      </w:r>
    </w:p>
    <w:p w14:paraId="560761A2">
      <w:pPr>
        <w:spacing w:before="156" w:after="50"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（一）项目管理机构配备情况表</w:t>
      </w:r>
    </w:p>
    <w:p w14:paraId="24C48560">
      <w:pPr>
        <w:pStyle w:val="25"/>
        <w:spacing w:line="360" w:lineRule="auto"/>
        <w:contextualSpacing/>
        <w:rPr>
          <w:rFonts w:hint="eastAsia"/>
          <w:color w:val="auto"/>
          <w:sz w:val="24"/>
          <w:szCs w:val="24"/>
          <w:highlight w:val="none"/>
        </w:rPr>
      </w:pPr>
      <w:r>
        <w:rPr>
          <w:rFonts w:hint="eastAsia" w:hAnsi="宋体" w:cs="仿宋_GB2312"/>
          <w:color w:val="auto"/>
          <w:sz w:val="24"/>
          <w:highlight w:val="none"/>
        </w:rPr>
        <w:t>分标（如有）</w:t>
      </w:r>
      <w:r>
        <w:rPr>
          <w:rFonts w:hint="eastAsia"/>
          <w:color w:val="auto"/>
          <w:sz w:val="24"/>
          <w:szCs w:val="24"/>
          <w:highlight w:val="none"/>
        </w:rPr>
        <w:t>：</w:t>
      </w:r>
      <w:r>
        <w:rPr>
          <w:rFonts w:hint="eastAsia"/>
          <w:color w:val="auto"/>
          <w:sz w:val="24"/>
          <w:szCs w:val="24"/>
          <w:highlight w:val="none"/>
          <w:u w:val="single"/>
        </w:rPr>
        <w:t xml:space="preserve">         </w:t>
      </w:r>
    </w:p>
    <w:tbl>
      <w:tblPr>
        <w:tblStyle w:val="45"/>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23C4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noWrap w:val="0"/>
            <w:vAlign w:val="center"/>
          </w:tcPr>
          <w:p w14:paraId="3405119F">
            <w:pPr>
              <w:ind w:left="223" w:hanging="222"/>
              <w:jc w:val="center"/>
              <w:rPr>
                <w:color w:val="auto"/>
                <w:highlight w:val="none"/>
              </w:rPr>
            </w:pPr>
            <w:r>
              <w:rPr>
                <w:color w:val="auto"/>
                <w:highlight w:val="none"/>
              </w:rPr>
              <w:t>岗位</w:t>
            </w:r>
          </w:p>
        </w:tc>
        <w:tc>
          <w:tcPr>
            <w:tcW w:w="670" w:type="dxa"/>
            <w:vMerge w:val="restart"/>
            <w:noWrap w:val="0"/>
            <w:vAlign w:val="center"/>
          </w:tcPr>
          <w:p w14:paraId="0FF4BF10">
            <w:pPr>
              <w:ind w:left="223" w:hanging="222"/>
              <w:jc w:val="center"/>
              <w:rPr>
                <w:color w:val="auto"/>
                <w:highlight w:val="none"/>
              </w:rPr>
            </w:pPr>
            <w:r>
              <w:rPr>
                <w:color w:val="auto"/>
                <w:highlight w:val="none"/>
              </w:rPr>
              <w:t>姓名</w:t>
            </w:r>
          </w:p>
        </w:tc>
        <w:tc>
          <w:tcPr>
            <w:tcW w:w="829" w:type="dxa"/>
            <w:vMerge w:val="restart"/>
            <w:noWrap w:val="0"/>
            <w:vAlign w:val="center"/>
          </w:tcPr>
          <w:p w14:paraId="32F804D9">
            <w:pPr>
              <w:jc w:val="center"/>
              <w:rPr>
                <w:color w:val="auto"/>
                <w:highlight w:val="none"/>
              </w:rPr>
            </w:pPr>
            <w:r>
              <w:rPr>
                <w:color w:val="auto"/>
                <w:highlight w:val="none"/>
              </w:rPr>
              <w:t>身份证号</w:t>
            </w:r>
          </w:p>
        </w:tc>
        <w:tc>
          <w:tcPr>
            <w:tcW w:w="816" w:type="dxa"/>
            <w:vMerge w:val="restart"/>
            <w:noWrap w:val="0"/>
            <w:vAlign w:val="center"/>
          </w:tcPr>
          <w:p w14:paraId="152294EB">
            <w:pPr>
              <w:ind w:left="223" w:hanging="222"/>
              <w:jc w:val="center"/>
              <w:rPr>
                <w:color w:val="auto"/>
                <w:highlight w:val="none"/>
              </w:rPr>
            </w:pPr>
            <w:r>
              <w:rPr>
                <w:color w:val="auto"/>
                <w:highlight w:val="none"/>
              </w:rPr>
              <w:t>职称</w:t>
            </w:r>
          </w:p>
        </w:tc>
        <w:tc>
          <w:tcPr>
            <w:tcW w:w="4188" w:type="dxa"/>
            <w:gridSpan w:val="4"/>
            <w:noWrap w:val="0"/>
            <w:vAlign w:val="center"/>
          </w:tcPr>
          <w:p w14:paraId="1939347A">
            <w:pPr>
              <w:ind w:left="223" w:hanging="222"/>
              <w:jc w:val="center"/>
              <w:rPr>
                <w:color w:val="auto"/>
                <w:highlight w:val="none"/>
              </w:rPr>
            </w:pPr>
            <w:r>
              <w:rPr>
                <w:color w:val="auto"/>
                <w:highlight w:val="none"/>
              </w:rPr>
              <w:t>执业或职业资格</w:t>
            </w:r>
          </w:p>
        </w:tc>
        <w:tc>
          <w:tcPr>
            <w:tcW w:w="2443" w:type="dxa"/>
            <w:gridSpan w:val="2"/>
            <w:noWrap w:val="0"/>
            <w:vAlign w:val="center"/>
          </w:tcPr>
          <w:p w14:paraId="09BB8C8C">
            <w:pPr>
              <w:jc w:val="left"/>
              <w:rPr>
                <w:color w:val="auto"/>
                <w:highlight w:val="none"/>
              </w:rPr>
            </w:pPr>
            <w:r>
              <w:rPr>
                <w:color w:val="auto"/>
                <w:highlight w:val="none"/>
              </w:rPr>
              <w:t>承担完工</w:t>
            </w:r>
            <w:r>
              <w:rPr>
                <w:rFonts w:hint="eastAsia"/>
                <w:color w:val="auto"/>
                <w:highlight w:val="none"/>
              </w:rPr>
              <w:t>、</w:t>
            </w:r>
            <w:r>
              <w:rPr>
                <w:color w:val="auto"/>
                <w:highlight w:val="none"/>
              </w:rPr>
              <w:t>在建工程情况</w:t>
            </w:r>
          </w:p>
        </w:tc>
      </w:tr>
      <w:tr w14:paraId="5ECF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noWrap w:val="0"/>
            <w:vAlign w:val="center"/>
          </w:tcPr>
          <w:p w14:paraId="03258401">
            <w:pPr>
              <w:ind w:left="223" w:hanging="222"/>
              <w:jc w:val="center"/>
              <w:rPr>
                <w:color w:val="auto"/>
                <w:highlight w:val="none"/>
              </w:rPr>
            </w:pPr>
          </w:p>
        </w:tc>
        <w:tc>
          <w:tcPr>
            <w:tcW w:w="670" w:type="dxa"/>
            <w:vMerge w:val="continue"/>
            <w:noWrap w:val="0"/>
            <w:vAlign w:val="center"/>
          </w:tcPr>
          <w:p w14:paraId="3BFD6E75">
            <w:pPr>
              <w:ind w:left="223" w:hanging="222"/>
              <w:jc w:val="center"/>
              <w:rPr>
                <w:color w:val="auto"/>
                <w:highlight w:val="none"/>
              </w:rPr>
            </w:pPr>
          </w:p>
        </w:tc>
        <w:tc>
          <w:tcPr>
            <w:tcW w:w="829" w:type="dxa"/>
            <w:vMerge w:val="continue"/>
            <w:noWrap w:val="0"/>
            <w:vAlign w:val="center"/>
          </w:tcPr>
          <w:p w14:paraId="66AE7E90">
            <w:pPr>
              <w:ind w:left="223" w:hanging="222"/>
              <w:jc w:val="center"/>
              <w:rPr>
                <w:color w:val="auto"/>
                <w:highlight w:val="none"/>
              </w:rPr>
            </w:pPr>
          </w:p>
        </w:tc>
        <w:tc>
          <w:tcPr>
            <w:tcW w:w="816" w:type="dxa"/>
            <w:vMerge w:val="continue"/>
            <w:noWrap w:val="0"/>
            <w:vAlign w:val="center"/>
          </w:tcPr>
          <w:p w14:paraId="7FEB0A2D">
            <w:pPr>
              <w:ind w:left="223" w:hanging="222"/>
              <w:jc w:val="center"/>
              <w:rPr>
                <w:color w:val="auto"/>
                <w:highlight w:val="none"/>
              </w:rPr>
            </w:pPr>
          </w:p>
        </w:tc>
        <w:tc>
          <w:tcPr>
            <w:tcW w:w="1148" w:type="dxa"/>
            <w:noWrap w:val="0"/>
            <w:vAlign w:val="center"/>
          </w:tcPr>
          <w:p w14:paraId="17E4C1D0">
            <w:pPr>
              <w:ind w:left="223" w:hanging="222"/>
              <w:jc w:val="center"/>
              <w:rPr>
                <w:color w:val="auto"/>
                <w:highlight w:val="none"/>
              </w:rPr>
            </w:pPr>
            <w:r>
              <w:rPr>
                <w:color w:val="auto"/>
                <w:highlight w:val="none"/>
              </w:rPr>
              <w:t>证书名称</w:t>
            </w:r>
          </w:p>
        </w:tc>
        <w:tc>
          <w:tcPr>
            <w:tcW w:w="1148" w:type="dxa"/>
            <w:noWrap w:val="0"/>
            <w:vAlign w:val="center"/>
          </w:tcPr>
          <w:p w14:paraId="06B5B3E5">
            <w:pPr>
              <w:ind w:left="223" w:hanging="222"/>
              <w:jc w:val="center"/>
              <w:rPr>
                <w:color w:val="auto"/>
                <w:highlight w:val="none"/>
              </w:rPr>
            </w:pPr>
            <w:r>
              <w:rPr>
                <w:color w:val="auto"/>
                <w:highlight w:val="none"/>
              </w:rPr>
              <w:t>级别</w:t>
            </w:r>
          </w:p>
        </w:tc>
        <w:tc>
          <w:tcPr>
            <w:tcW w:w="1148" w:type="dxa"/>
            <w:noWrap w:val="0"/>
            <w:vAlign w:val="center"/>
          </w:tcPr>
          <w:p w14:paraId="5220F340">
            <w:pPr>
              <w:ind w:left="223" w:hanging="222"/>
              <w:jc w:val="center"/>
              <w:rPr>
                <w:color w:val="auto"/>
                <w:highlight w:val="none"/>
              </w:rPr>
            </w:pPr>
            <w:r>
              <w:rPr>
                <w:color w:val="auto"/>
                <w:highlight w:val="none"/>
              </w:rPr>
              <w:t>证号</w:t>
            </w:r>
          </w:p>
        </w:tc>
        <w:tc>
          <w:tcPr>
            <w:tcW w:w="744" w:type="dxa"/>
            <w:noWrap w:val="0"/>
            <w:vAlign w:val="center"/>
          </w:tcPr>
          <w:p w14:paraId="4A288367">
            <w:pPr>
              <w:ind w:left="223" w:hanging="222"/>
              <w:jc w:val="center"/>
              <w:rPr>
                <w:color w:val="auto"/>
                <w:highlight w:val="none"/>
              </w:rPr>
            </w:pPr>
            <w:r>
              <w:rPr>
                <w:color w:val="auto"/>
                <w:highlight w:val="none"/>
              </w:rPr>
              <w:t>专业</w:t>
            </w:r>
          </w:p>
        </w:tc>
        <w:tc>
          <w:tcPr>
            <w:tcW w:w="1167" w:type="dxa"/>
            <w:noWrap w:val="0"/>
            <w:vAlign w:val="center"/>
          </w:tcPr>
          <w:p w14:paraId="26565524">
            <w:pPr>
              <w:jc w:val="center"/>
              <w:rPr>
                <w:color w:val="auto"/>
                <w:highlight w:val="none"/>
              </w:rPr>
            </w:pPr>
            <w:r>
              <w:rPr>
                <w:rFonts w:hint="eastAsia"/>
                <w:color w:val="auto"/>
                <w:highlight w:val="none"/>
              </w:rPr>
              <w:t>完工/在建</w:t>
            </w:r>
          </w:p>
        </w:tc>
        <w:tc>
          <w:tcPr>
            <w:tcW w:w="1276" w:type="dxa"/>
            <w:noWrap w:val="0"/>
            <w:vAlign w:val="center"/>
          </w:tcPr>
          <w:p w14:paraId="037051EF">
            <w:pPr>
              <w:jc w:val="center"/>
              <w:rPr>
                <w:color w:val="auto"/>
                <w:highlight w:val="none"/>
              </w:rPr>
            </w:pPr>
            <w:r>
              <w:rPr>
                <w:color w:val="auto"/>
                <w:highlight w:val="none"/>
              </w:rPr>
              <w:t>主要项目</w:t>
            </w:r>
          </w:p>
          <w:p w14:paraId="5D47FBAF">
            <w:pPr>
              <w:jc w:val="center"/>
              <w:rPr>
                <w:color w:val="auto"/>
                <w:highlight w:val="none"/>
              </w:rPr>
            </w:pPr>
            <w:r>
              <w:rPr>
                <w:color w:val="auto"/>
                <w:highlight w:val="none"/>
              </w:rPr>
              <w:t>名称</w:t>
            </w:r>
          </w:p>
        </w:tc>
      </w:tr>
      <w:tr w14:paraId="1D89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670C7F86">
            <w:pPr>
              <w:pStyle w:val="312"/>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1.</w:t>
            </w:r>
            <w:r>
              <w:rPr>
                <w:color w:val="auto"/>
                <w:sz w:val="21"/>
                <w:szCs w:val="21"/>
                <w:highlight w:val="none"/>
              </w:rPr>
              <w:t>项目经理</w:t>
            </w:r>
          </w:p>
        </w:tc>
        <w:tc>
          <w:tcPr>
            <w:tcW w:w="670" w:type="dxa"/>
            <w:noWrap w:val="0"/>
            <w:vAlign w:val="center"/>
          </w:tcPr>
          <w:p w14:paraId="7F060181">
            <w:pPr>
              <w:ind w:left="223" w:hanging="222"/>
              <w:jc w:val="center"/>
              <w:rPr>
                <w:color w:val="auto"/>
                <w:szCs w:val="21"/>
                <w:highlight w:val="none"/>
              </w:rPr>
            </w:pPr>
          </w:p>
        </w:tc>
        <w:tc>
          <w:tcPr>
            <w:tcW w:w="829" w:type="dxa"/>
            <w:noWrap w:val="0"/>
            <w:vAlign w:val="center"/>
          </w:tcPr>
          <w:p w14:paraId="76826335">
            <w:pPr>
              <w:ind w:left="223" w:hanging="222"/>
              <w:jc w:val="center"/>
              <w:rPr>
                <w:color w:val="auto"/>
                <w:szCs w:val="21"/>
                <w:highlight w:val="none"/>
              </w:rPr>
            </w:pPr>
          </w:p>
        </w:tc>
        <w:tc>
          <w:tcPr>
            <w:tcW w:w="816" w:type="dxa"/>
            <w:noWrap w:val="0"/>
            <w:vAlign w:val="center"/>
          </w:tcPr>
          <w:p w14:paraId="0F20FE92">
            <w:pPr>
              <w:ind w:left="223" w:hanging="222"/>
              <w:jc w:val="center"/>
              <w:rPr>
                <w:color w:val="auto"/>
                <w:szCs w:val="21"/>
                <w:highlight w:val="none"/>
              </w:rPr>
            </w:pPr>
          </w:p>
        </w:tc>
        <w:tc>
          <w:tcPr>
            <w:tcW w:w="1148" w:type="dxa"/>
            <w:noWrap w:val="0"/>
            <w:vAlign w:val="center"/>
          </w:tcPr>
          <w:p w14:paraId="2FA6EC62">
            <w:pPr>
              <w:ind w:left="223" w:hanging="222"/>
              <w:jc w:val="center"/>
              <w:rPr>
                <w:color w:val="auto"/>
                <w:szCs w:val="21"/>
                <w:highlight w:val="none"/>
              </w:rPr>
            </w:pPr>
          </w:p>
        </w:tc>
        <w:tc>
          <w:tcPr>
            <w:tcW w:w="1148" w:type="dxa"/>
            <w:noWrap w:val="0"/>
            <w:vAlign w:val="center"/>
          </w:tcPr>
          <w:p w14:paraId="25C36B40">
            <w:pPr>
              <w:ind w:left="223" w:hanging="222"/>
              <w:jc w:val="center"/>
              <w:rPr>
                <w:color w:val="auto"/>
                <w:szCs w:val="21"/>
                <w:highlight w:val="none"/>
              </w:rPr>
            </w:pPr>
          </w:p>
        </w:tc>
        <w:tc>
          <w:tcPr>
            <w:tcW w:w="1148" w:type="dxa"/>
            <w:noWrap w:val="0"/>
            <w:vAlign w:val="center"/>
          </w:tcPr>
          <w:p w14:paraId="2B34F819">
            <w:pPr>
              <w:ind w:left="223" w:hanging="222"/>
              <w:jc w:val="center"/>
              <w:rPr>
                <w:color w:val="auto"/>
                <w:szCs w:val="21"/>
                <w:highlight w:val="none"/>
              </w:rPr>
            </w:pPr>
          </w:p>
        </w:tc>
        <w:tc>
          <w:tcPr>
            <w:tcW w:w="744" w:type="dxa"/>
            <w:noWrap w:val="0"/>
            <w:vAlign w:val="center"/>
          </w:tcPr>
          <w:p w14:paraId="670322EB">
            <w:pPr>
              <w:ind w:left="223" w:hanging="222"/>
              <w:jc w:val="center"/>
              <w:rPr>
                <w:color w:val="auto"/>
                <w:szCs w:val="21"/>
                <w:highlight w:val="none"/>
              </w:rPr>
            </w:pPr>
          </w:p>
        </w:tc>
        <w:tc>
          <w:tcPr>
            <w:tcW w:w="1167" w:type="dxa"/>
            <w:noWrap w:val="0"/>
            <w:vAlign w:val="center"/>
          </w:tcPr>
          <w:p w14:paraId="0EC1A246">
            <w:pPr>
              <w:ind w:left="223" w:hanging="222"/>
              <w:jc w:val="center"/>
              <w:rPr>
                <w:color w:val="auto"/>
                <w:szCs w:val="21"/>
                <w:highlight w:val="none"/>
              </w:rPr>
            </w:pPr>
          </w:p>
        </w:tc>
        <w:tc>
          <w:tcPr>
            <w:tcW w:w="1276" w:type="dxa"/>
            <w:noWrap w:val="0"/>
            <w:vAlign w:val="center"/>
          </w:tcPr>
          <w:p w14:paraId="1D2D559A">
            <w:pPr>
              <w:ind w:left="223" w:hanging="222"/>
              <w:jc w:val="center"/>
              <w:rPr>
                <w:color w:val="auto"/>
                <w:szCs w:val="21"/>
                <w:highlight w:val="none"/>
              </w:rPr>
            </w:pPr>
          </w:p>
        </w:tc>
      </w:tr>
      <w:tr w14:paraId="670C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6A1495A6">
            <w:pPr>
              <w:pStyle w:val="312"/>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bidi="en-US"/>
              </w:rPr>
              <w:t>2.</w:t>
            </w:r>
            <w:r>
              <w:rPr>
                <w:color w:val="auto"/>
                <w:sz w:val="21"/>
                <w:szCs w:val="21"/>
                <w:highlight w:val="none"/>
              </w:rPr>
              <w:t>技术负责人</w:t>
            </w:r>
            <w:r>
              <w:rPr>
                <w:rFonts w:hint="eastAsia"/>
                <w:color w:val="auto"/>
                <w:sz w:val="21"/>
                <w:szCs w:val="21"/>
                <w:highlight w:val="none"/>
              </w:rPr>
              <w:t>（项目总工）</w:t>
            </w:r>
          </w:p>
        </w:tc>
        <w:tc>
          <w:tcPr>
            <w:tcW w:w="670" w:type="dxa"/>
            <w:noWrap w:val="0"/>
            <w:vAlign w:val="center"/>
          </w:tcPr>
          <w:p w14:paraId="7722BE0A">
            <w:pPr>
              <w:ind w:left="223" w:hanging="222"/>
              <w:jc w:val="center"/>
              <w:rPr>
                <w:color w:val="auto"/>
                <w:szCs w:val="21"/>
                <w:highlight w:val="none"/>
              </w:rPr>
            </w:pPr>
          </w:p>
        </w:tc>
        <w:tc>
          <w:tcPr>
            <w:tcW w:w="829" w:type="dxa"/>
            <w:noWrap w:val="0"/>
            <w:vAlign w:val="center"/>
          </w:tcPr>
          <w:p w14:paraId="008516F5">
            <w:pPr>
              <w:ind w:left="223" w:hanging="222"/>
              <w:jc w:val="center"/>
              <w:rPr>
                <w:color w:val="auto"/>
                <w:szCs w:val="21"/>
                <w:highlight w:val="none"/>
              </w:rPr>
            </w:pPr>
          </w:p>
        </w:tc>
        <w:tc>
          <w:tcPr>
            <w:tcW w:w="816" w:type="dxa"/>
            <w:noWrap w:val="0"/>
            <w:vAlign w:val="center"/>
          </w:tcPr>
          <w:p w14:paraId="7E8D1768">
            <w:pPr>
              <w:ind w:left="223" w:hanging="222"/>
              <w:jc w:val="center"/>
              <w:rPr>
                <w:color w:val="auto"/>
                <w:szCs w:val="21"/>
                <w:highlight w:val="none"/>
              </w:rPr>
            </w:pPr>
          </w:p>
        </w:tc>
        <w:tc>
          <w:tcPr>
            <w:tcW w:w="1148" w:type="dxa"/>
            <w:noWrap w:val="0"/>
            <w:vAlign w:val="center"/>
          </w:tcPr>
          <w:p w14:paraId="35A52040">
            <w:pPr>
              <w:ind w:left="223" w:hanging="222"/>
              <w:jc w:val="center"/>
              <w:rPr>
                <w:color w:val="auto"/>
                <w:szCs w:val="21"/>
                <w:highlight w:val="none"/>
              </w:rPr>
            </w:pPr>
          </w:p>
        </w:tc>
        <w:tc>
          <w:tcPr>
            <w:tcW w:w="1148" w:type="dxa"/>
            <w:noWrap w:val="0"/>
            <w:vAlign w:val="center"/>
          </w:tcPr>
          <w:p w14:paraId="799C16C4">
            <w:pPr>
              <w:ind w:left="223" w:hanging="222"/>
              <w:jc w:val="center"/>
              <w:rPr>
                <w:color w:val="auto"/>
                <w:szCs w:val="21"/>
                <w:highlight w:val="none"/>
              </w:rPr>
            </w:pPr>
          </w:p>
        </w:tc>
        <w:tc>
          <w:tcPr>
            <w:tcW w:w="1148" w:type="dxa"/>
            <w:noWrap w:val="0"/>
            <w:vAlign w:val="center"/>
          </w:tcPr>
          <w:p w14:paraId="11D5CA78">
            <w:pPr>
              <w:ind w:left="223" w:hanging="222"/>
              <w:jc w:val="center"/>
              <w:rPr>
                <w:color w:val="auto"/>
                <w:szCs w:val="21"/>
                <w:highlight w:val="none"/>
              </w:rPr>
            </w:pPr>
          </w:p>
        </w:tc>
        <w:tc>
          <w:tcPr>
            <w:tcW w:w="744" w:type="dxa"/>
            <w:noWrap w:val="0"/>
            <w:vAlign w:val="center"/>
          </w:tcPr>
          <w:p w14:paraId="57246FF6">
            <w:pPr>
              <w:ind w:left="223" w:hanging="222"/>
              <w:jc w:val="center"/>
              <w:rPr>
                <w:color w:val="auto"/>
                <w:szCs w:val="21"/>
                <w:highlight w:val="none"/>
              </w:rPr>
            </w:pPr>
          </w:p>
        </w:tc>
        <w:tc>
          <w:tcPr>
            <w:tcW w:w="1167" w:type="dxa"/>
            <w:noWrap w:val="0"/>
            <w:vAlign w:val="center"/>
          </w:tcPr>
          <w:p w14:paraId="24A719FE">
            <w:pPr>
              <w:ind w:left="223" w:hanging="222"/>
              <w:jc w:val="center"/>
              <w:rPr>
                <w:color w:val="auto"/>
                <w:szCs w:val="21"/>
                <w:highlight w:val="none"/>
              </w:rPr>
            </w:pPr>
          </w:p>
        </w:tc>
        <w:tc>
          <w:tcPr>
            <w:tcW w:w="1276" w:type="dxa"/>
            <w:noWrap w:val="0"/>
            <w:vAlign w:val="center"/>
          </w:tcPr>
          <w:p w14:paraId="3B681A6E">
            <w:pPr>
              <w:ind w:left="223" w:hanging="222"/>
              <w:jc w:val="center"/>
              <w:rPr>
                <w:color w:val="auto"/>
                <w:szCs w:val="21"/>
                <w:highlight w:val="none"/>
              </w:rPr>
            </w:pPr>
          </w:p>
        </w:tc>
      </w:tr>
      <w:tr w14:paraId="3312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48747F06">
            <w:pPr>
              <w:pStyle w:val="312"/>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3.</w:t>
            </w:r>
            <w:r>
              <w:rPr>
                <w:rFonts w:hint="eastAsia"/>
                <w:color w:val="auto"/>
                <w:sz w:val="21"/>
                <w:szCs w:val="21"/>
                <w:highlight w:val="none"/>
              </w:rPr>
              <w:t xml:space="preserve"> 施工员</w:t>
            </w:r>
          </w:p>
        </w:tc>
        <w:tc>
          <w:tcPr>
            <w:tcW w:w="670" w:type="dxa"/>
            <w:noWrap w:val="0"/>
            <w:vAlign w:val="center"/>
          </w:tcPr>
          <w:p w14:paraId="78A75593">
            <w:pPr>
              <w:ind w:left="223" w:hanging="222"/>
              <w:jc w:val="center"/>
              <w:rPr>
                <w:color w:val="auto"/>
                <w:szCs w:val="21"/>
                <w:highlight w:val="none"/>
              </w:rPr>
            </w:pPr>
          </w:p>
        </w:tc>
        <w:tc>
          <w:tcPr>
            <w:tcW w:w="829" w:type="dxa"/>
            <w:noWrap w:val="0"/>
            <w:vAlign w:val="center"/>
          </w:tcPr>
          <w:p w14:paraId="3B6412A0">
            <w:pPr>
              <w:ind w:left="223" w:hanging="222"/>
              <w:jc w:val="center"/>
              <w:rPr>
                <w:color w:val="auto"/>
                <w:szCs w:val="21"/>
                <w:highlight w:val="none"/>
              </w:rPr>
            </w:pPr>
          </w:p>
        </w:tc>
        <w:tc>
          <w:tcPr>
            <w:tcW w:w="816" w:type="dxa"/>
            <w:noWrap w:val="0"/>
            <w:vAlign w:val="center"/>
          </w:tcPr>
          <w:p w14:paraId="21F76E1F">
            <w:pPr>
              <w:ind w:left="223" w:hanging="222"/>
              <w:jc w:val="center"/>
              <w:rPr>
                <w:color w:val="auto"/>
                <w:szCs w:val="21"/>
                <w:highlight w:val="none"/>
              </w:rPr>
            </w:pPr>
          </w:p>
        </w:tc>
        <w:tc>
          <w:tcPr>
            <w:tcW w:w="1148" w:type="dxa"/>
            <w:noWrap w:val="0"/>
            <w:vAlign w:val="center"/>
          </w:tcPr>
          <w:p w14:paraId="0FD185B2">
            <w:pPr>
              <w:ind w:left="223" w:hanging="222"/>
              <w:jc w:val="center"/>
              <w:rPr>
                <w:color w:val="auto"/>
                <w:szCs w:val="21"/>
                <w:highlight w:val="none"/>
              </w:rPr>
            </w:pPr>
          </w:p>
        </w:tc>
        <w:tc>
          <w:tcPr>
            <w:tcW w:w="1148" w:type="dxa"/>
            <w:noWrap w:val="0"/>
            <w:vAlign w:val="center"/>
          </w:tcPr>
          <w:p w14:paraId="0CF63370">
            <w:pPr>
              <w:ind w:left="223" w:hanging="222"/>
              <w:jc w:val="center"/>
              <w:rPr>
                <w:color w:val="auto"/>
                <w:szCs w:val="21"/>
                <w:highlight w:val="none"/>
              </w:rPr>
            </w:pPr>
          </w:p>
        </w:tc>
        <w:tc>
          <w:tcPr>
            <w:tcW w:w="1148" w:type="dxa"/>
            <w:noWrap w:val="0"/>
            <w:vAlign w:val="center"/>
          </w:tcPr>
          <w:p w14:paraId="1556CB8B">
            <w:pPr>
              <w:ind w:left="223" w:hanging="222"/>
              <w:jc w:val="center"/>
              <w:rPr>
                <w:color w:val="auto"/>
                <w:szCs w:val="21"/>
                <w:highlight w:val="none"/>
              </w:rPr>
            </w:pPr>
          </w:p>
        </w:tc>
        <w:tc>
          <w:tcPr>
            <w:tcW w:w="744" w:type="dxa"/>
            <w:noWrap w:val="0"/>
            <w:vAlign w:val="center"/>
          </w:tcPr>
          <w:p w14:paraId="33649A14">
            <w:pPr>
              <w:ind w:left="223" w:hanging="222"/>
              <w:jc w:val="center"/>
              <w:rPr>
                <w:color w:val="auto"/>
                <w:szCs w:val="21"/>
                <w:highlight w:val="none"/>
              </w:rPr>
            </w:pPr>
          </w:p>
        </w:tc>
        <w:tc>
          <w:tcPr>
            <w:tcW w:w="1167" w:type="dxa"/>
            <w:noWrap w:val="0"/>
            <w:vAlign w:val="center"/>
          </w:tcPr>
          <w:p w14:paraId="3A17881E">
            <w:pPr>
              <w:ind w:left="223" w:hanging="222"/>
              <w:jc w:val="center"/>
              <w:rPr>
                <w:color w:val="auto"/>
                <w:szCs w:val="21"/>
                <w:highlight w:val="none"/>
              </w:rPr>
            </w:pPr>
          </w:p>
        </w:tc>
        <w:tc>
          <w:tcPr>
            <w:tcW w:w="1276" w:type="dxa"/>
            <w:noWrap w:val="0"/>
            <w:vAlign w:val="center"/>
          </w:tcPr>
          <w:p w14:paraId="61AE5831">
            <w:pPr>
              <w:ind w:left="223" w:hanging="222"/>
              <w:jc w:val="center"/>
              <w:rPr>
                <w:color w:val="auto"/>
                <w:szCs w:val="21"/>
                <w:highlight w:val="none"/>
              </w:rPr>
            </w:pPr>
          </w:p>
        </w:tc>
      </w:tr>
      <w:tr w14:paraId="57EF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70222D8F">
            <w:pPr>
              <w:pStyle w:val="312"/>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4.</w:t>
            </w:r>
            <w:r>
              <w:rPr>
                <w:rFonts w:hint="eastAsia" w:ascii="Times New Roman" w:hAnsi="Times New Roman" w:eastAsia="Times New Roman" w:cs="Times New Roman"/>
                <w:color w:val="auto"/>
                <w:sz w:val="21"/>
                <w:szCs w:val="21"/>
                <w:highlight w:val="none"/>
                <w:lang w:val="en-US" w:eastAsia="en-US" w:bidi="en-US"/>
              </w:rPr>
              <w:t>专职安全生产管理人员</w:t>
            </w:r>
          </w:p>
        </w:tc>
        <w:tc>
          <w:tcPr>
            <w:tcW w:w="670" w:type="dxa"/>
            <w:noWrap w:val="0"/>
            <w:vAlign w:val="center"/>
          </w:tcPr>
          <w:p w14:paraId="2B5F3B3E">
            <w:pPr>
              <w:ind w:left="223" w:hanging="222"/>
              <w:jc w:val="center"/>
              <w:rPr>
                <w:color w:val="auto"/>
                <w:szCs w:val="21"/>
                <w:highlight w:val="none"/>
              </w:rPr>
            </w:pPr>
          </w:p>
        </w:tc>
        <w:tc>
          <w:tcPr>
            <w:tcW w:w="829" w:type="dxa"/>
            <w:noWrap w:val="0"/>
            <w:vAlign w:val="center"/>
          </w:tcPr>
          <w:p w14:paraId="401B02DA">
            <w:pPr>
              <w:ind w:left="223" w:hanging="222"/>
              <w:jc w:val="center"/>
              <w:rPr>
                <w:color w:val="auto"/>
                <w:szCs w:val="21"/>
                <w:highlight w:val="none"/>
              </w:rPr>
            </w:pPr>
          </w:p>
        </w:tc>
        <w:tc>
          <w:tcPr>
            <w:tcW w:w="816" w:type="dxa"/>
            <w:noWrap w:val="0"/>
            <w:vAlign w:val="center"/>
          </w:tcPr>
          <w:p w14:paraId="1DF033F6">
            <w:pPr>
              <w:ind w:left="223" w:hanging="222"/>
              <w:jc w:val="center"/>
              <w:rPr>
                <w:color w:val="auto"/>
                <w:szCs w:val="21"/>
                <w:highlight w:val="none"/>
              </w:rPr>
            </w:pPr>
          </w:p>
        </w:tc>
        <w:tc>
          <w:tcPr>
            <w:tcW w:w="1148" w:type="dxa"/>
            <w:noWrap w:val="0"/>
            <w:vAlign w:val="center"/>
          </w:tcPr>
          <w:p w14:paraId="2F99DD89">
            <w:pPr>
              <w:ind w:left="223" w:hanging="222"/>
              <w:jc w:val="center"/>
              <w:rPr>
                <w:color w:val="auto"/>
                <w:szCs w:val="21"/>
                <w:highlight w:val="none"/>
              </w:rPr>
            </w:pPr>
          </w:p>
        </w:tc>
        <w:tc>
          <w:tcPr>
            <w:tcW w:w="1148" w:type="dxa"/>
            <w:noWrap w:val="0"/>
            <w:vAlign w:val="center"/>
          </w:tcPr>
          <w:p w14:paraId="2F198840">
            <w:pPr>
              <w:ind w:left="223" w:hanging="222"/>
              <w:jc w:val="center"/>
              <w:rPr>
                <w:color w:val="auto"/>
                <w:szCs w:val="21"/>
                <w:highlight w:val="none"/>
              </w:rPr>
            </w:pPr>
          </w:p>
        </w:tc>
        <w:tc>
          <w:tcPr>
            <w:tcW w:w="1148" w:type="dxa"/>
            <w:noWrap w:val="0"/>
            <w:vAlign w:val="center"/>
          </w:tcPr>
          <w:p w14:paraId="0827DFE1">
            <w:pPr>
              <w:ind w:left="223" w:hanging="222"/>
              <w:jc w:val="center"/>
              <w:rPr>
                <w:color w:val="auto"/>
                <w:szCs w:val="21"/>
                <w:highlight w:val="none"/>
              </w:rPr>
            </w:pPr>
          </w:p>
        </w:tc>
        <w:tc>
          <w:tcPr>
            <w:tcW w:w="744" w:type="dxa"/>
            <w:noWrap w:val="0"/>
            <w:vAlign w:val="center"/>
          </w:tcPr>
          <w:p w14:paraId="7CDDD2B8">
            <w:pPr>
              <w:ind w:left="223" w:hanging="222"/>
              <w:jc w:val="center"/>
              <w:rPr>
                <w:color w:val="auto"/>
                <w:szCs w:val="21"/>
                <w:highlight w:val="none"/>
              </w:rPr>
            </w:pPr>
          </w:p>
        </w:tc>
        <w:tc>
          <w:tcPr>
            <w:tcW w:w="1167" w:type="dxa"/>
            <w:noWrap w:val="0"/>
            <w:vAlign w:val="center"/>
          </w:tcPr>
          <w:p w14:paraId="46499657">
            <w:pPr>
              <w:ind w:left="223" w:hanging="222"/>
              <w:jc w:val="center"/>
              <w:rPr>
                <w:color w:val="auto"/>
                <w:szCs w:val="21"/>
                <w:highlight w:val="none"/>
              </w:rPr>
            </w:pPr>
          </w:p>
        </w:tc>
        <w:tc>
          <w:tcPr>
            <w:tcW w:w="1276" w:type="dxa"/>
            <w:noWrap w:val="0"/>
            <w:vAlign w:val="center"/>
          </w:tcPr>
          <w:p w14:paraId="5971B640">
            <w:pPr>
              <w:ind w:left="223" w:hanging="222"/>
              <w:jc w:val="center"/>
              <w:rPr>
                <w:color w:val="auto"/>
                <w:szCs w:val="21"/>
                <w:highlight w:val="none"/>
              </w:rPr>
            </w:pPr>
          </w:p>
        </w:tc>
      </w:tr>
      <w:tr w14:paraId="0569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1EBB59F2">
            <w:pPr>
              <w:jc w:val="left"/>
              <w:rPr>
                <w:color w:val="auto"/>
                <w:szCs w:val="21"/>
                <w:highlight w:val="none"/>
              </w:rPr>
            </w:pPr>
            <w:r>
              <w:rPr>
                <w:rFonts w:hint="eastAsia"/>
                <w:color w:val="auto"/>
                <w:szCs w:val="21"/>
                <w:highlight w:val="none"/>
              </w:rPr>
              <w:t>5.</w:t>
            </w:r>
            <w:r>
              <w:rPr>
                <w:color w:val="auto"/>
                <w:szCs w:val="21"/>
                <w:highlight w:val="none"/>
              </w:rPr>
              <w:t xml:space="preserve"> 质量员</w:t>
            </w:r>
          </w:p>
        </w:tc>
        <w:tc>
          <w:tcPr>
            <w:tcW w:w="670" w:type="dxa"/>
            <w:noWrap w:val="0"/>
            <w:vAlign w:val="center"/>
          </w:tcPr>
          <w:p w14:paraId="1D907A60">
            <w:pPr>
              <w:ind w:left="223" w:hanging="222"/>
              <w:jc w:val="center"/>
              <w:rPr>
                <w:color w:val="auto"/>
                <w:szCs w:val="21"/>
                <w:highlight w:val="none"/>
              </w:rPr>
            </w:pPr>
          </w:p>
        </w:tc>
        <w:tc>
          <w:tcPr>
            <w:tcW w:w="829" w:type="dxa"/>
            <w:noWrap w:val="0"/>
            <w:vAlign w:val="center"/>
          </w:tcPr>
          <w:p w14:paraId="54531B0B">
            <w:pPr>
              <w:ind w:left="223" w:hanging="222"/>
              <w:jc w:val="center"/>
              <w:rPr>
                <w:color w:val="auto"/>
                <w:szCs w:val="21"/>
                <w:highlight w:val="none"/>
              </w:rPr>
            </w:pPr>
          </w:p>
        </w:tc>
        <w:tc>
          <w:tcPr>
            <w:tcW w:w="816" w:type="dxa"/>
            <w:noWrap w:val="0"/>
            <w:vAlign w:val="center"/>
          </w:tcPr>
          <w:p w14:paraId="1DB09806">
            <w:pPr>
              <w:ind w:left="223" w:hanging="222"/>
              <w:jc w:val="center"/>
              <w:rPr>
                <w:color w:val="auto"/>
                <w:szCs w:val="21"/>
                <w:highlight w:val="none"/>
              </w:rPr>
            </w:pPr>
          </w:p>
        </w:tc>
        <w:tc>
          <w:tcPr>
            <w:tcW w:w="1148" w:type="dxa"/>
            <w:noWrap w:val="0"/>
            <w:vAlign w:val="center"/>
          </w:tcPr>
          <w:p w14:paraId="429FF76B">
            <w:pPr>
              <w:ind w:left="223" w:hanging="222"/>
              <w:jc w:val="center"/>
              <w:rPr>
                <w:color w:val="auto"/>
                <w:szCs w:val="21"/>
                <w:highlight w:val="none"/>
              </w:rPr>
            </w:pPr>
          </w:p>
        </w:tc>
        <w:tc>
          <w:tcPr>
            <w:tcW w:w="1148" w:type="dxa"/>
            <w:noWrap w:val="0"/>
            <w:vAlign w:val="center"/>
          </w:tcPr>
          <w:p w14:paraId="72A309D5">
            <w:pPr>
              <w:ind w:left="223" w:hanging="222"/>
              <w:jc w:val="center"/>
              <w:rPr>
                <w:color w:val="auto"/>
                <w:szCs w:val="21"/>
                <w:highlight w:val="none"/>
              </w:rPr>
            </w:pPr>
          </w:p>
        </w:tc>
        <w:tc>
          <w:tcPr>
            <w:tcW w:w="1148" w:type="dxa"/>
            <w:noWrap w:val="0"/>
            <w:vAlign w:val="center"/>
          </w:tcPr>
          <w:p w14:paraId="117E2FC2">
            <w:pPr>
              <w:ind w:left="223" w:hanging="222"/>
              <w:jc w:val="center"/>
              <w:rPr>
                <w:color w:val="auto"/>
                <w:szCs w:val="21"/>
                <w:highlight w:val="none"/>
              </w:rPr>
            </w:pPr>
          </w:p>
        </w:tc>
        <w:tc>
          <w:tcPr>
            <w:tcW w:w="744" w:type="dxa"/>
            <w:noWrap w:val="0"/>
            <w:vAlign w:val="center"/>
          </w:tcPr>
          <w:p w14:paraId="29F638C8">
            <w:pPr>
              <w:ind w:left="223" w:hanging="222"/>
              <w:jc w:val="center"/>
              <w:rPr>
                <w:color w:val="auto"/>
                <w:szCs w:val="21"/>
                <w:highlight w:val="none"/>
              </w:rPr>
            </w:pPr>
          </w:p>
        </w:tc>
        <w:tc>
          <w:tcPr>
            <w:tcW w:w="1167" w:type="dxa"/>
            <w:noWrap w:val="0"/>
            <w:vAlign w:val="center"/>
          </w:tcPr>
          <w:p w14:paraId="40D0BC18">
            <w:pPr>
              <w:ind w:left="223" w:hanging="222"/>
              <w:jc w:val="center"/>
              <w:rPr>
                <w:color w:val="auto"/>
                <w:szCs w:val="21"/>
                <w:highlight w:val="none"/>
              </w:rPr>
            </w:pPr>
          </w:p>
        </w:tc>
        <w:tc>
          <w:tcPr>
            <w:tcW w:w="1276" w:type="dxa"/>
            <w:noWrap w:val="0"/>
            <w:vAlign w:val="center"/>
          </w:tcPr>
          <w:p w14:paraId="25298BF2">
            <w:pPr>
              <w:ind w:left="223" w:hanging="222"/>
              <w:jc w:val="center"/>
              <w:rPr>
                <w:color w:val="auto"/>
                <w:szCs w:val="21"/>
                <w:highlight w:val="none"/>
              </w:rPr>
            </w:pPr>
          </w:p>
        </w:tc>
      </w:tr>
      <w:tr w14:paraId="7C06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3B93E358">
            <w:pPr>
              <w:jc w:val="left"/>
              <w:rPr>
                <w:color w:val="auto"/>
                <w:szCs w:val="21"/>
                <w:highlight w:val="none"/>
              </w:rPr>
            </w:pPr>
            <w:r>
              <w:rPr>
                <w:rFonts w:hint="eastAsia"/>
                <w:color w:val="auto"/>
                <w:szCs w:val="21"/>
                <w:highlight w:val="none"/>
              </w:rPr>
              <w:t>6.材料员</w:t>
            </w:r>
          </w:p>
        </w:tc>
        <w:tc>
          <w:tcPr>
            <w:tcW w:w="670" w:type="dxa"/>
            <w:noWrap w:val="0"/>
            <w:vAlign w:val="center"/>
          </w:tcPr>
          <w:p w14:paraId="05AE7542">
            <w:pPr>
              <w:ind w:left="223" w:hanging="222"/>
              <w:jc w:val="center"/>
              <w:rPr>
                <w:color w:val="auto"/>
                <w:szCs w:val="21"/>
                <w:highlight w:val="none"/>
              </w:rPr>
            </w:pPr>
          </w:p>
        </w:tc>
        <w:tc>
          <w:tcPr>
            <w:tcW w:w="829" w:type="dxa"/>
            <w:noWrap w:val="0"/>
            <w:vAlign w:val="center"/>
          </w:tcPr>
          <w:p w14:paraId="1E07968B">
            <w:pPr>
              <w:ind w:left="223" w:hanging="222"/>
              <w:jc w:val="center"/>
              <w:rPr>
                <w:color w:val="auto"/>
                <w:szCs w:val="21"/>
                <w:highlight w:val="none"/>
              </w:rPr>
            </w:pPr>
          </w:p>
        </w:tc>
        <w:tc>
          <w:tcPr>
            <w:tcW w:w="816" w:type="dxa"/>
            <w:noWrap w:val="0"/>
            <w:vAlign w:val="center"/>
          </w:tcPr>
          <w:p w14:paraId="3761D1B1">
            <w:pPr>
              <w:ind w:left="223" w:hanging="222"/>
              <w:jc w:val="center"/>
              <w:rPr>
                <w:color w:val="auto"/>
                <w:szCs w:val="21"/>
                <w:highlight w:val="none"/>
              </w:rPr>
            </w:pPr>
          </w:p>
        </w:tc>
        <w:tc>
          <w:tcPr>
            <w:tcW w:w="1148" w:type="dxa"/>
            <w:noWrap w:val="0"/>
            <w:vAlign w:val="center"/>
          </w:tcPr>
          <w:p w14:paraId="3A2A5FD8">
            <w:pPr>
              <w:ind w:left="223" w:hanging="222"/>
              <w:jc w:val="center"/>
              <w:rPr>
                <w:color w:val="auto"/>
                <w:szCs w:val="21"/>
                <w:highlight w:val="none"/>
              </w:rPr>
            </w:pPr>
          </w:p>
        </w:tc>
        <w:tc>
          <w:tcPr>
            <w:tcW w:w="1148" w:type="dxa"/>
            <w:noWrap w:val="0"/>
            <w:vAlign w:val="center"/>
          </w:tcPr>
          <w:p w14:paraId="4B42B362">
            <w:pPr>
              <w:ind w:left="223" w:hanging="222"/>
              <w:jc w:val="center"/>
              <w:rPr>
                <w:color w:val="auto"/>
                <w:szCs w:val="21"/>
                <w:highlight w:val="none"/>
              </w:rPr>
            </w:pPr>
          </w:p>
        </w:tc>
        <w:tc>
          <w:tcPr>
            <w:tcW w:w="1148" w:type="dxa"/>
            <w:noWrap w:val="0"/>
            <w:vAlign w:val="center"/>
          </w:tcPr>
          <w:p w14:paraId="318FFC28">
            <w:pPr>
              <w:ind w:left="223" w:hanging="222"/>
              <w:jc w:val="center"/>
              <w:rPr>
                <w:color w:val="auto"/>
                <w:szCs w:val="21"/>
                <w:highlight w:val="none"/>
              </w:rPr>
            </w:pPr>
          </w:p>
        </w:tc>
        <w:tc>
          <w:tcPr>
            <w:tcW w:w="744" w:type="dxa"/>
            <w:noWrap w:val="0"/>
            <w:vAlign w:val="center"/>
          </w:tcPr>
          <w:p w14:paraId="49D9DA12">
            <w:pPr>
              <w:ind w:left="223" w:hanging="222"/>
              <w:jc w:val="center"/>
              <w:rPr>
                <w:color w:val="auto"/>
                <w:szCs w:val="21"/>
                <w:highlight w:val="none"/>
              </w:rPr>
            </w:pPr>
          </w:p>
        </w:tc>
        <w:tc>
          <w:tcPr>
            <w:tcW w:w="1167" w:type="dxa"/>
            <w:noWrap w:val="0"/>
            <w:vAlign w:val="center"/>
          </w:tcPr>
          <w:p w14:paraId="6AD46E60">
            <w:pPr>
              <w:ind w:left="223" w:hanging="222"/>
              <w:jc w:val="center"/>
              <w:rPr>
                <w:color w:val="auto"/>
                <w:szCs w:val="21"/>
                <w:highlight w:val="none"/>
              </w:rPr>
            </w:pPr>
          </w:p>
        </w:tc>
        <w:tc>
          <w:tcPr>
            <w:tcW w:w="1276" w:type="dxa"/>
            <w:noWrap w:val="0"/>
            <w:vAlign w:val="center"/>
          </w:tcPr>
          <w:p w14:paraId="4EB98D25">
            <w:pPr>
              <w:ind w:left="223" w:hanging="222"/>
              <w:jc w:val="center"/>
              <w:rPr>
                <w:color w:val="auto"/>
                <w:szCs w:val="21"/>
                <w:highlight w:val="none"/>
              </w:rPr>
            </w:pPr>
          </w:p>
        </w:tc>
      </w:tr>
      <w:tr w14:paraId="6511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3423CBCF">
            <w:pPr>
              <w:ind w:left="223" w:hanging="222"/>
              <w:jc w:val="center"/>
              <w:rPr>
                <w:color w:val="auto"/>
                <w:szCs w:val="21"/>
                <w:highlight w:val="none"/>
              </w:rPr>
            </w:pPr>
          </w:p>
        </w:tc>
        <w:tc>
          <w:tcPr>
            <w:tcW w:w="670" w:type="dxa"/>
            <w:noWrap w:val="0"/>
            <w:vAlign w:val="center"/>
          </w:tcPr>
          <w:p w14:paraId="55D8DD0B">
            <w:pPr>
              <w:ind w:left="223" w:hanging="222"/>
              <w:jc w:val="center"/>
              <w:rPr>
                <w:color w:val="auto"/>
                <w:szCs w:val="21"/>
                <w:highlight w:val="none"/>
              </w:rPr>
            </w:pPr>
          </w:p>
        </w:tc>
        <w:tc>
          <w:tcPr>
            <w:tcW w:w="829" w:type="dxa"/>
            <w:noWrap w:val="0"/>
            <w:vAlign w:val="center"/>
          </w:tcPr>
          <w:p w14:paraId="15295B96">
            <w:pPr>
              <w:ind w:left="223" w:hanging="222"/>
              <w:jc w:val="center"/>
              <w:rPr>
                <w:color w:val="auto"/>
                <w:szCs w:val="21"/>
                <w:highlight w:val="none"/>
              </w:rPr>
            </w:pPr>
          </w:p>
        </w:tc>
        <w:tc>
          <w:tcPr>
            <w:tcW w:w="816" w:type="dxa"/>
            <w:noWrap w:val="0"/>
            <w:vAlign w:val="center"/>
          </w:tcPr>
          <w:p w14:paraId="4D51398D">
            <w:pPr>
              <w:ind w:left="223" w:hanging="222"/>
              <w:jc w:val="center"/>
              <w:rPr>
                <w:color w:val="auto"/>
                <w:szCs w:val="21"/>
                <w:highlight w:val="none"/>
              </w:rPr>
            </w:pPr>
          </w:p>
        </w:tc>
        <w:tc>
          <w:tcPr>
            <w:tcW w:w="1148" w:type="dxa"/>
            <w:noWrap w:val="0"/>
            <w:vAlign w:val="center"/>
          </w:tcPr>
          <w:p w14:paraId="003CC043">
            <w:pPr>
              <w:ind w:left="223" w:hanging="222"/>
              <w:jc w:val="center"/>
              <w:rPr>
                <w:color w:val="auto"/>
                <w:szCs w:val="21"/>
                <w:highlight w:val="none"/>
              </w:rPr>
            </w:pPr>
          </w:p>
        </w:tc>
        <w:tc>
          <w:tcPr>
            <w:tcW w:w="1148" w:type="dxa"/>
            <w:noWrap w:val="0"/>
            <w:vAlign w:val="center"/>
          </w:tcPr>
          <w:p w14:paraId="755C11EC">
            <w:pPr>
              <w:ind w:left="223" w:hanging="222"/>
              <w:jc w:val="center"/>
              <w:rPr>
                <w:color w:val="auto"/>
                <w:szCs w:val="21"/>
                <w:highlight w:val="none"/>
              </w:rPr>
            </w:pPr>
          </w:p>
        </w:tc>
        <w:tc>
          <w:tcPr>
            <w:tcW w:w="1148" w:type="dxa"/>
            <w:noWrap w:val="0"/>
            <w:vAlign w:val="center"/>
          </w:tcPr>
          <w:p w14:paraId="77465D3E">
            <w:pPr>
              <w:ind w:left="223" w:hanging="222"/>
              <w:jc w:val="center"/>
              <w:rPr>
                <w:color w:val="auto"/>
                <w:szCs w:val="21"/>
                <w:highlight w:val="none"/>
              </w:rPr>
            </w:pPr>
          </w:p>
        </w:tc>
        <w:tc>
          <w:tcPr>
            <w:tcW w:w="744" w:type="dxa"/>
            <w:noWrap w:val="0"/>
            <w:vAlign w:val="center"/>
          </w:tcPr>
          <w:p w14:paraId="3225A510">
            <w:pPr>
              <w:ind w:left="223" w:hanging="222"/>
              <w:jc w:val="center"/>
              <w:rPr>
                <w:color w:val="auto"/>
                <w:szCs w:val="21"/>
                <w:highlight w:val="none"/>
              </w:rPr>
            </w:pPr>
          </w:p>
        </w:tc>
        <w:tc>
          <w:tcPr>
            <w:tcW w:w="1167" w:type="dxa"/>
            <w:noWrap w:val="0"/>
            <w:vAlign w:val="center"/>
          </w:tcPr>
          <w:p w14:paraId="1EE8EFBB">
            <w:pPr>
              <w:ind w:left="223" w:hanging="222"/>
              <w:jc w:val="center"/>
              <w:rPr>
                <w:color w:val="auto"/>
                <w:szCs w:val="21"/>
                <w:highlight w:val="none"/>
              </w:rPr>
            </w:pPr>
          </w:p>
        </w:tc>
        <w:tc>
          <w:tcPr>
            <w:tcW w:w="1276" w:type="dxa"/>
            <w:noWrap w:val="0"/>
            <w:vAlign w:val="center"/>
          </w:tcPr>
          <w:p w14:paraId="7B126F8C">
            <w:pPr>
              <w:ind w:left="223" w:hanging="222"/>
              <w:jc w:val="center"/>
              <w:rPr>
                <w:color w:val="auto"/>
                <w:szCs w:val="21"/>
                <w:highlight w:val="none"/>
              </w:rPr>
            </w:pPr>
          </w:p>
        </w:tc>
      </w:tr>
      <w:tr w14:paraId="58D0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noWrap w:val="0"/>
            <w:vAlign w:val="center"/>
          </w:tcPr>
          <w:p w14:paraId="214969B8">
            <w:pPr>
              <w:spacing w:line="360" w:lineRule="auto"/>
              <w:ind w:left="223" w:hanging="222"/>
              <w:jc w:val="center"/>
              <w:rPr>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7C2A91D7">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备注：</w:t>
      </w:r>
    </w:p>
    <w:p w14:paraId="7A259B1F">
      <w:pPr>
        <w:spacing w:line="360" w:lineRule="auto"/>
        <w:ind w:firstLine="48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4BB0AB9D">
      <w:pPr>
        <w:spacing w:line="360" w:lineRule="auto"/>
        <w:ind w:firstLine="48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供应商应当在本表后附所有管理人员的身份证、职称证、执业或职业资格证书的复印件并加盖供应商电子签章。</w:t>
      </w:r>
    </w:p>
    <w:p w14:paraId="1D4B8147">
      <w:pPr>
        <w:spacing w:line="360" w:lineRule="auto"/>
        <w:ind w:firstLine="480"/>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w:t>
      </w:r>
      <w:r>
        <w:rPr>
          <w:rFonts w:hint="eastAsia" w:ascii="宋体" w:hAnsi="宋体"/>
          <w:color w:val="auto"/>
          <w:spacing w:val="20"/>
          <w:sz w:val="24"/>
          <w:highlight w:val="none"/>
          <w:u w:val="single"/>
        </w:rPr>
        <w:t xml:space="preserve">        </w:t>
      </w:r>
    </w:p>
    <w:p w14:paraId="24A7BF47">
      <w:pPr>
        <w:spacing w:line="360" w:lineRule="auto"/>
        <w:ind w:firstLine="560"/>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供应商（电子签章）：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55F25F5B">
      <w:pPr>
        <w:spacing w:line="360" w:lineRule="auto"/>
        <w:ind w:firstLine="560"/>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7B1DAF16">
      <w:pPr>
        <w:spacing w:line="360" w:lineRule="auto"/>
        <w:jc w:val="center"/>
        <w:rPr>
          <w:rFonts w:hint="eastAsia" w:ascii="宋体" w:hAnsi="宋体"/>
          <w:b/>
          <w:color w:val="auto"/>
          <w:sz w:val="28"/>
          <w:szCs w:val="28"/>
          <w:highlight w:val="none"/>
        </w:rPr>
      </w:pPr>
      <w:r>
        <w:rPr>
          <w:rFonts w:ascii="宋体" w:hAnsi="宋体"/>
          <w:b/>
          <w:color w:val="auto"/>
          <w:sz w:val="32"/>
          <w:szCs w:val="32"/>
          <w:highlight w:val="none"/>
        </w:rPr>
        <w:br w:type="page" w:clear="all"/>
      </w:r>
      <w:r>
        <w:rPr>
          <w:rFonts w:hint="eastAsia" w:ascii="宋体" w:hAnsi="宋体"/>
          <w:b/>
          <w:color w:val="auto"/>
          <w:sz w:val="28"/>
          <w:szCs w:val="28"/>
          <w:highlight w:val="none"/>
        </w:rPr>
        <w:t>（二）拟投入的主要人员简历表</w:t>
      </w:r>
    </w:p>
    <w:p w14:paraId="605F3A81">
      <w:pPr>
        <w:spacing w:line="360" w:lineRule="auto"/>
        <w:ind w:firstLine="562"/>
        <w:jc w:val="center"/>
        <w:rPr>
          <w:color w:val="auto"/>
          <w:sz w:val="28"/>
          <w:szCs w:val="28"/>
          <w:highlight w:val="none"/>
          <w:u w:val="single"/>
        </w:rPr>
      </w:pPr>
      <w:r>
        <w:rPr>
          <w:rFonts w:hint="eastAsia" w:cs="宋体"/>
          <w:b/>
          <w:color w:val="auto"/>
          <w:sz w:val="28"/>
          <w:szCs w:val="28"/>
          <w:highlight w:val="none"/>
        </w:rPr>
        <w:t>项目经理简历表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442"/>
        <w:gridCol w:w="816"/>
        <w:gridCol w:w="732"/>
        <w:gridCol w:w="328"/>
        <w:gridCol w:w="1893"/>
        <w:gridCol w:w="1088"/>
        <w:gridCol w:w="267"/>
        <w:gridCol w:w="230"/>
        <w:gridCol w:w="1108"/>
        <w:gridCol w:w="36"/>
        <w:gridCol w:w="79"/>
        <w:gridCol w:w="1405"/>
        <w:gridCol w:w="11"/>
      </w:tblGrid>
      <w:tr w14:paraId="495F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2755B970">
            <w:pPr>
              <w:jc w:val="center"/>
              <w:rPr>
                <w:color w:val="auto"/>
                <w:highlight w:val="none"/>
              </w:rPr>
            </w:pPr>
            <w:r>
              <w:rPr>
                <w:rFonts w:hint="eastAsia" w:cs="宋体"/>
                <w:color w:val="auto"/>
                <w:highlight w:val="none"/>
              </w:rPr>
              <w:t>姓名</w:t>
            </w:r>
          </w:p>
        </w:tc>
        <w:tc>
          <w:tcPr>
            <w:tcW w:w="2318" w:type="dxa"/>
            <w:gridSpan w:val="4"/>
            <w:noWrap w:val="0"/>
            <w:vAlign w:val="center"/>
          </w:tcPr>
          <w:p w14:paraId="218C7254">
            <w:pPr>
              <w:jc w:val="center"/>
              <w:rPr>
                <w:color w:val="auto"/>
                <w:highlight w:val="none"/>
              </w:rPr>
            </w:pPr>
          </w:p>
        </w:tc>
        <w:tc>
          <w:tcPr>
            <w:tcW w:w="1893" w:type="dxa"/>
            <w:noWrap w:val="0"/>
            <w:vAlign w:val="center"/>
          </w:tcPr>
          <w:p w14:paraId="387ED4F1">
            <w:pPr>
              <w:jc w:val="center"/>
              <w:rPr>
                <w:color w:val="auto"/>
                <w:highlight w:val="none"/>
              </w:rPr>
            </w:pPr>
            <w:r>
              <w:rPr>
                <w:rFonts w:hint="eastAsia" w:cs="宋体"/>
                <w:color w:val="auto"/>
                <w:highlight w:val="none"/>
              </w:rPr>
              <w:t>性别</w:t>
            </w:r>
          </w:p>
        </w:tc>
        <w:tc>
          <w:tcPr>
            <w:tcW w:w="1585" w:type="dxa"/>
            <w:gridSpan w:val="3"/>
            <w:noWrap w:val="0"/>
            <w:vAlign w:val="center"/>
          </w:tcPr>
          <w:p w14:paraId="496F4179">
            <w:pPr>
              <w:jc w:val="center"/>
              <w:rPr>
                <w:color w:val="auto"/>
                <w:highlight w:val="none"/>
              </w:rPr>
            </w:pPr>
          </w:p>
        </w:tc>
        <w:tc>
          <w:tcPr>
            <w:tcW w:w="1108" w:type="dxa"/>
            <w:noWrap w:val="0"/>
            <w:vAlign w:val="center"/>
          </w:tcPr>
          <w:p w14:paraId="5305837E">
            <w:pPr>
              <w:jc w:val="center"/>
              <w:rPr>
                <w:color w:val="auto"/>
                <w:highlight w:val="none"/>
              </w:rPr>
            </w:pPr>
            <w:r>
              <w:rPr>
                <w:rFonts w:hint="eastAsia" w:cs="宋体"/>
                <w:color w:val="auto"/>
                <w:highlight w:val="none"/>
              </w:rPr>
              <w:t>年龄</w:t>
            </w:r>
          </w:p>
        </w:tc>
        <w:tc>
          <w:tcPr>
            <w:tcW w:w="1531" w:type="dxa"/>
            <w:gridSpan w:val="4"/>
            <w:noWrap w:val="0"/>
            <w:vAlign w:val="center"/>
          </w:tcPr>
          <w:p w14:paraId="026F01EB">
            <w:pPr>
              <w:jc w:val="center"/>
              <w:rPr>
                <w:color w:val="auto"/>
                <w:highlight w:val="none"/>
              </w:rPr>
            </w:pPr>
          </w:p>
        </w:tc>
      </w:tr>
      <w:tr w14:paraId="6E09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noWrap w:val="0"/>
            <w:vAlign w:val="center"/>
          </w:tcPr>
          <w:p w14:paraId="57E0FE71">
            <w:pPr>
              <w:jc w:val="center"/>
              <w:rPr>
                <w:color w:val="auto"/>
                <w:highlight w:val="none"/>
              </w:rPr>
            </w:pPr>
            <w:r>
              <w:rPr>
                <w:rFonts w:hint="eastAsia" w:cs="宋体"/>
                <w:color w:val="auto"/>
                <w:highlight w:val="none"/>
              </w:rPr>
              <w:t>岗位</w:t>
            </w:r>
          </w:p>
        </w:tc>
        <w:tc>
          <w:tcPr>
            <w:tcW w:w="2318" w:type="dxa"/>
            <w:gridSpan w:val="4"/>
            <w:noWrap w:val="0"/>
            <w:vAlign w:val="center"/>
          </w:tcPr>
          <w:p w14:paraId="1CA816C0">
            <w:pPr>
              <w:jc w:val="center"/>
              <w:rPr>
                <w:color w:val="auto"/>
                <w:highlight w:val="none"/>
              </w:rPr>
            </w:pPr>
            <w:r>
              <w:rPr>
                <w:rFonts w:hint="eastAsia"/>
                <w:color w:val="auto"/>
                <w:highlight w:val="none"/>
              </w:rPr>
              <w:t>项目经理</w:t>
            </w:r>
          </w:p>
        </w:tc>
        <w:tc>
          <w:tcPr>
            <w:tcW w:w="1893" w:type="dxa"/>
            <w:noWrap w:val="0"/>
            <w:vAlign w:val="center"/>
          </w:tcPr>
          <w:p w14:paraId="0A0DE0FD">
            <w:pPr>
              <w:jc w:val="center"/>
              <w:rPr>
                <w:color w:val="auto"/>
                <w:highlight w:val="none"/>
              </w:rPr>
            </w:pPr>
            <w:r>
              <w:rPr>
                <w:rFonts w:hint="eastAsia" w:cs="宋体"/>
                <w:color w:val="auto"/>
                <w:highlight w:val="none"/>
              </w:rPr>
              <w:t>职称</w:t>
            </w:r>
          </w:p>
        </w:tc>
        <w:tc>
          <w:tcPr>
            <w:tcW w:w="1585" w:type="dxa"/>
            <w:gridSpan w:val="3"/>
            <w:noWrap w:val="0"/>
            <w:vAlign w:val="center"/>
          </w:tcPr>
          <w:p w14:paraId="0AFBE482">
            <w:pPr>
              <w:jc w:val="center"/>
              <w:rPr>
                <w:color w:val="auto"/>
                <w:highlight w:val="none"/>
              </w:rPr>
            </w:pPr>
          </w:p>
        </w:tc>
        <w:tc>
          <w:tcPr>
            <w:tcW w:w="1108" w:type="dxa"/>
            <w:noWrap w:val="0"/>
            <w:vAlign w:val="center"/>
          </w:tcPr>
          <w:p w14:paraId="5C368178">
            <w:pPr>
              <w:jc w:val="center"/>
              <w:rPr>
                <w:color w:val="auto"/>
                <w:highlight w:val="none"/>
              </w:rPr>
            </w:pPr>
            <w:r>
              <w:rPr>
                <w:rFonts w:hint="eastAsia" w:cs="宋体"/>
                <w:color w:val="auto"/>
                <w:highlight w:val="none"/>
              </w:rPr>
              <w:t>学历</w:t>
            </w:r>
          </w:p>
        </w:tc>
        <w:tc>
          <w:tcPr>
            <w:tcW w:w="1531" w:type="dxa"/>
            <w:gridSpan w:val="4"/>
            <w:noWrap w:val="0"/>
            <w:vAlign w:val="center"/>
          </w:tcPr>
          <w:p w14:paraId="1294308C">
            <w:pPr>
              <w:jc w:val="center"/>
              <w:rPr>
                <w:color w:val="auto"/>
                <w:highlight w:val="none"/>
              </w:rPr>
            </w:pPr>
          </w:p>
        </w:tc>
      </w:tr>
      <w:tr w14:paraId="5F25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noWrap w:val="0"/>
            <w:vAlign w:val="center"/>
          </w:tcPr>
          <w:p w14:paraId="37E222EC">
            <w:pPr>
              <w:jc w:val="center"/>
              <w:rPr>
                <w:rFonts w:hint="eastAsia" w:cs="宋体"/>
                <w:color w:val="auto"/>
                <w:highlight w:val="none"/>
              </w:rPr>
            </w:pPr>
            <w:r>
              <w:rPr>
                <w:rFonts w:hint="eastAsia" w:cs="宋体"/>
                <w:color w:val="auto"/>
                <w:highlight w:val="none"/>
              </w:rPr>
              <w:t>从业开始时间</w:t>
            </w:r>
          </w:p>
        </w:tc>
        <w:tc>
          <w:tcPr>
            <w:tcW w:w="2318" w:type="dxa"/>
            <w:gridSpan w:val="4"/>
            <w:noWrap w:val="0"/>
            <w:vAlign w:val="center"/>
          </w:tcPr>
          <w:p w14:paraId="0594C8BF">
            <w:pPr>
              <w:jc w:val="center"/>
              <w:rPr>
                <w:color w:val="auto"/>
                <w:highlight w:val="none"/>
              </w:rPr>
            </w:pPr>
          </w:p>
        </w:tc>
        <w:tc>
          <w:tcPr>
            <w:tcW w:w="1893" w:type="dxa"/>
            <w:noWrap w:val="0"/>
            <w:vAlign w:val="center"/>
          </w:tcPr>
          <w:p w14:paraId="1C795A2E">
            <w:pPr>
              <w:jc w:val="center"/>
              <w:rPr>
                <w:rFonts w:hint="eastAsia"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noWrap w:val="0"/>
            <w:vAlign w:val="center"/>
          </w:tcPr>
          <w:p w14:paraId="6174F857">
            <w:pPr>
              <w:jc w:val="center"/>
              <w:rPr>
                <w:color w:val="auto"/>
                <w:highlight w:val="none"/>
              </w:rPr>
            </w:pPr>
          </w:p>
        </w:tc>
        <w:tc>
          <w:tcPr>
            <w:tcW w:w="1108" w:type="dxa"/>
            <w:noWrap w:val="0"/>
            <w:vAlign w:val="center"/>
          </w:tcPr>
          <w:p w14:paraId="13ED090B">
            <w:pPr>
              <w:jc w:val="center"/>
              <w:rPr>
                <w:rFonts w:hint="eastAsia" w:cs="宋体"/>
                <w:color w:val="auto"/>
                <w:highlight w:val="none"/>
              </w:rPr>
            </w:pPr>
            <w:r>
              <w:rPr>
                <w:rFonts w:hint="eastAsia" w:cs="宋体"/>
                <w:color w:val="auto"/>
                <w:highlight w:val="none"/>
              </w:rPr>
              <w:t>毕业时间</w:t>
            </w:r>
          </w:p>
        </w:tc>
        <w:tc>
          <w:tcPr>
            <w:tcW w:w="1531" w:type="dxa"/>
            <w:gridSpan w:val="4"/>
            <w:noWrap w:val="0"/>
            <w:vAlign w:val="center"/>
          </w:tcPr>
          <w:p w14:paraId="70FFB961">
            <w:pPr>
              <w:jc w:val="center"/>
              <w:rPr>
                <w:color w:val="auto"/>
                <w:highlight w:val="none"/>
              </w:rPr>
            </w:pPr>
          </w:p>
        </w:tc>
      </w:tr>
      <w:tr w14:paraId="5409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43DF7E10">
            <w:pPr>
              <w:jc w:val="center"/>
              <w:rPr>
                <w:color w:val="auto"/>
                <w:highlight w:val="none"/>
              </w:rPr>
            </w:pPr>
            <w:r>
              <w:rPr>
                <w:rFonts w:hint="eastAsia" w:cs="宋体"/>
                <w:color w:val="auto"/>
                <w:highlight w:val="none"/>
              </w:rPr>
              <w:t>担任项目经理年限</w:t>
            </w:r>
          </w:p>
        </w:tc>
        <w:tc>
          <w:tcPr>
            <w:tcW w:w="2318" w:type="dxa"/>
            <w:gridSpan w:val="4"/>
            <w:noWrap w:val="0"/>
            <w:vAlign w:val="center"/>
          </w:tcPr>
          <w:p w14:paraId="23AEECA2">
            <w:pPr>
              <w:jc w:val="center"/>
              <w:rPr>
                <w:color w:val="auto"/>
                <w:highlight w:val="none"/>
              </w:rPr>
            </w:pPr>
          </w:p>
        </w:tc>
        <w:tc>
          <w:tcPr>
            <w:tcW w:w="1893" w:type="dxa"/>
            <w:noWrap w:val="0"/>
            <w:vAlign w:val="center"/>
          </w:tcPr>
          <w:p w14:paraId="00BB8840">
            <w:pPr>
              <w:jc w:val="center"/>
              <w:rPr>
                <w:color w:val="auto"/>
                <w:highlight w:val="none"/>
              </w:rPr>
            </w:pPr>
            <w:r>
              <w:rPr>
                <w:rFonts w:hint="eastAsia"/>
                <w:color w:val="auto"/>
                <w:highlight w:val="none"/>
              </w:rPr>
              <w:t>身份</w:t>
            </w:r>
            <w:r>
              <w:rPr>
                <w:color w:val="auto"/>
                <w:highlight w:val="none"/>
              </w:rPr>
              <w:t>证号码</w:t>
            </w:r>
          </w:p>
        </w:tc>
        <w:tc>
          <w:tcPr>
            <w:tcW w:w="4224" w:type="dxa"/>
            <w:gridSpan w:val="8"/>
            <w:noWrap w:val="0"/>
            <w:vAlign w:val="center"/>
          </w:tcPr>
          <w:p w14:paraId="5C04166A">
            <w:pPr>
              <w:jc w:val="center"/>
              <w:rPr>
                <w:color w:val="auto"/>
                <w:highlight w:val="none"/>
              </w:rPr>
            </w:pPr>
          </w:p>
        </w:tc>
      </w:tr>
      <w:tr w14:paraId="188C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2CD4C756">
            <w:pPr>
              <w:jc w:val="center"/>
              <w:rPr>
                <w:color w:val="auto"/>
                <w:highlight w:val="none"/>
              </w:rPr>
            </w:pPr>
            <w:r>
              <w:rPr>
                <w:rFonts w:hint="eastAsia"/>
                <w:color w:val="auto"/>
                <w:highlight w:val="none"/>
              </w:rPr>
              <w:t>证书名称</w:t>
            </w:r>
          </w:p>
        </w:tc>
        <w:tc>
          <w:tcPr>
            <w:tcW w:w="1258" w:type="dxa"/>
            <w:gridSpan w:val="2"/>
            <w:noWrap w:val="0"/>
            <w:vAlign w:val="center"/>
          </w:tcPr>
          <w:p w14:paraId="26D8026E">
            <w:pPr>
              <w:jc w:val="center"/>
              <w:rPr>
                <w:color w:val="auto"/>
                <w:highlight w:val="none"/>
              </w:rPr>
            </w:pPr>
            <w:r>
              <w:rPr>
                <w:rFonts w:hint="eastAsia"/>
                <w:color w:val="auto"/>
                <w:highlight w:val="none"/>
              </w:rPr>
              <w:t>注册专业</w:t>
            </w:r>
          </w:p>
        </w:tc>
        <w:tc>
          <w:tcPr>
            <w:tcW w:w="1060" w:type="dxa"/>
            <w:gridSpan w:val="2"/>
            <w:noWrap w:val="0"/>
            <w:vAlign w:val="center"/>
          </w:tcPr>
          <w:p w14:paraId="6447E131">
            <w:pPr>
              <w:jc w:val="center"/>
              <w:rPr>
                <w:color w:val="auto"/>
                <w:highlight w:val="none"/>
              </w:rPr>
            </w:pPr>
            <w:r>
              <w:rPr>
                <w:color w:val="auto"/>
                <w:highlight w:val="none"/>
              </w:rPr>
              <w:t>级别</w:t>
            </w:r>
          </w:p>
        </w:tc>
        <w:tc>
          <w:tcPr>
            <w:tcW w:w="1893" w:type="dxa"/>
            <w:noWrap w:val="0"/>
            <w:vAlign w:val="center"/>
          </w:tcPr>
          <w:p w14:paraId="61CACA67">
            <w:pPr>
              <w:jc w:val="center"/>
              <w:rPr>
                <w:color w:val="auto"/>
                <w:highlight w:val="none"/>
              </w:rPr>
            </w:pPr>
            <w:r>
              <w:rPr>
                <w:rFonts w:hint="eastAsia" w:cs="宋体"/>
                <w:color w:val="auto"/>
                <w:highlight w:val="none"/>
              </w:rPr>
              <w:t>证书编号</w:t>
            </w:r>
          </w:p>
        </w:tc>
        <w:tc>
          <w:tcPr>
            <w:tcW w:w="1355" w:type="dxa"/>
            <w:gridSpan w:val="2"/>
            <w:noWrap w:val="0"/>
            <w:vAlign w:val="center"/>
          </w:tcPr>
          <w:p w14:paraId="40DB18F8">
            <w:pPr>
              <w:jc w:val="center"/>
              <w:rPr>
                <w:color w:val="auto"/>
                <w:highlight w:val="none"/>
              </w:rPr>
            </w:pPr>
            <w:r>
              <w:rPr>
                <w:rFonts w:hint="eastAsia"/>
                <w:color w:val="auto"/>
                <w:highlight w:val="none"/>
              </w:rPr>
              <w:t>注册时间</w:t>
            </w:r>
          </w:p>
        </w:tc>
        <w:tc>
          <w:tcPr>
            <w:tcW w:w="1453" w:type="dxa"/>
            <w:gridSpan w:val="4"/>
            <w:noWrap w:val="0"/>
            <w:vAlign w:val="center"/>
          </w:tcPr>
          <w:p w14:paraId="2EDAA08C">
            <w:pPr>
              <w:jc w:val="center"/>
              <w:rPr>
                <w:color w:val="auto"/>
                <w:highlight w:val="none"/>
              </w:rPr>
            </w:pPr>
            <w:r>
              <w:rPr>
                <w:rFonts w:hint="eastAsia"/>
                <w:color w:val="auto"/>
                <w:highlight w:val="none"/>
              </w:rPr>
              <w:t>注册单位</w:t>
            </w:r>
          </w:p>
        </w:tc>
        <w:tc>
          <w:tcPr>
            <w:tcW w:w="1416" w:type="dxa"/>
            <w:gridSpan w:val="2"/>
            <w:noWrap w:val="0"/>
            <w:vAlign w:val="center"/>
          </w:tcPr>
          <w:p w14:paraId="0FEB75B4">
            <w:pPr>
              <w:jc w:val="center"/>
              <w:rPr>
                <w:color w:val="auto"/>
                <w:highlight w:val="none"/>
              </w:rPr>
            </w:pPr>
            <w:r>
              <w:rPr>
                <w:rFonts w:hint="eastAsia"/>
                <w:color w:val="auto"/>
                <w:highlight w:val="none"/>
              </w:rPr>
              <w:t>注册有效期</w:t>
            </w:r>
          </w:p>
        </w:tc>
      </w:tr>
      <w:tr w14:paraId="1618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2661917F">
            <w:pPr>
              <w:jc w:val="center"/>
              <w:rPr>
                <w:rFonts w:hint="eastAsia"/>
                <w:color w:val="auto"/>
                <w:highlight w:val="none"/>
              </w:rPr>
            </w:pPr>
          </w:p>
        </w:tc>
        <w:tc>
          <w:tcPr>
            <w:tcW w:w="1258" w:type="dxa"/>
            <w:gridSpan w:val="2"/>
            <w:noWrap w:val="0"/>
            <w:vAlign w:val="center"/>
          </w:tcPr>
          <w:p w14:paraId="26284DC2">
            <w:pPr>
              <w:jc w:val="center"/>
              <w:rPr>
                <w:rFonts w:hint="eastAsia"/>
                <w:color w:val="auto"/>
                <w:highlight w:val="none"/>
              </w:rPr>
            </w:pPr>
          </w:p>
        </w:tc>
        <w:tc>
          <w:tcPr>
            <w:tcW w:w="1060" w:type="dxa"/>
            <w:gridSpan w:val="2"/>
            <w:noWrap w:val="0"/>
            <w:vAlign w:val="center"/>
          </w:tcPr>
          <w:p w14:paraId="33BAC65A">
            <w:pPr>
              <w:jc w:val="center"/>
              <w:rPr>
                <w:rFonts w:hint="eastAsia" w:cs="宋体"/>
                <w:color w:val="auto"/>
                <w:highlight w:val="none"/>
              </w:rPr>
            </w:pPr>
          </w:p>
        </w:tc>
        <w:tc>
          <w:tcPr>
            <w:tcW w:w="1893" w:type="dxa"/>
            <w:noWrap w:val="0"/>
            <w:vAlign w:val="center"/>
          </w:tcPr>
          <w:p w14:paraId="10500CB6">
            <w:pPr>
              <w:jc w:val="center"/>
              <w:rPr>
                <w:rFonts w:hint="eastAsia"/>
                <w:color w:val="auto"/>
                <w:highlight w:val="none"/>
              </w:rPr>
            </w:pPr>
          </w:p>
        </w:tc>
        <w:tc>
          <w:tcPr>
            <w:tcW w:w="1355" w:type="dxa"/>
            <w:gridSpan w:val="2"/>
            <w:noWrap w:val="0"/>
            <w:vAlign w:val="center"/>
          </w:tcPr>
          <w:p w14:paraId="0F259EA0">
            <w:pPr>
              <w:jc w:val="center"/>
              <w:rPr>
                <w:rFonts w:hint="eastAsia"/>
                <w:color w:val="auto"/>
                <w:highlight w:val="none"/>
              </w:rPr>
            </w:pPr>
          </w:p>
        </w:tc>
        <w:tc>
          <w:tcPr>
            <w:tcW w:w="1453" w:type="dxa"/>
            <w:gridSpan w:val="4"/>
            <w:noWrap w:val="0"/>
            <w:vAlign w:val="center"/>
          </w:tcPr>
          <w:p w14:paraId="237178DC">
            <w:pPr>
              <w:jc w:val="center"/>
              <w:rPr>
                <w:rFonts w:hint="eastAsia"/>
                <w:color w:val="auto"/>
                <w:highlight w:val="none"/>
              </w:rPr>
            </w:pPr>
          </w:p>
        </w:tc>
        <w:tc>
          <w:tcPr>
            <w:tcW w:w="1416" w:type="dxa"/>
            <w:gridSpan w:val="2"/>
            <w:noWrap w:val="0"/>
            <w:vAlign w:val="center"/>
          </w:tcPr>
          <w:p w14:paraId="505E872A">
            <w:pPr>
              <w:jc w:val="center"/>
              <w:rPr>
                <w:rFonts w:hint="eastAsia"/>
                <w:color w:val="auto"/>
                <w:highlight w:val="none"/>
              </w:rPr>
            </w:pPr>
          </w:p>
        </w:tc>
      </w:tr>
      <w:tr w14:paraId="6A0E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noWrap w:val="0"/>
            <w:vAlign w:val="center"/>
          </w:tcPr>
          <w:p w14:paraId="39EABD08">
            <w:pPr>
              <w:jc w:val="center"/>
              <w:rPr>
                <w:rFonts w:hint="eastAsia"/>
                <w:color w:val="auto"/>
                <w:highlight w:val="none"/>
              </w:rPr>
            </w:pPr>
            <w:r>
              <w:rPr>
                <w:rFonts w:hint="eastAsia"/>
                <w:color w:val="auto"/>
                <w:highlight w:val="none"/>
              </w:rPr>
              <w:t>安全生产考核合格证书</w:t>
            </w:r>
          </w:p>
        </w:tc>
        <w:tc>
          <w:tcPr>
            <w:tcW w:w="1258" w:type="dxa"/>
            <w:gridSpan w:val="2"/>
            <w:noWrap w:val="0"/>
            <w:vAlign w:val="center"/>
          </w:tcPr>
          <w:p w14:paraId="438799FF">
            <w:pPr>
              <w:jc w:val="center"/>
              <w:rPr>
                <w:rFonts w:hint="eastAsia"/>
                <w:color w:val="auto"/>
                <w:highlight w:val="none"/>
              </w:rPr>
            </w:pPr>
          </w:p>
        </w:tc>
        <w:tc>
          <w:tcPr>
            <w:tcW w:w="1060" w:type="dxa"/>
            <w:gridSpan w:val="2"/>
            <w:noWrap w:val="0"/>
            <w:vAlign w:val="center"/>
          </w:tcPr>
          <w:p w14:paraId="22FA3DC0">
            <w:pPr>
              <w:jc w:val="center"/>
              <w:rPr>
                <w:rFonts w:hint="eastAsia" w:cs="宋体"/>
                <w:color w:val="auto"/>
                <w:highlight w:val="none"/>
              </w:rPr>
            </w:pPr>
            <w:r>
              <w:rPr>
                <w:rFonts w:hint="eastAsia"/>
                <w:color w:val="auto"/>
                <w:highlight w:val="none"/>
              </w:rPr>
              <w:t>B类</w:t>
            </w:r>
          </w:p>
        </w:tc>
        <w:tc>
          <w:tcPr>
            <w:tcW w:w="1893" w:type="dxa"/>
            <w:noWrap w:val="0"/>
            <w:vAlign w:val="center"/>
          </w:tcPr>
          <w:p w14:paraId="1E9E408C">
            <w:pPr>
              <w:jc w:val="center"/>
              <w:rPr>
                <w:rFonts w:hint="eastAsia"/>
                <w:color w:val="auto"/>
                <w:highlight w:val="none"/>
              </w:rPr>
            </w:pPr>
          </w:p>
        </w:tc>
        <w:tc>
          <w:tcPr>
            <w:tcW w:w="1355" w:type="dxa"/>
            <w:gridSpan w:val="2"/>
            <w:noWrap w:val="0"/>
            <w:vAlign w:val="center"/>
          </w:tcPr>
          <w:p w14:paraId="04C9ECA1">
            <w:pPr>
              <w:jc w:val="center"/>
              <w:rPr>
                <w:rFonts w:hint="eastAsia"/>
                <w:color w:val="auto"/>
                <w:highlight w:val="none"/>
              </w:rPr>
            </w:pPr>
          </w:p>
        </w:tc>
        <w:tc>
          <w:tcPr>
            <w:tcW w:w="1453" w:type="dxa"/>
            <w:gridSpan w:val="4"/>
            <w:noWrap w:val="0"/>
            <w:vAlign w:val="center"/>
          </w:tcPr>
          <w:p w14:paraId="6AFB5F86">
            <w:pPr>
              <w:jc w:val="center"/>
              <w:rPr>
                <w:rFonts w:hint="eastAsia"/>
                <w:color w:val="auto"/>
                <w:highlight w:val="none"/>
              </w:rPr>
            </w:pPr>
          </w:p>
        </w:tc>
        <w:tc>
          <w:tcPr>
            <w:tcW w:w="1416" w:type="dxa"/>
            <w:gridSpan w:val="2"/>
            <w:noWrap w:val="0"/>
            <w:vAlign w:val="center"/>
          </w:tcPr>
          <w:p w14:paraId="6C952519">
            <w:pPr>
              <w:jc w:val="center"/>
              <w:rPr>
                <w:rFonts w:hint="eastAsia"/>
                <w:color w:val="auto"/>
                <w:highlight w:val="none"/>
              </w:rPr>
            </w:pPr>
          </w:p>
        </w:tc>
      </w:tr>
      <w:tr w14:paraId="2EF7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4"/>
            <w:noWrap w:val="0"/>
            <w:vAlign w:val="center"/>
          </w:tcPr>
          <w:p w14:paraId="10CA99FD">
            <w:pPr>
              <w:jc w:val="center"/>
              <w:rPr>
                <w:color w:val="auto"/>
                <w:highlight w:val="none"/>
              </w:rPr>
            </w:pPr>
            <w:r>
              <w:rPr>
                <w:rFonts w:hint="eastAsia" w:cs="宋体"/>
                <w:color w:val="auto"/>
                <w:highlight w:val="none"/>
              </w:rPr>
              <w:t>在建和已完工程项目情况</w:t>
            </w:r>
          </w:p>
        </w:tc>
      </w:tr>
      <w:tr w14:paraId="407E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noWrap w:val="0"/>
            <w:vAlign w:val="center"/>
          </w:tcPr>
          <w:p w14:paraId="5758CE1C">
            <w:pPr>
              <w:jc w:val="center"/>
              <w:rPr>
                <w:color w:val="auto"/>
                <w:highlight w:val="none"/>
              </w:rPr>
            </w:pPr>
          </w:p>
        </w:tc>
        <w:tc>
          <w:tcPr>
            <w:tcW w:w="1548" w:type="dxa"/>
            <w:gridSpan w:val="2"/>
            <w:noWrap w:val="0"/>
            <w:vAlign w:val="center"/>
          </w:tcPr>
          <w:p w14:paraId="079F8C4C">
            <w:pPr>
              <w:jc w:val="center"/>
              <w:rPr>
                <w:rFonts w:hint="eastAsia"/>
                <w:color w:val="auto"/>
                <w:highlight w:val="none"/>
              </w:rPr>
            </w:pPr>
            <w:r>
              <w:rPr>
                <w:rFonts w:hint="eastAsia"/>
                <w:color w:val="auto"/>
                <w:highlight w:val="none"/>
              </w:rPr>
              <w:t>项目1</w:t>
            </w:r>
          </w:p>
        </w:tc>
        <w:tc>
          <w:tcPr>
            <w:tcW w:w="2221" w:type="dxa"/>
            <w:gridSpan w:val="2"/>
            <w:noWrap w:val="0"/>
            <w:vAlign w:val="center"/>
          </w:tcPr>
          <w:p w14:paraId="62AD11C5">
            <w:pPr>
              <w:jc w:val="center"/>
              <w:rPr>
                <w:color w:val="auto"/>
                <w:highlight w:val="none"/>
              </w:rPr>
            </w:pPr>
            <w:r>
              <w:rPr>
                <w:rFonts w:hint="eastAsia"/>
                <w:color w:val="auto"/>
                <w:highlight w:val="none"/>
              </w:rPr>
              <w:t>项目2</w:t>
            </w:r>
          </w:p>
        </w:tc>
        <w:tc>
          <w:tcPr>
            <w:tcW w:w="1088" w:type="dxa"/>
            <w:noWrap w:val="0"/>
            <w:vAlign w:val="center"/>
          </w:tcPr>
          <w:p w14:paraId="75CAE725">
            <w:pPr>
              <w:jc w:val="center"/>
              <w:rPr>
                <w:color w:val="auto"/>
                <w:highlight w:val="none"/>
              </w:rPr>
            </w:pPr>
            <w:r>
              <w:rPr>
                <w:rFonts w:hint="eastAsia"/>
                <w:color w:val="auto"/>
                <w:highlight w:val="none"/>
              </w:rPr>
              <w:t>项目3</w:t>
            </w:r>
          </w:p>
        </w:tc>
        <w:tc>
          <w:tcPr>
            <w:tcW w:w="1641" w:type="dxa"/>
            <w:gridSpan w:val="4"/>
            <w:noWrap w:val="0"/>
            <w:vAlign w:val="center"/>
          </w:tcPr>
          <w:p w14:paraId="39A9B352">
            <w:pPr>
              <w:jc w:val="center"/>
              <w:rPr>
                <w:color w:val="auto"/>
                <w:highlight w:val="none"/>
              </w:rPr>
            </w:pPr>
            <w:r>
              <w:rPr>
                <w:rFonts w:hint="eastAsia"/>
                <w:color w:val="auto"/>
                <w:highlight w:val="none"/>
              </w:rPr>
              <w:t>项目4</w:t>
            </w:r>
          </w:p>
        </w:tc>
        <w:tc>
          <w:tcPr>
            <w:tcW w:w="1484" w:type="dxa"/>
            <w:gridSpan w:val="2"/>
            <w:noWrap w:val="0"/>
            <w:vAlign w:val="center"/>
          </w:tcPr>
          <w:p w14:paraId="30CAB9D5">
            <w:pPr>
              <w:jc w:val="center"/>
              <w:rPr>
                <w:color w:val="auto"/>
                <w:highlight w:val="none"/>
              </w:rPr>
            </w:pPr>
            <w:r>
              <w:rPr>
                <w:rFonts w:hint="eastAsia"/>
                <w:color w:val="auto"/>
                <w:highlight w:val="none"/>
              </w:rPr>
              <w:t>……</w:t>
            </w:r>
          </w:p>
        </w:tc>
      </w:tr>
      <w:tr w14:paraId="5D53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noWrap w:val="0"/>
            <w:vAlign w:val="center"/>
          </w:tcPr>
          <w:p w14:paraId="181FA5A9">
            <w:pPr>
              <w:jc w:val="center"/>
              <w:rPr>
                <w:color w:val="auto"/>
                <w:highlight w:val="none"/>
              </w:rPr>
            </w:pPr>
            <w:r>
              <w:rPr>
                <w:rFonts w:hint="eastAsia"/>
                <w:color w:val="auto"/>
                <w:highlight w:val="none"/>
              </w:rPr>
              <w:t>项目名称</w:t>
            </w:r>
          </w:p>
        </w:tc>
        <w:tc>
          <w:tcPr>
            <w:tcW w:w="1548" w:type="dxa"/>
            <w:gridSpan w:val="2"/>
            <w:noWrap w:val="0"/>
            <w:vAlign w:val="center"/>
          </w:tcPr>
          <w:p w14:paraId="20FD149C">
            <w:pPr>
              <w:jc w:val="center"/>
              <w:rPr>
                <w:color w:val="auto"/>
                <w:highlight w:val="none"/>
              </w:rPr>
            </w:pPr>
          </w:p>
        </w:tc>
        <w:tc>
          <w:tcPr>
            <w:tcW w:w="2221" w:type="dxa"/>
            <w:gridSpan w:val="2"/>
            <w:noWrap w:val="0"/>
            <w:vAlign w:val="center"/>
          </w:tcPr>
          <w:p w14:paraId="3DB13D8E">
            <w:pPr>
              <w:jc w:val="center"/>
              <w:rPr>
                <w:color w:val="auto"/>
                <w:highlight w:val="none"/>
              </w:rPr>
            </w:pPr>
          </w:p>
        </w:tc>
        <w:tc>
          <w:tcPr>
            <w:tcW w:w="1088" w:type="dxa"/>
            <w:noWrap w:val="0"/>
            <w:vAlign w:val="center"/>
          </w:tcPr>
          <w:p w14:paraId="709D6D9D">
            <w:pPr>
              <w:jc w:val="center"/>
              <w:rPr>
                <w:color w:val="auto"/>
                <w:highlight w:val="none"/>
              </w:rPr>
            </w:pPr>
          </w:p>
        </w:tc>
        <w:tc>
          <w:tcPr>
            <w:tcW w:w="1641" w:type="dxa"/>
            <w:gridSpan w:val="4"/>
            <w:noWrap w:val="0"/>
            <w:vAlign w:val="center"/>
          </w:tcPr>
          <w:p w14:paraId="0B5820FC">
            <w:pPr>
              <w:jc w:val="center"/>
              <w:rPr>
                <w:color w:val="auto"/>
                <w:highlight w:val="none"/>
              </w:rPr>
            </w:pPr>
          </w:p>
        </w:tc>
        <w:tc>
          <w:tcPr>
            <w:tcW w:w="1484" w:type="dxa"/>
            <w:gridSpan w:val="2"/>
            <w:noWrap w:val="0"/>
            <w:vAlign w:val="center"/>
          </w:tcPr>
          <w:p w14:paraId="451E5BCB">
            <w:pPr>
              <w:jc w:val="center"/>
              <w:rPr>
                <w:color w:val="auto"/>
                <w:highlight w:val="none"/>
              </w:rPr>
            </w:pPr>
          </w:p>
        </w:tc>
      </w:tr>
      <w:tr w14:paraId="4219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noWrap w:val="0"/>
            <w:vAlign w:val="center"/>
          </w:tcPr>
          <w:p w14:paraId="16549242">
            <w:pPr>
              <w:jc w:val="center"/>
              <w:rPr>
                <w:color w:val="auto"/>
                <w:highlight w:val="none"/>
              </w:rPr>
            </w:pPr>
            <w:r>
              <w:rPr>
                <w:rFonts w:hint="eastAsia" w:cs="宋体"/>
                <w:color w:val="auto"/>
                <w:highlight w:val="none"/>
              </w:rPr>
              <w:t>建设单位</w:t>
            </w:r>
          </w:p>
        </w:tc>
        <w:tc>
          <w:tcPr>
            <w:tcW w:w="1548" w:type="dxa"/>
            <w:gridSpan w:val="2"/>
            <w:noWrap w:val="0"/>
            <w:vAlign w:val="center"/>
          </w:tcPr>
          <w:p w14:paraId="145E210D">
            <w:pPr>
              <w:jc w:val="center"/>
              <w:rPr>
                <w:color w:val="auto"/>
                <w:highlight w:val="none"/>
              </w:rPr>
            </w:pPr>
          </w:p>
        </w:tc>
        <w:tc>
          <w:tcPr>
            <w:tcW w:w="2221" w:type="dxa"/>
            <w:gridSpan w:val="2"/>
            <w:noWrap w:val="0"/>
            <w:vAlign w:val="center"/>
          </w:tcPr>
          <w:p w14:paraId="78343A49">
            <w:pPr>
              <w:jc w:val="center"/>
              <w:rPr>
                <w:color w:val="auto"/>
                <w:highlight w:val="none"/>
              </w:rPr>
            </w:pPr>
          </w:p>
        </w:tc>
        <w:tc>
          <w:tcPr>
            <w:tcW w:w="1088" w:type="dxa"/>
            <w:noWrap w:val="0"/>
            <w:vAlign w:val="center"/>
          </w:tcPr>
          <w:p w14:paraId="03B58C8D">
            <w:pPr>
              <w:jc w:val="center"/>
              <w:rPr>
                <w:color w:val="auto"/>
                <w:highlight w:val="none"/>
              </w:rPr>
            </w:pPr>
          </w:p>
        </w:tc>
        <w:tc>
          <w:tcPr>
            <w:tcW w:w="1641" w:type="dxa"/>
            <w:gridSpan w:val="4"/>
            <w:noWrap w:val="0"/>
            <w:vAlign w:val="center"/>
          </w:tcPr>
          <w:p w14:paraId="67270A5C">
            <w:pPr>
              <w:jc w:val="center"/>
              <w:rPr>
                <w:color w:val="auto"/>
                <w:highlight w:val="none"/>
              </w:rPr>
            </w:pPr>
          </w:p>
        </w:tc>
        <w:tc>
          <w:tcPr>
            <w:tcW w:w="1484" w:type="dxa"/>
            <w:gridSpan w:val="2"/>
            <w:noWrap w:val="0"/>
            <w:vAlign w:val="center"/>
          </w:tcPr>
          <w:p w14:paraId="15387D06">
            <w:pPr>
              <w:jc w:val="center"/>
              <w:rPr>
                <w:color w:val="auto"/>
                <w:highlight w:val="none"/>
              </w:rPr>
            </w:pPr>
          </w:p>
        </w:tc>
      </w:tr>
      <w:tr w14:paraId="3B5F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noWrap w:val="0"/>
            <w:vAlign w:val="center"/>
          </w:tcPr>
          <w:p w14:paraId="58A0526A">
            <w:pPr>
              <w:jc w:val="center"/>
              <w:rPr>
                <w:color w:val="auto"/>
                <w:highlight w:val="none"/>
              </w:rPr>
            </w:pPr>
            <w:r>
              <w:rPr>
                <w:rFonts w:hint="eastAsia" w:cs="宋体"/>
                <w:color w:val="auto"/>
                <w:highlight w:val="none"/>
              </w:rPr>
              <w:t>建设规模</w:t>
            </w:r>
          </w:p>
        </w:tc>
        <w:tc>
          <w:tcPr>
            <w:tcW w:w="1548" w:type="dxa"/>
            <w:gridSpan w:val="2"/>
            <w:noWrap w:val="0"/>
            <w:vAlign w:val="center"/>
          </w:tcPr>
          <w:p w14:paraId="522DAA54">
            <w:pPr>
              <w:jc w:val="center"/>
              <w:rPr>
                <w:color w:val="auto"/>
                <w:highlight w:val="none"/>
              </w:rPr>
            </w:pPr>
          </w:p>
        </w:tc>
        <w:tc>
          <w:tcPr>
            <w:tcW w:w="2221" w:type="dxa"/>
            <w:gridSpan w:val="2"/>
            <w:noWrap w:val="0"/>
            <w:vAlign w:val="center"/>
          </w:tcPr>
          <w:p w14:paraId="68D54ADC">
            <w:pPr>
              <w:jc w:val="center"/>
              <w:rPr>
                <w:color w:val="auto"/>
                <w:highlight w:val="none"/>
              </w:rPr>
            </w:pPr>
          </w:p>
        </w:tc>
        <w:tc>
          <w:tcPr>
            <w:tcW w:w="1088" w:type="dxa"/>
            <w:noWrap w:val="0"/>
            <w:vAlign w:val="center"/>
          </w:tcPr>
          <w:p w14:paraId="35BD79BF">
            <w:pPr>
              <w:jc w:val="center"/>
              <w:rPr>
                <w:color w:val="auto"/>
                <w:highlight w:val="none"/>
              </w:rPr>
            </w:pPr>
          </w:p>
        </w:tc>
        <w:tc>
          <w:tcPr>
            <w:tcW w:w="1641" w:type="dxa"/>
            <w:gridSpan w:val="4"/>
            <w:noWrap w:val="0"/>
            <w:vAlign w:val="center"/>
          </w:tcPr>
          <w:p w14:paraId="0EAB0FDE">
            <w:pPr>
              <w:jc w:val="center"/>
              <w:rPr>
                <w:color w:val="auto"/>
                <w:highlight w:val="none"/>
              </w:rPr>
            </w:pPr>
          </w:p>
        </w:tc>
        <w:tc>
          <w:tcPr>
            <w:tcW w:w="1484" w:type="dxa"/>
            <w:gridSpan w:val="2"/>
            <w:noWrap w:val="0"/>
            <w:vAlign w:val="center"/>
          </w:tcPr>
          <w:p w14:paraId="5E7D80B7">
            <w:pPr>
              <w:jc w:val="center"/>
              <w:rPr>
                <w:color w:val="auto"/>
                <w:highlight w:val="none"/>
              </w:rPr>
            </w:pPr>
          </w:p>
        </w:tc>
      </w:tr>
      <w:tr w14:paraId="26A2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noWrap w:val="0"/>
            <w:vAlign w:val="center"/>
          </w:tcPr>
          <w:p w14:paraId="153CC56C">
            <w:pPr>
              <w:jc w:val="center"/>
              <w:rPr>
                <w:rFonts w:hint="eastAsia" w:ascii="宋体" w:hAnsi="宋体" w:cs="宋体"/>
                <w:color w:val="auto"/>
                <w:sz w:val="27"/>
                <w:szCs w:val="27"/>
                <w:highlight w:val="none"/>
                <w:lang w:bidi="ar"/>
              </w:rPr>
            </w:pPr>
            <w:r>
              <w:rPr>
                <w:rFonts w:hint="eastAsia" w:cs="宋体"/>
                <w:color w:val="auto"/>
                <w:highlight w:val="none"/>
              </w:rPr>
              <w:t>开工日期</w:t>
            </w:r>
          </w:p>
        </w:tc>
        <w:tc>
          <w:tcPr>
            <w:tcW w:w="1548" w:type="dxa"/>
            <w:gridSpan w:val="2"/>
            <w:noWrap w:val="0"/>
            <w:vAlign w:val="center"/>
          </w:tcPr>
          <w:p w14:paraId="2D33523E">
            <w:pPr>
              <w:jc w:val="center"/>
              <w:rPr>
                <w:color w:val="auto"/>
                <w:highlight w:val="none"/>
              </w:rPr>
            </w:pPr>
          </w:p>
        </w:tc>
        <w:tc>
          <w:tcPr>
            <w:tcW w:w="2221" w:type="dxa"/>
            <w:gridSpan w:val="2"/>
            <w:noWrap w:val="0"/>
            <w:vAlign w:val="center"/>
          </w:tcPr>
          <w:p w14:paraId="2088E4A6">
            <w:pPr>
              <w:jc w:val="center"/>
              <w:rPr>
                <w:color w:val="auto"/>
                <w:highlight w:val="none"/>
              </w:rPr>
            </w:pPr>
          </w:p>
        </w:tc>
        <w:tc>
          <w:tcPr>
            <w:tcW w:w="1088" w:type="dxa"/>
            <w:noWrap w:val="0"/>
            <w:vAlign w:val="center"/>
          </w:tcPr>
          <w:p w14:paraId="0F068F75">
            <w:pPr>
              <w:jc w:val="center"/>
              <w:rPr>
                <w:color w:val="auto"/>
                <w:highlight w:val="none"/>
              </w:rPr>
            </w:pPr>
          </w:p>
        </w:tc>
        <w:tc>
          <w:tcPr>
            <w:tcW w:w="1641" w:type="dxa"/>
            <w:gridSpan w:val="4"/>
            <w:noWrap w:val="0"/>
            <w:vAlign w:val="center"/>
          </w:tcPr>
          <w:p w14:paraId="5D74B904">
            <w:pPr>
              <w:jc w:val="center"/>
              <w:rPr>
                <w:color w:val="auto"/>
                <w:highlight w:val="none"/>
              </w:rPr>
            </w:pPr>
          </w:p>
        </w:tc>
        <w:tc>
          <w:tcPr>
            <w:tcW w:w="1484" w:type="dxa"/>
            <w:gridSpan w:val="2"/>
            <w:noWrap w:val="0"/>
            <w:vAlign w:val="center"/>
          </w:tcPr>
          <w:p w14:paraId="63DBF44A">
            <w:pPr>
              <w:jc w:val="center"/>
              <w:rPr>
                <w:color w:val="auto"/>
                <w:highlight w:val="none"/>
              </w:rPr>
            </w:pPr>
          </w:p>
        </w:tc>
      </w:tr>
      <w:tr w14:paraId="1893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noWrap w:val="0"/>
            <w:vAlign w:val="center"/>
          </w:tcPr>
          <w:p w14:paraId="3F4E544F">
            <w:pPr>
              <w:jc w:val="center"/>
              <w:rPr>
                <w:color w:val="auto"/>
                <w:highlight w:val="none"/>
              </w:rPr>
            </w:pPr>
            <w:r>
              <w:rPr>
                <w:rFonts w:hint="eastAsia" w:cs="宋体"/>
                <w:color w:val="auto"/>
                <w:highlight w:val="none"/>
              </w:rPr>
              <w:t>竣工日期</w:t>
            </w:r>
          </w:p>
        </w:tc>
        <w:tc>
          <w:tcPr>
            <w:tcW w:w="1548" w:type="dxa"/>
            <w:gridSpan w:val="2"/>
            <w:noWrap w:val="0"/>
            <w:vAlign w:val="center"/>
          </w:tcPr>
          <w:p w14:paraId="0B304294">
            <w:pPr>
              <w:jc w:val="center"/>
              <w:rPr>
                <w:color w:val="auto"/>
                <w:highlight w:val="none"/>
              </w:rPr>
            </w:pPr>
          </w:p>
        </w:tc>
        <w:tc>
          <w:tcPr>
            <w:tcW w:w="2221" w:type="dxa"/>
            <w:gridSpan w:val="2"/>
            <w:noWrap w:val="0"/>
            <w:vAlign w:val="center"/>
          </w:tcPr>
          <w:p w14:paraId="4FAF9F27">
            <w:pPr>
              <w:jc w:val="center"/>
              <w:rPr>
                <w:color w:val="auto"/>
                <w:highlight w:val="none"/>
              </w:rPr>
            </w:pPr>
          </w:p>
        </w:tc>
        <w:tc>
          <w:tcPr>
            <w:tcW w:w="1088" w:type="dxa"/>
            <w:noWrap w:val="0"/>
            <w:vAlign w:val="center"/>
          </w:tcPr>
          <w:p w14:paraId="18D81B31">
            <w:pPr>
              <w:jc w:val="center"/>
              <w:rPr>
                <w:color w:val="auto"/>
                <w:highlight w:val="none"/>
              </w:rPr>
            </w:pPr>
          </w:p>
        </w:tc>
        <w:tc>
          <w:tcPr>
            <w:tcW w:w="1641" w:type="dxa"/>
            <w:gridSpan w:val="4"/>
            <w:noWrap w:val="0"/>
            <w:vAlign w:val="center"/>
          </w:tcPr>
          <w:p w14:paraId="7EB1D3D8">
            <w:pPr>
              <w:jc w:val="center"/>
              <w:rPr>
                <w:color w:val="auto"/>
                <w:highlight w:val="none"/>
              </w:rPr>
            </w:pPr>
          </w:p>
        </w:tc>
        <w:tc>
          <w:tcPr>
            <w:tcW w:w="1484" w:type="dxa"/>
            <w:gridSpan w:val="2"/>
            <w:noWrap w:val="0"/>
            <w:vAlign w:val="center"/>
          </w:tcPr>
          <w:p w14:paraId="25E83D45">
            <w:pPr>
              <w:jc w:val="center"/>
              <w:rPr>
                <w:color w:val="auto"/>
                <w:highlight w:val="none"/>
              </w:rPr>
            </w:pPr>
          </w:p>
        </w:tc>
      </w:tr>
      <w:tr w14:paraId="7921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noWrap w:val="0"/>
            <w:vAlign w:val="center"/>
          </w:tcPr>
          <w:p w14:paraId="402C7BC4">
            <w:pPr>
              <w:jc w:val="center"/>
              <w:rPr>
                <w:rFonts w:hint="eastAsia" w:cs="宋体"/>
                <w:color w:val="auto"/>
                <w:highlight w:val="none"/>
              </w:rPr>
            </w:pPr>
            <w:r>
              <w:rPr>
                <w:rFonts w:hint="eastAsia" w:cs="宋体"/>
                <w:color w:val="auto"/>
                <w:highlight w:val="none"/>
              </w:rPr>
              <w:t>人员角色</w:t>
            </w:r>
          </w:p>
        </w:tc>
        <w:tc>
          <w:tcPr>
            <w:tcW w:w="1548" w:type="dxa"/>
            <w:gridSpan w:val="2"/>
            <w:noWrap w:val="0"/>
            <w:vAlign w:val="center"/>
          </w:tcPr>
          <w:p w14:paraId="4F147B91">
            <w:pPr>
              <w:jc w:val="center"/>
              <w:rPr>
                <w:color w:val="auto"/>
                <w:highlight w:val="none"/>
              </w:rPr>
            </w:pPr>
          </w:p>
        </w:tc>
        <w:tc>
          <w:tcPr>
            <w:tcW w:w="2221" w:type="dxa"/>
            <w:gridSpan w:val="2"/>
            <w:noWrap w:val="0"/>
            <w:vAlign w:val="center"/>
          </w:tcPr>
          <w:p w14:paraId="5663FF07">
            <w:pPr>
              <w:jc w:val="center"/>
              <w:rPr>
                <w:color w:val="auto"/>
                <w:highlight w:val="none"/>
              </w:rPr>
            </w:pPr>
          </w:p>
        </w:tc>
        <w:tc>
          <w:tcPr>
            <w:tcW w:w="1088" w:type="dxa"/>
            <w:noWrap w:val="0"/>
            <w:vAlign w:val="center"/>
          </w:tcPr>
          <w:p w14:paraId="6BDC9E1E">
            <w:pPr>
              <w:jc w:val="center"/>
              <w:rPr>
                <w:color w:val="auto"/>
                <w:highlight w:val="none"/>
              </w:rPr>
            </w:pPr>
          </w:p>
        </w:tc>
        <w:tc>
          <w:tcPr>
            <w:tcW w:w="1641" w:type="dxa"/>
            <w:gridSpan w:val="4"/>
            <w:noWrap w:val="0"/>
            <w:vAlign w:val="center"/>
          </w:tcPr>
          <w:p w14:paraId="4502304F">
            <w:pPr>
              <w:jc w:val="center"/>
              <w:rPr>
                <w:color w:val="auto"/>
                <w:highlight w:val="none"/>
              </w:rPr>
            </w:pPr>
          </w:p>
        </w:tc>
        <w:tc>
          <w:tcPr>
            <w:tcW w:w="1484" w:type="dxa"/>
            <w:gridSpan w:val="2"/>
            <w:noWrap w:val="0"/>
            <w:vAlign w:val="center"/>
          </w:tcPr>
          <w:p w14:paraId="42783D84">
            <w:pPr>
              <w:jc w:val="center"/>
              <w:rPr>
                <w:color w:val="auto"/>
                <w:highlight w:val="none"/>
              </w:rPr>
            </w:pPr>
          </w:p>
        </w:tc>
      </w:tr>
      <w:tr w14:paraId="4606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noWrap w:val="0"/>
            <w:vAlign w:val="center"/>
          </w:tcPr>
          <w:p w14:paraId="52082169">
            <w:pPr>
              <w:jc w:val="center"/>
              <w:rPr>
                <w:rFonts w:hint="eastAsia" w:cs="宋体"/>
                <w:color w:val="auto"/>
                <w:highlight w:val="none"/>
              </w:rPr>
            </w:pPr>
            <w:r>
              <w:rPr>
                <w:rFonts w:hint="eastAsia" w:cs="宋体"/>
                <w:color w:val="auto"/>
                <w:highlight w:val="none"/>
              </w:rPr>
              <w:t>在建或已完</w:t>
            </w:r>
          </w:p>
        </w:tc>
        <w:tc>
          <w:tcPr>
            <w:tcW w:w="1548" w:type="dxa"/>
            <w:gridSpan w:val="2"/>
            <w:noWrap w:val="0"/>
            <w:vAlign w:val="center"/>
          </w:tcPr>
          <w:p w14:paraId="173153FC">
            <w:pPr>
              <w:jc w:val="center"/>
              <w:rPr>
                <w:color w:val="auto"/>
                <w:highlight w:val="none"/>
              </w:rPr>
            </w:pPr>
          </w:p>
        </w:tc>
        <w:tc>
          <w:tcPr>
            <w:tcW w:w="2221" w:type="dxa"/>
            <w:gridSpan w:val="2"/>
            <w:noWrap w:val="0"/>
            <w:vAlign w:val="center"/>
          </w:tcPr>
          <w:p w14:paraId="3311F66C">
            <w:pPr>
              <w:jc w:val="center"/>
              <w:rPr>
                <w:color w:val="auto"/>
                <w:highlight w:val="none"/>
              </w:rPr>
            </w:pPr>
          </w:p>
        </w:tc>
        <w:tc>
          <w:tcPr>
            <w:tcW w:w="1088" w:type="dxa"/>
            <w:noWrap w:val="0"/>
            <w:vAlign w:val="center"/>
          </w:tcPr>
          <w:p w14:paraId="02C6A6FD">
            <w:pPr>
              <w:jc w:val="center"/>
              <w:rPr>
                <w:color w:val="auto"/>
                <w:highlight w:val="none"/>
              </w:rPr>
            </w:pPr>
          </w:p>
        </w:tc>
        <w:tc>
          <w:tcPr>
            <w:tcW w:w="1641" w:type="dxa"/>
            <w:gridSpan w:val="4"/>
            <w:noWrap w:val="0"/>
            <w:vAlign w:val="center"/>
          </w:tcPr>
          <w:p w14:paraId="15779E25">
            <w:pPr>
              <w:jc w:val="center"/>
              <w:rPr>
                <w:color w:val="auto"/>
                <w:highlight w:val="none"/>
              </w:rPr>
            </w:pPr>
          </w:p>
        </w:tc>
        <w:tc>
          <w:tcPr>
            <w:tcW w:w="1484" w:type="dxa"/>
            <w:gridSpan w:val="2"/>
            <w:noWrap w:val="0"/>
            <w:vAlign w:val="center"/>
          </w:tcPr>
          <w:p w14:paraId="29D46B46">
            <w:pPr>
              <w:jc w:val="center"/>
              <w:rPr>
                <w:color w:val="auto"/>
                <w:highlight w:val="none"/>
              </w:rPr>
            </w:pPr>
          </w:p>
        </w:tc>
      </w:tr>
      <w:tr w14:paraId="61F2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noWrap w:val="0"/>
            <w:vAlign w:val="center"/>
          </w:tcPr>
          <w:p w14:paraId="6140E0C2">
            <w:pPr>
              <w:jc w:val="center"/>
              <w:rPr>
                <w:rFonts w:hint="eastAsia" w:cs="宋体"/>
                <w:color w:val="auto"/>
                <w:highlight w:val="none"/>
              </w:rPr>
            </w:pPr>
            <w:r>
              <w:rPr>
                <w:rFonts w:hint="eastAsia" w:cs="宋体"/>
                <w:color w:val="auto"/>
                <w:highlight w:val="none"/>
              </w:rPr>
              <w:t>工程质量</w:t>
            </w:r>
          </w:p>
        </w:tc>
        <w:tc>
          <w:tcPr>
            <w:tcW w:w="1548" w:type="dxa"/>
            <w:gridSpan w:val="2"/>
            <w:noWrap w:val="0"/>
            <w:vAlign w:val="center"/>
          </w:tcPr>
          <w:p w14:paraId="016DCAD5">
            <w:pPr>
              <w:jc w:val="center"/>
              <w:rPr>
                <w:color w:val="auto"/>
                <w:highlight w:val="none"/>
              </w:rPr>
            </w:pPr>
          </w:p>
        </w:tc>
        <w:tc>
          <w:tcPr>
            <w:tcW w:w="2221" w:type="dxa"/>
            <w:gridSpan w:val="2"/>
            <w:noWrap w:val="0"/>
            <w:vAlign w:val="center"/>
          </w:tcPr>
          <w:p w14:paraId="75F34A6B">
            <w:pPr>
              <w:jc w:val="center"/>
              <w:rPr>
                <w:color w:val="auto"/>
                <w:highlight w:val="none"/>
              </w:rPr>
            </w:pPr>
          </w:p>
        </w:tc>
        <w:tc>
          <w:tcPr>
            <w:tcW w:w="1088" w:type="dxa"/>
            <w:noWrap w:val="0"/>
            <w:vAlign w:val="center"/>
          </w:tcPr>
          <w:p w14:paraId="62A2C4F2">
            <w:pPr>
              <w:jc w:val="center"/>
              <w:rPr>
                <w:color w:val="auto"/>
                <w:highlight w:val="none"/>
              </w:rPr>
            </w:pPr>
          </w:p>
        </w:tc>
        <w:tc>
          <w:tcPr>
            <w:tcW w:w="1641" w:type="dxa"/>
            <w:gridSpan w:val="4"/>
            <w:noWrap w:val="0"/>
            <w:vAlign w:val="center"/>
          </w:tcPr>
          <w:p w14:paraId="32D78C6D">
            <w:pPr>
              <w:jc w:val="center"/>
              <w:rPr>
                <w:color w:val="auto"/>
                <w:highlight w:val="none"/>
              </w:rPr>
            </w:pPr>
          </w:p>
        </w:tc>
        <w:tc>
          <w:tcPr>
            <w:tcW w:w="1484" w:type="dxa"/>
            <w:gridSpan w:val="2"/>
            <w:noWrap w:val="0"/>
            <w:vAlign w:val="center"/>
          </w:tcPr>
          <w:p w14:paraId="1E7D5DB4">
            <w:pPr>
              <w:jc w:val="center"/>
              <w:rPr>
                <w:color w:val="auto"/>
                <w:highlight w:val="none"/>
              </w:rPr>
            </w:pPr>
          </w:p>
        </w:tc>
      </w:tr>
      <w:tr w14:paraId="653C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noWrap w:val="0"/>
            <w:vAlign w:val="center"/>
          </w:tcPr>
          <w:p w14:paraId="28E56753">
            <w:pPr>
              <w:jc w:val="center"/>
              <w:rPr>
                <w:rFonts w:hint="eastAsia" w:cs="宋体"/>
                <w:color w:val="auto"/>
                <w:highlight w:val="none"/>
              </w:rPr>
            </w:pPr>
            <w:r>
              <w:rPr>
                <w:rFonts w:hint="eastAsia" w:cs="宋体"/>
                <w:color w:val="auto"/>
                <w:highlight w:val="none"/>
              </w:rPr>
              <w:t>受奖情况</w:t>
            </w:r>
          </w:p>
        </w:tc>
        <w:tc>
          <w:tcPr>
            <w:tcW w:w="1548" w:type="dxa"/>
            <w:gridSpan w:val="2"/>
            <w:noWrap w:val="0"/>
            <w:vAlign w:val="center"/>
          </w:tcPr>
          <w:p w14:paraId="71E39862">
            <w:pPr>
              <w:jc w:val="center"/>
              <w:rPr>
                <w:color w:val="auto"/>
                <w:highlight w:val="none"/>
              </w:rPr>
            </w:pPr>
          </w:p>
        </w:tc>
        <w:tc>
          <w:tcPr>
            <w:tcW w:w="2221" w:type="dxa"/>
            <w:gridSpan w:val="2"/>
            <w:noWrap w:val="0"/>
            <w:vAlign w:val="center"/>
          </w:tcPr>
          <w:p w14:paraId="6914C0C4">
            <w:pPr>
              <w:jc w:val="center"/>
              <w:rPr>
                <w:color w:val="auto"/>
                <w:highlight w:val="none"/>
              </w:rPr>
            </w:pPr>
          </w:p>
        </w:tc>
        <w:tc>
          <w:tcPr>
            <w:tcW w:w="1088" w:type="dxa"/>
            <w:noWrap w:val="0"/>
            <w:vAlign w:val="center"/>
          </w:tcPr>
          <w:p w14:paraId="7320AD3C">
            <w:pPr>
              <w:jc w:val="center"/>
              <w:rPr>
                <w:color w:val="auto"/>
                <w:highlight w:val="none"/>
              </w:rPr>
            </w:pPr>
          </w:p>
        </w:tc>
        <w:tc>
          <w:tcPr>
            <w:tcW w:w="1641" w:type="dxa"/>
            <w:gridSpan w:val="4"/>
            <w:noWrap w:val="0"/>
            <w:vAlign w:val="center"/>
          </w:tcPr>
          <w:p w14:paraId="2D3B6CB7">
            <w:pPr>
              <w:jc w:val="center"/>
              <w:rPr>
                <w:color w:val="auto"/>
                <w:highlight w:val="none"/>
              </w:rPr>
            </w:pPr>
          </w:p>
        </w:tc>
        <w:tc>
          <w:tcPr>
            <w:tcW w:w="1484" w:type="dxa"/>
            <w:gridSpan w:val="2"/>
            <w:noWrap w:val="0"/>
            <w:vAlign w:val="center"/>
          </w:tcPr>
          <w:p w14:paraId="4C39D168">
            <w:pPr>
              <w:jc w:val="center"/>
              <w:rPr>
                <w:color w:val="auto"/>
                <w:highlight w:val="none"/>
              </w:rPr>
            </w:pPr>
          </w:p>
        </w:tc>
      </w:tr>
    </w:tbl>
    <w:p w14:paraId="6CF51719">
      <w:pPr>
        <w:rPr>
          <w:rFonts w:ascii="宋体" w:hAnsi="宋体"/>
          <w:color w:val="auto"/>
          <w:szCs w:val="21"/>
          <w:highlight w:val="none"/>
        </w:rPr>
      </w:pPr>
      <w:r>
        <w:rPr>
          <w:rFonts w:hint="eastAsia" w:ascii="宋体" w:hAnsi="宋体" w:cs="楷体_GB2312"/>
          <w:color w:val="auto"/>
          <w:szCs w:val="21"/>
          <w:highlight w:val="none"/>
        </w:rPr>
        <w:t>备注：</w:t>
      </w:r>
    </w:p>
    <w:p w14:paraId="5D1647B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r>
        <w:rPr>
          <w:rFonts w:hint="eastAsia" w:ascii="宋体" w:hAnsi="宋体"/>
          <w:color w:val="auto"/>
          <w:szCs w:val="21"/>
          <w:highlight w:val="none"/>
        </w:rPr>
        <w:t>。</w:t>
      </w:r>
    </w:p>
    <w:p w14:paraId="0E8AFD4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2.本表后附项目经理的学历证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w:t>
      </w:r>
      <w:r>
        <w:rPr>
          <w:rFonts w:hint="eastAsia" w:ascii="宋体" w:hAnsi="宋体"/>
          <w:color w:val="auto"/>
          <w:szCs w:val="21"/>
          <w:highlight w:val="none"/>
          <w:lang w:eastAsia="zh-CN"/>
        </w:rPr>
        <w:t>）</w:t>
      </w:r>
      <w:r>
        <w:rPr>
          <w:rFonts w:hint="eastAsia" w:ascii="宋体" w:hAnsi="宋体"/>
          <w:color w:val="auto"/>
          <w:szCs w:val="21"/>
          <w:highlight w:val="none"/>
        </w:rPr>
        <w:t>、安全生产考核合格证（B类）、本表所列证书复印件并加盖供应商电子签章。</w:t>
      </w:r>
    </w:p>
    <w:p w14:paraId="549A8133">
      <w:pPr>
        <w:spacing w:before="156"/>
        <w:ind w:firstLine="643"/>
        <w:jc w:val="center"/>
        <w:rPr>
          <w:color w:val="auto"/>
          <w:sz w:val="28"/>
          <w:szCs w:val="28"/>
          <w:highlight w:val="none"/>
          <w:u w:val="single"/>
        </w:rPr>
      </w:pPr>
      <w:r>
        <w:rPr>
          <w:rFonts w:cs="宋体"/>
          <w:b/>
          <w:color w:val="auto"/>
          <w:sz w:val="32"/>
          <w:szCs w:val="32"/>
          <w:highlight w:val="none"/>
        </w:rPr>
        <w:br w:type="page" w:clear="all"/>
      </w:r>
      <w:r>
        <w:rPr>
          <w:rFonts w:hint="eastAsia" w:cs="宋体"/>
          <w:b/>
          <w:color w:val="auto"/>
          <w:sz w:val="28"/>
          <w:szCs w:val="28"/>
          <w:highlight w:val="none"/>
        </w:rPr>
        <w:t>项目技术负责人（项目总工）简历表</w:t>
      </w:r>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1659"/>
        <w:gridCol w:w="1088"/>
        <w:gridCol w:w="88"/>
        <w:gridCol w:w="409"/>
        <w:gridCol w:w="1108"/>
        <w:gridCol w:w="36"/>
        <w:gridCol w:w="79"/>
        <w:gridCol w:w="1405"/>
        <w:gridCol w:w="11"/>
      </w:tblGrid>
      <w:tr w14:paraId="231E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noWrap w:val="0"/>
            <w:vAlign w:val="center"/>
          </w:tcPr>
          <w:p w14:paraId="564354FF">
            <w:pPr>
              <w:jc w:val="center"/>
              <w:rPr>
                <w:color w:val="auto"/>
                <w:highlight w:val="none"/>
              </w:rPr>
            </w:pPr>
            <w:r>
              <w:rPr>
                <w:rFonts w:hint="eastAsia" w:cs="宋体"/>
                <w:color w:val="auto"/>
                <w:highlight w:val="none"/>
              </w:rPr>
              <w:t>姓名</w:t>
            </w:r>
          </w:p>
        </w:tc>
        <w:tc>
          <w:tcPr>
            <w:tcW w:w="2340" w:type="dxa"/>
            <w:gridSpan w:val="5"/>
            <w:noWrap w:val="0"/>
            <w:vAlign w:val="center"/>
          </w:tcPr>
          <w:p w14:paraId="4132A903">
            <w:pPr>
              <w:jc w:val="center"/>
              <w:rPr>
                <w:color w:val="auto"/>
                <w:highlight w:val="none"/>
              </w:rPr>
            </w:pPr>
          </w:p>
        </w:tc>
        <w:tc>
          <w:tcPr>
            <w:tcW w:w="1893" w:type="dxa"/>
            <w:gridSpan w:val="2"/>
            <w:noWrap w:val="0"/>
            <w:vAlign w:val="center"/>
          </w:tcPr>
          <w:p w14:paraId="03678A03">
            <w:pPr>
              <w:jc w:val="center"/>
              <w:rPr>
                <w:color w:val="auto"/>
                <w:highlight w:val="none"/>
              </w:rPr>
            </w:pPr>
            <w:r>
              <w:rPr>
                <w:rFonts w:hint="eastAsia" w:cs="宋体"/>
                <w:color w:val="auto"/>
                <w:highlight w:val="none"/>
              </w:rPr>
              <w:t>性别</w:t>
            </w:r>
          </w:p>
        </w:tc>
        <w:tc>
          <w:tcPr>
            <w:tcW w:w="1585" w:type="dxa"/>
            <w:gridSpan w:val="3"/>
            <w:noWrap w:val="0"/>
            <w:vAlign w:val="center"/>
          </w:tcPr>
          <w:p w14:paraId="2D211192">
            <w:pPr>
              <w:jc w:val="center"/>
              <w:rPr>
                <w:color w:val="auto"/>
                <w:highlight w:val="none"/>
              </w:rPr>
            </w:pPr>
          </w:p>
        </w:tc>
        <w:tc>
          <w:tcPr>
            <w:tcW w:w="1108" w:type="dxa"/>
            <w:noWrap w:val="0"/>
            <w:vAlign w:val="center"/>
          </w:tcPr>
          <w:p w14:paraId="1AA611B2">
            <w:pPr>
              <w:jc w:val="center"/>
              <w:rPr>
                <w:color w:val="auto"/>
                <w:highlight w:val="none"/>
              </w:rPr>
            </w:pPr>
            <w:r>
              <w:rPr>
                <w:rFonts w:hint="eastAsia" w:cs="宋体"/>
                <w:color w:val="auto"/>
                <w:highlight w:val="none"/>
              </w:rPr>
              <w:t>年龄</w:t>
            </w:r>
          </w:p>
        </w:tc>
        <w:tc>
          <w:tcPr>
            <w:tcW w:w="1531" w:type="dxa"/>
            <w:gridSpan w:val="4"/>
            <w:noWrap w:val="0"/>
            <w:vAlign w:val="center"/>
          </w:tcPr>
          <w:p w14:paraId="788E5429">
            <w:pPr>
              <w:jc w:val="center"/>
              <w:rPr>
                <w:color w:val="auto"/>
                <w:highlight w:val="none"/>
              </w:rPr>
            </w:pPr>
          </w:p>
        </w:tc>
      </w:tr>
      <w:tr w14:paraId="5AAF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3429C20C">
            <w:pPr>
              <w:jc w:val="center"/>
              <w:rPr>
                <w:color w:val="auto"/>
                <w:highlight w:val="none"/>
              </w:rPr>
            </w:pPr>
            <w:r>
              <w:rPr>
                <w:rFonts w:hint="eastAsia" w:cs="宋体"/>
                <w:color w:val="auto"/>
                <w:highlight w:val="none"/>
              </w:rPr>
              <w:t>岗位</w:t>
            </w:r>
          </w:p>
        </w:tc>
        <w:tc>
          <w:tcPr>
            <w:tcW w:w="2340" w:type="dxa"/>
            <w:gridSpan w:val="5"/>
            <w:noWrap w:val="0"/>
            <w:vAlign w:val="center"/>
          </w:tcPr>
          <w:p w14:paraId="5839A5E6">
            <w:pPr>
              <w:jc w:val="center"/>
              <w:rPr>
                <w:color w:val="auto"/>
                <w:highlight w:val="none"/>
              </w:rPr>
            </w:pPr>
            <w:r>
              <w:rPr>
                <w:rFonts w:hint="eastAsia"/>
                <w:color w:val="auto"/>
                <w:highlight w:val="none"/>
              </w:rPr>
              <w:t>项目技术负责人（项目总工）</w:t>
            </w:r>
          </w:p>
        </w:tc>
        <w:tc>
          <w:tcPr>
            <w:tcW w:w="1893" w:type="dxa"/>
            <w:gridSpan w:val="2"/>
            <w:noWrap w:val="0"/>
            <w:vAlign w:val="center"/>
          </w:tcPr>
          <w:p w14:paraId="33FCD0A0">
            <w:pPr>
              <w:jc w:val="center"/>
              <w:rPr>
                <w:color w:val="auto"/>
                <w:highlight w:val="none"/>
              </w:rPr>
            </w:pPr>
            <w:r>
              <w:rPr>
                <w:rFonts w:hint="eastAsia" w:cs="宋体"/>
                <w:color w:val="auto"/>
                <w:highlight w:val="none"/>
              </w:rPr>
              <w:t>职称</w:t>
            </w:r>
          </w:p>
        </w:tc>
        <w:tc>
          <w:tcPr>
            <w:tcW w:w="1585" w:type="dxa"/>
            <w:gridSpan w:val="3"/>
            <w:noWrap w:val="0"/>
            <w:vAlign w:val="center"/>
          </w:tcPr>
          <w:p w14:paraId="50A7C591">
            <w:pPr>
              <w:jc w:val="center"/>
              <w:rPr>
                <w:color w:val="auto"/>
                <w:highlight w:val="none"/>
              </w:rPr>
            </w:pPr>
          </w:p>
        </w:tc>
        <w:tc>
          <w:tcPr>
            <w:tcW w:w="1108" w:type="dxa"/>
            <w:noWrap w:val="0"/>
            <w:vAlign w:val="center"/>
          </w:tcPr>
          <w:p w14:paraId="6B2999E6">
            <w:pPr>
              <w:jc w:val="center"/>
              <w:rPr>
                <w:color w:val="auto"/>
                <w:highlight w:val="none"/>
              </w:rPr>
            </w:pPr>
            <w:r>
              <w:rPr>
                <w:rFonts w:hint="eastAsia" w:cs="宋体"/>
                <w:color w:val="auto"/>
                <w:highlight w:val="none"/>
              </w:rPr>
              <w:t>学历</w:t>
            </w:r>
          </w:p>
        </w:tc>
        <w:tc>
          <w:tcPr>
            <w:tcW w:w="1531" w:type="dxa"/>
            <w:gridSpan w:val="4"/>
            <w:noWrap w:val="0"/>
            <w:vAlign w:val="center"/>
          </w:tcPr>
          <w:p w14:paraId="4AB06F82">
            <w:pPr>
              <w:jc w:val="center"/>
              <w:rPr>
                <w:color w:val="auto"/>
                <w:highlight w:val="none"/>
              </w:rPr>
            </w:pPr>
          </w:p>
        </w:tc>
      </w:tr>
      <w:tr w14:paraId="1BEB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7493A627">
            <w:pPr>
              <w:jc w:val="center"/>
              <w:rPr>
                <w:rFonts w:hint="eastAsia" w:cs="宋体"/>
                <w:color w:val="auto"/>
                <w:highlight w:val="none"/>
              </w:rPr>
            </w:pPr>
            <w:r>
              <w:rPr>
                <w:rFonts w:hint="eastAsia" w:cs="宋体"/>
                <w:color w:val="auto"/>
                <w:highlight w:val="none"/>
              </w:rPr>
              <w:t>从业开始时间</w:t>
            </w:r>
          </w:p>
        </w:tc>
        <w:tc>
          <w:tcPr>
            <w:tcW w:w="2340" w:type="dxa"/>
            <w:gridSpan w:val="5"/>
            <w:noWrap w:val="0"/>
            <w:vAlign w:val="center"/>
          </w:tcPr>
          <w:p w14:paraId="2D2787A2">
            <w:pPr>
              <w:jc w:val="center"/>
              <w:rPr>
                <w:color w:val="auto"/>
                <w:highlight w:val="none"/>
              </w:rPr>
            </w:pPr>
          </w:p>
        </w:tc>
        <w:tc>
          <w:tcPr>
            <w:tcW w:w="1893" w:type="dxa"/>
            <w:gridSpan w:val="2"/>
            <w:noWrap w:val="0"/>
            <w:vAlign w:val="center"/>
          </w:tcPr>
          <w:p w14:paraId="58F232BF">
            <w:pPr>
              <w:jc w:val="center"/>
              <w:rPr>
                <w:rFonts w:hint="eastAsia"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noWrap w:val="0"/>
            <w:vAlign w:val="center"/>
          </w:tcPr>
          <w:p w14:paraId="20734D3E">
            <w:pPr>
              <w:jc w:val="center"/>
              <w:rPr>
                <w:color w:val="auto"/>
                <w:highlight w:val="none"/>
              </w:rPr>
            </w:pPr>
          </w:p>
        </w:tc>
        <w:tc>
          <w:tcPr>
            <w:tcW w:w="1108" w:type="dxa"/>
            <w:noWrap w:val="0"/>
            <w:vAlign w:val="center"/>
          </w:tcPr>
          <w:p w14:paraId="0DD66A68">
            <w:pPr>
              <w:jc w:val="center"/>
              <w:rPr>
                <w:rFonts w:hint="eastAsia" w:cs="宋体"/>
                <w:color w:val="auto"/>
                <w:highlight w:val="none"/>
              </w:rPr>
            </w:pPr>
            <w:r>
              <w:rPr>
                <w:rFonts w:hint="eastAsia" w:cs="宋体"/>
                <w:color w:val="auto"/>
                <w:highlight w:val="none"/>
              </w:rPr>
              <w:t>毕业时间</w:t>
            </w:r>
          </w:p>
        </w:tc>
        <w:tc>
          <w:tcPr>
            <w:tcW w:w="1531" w:type="dxa"/>
            <w:gridSpan w:val="4"/>
            <w:noWrap w:val="0"/>
            <w:vAlign w:val="center"/>
          </w:tcPr>
          <w:p w14:paraId="5A6CC2BF">
            <w:pPr>
              <w:jc w:val="center"/>
              <w:rPr>
                <w:color w:val="auto"/>
                <w:highlight w:val="none"/>
              </w:rPr>
            </w:pPr>
          </w:p>
        </w:tc>
      </w:tr>
      <w:tr w14:paraId="2210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492B2C2E">
            <w:pPr>
              <w:jc w:val="center"/>
              <w:rPr>
                <w:color w:val="auto"/>
                <w:highlight w:val="none"/>
              </w:rPr>
            </w:pPr>
            <w:r>
              <w:rPr>
                <w:rFonts w:hint="eastAsia" w:cs="宋体"/>
                <w:color w:val="auto"/>
                <w:highlight w:val="none"/>
              </w:rPr>
              <w:t>担任</w:t>
            </w:r>
            <w:r>
              <w:rPr>
                <w:rFonts w:hint="eastAsia"/>
                <w:color w:val="auto"/>
                <w:highlight w:val="none"/>
              </w:rPr>
              <w:t>……</w:t>
            </w:r>
            <w:r>
              <w:rPr>
                <w:rFonts w:hint="eastAsia" w:cs="宋体"/>
                <w:color w:val="auto"/>
                <w:highlight w:val="none"/>
              </w:rPr>
              <w:t>年限</w:t>
            </w:r>
          </w:p>
        </w:tc>
        <w:tc>
          <w:tcPr>
            <w:tcW w:w="2410" w:type="dxa"/>
            <w:gridSpan w:val="5"/>
            <w:noWrap w:val="0"/>
            <w:vAlign w:val="center"/>
          </w:tcPr>
          <w:p w14:paraId="609123E2">
            <w:pPr>
              <w:jc w:val="center"/>
              <w:rPr>
                <w:color w:val="auto"/>
                <w:highlight w:val="none"/>
              </w:rPr>
            </w:pPr>
          </w:p>
        </w:tc>
        <w:tc>
          <w:tcPr>
            <w:tcW w:w="1659" w:type="dxa"/>
            <w:noWrap w:val="0"/>
            <w:vAlign w:val="center"/>
          </w:tcPr>
          <w:p w14:paraId="5215B33F">
            <w:pPr>
              <w:jc w:val="center"/>
              <w:rPr>
                <w:color w:val="auto"/>
                <w:highlight w:val="none"/>
              </w:rPr>
            </w:pPr>
            <w:r>
              <w:rPr>
                <w:rFonts w:hint="eastAsia"/>
                <w:color w:val="auto"/>
                <w:highlight w:val="none"/>
              </w:rPr>
              <w:t>身份</w:t>
            </w:r>
            <w:r>
              <w:rPr>
                <w:color w:val="auto"/>
                <w:highlight w:val="none"/>
              </w:rPr>
              <w:t>证号码</w:t>
            </w:r>
          </w:p>
        </w:tc>
        <w:tc>
          <w:tcPr>
            <w:tcW w:w="4224" w:type="dxa"/>
            <w:gridSpan w:val="8"/>
            <w:noWrap w:val="0"/>
            <w:vAlign w:val="center"/>
          </w:tcPr>
          <w:p w14:paraId="5B14F1A2">
            <w:pPr>
              <w:jc w:val="center"/>
              <w:rPr>
                <w:color w:val="auto"/>
                <w:highlight w:val="none"/>
              </w:rPr>
            </w:pPr>
          </w:p>
        </w:tc>
      </w:tr>
      <w:tr w14:paraId="2C7E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7CFFFD50">
            <w:pPr>
              <w:jc w:val="center"/>
              <w:rPr>
                <w:color w:val="auto"/>
                <w:highlight w:val="none"/>
              </w:rPr>
            </w:pPr>
            <w:r>
              <w:rPr>
                <w:rFonts w:hint="eastAsia"/>
                <w:color w:val="auto"/>
                <w:highlight w:val="none"/>
              </w:rPr>
              <w:t>证书名称</w:t>
            </w:r>
          </w:p>
        </w:tc>
        <w:tc>
          <w:tcPr>
            <w:tcW w:w="1188" w:type="dxa"/>
            <w:gridSpan w:val="2"/>
            <w:noWrap w:val="0"/>
            <w:vAlign w:val="center"/>
          </w:tcPr>
          <w:p w14:paraId="21BB2378">
            <w:pPr>
              <w:jc w:val="center"/>
              <w:rPr>
                <w:color w:val="auto"/>
                <w:highlight w:val="none"/>
              </w:rPr>
            </w:pPr>
            <w:r>
              <w:rPr>
                <w:rFonts w:hint="eastAsia"/>
                <w:color w:val="auto"/>
                <w:highlight w:val="none"/>
              </w:rPr>
              <w:t>注册专业</w:t>
            </w:r>
          </w:p>
        </w:tc>
        <w:tc>
          <w:tcPr>
            <w:tcW w:w="1222" w:type="dxa"/>
            <w:gridSpan w:val="3"/>
            <w:noWrap w:val="0"/>
            <w:vAlign w:val="center"/>
          </w:tcPr>
          <w:p w14:paraId="190A4C31">
            <w:pPr>
              <w:jc w:val="center"/>
              <w:rPr>
                <w:color w:val="auto"/>
                <w:highlight w:val="none"/>
              </w:rPr>
            </w:pPr>
            <w:r>
              <w:rPr>
                <w:color w:val="auto"/>
                <w:highlight w:val="none"/>
              </w:rPr>
              <w:t>级别</w:t>
            </w:r>
          </w:p>
        </w:tc>
        <w:tc>
          <w:tcPr>
            <w:tcW w:w="1659" w:type="dxa"/>
            <w:noWrap w:val="0"/>
            <w:vAlign w:val="center"/>
          </w:tcPr>
          <w:p w14:paraId="673FBFDC">
            <w:pPr>
              <w:jc w:val="center"/>
              <w:rPr>
                <w:color w:val="auto"/>
                <w:highlight w:val="none"/>
              </w:rPr>
            </w:pPr>
            <w:r>
              <w:rPr>
                <w:rFonts w:hint="eastAsia" w:cs="宋体"/>
                <w:color w:val="auto"/>
                <w:highlight w:val="none"/>
              </w:rPr>
              <w:t>证书编号</w:t>
            </w:r>
          </w:p>
        </w:tc>
        <w:tc>
          <w:tcPr>
            <w:tcW w:w="1176" w:type="dxa"/>
            <w:gridSpan w:val="2"/>
            <w:noWrap w:val="0"/>
            <w:vAlign w:val="center"/>
          </w:tcPr>
          <w:p w14:paraId="728A4A7F">
            <w:pPr>
              <w:jc w:val="center"/>
              <w:rPr>
                <w:color w:val="auto"/>
                <w:highlight w:val="none"/>
              </w:rPr>
            </w:pPr>
            <w:r>
              <w:rPr>
                <w:rFonts w:hint="eastAsia"/>
                <w:color w:val="auto"/>
                <w:highlight w:val="none"/>
              </w:rPr>
              <w:t>注册时间</w:t>
            </w:r>
          </w:p>
        </w:tc>
        <w:tc>
          <w:tcPr>
            <w:tcW w:w="1632" w:type="dxa"/>
            <w:gridSpan w:val="4"/>
            <w:noWrap w:val="0"/>
            <w:vAlign w:val="center"/>
          </w:tcPr>
          <w:p w14:paraId="2D496EFC">
            <w:pPr>
              <w:jc w:val="center"/>
              <w:rPr>
                <w:color w:val="auto"/>
                <w:highlight w:val="none"/>
              </w:rPr>
            </w:pPr>
            <w:r>
              <w:rPr>
                <w:rFonts w:hint="eastAsia"/>
                <w:color w:val="auto"/>
                <w:highlight w:val="none"/>
              </w:rPr>
              <w:t>注册单位</w:t>
            </w:r>
          </w:p>
        </w:tc>
        <w:tc>
          <w:tcPr>
            <w:tcW w:w="1416" w:type="dxa"/>
            <w:gridSpan w:val="2"/>
            <w:noWrap w:val="0"/>
            <w:vAlign w:val="center"/>
          </w:tcPr>
          <w:p w14:paraId="34898C42">
            <w:pPr>
              <w:jc w:val="center"/>
              <w:rPr>
                <w:color w:val="auto"/>
                <w:highlight w:val="none"/>
              </w:rPr>
            </w:pPr>
            <w:r>
              <w:rPr>
                <w:rFonts w:hint="eastAsia"/>
                <w:color w:val="auto"/>
                <w:highlight w:val="none"/>
              </w:rPr>
              <w:t>注册有效期</w:t>
            </w:r>
          </w:p>
        </w:tc>
      </w:tr>
      <w:tr w14:paraId="77EE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7875D0C2">
            <w:pPr>
              <w:jc w:val="center"/>
              <w:rPr>
                <w:rFonts w:hint="eastAsia"/>
                <w:color w:val="auto"/>
                <w:highlight w:val="none"/>
              </w:rPr>
            </w:pPr>
          </w:p>
        </w:tc>
        <w:tc>
          <w:tcPr>
            <w:tcW w:w="1188" w:type="dxa"/>
            <w:gridSpan w:val="2"/>
            <w:noWrap w:val="0"/>
            <w:vAlign w:val="center"/>
          </w:tcPr>
          <w:p w14:paraId="275B5EF5">
            <w:pPr>
              <w:jc w:val="center"/>
              <w:rPr>
                <w:rFonts w:hint="eastAsia"/>
                <w:color w:val="auto"/>
                <w:highlight w:val="none"/>
              </w:rPr>
            </w:pPr>
          </w:p>
        </w:tc>
        <w:tc>
          <w:tcPr>
            <w:tcW w:w="1222" w:type="dxa"/>
            <w:gridSpan w:val="3"/>
            <w:noWrap w:val="0"/>
            <w:vAlign w:val="center"/>
          </w:tcPr>
          <w:p w14:paraId="7C60331A">
            <w:pPr>
              <w:jc w:val="center"/>
              <w:rPr>
                <w:rFonts w:hint="eastAsia" w:cs="宋体"/>
                <w:color w:val="auto"/>
                <w:highlight w:val="none"/>
              </w:rPr>
            </w:pPr>
          </w:p>
        </w:tc>
        <w:tc>
          <w:tcPr>
            <w:tcW w:w="1659" w:type="dxa"/>
            <w:noWrap w:val="0"/>
            <w:vAlign w:val="center"/>
          </w:tcPr>
          <w:p w14:paraId="16AB1BC5">
            <w:pPr>
              <w:jc w:val="center"/>
              <w:rPr>
                <w:rFonts w:hint="eastAsia"/>
                <w:color w:val="auto"/>
                <w:highlight w:val="none"/>
              </w:rPr>
            </w:pPr>
          </w:p>
        </w:tc>
        <w:tc>
          <w:tcPr>
            <w:tcW w:w="1176" w:type="dxa"/>
            <w:gridSpan w:val="2"/>
            <w:noWrap w:val="0"/>
            <w:vAlign w:val="center"/>
          </w:tcPr>
          <w:p w14:paraId="70FC5A1F">
            <w:pPr>
              <w:jc w:val="center"/>
              <w:rPr>
                <w:rFonts w:hint="eastAsia"/>
                <w:color w:val="auto"/>
                <w:highlight w:val="none"/>
              </w:rPr>
            </w:pPr>
          </w:p>
        </w:tc>
        <w:tc>
          <w:tcPr>
            <w:tcW w:w="1632" w:type="dxa"/>
            <w:gridSpan w:val="4"/>
            <w:noWrap w:val="0"/>
            <w:vAlign w:val="center"/>
          </w:tcPr>
          <w:p w14:paraId="33F7094D">
            <w:pPr>
              <w:jc w:val="center"/>
              <w:rPr>
                <w:rFonts w:hint="eastAsia"/>
                <w:color w:val="auto"/>
                <w:highlight w:val="none"/>
              </w:rPr>
            </w:pPr>
          </w:p>
        </w:tc>
        <w:tc>
          <w:tcPr>
            <w:tcW w:w="1416" w:type="dxa"/>
            <w:gridSpan w:val="2"/>
            <w:noWrap w:val="0"/>
            <w:vAlign w:val="center"/>
          </w:tcPr>
          <w:p w14:paraId="6EB2A1FE">
            <w:pPr>
              <w:jc w:val="center"/>
              <w:rPr>
                <w:rFonts w:hint="eastAsia"/>
                <w:color w:val="auto"/>
                <w:highlight w:val="none"/>
              </w:rPr>
            </w:pPr>
          </w:p>
        </w:tc>
      </w:tr>
      <w:tr w14:paraId="0AE1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noWrap w:val="0"/>
            <w:vAlign w:val="center"/>
          </w:tcPr>
          <w:p w14:paraId="494CFF3A">
            <w:pPr>
              <w:jc w:val="center"/>
              <w:rPr>
                <w:rFonts w:hint="eastAsia"/>
                <w:color w:val="auto"/>
                <w:highlight w:val="none"/>
              </w:rPr>
            </w:pPr>
          </w:p>
        </w:tc>
        <w:tc>
          <w:tcPr>
            <w:tcW w:w="1188" w:type="dxa"/>
            <w:gridSpan w:val="2"/>
            <w:noWrap w:val="0"/>
            <w:vAlign w:val="center"/>
          </w:tcPr>
          <w:p w14:paraId="0CCB4588">
            <w:pPr>
              <w:jc w:val="center"/>
              <w:rPr>
                <w:rFonts w:hint="eastAsia"/>
                <w:color w:val="auto"/>
                <w:highlight w:val="none"/>
              </w:rPr>
            </w:pPr>
          </w:p>
        </w:tc>
        <w:tc>
          <w:tcPr>
            <w:tcW w:w="1222" w:type="dxa"/>
            <w:gridSpan w:val="3"/>
            <w:noWrap w:val="0"/>
            <w:vAlign w:val="center"/>
          </w:tcPr>
          <w:p w14:paraId="7E136789">
            <w:pPr>
              <w:jc w:val="center"/>
              <w:rPr>
                <w:rFonts w:hint="eastAsia" w:cs="宋体"/>
                <w:color w:val="auto"/>
                <w:highlight w:val="none"/>
              </w:rPr>
            </w:pPr>
          </w:p>
        </w:tc>
        <w:tc>
          <w:tcPr>
            <w:tcW w:w="1659" w:type="dxa"/>
            <w:noWrap w:val="0"/>
            <w:vAlign w:val="center"/>
          </w:tcPr>
          <w:p w14:paraId="60331F70">
            <w:pPr>
              <w:jc w:val="center"/>
              <w:rPr>
                <w:rFonts w:hint="eastAsia"/>
                <w:color w:val="auto"/>
                <w:highlight w:val="none"/>
              </w:rPr>
            </w:pPr>
          </w:p>
        </w:tc>
        <w:tc>
          <w:tcPr>
            <w:tcW w:w="1176" w:type="dxa"/>
            <w:gridSpan w:val="2"/>
            <w:noWrap w:val="0"/>
            <w:vAlign w:val="center"/>
          </w:tcPr>
          <w:p w14:paraId="14DEB483">
            <w:pPr>
              <w:jc w:val="center"/>
              <w:rPr>
                <w:rFonts w:hint="eastAsia"/>
                <w:color w:val="auto"/>
                <w:highlight w:val="none"/>
              </w:rPr>
            </w:pPr>
          </w:p>
        </w:tc>
        <w:tc>
          <w:tcPr>
            <w:tcW w:w="1632" w:type="dxa"/>
            <w:gridSpan w:val="4"/>
            <w:noWrap w:val="0"/>
            <w:vAlign w:val="center"/>
          </w:tcPr>
          <w:p w14:paraId="448C24A5">
            <w:pPr>
              <w:jc w:val="center"/>
              <w:rPr>
                <w:rFonts w:hint="eastAsia"/>
                <w:color w:val="auto"/>
                <w:highlight w:val="none"/>
              </w:rPr>
            </w:pPr>
          </w:p>
        </w:tc>
        <w:tc>
          <w:tcPr>
            <w:tcW w:w="1416" w:type="dxa"/>
            <w:gridSpan w:val="2"/>
            <w:noWrap w:val="0"/>
            <w:vAlign w:val="center"/>
          </w:tcPr>
          <w:p w14:paraId="362E9582">
            <w:pPr>
              <w:jc w:val="center"/>
              <w:rPr>
                <w:rFonts w:hint="eastAsia"/>
                <w:color w:val="auto"/>
                <w:highlight w:val="none"/>
              </w:rPr>
            </w:pPr>
          </w:p>
        </w:tc>
      </w:tr>
      <w:tr w14:paraId="1F2F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6"/>
            <w:noWrap w:val="0"/>
            <w:vAlign w:val="center"/>
          </w:tcPr>
          <w:p w14:paraId="26F03AD6">
            <w:pPr>
              <w:jc w:val="center"/>
              <w:rPr>
                <w:color w:val="auto"/>
                <w:highlight w:val="none"/>
              </w:rPr>
            </w:pPr>
            <w:r>
              <w:rPr>
                <w:rFonts w:hint="eastAsia" w:cs="宋体"/>
                <w:color w:val="auto"/>
                <w:highlight w:val="none"/>
              </w:rPr>
              <w:t>在建和已完工程项目情况</w:t>
            </w:r>
          </w:p>
        </w:tc>
      </w:tr>
      <w:tr w14:paraId="3C1A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09213D9F">
            <w:pPr>
              <w:jc w:val="center"/>
              <w:rPr>
                <w:color w:val="auto"/>
                <w:highlight w:val="none"/>
              </w:rPr>
            </w:pPr>
          </w:p>
        </w:tc>
        <w:tc>
          <w:tcPr>
            <w:tcW w:w="1548" w:type="dxa"/>
            <w:gridSpan w:val="2"/>
            <w:noWrap w:val="0"/>
            <w:vAlign w:val="center"/>
          </w:tcPr>
          <w:p w14:paraId="77B2C9BA">
            <w:pPr>
              <w:jc w:val="center"/>
              <w:rPr>
                <w:rFonts w:hint="eastAsia"/>
                <w:color w:val="auto"/>
                <w:highlight w:val="none"/>
              </w:rPr>
            </w:pPr>
            <w:r>
              <w:rPr>
                <w:rFonts w:hint="eastAsia"/>
                <w:color w:val="auto"/>
                <w:highlight w:val="none"/>
              </w:rPr>
              <w:t>项目1</w:t>
            </w:r>
          </w:p>
        </w:tc>
        <w:tc>
          <w:tcPr>
            <w:tcW w:w="2221" w:type="dxa"/>
            <w:gridSpan w:val="3"/>
            <w:noWrap w:val="0"/>
            <w:vAlign w:val="center"/>
          </w:tcPr>
          <w:p w14:paraId="1513A306">
            <w:pPr>
              <w:jc w:val="center"/>
              <w:rPr>
                <w:color w:val="auto"/>
                <w:highlight w:val="none"/>
              </w:rPr>
            </w:pPr>
            <w:r>
              <w:rPr>
                <w:rFonts w:hint="eastAsia"/>
                <w:color w:val="auto"/>
                <w:highlight w:val="none"/>
              </w:rPr>
              <w:t>项目2</w:t>
            </w:r>
          </w:p>
        </w:tc>
        <w:tc>
          <w:tcPr>
            <w:tcW w:w="1088" w:type="dxa"/>
            <w:noWrap w:val="0"/>
            <w:vAlign w:val="center"/>
          </w:tcPr>
          <w:p w14:paraId="282F056E">
            <w:pPr>
              <w:jc w:val="center"/>
              <w:rPr>
                <w:color w:val="auto"/>
                <w:highlight w:val="none"/>
              </w:rPr>
            </w:pPr>
            <w:r>
              <w:rPr>
                <w:rFonts w:hint="eastAsia"/>
                <w:color w:val="auto"/>
                <w:highlight w:val="none"/>
              </w:rPr>
              <w:t>项目3</w:t>
            </w:r>
          </w:p>
        </w:tc>
        <w:tc>
          <w:tcPr>
            <w:tcW w:w="1641" w:type="dxa"/>
            <w:gridSpan w:val="4"/>
            <w:noWrap w:val="0"/>
            <w:vAlign w:val="center"/>
          </w:tcPr>
          <w:p w14:paraId="430A6500">
            <w:pPr>
              <w:jc w:val="center"/>
              <w:rPr>
                <w:color w:val="auto"/>
                <w:highlight w:val="none"/>
              </w:rPr>
            </w:pPr>
            <w:r>
              <w:rPr>
                <w:rFonts w:hint="eastAsia"/>
                <w:color w:val="auto"/>
                <w:highlight w:val="none"/>
              </w:rPr>
              <w:t>项目4</w:t>
            </w:r>
          </w:p>
        </w:tc>
        <w:tc>
          <w:tcPr>
            <w:tcW w:w="1484" w:type="dxa"/>
            <w:gridSpan w:val="2"/>
            <w:noWrap w:val="0"/>
            <w:vAlign w:val="center"/>
          </w:tcPr>
          <w:p w14:paraId="1A36AB55">
            <w:pPr>
              <w:jc w:val="center"/>
              <w:rPr>
                <w:color w:val="auto"/>
                <w:highlight w:val="none"/>
              </w:rPr>
            </w:pPr>
            <w:r>
              <w:rPr>
                <w:rFonts w:hint="eastAsia"/>
                <w:color w:val="auto"/>
                <w:highlight w:val="none"/>
              </w:rPr>
              <w:t>……</w:t>
            </w:r>
          </w:p>
        </w:tc>
      </w:tr>
      <w:tr w14:paraId="670F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78949E47">
            <w:pPr>
              <w:jc w:val="center"/>
              <w:rPr>
                <w:color w:val="auto"/>
                <w:highlight w:val="none"/>
              </w:rPr>
            </w:pPr>
            <w:r>
              <w:rPr>
                <w:rFonts w:hint="eastAsia"/>
                <w:color w:val="auto"/>
                <w:highlight w:val="none"/>
              </w:rPr>
              <w:t>项目名称</w:t>
            </w:r>
          </w:p>
        </w:tc>
        <w:tc>
          <w:tcPr>
            <w:tcW w:w="1548" w:type="dxa"/>
            <w:gridSpan w:val="2"/>
            <w:noWrap w:val="0"/>
            <w:vAlign w:val="center"/>
          </w:tcPr>
          <w:p w14:paraId="268540DE">
            <w:pPr>
              <w:jc w:val="center"/>
              <w:rPr>
                <w:color w:val="auto"/>
                <w:highlight w:val="none"/>
              </w:rPr>
            </w:pPr>
          </w:p>
        </w:tc>
        <w:tc>
          <w:tcPr>
            <w:tcW w:w="2221" w:type="dxa"/>
            <w:gridSpan w:val="3"/>
            <w:noWrap w:val="0"/>
            <w:vAlign w:val="center"/>
          </w:tcPr>
          <w:p w14:paraId="5A849964">
            <w:pPr>
              <w:jc w:val="center"/>
              <w:rPr>
                <w:color w:val="auto"/>
                <w:highlight w:val="none"/>
              </w:rPr>
            </w:pPr>
          </w:p>
        </w:tc>
        <w:tc>
          <w:tcPr>
            <w:tcW w:w="1088" w:type="dxa"/>
            <w:noWrap w:val="0"/>
            <w:vAlign w:val="center"/>
          </w:tcPr>
          <w:p w14:paraId="0198FF24">
            <w:pPr>
              <w:jc w:val="center"/>
              <w:rPr>
                <w:color w:val="auto"/>
                <w:highlight w:val="none"/>
              </w:rPr>
            </w:pPr>
          </w:p>
        </w:tc>
        <w:tc>
          <w:tcPr>
            <w:tcW w:w="1641" w:type="dxa"/>
            <w:gridSpan w:val="4"/>
            <w:noWrap w:val="0"/>
            <w:vAlign w:val="center"/>
          </w:tcPr>
          <w:p w14:paraId="2C3B5197">
            <w:pPr>
              <w:jc w:val="center"/>
              <w:rPr>
                <w:color w:val="auto"/>
                <w:highlight w:val="none"/>
              </w:rPr>
            </w:pPr>
          </w:p>
        </w:tc>
        <w:tc>
          <w:tcPr>
            <w:tcW w:w="1484" w:type="dxa"/>
            <w:gridSpan w:val="2"/>
            <w:noWrap w:val="0"/>
            <w:vAlign w:val="center"/>
          </w:tcPr>
          <w:p w14:paraId="7C040DA7">
            <w:pPr>
              <w:jc w:val="center"/>
              <w:rPr>
                <w:color w:val="auto"/>
                <w:highlight w:val="none"/>
              </w:rPr>
            </w:pPr>
          </w:p>
        </w:tc>
      </w:tr>
      <w:tr w14:paraId="5D63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158674D3">
            <w:pPr>
              <w:jc w:val="center"/>
              <w:rPr>
                <w:color w:val="auto"/>
                <w:highlight w:val="none"/>
              </w:rPr>
            </w:pPr>
            <w:r>
              <w:rPr>
                <w:rFonts w:hint="eastAsia" w:cs="宋体"/>
                <w:color w:val="auto"/>
                <w:highlight w:val="none"/>
              </w:rPr>
              <w:t>建设单位</w:t>
            </w:r>
          </w:p>
        </w:tc>
        <w:tc>
          <w:tcPr>
            <w:tcW w:w="1548" w:type="dxa"/>
            <w:gridSpan w:val="2"/>
            <w:noWrap w:val="0"/>
            <w:vAlign w:val="center"/>
          </w:tcPr>
          <w:p w14:paraId="78C4F05C">
            <w:pPr>
              <w:jc w:val="center"/>
              <w:rPr>
                <w:color w:val="auto"/>
                <w:highlight w:val="none"/>
              </w:rPr>
            </w:pPr>
          </w:p>
        </w:tc>
        <w:tc>
          <w:tcPr>
            <w:tcW w:w="2221" w:type="dxa"/>
            <w:gridSpan w:val="3"/>
            <w:noWrap w:val="0"/>
            <w:vAlign w:val="center"/>
          </w:tcPr>
          <w:p w14:paraId="373F9FDC">
            <w:pPr>
              <w:jc w:val="center"/>
              <w:rPr>
                <w:color w:val="auto"/>
                <w:highlight w:val="none"/>
              </w:rPr>
            </w:pPr>
          </w:p>
        </w:tc>
        <w:tc>
          <w:tcPr>
            <w:tcW w:w="1088" w:type="dxa"/>
            <w:noWrap w:val="0"/>
            <w:vAlign w:val="center"/>
          </w:tcPr>
          <w:p w14:paraId="0F090502">
            <w:pPr>
              <w:jc w:val="center"/>
              <w:rPr>
                <w:color w:val="auto"/>
                <w:highlight w:val="none"/>
              </w:rPr>
            </w:pPr>
          </w:p>
        </w:tc>
        <w:tc>
          <w:tcPr>
            <w:tcW w:w="1641" w:type="dxa"/>
            <w:gridSpan w:val="4"/>
            <w:noWrap w:val="0"/>
            <w:vAlign w:val="center"/>
          </w:tcPr>
          <w:p w14:paraId="4401A618">
            <w:pPr>
              <w:jc w:val="center"/>
              <w:rPr>
                <w:color w:val="auto"/>
                <w:highlight w:val="none"/>
              </w:rPr>
            </w:pPr>
          </w:p>
        </w:tc>
        <w:tc>
          <w:tcPr>
            <w:tcW w:w="1484" w:type="dxa"/>
            <w:gridSpan w:val="2"/>
            <w:noWrap w:val="0"/>
            <w:vAlign w:val="center"/>
          </w:tcPr>
          <w:p w14:paraId="03949A40">
            <w:pPr>
              <w:jc w:val="center"/>
              <w:rPr>
                <w:color w:val="auto"/>
                <w:highlight w:val="none"/>
              </w:rPr>
            </w:pPr>
          </w:p>
        </w:tc>
      </w:tr>
      <w:tr w14:paraId="7CF6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0AC590FD">
            <w:pPr>
              <w:jc w:val="center"/>
              <w:rPr>
                <w:color w:val="auto"/>
                <w:highlight w:val="none"/>
              </w:rPr>
            </w:pPr>
            <w:r>
              <w:rPr>
                <w:rFonts w:hint="eastAsia" w:cs="宋体"/>
                <w:color w:val="auto"/>
                <w:highlight w:val="none"/>
              </w:rPr>
              <w:t>建设规模</w:t>
            </w:r>
          </w:p>
        </w:tc>
        <w:tc>
          <w:tcPr>
            <w:tcW w:w="1548" w:type="dxa"/>
            <w:gridSpan w:val="2"/>
            <w:noWrap w:val="0"/>
            <w:vAlign w:val="center"/>
          </w:tcPr>
          <w:p w14:paraId="70213074">
            <w:pPr>
              <w:jc w:val="center"/>
              <w:rPr>
                <w:color w:val="auto"/>
                <w:highlight w:val="none"/>
              </w:rPr>
            </w:pPr>
          </w:p>
        </w:tc>
        <w:tc>
          <w:tcPr>
            <w:tcW w:w="2221" w:type="dxa"/>
            <w:gridSpan w:val="3"/>
            <w:noWrap w:val="0"/>
            <w:vAlign w:val="center"/>
          </w:tcPr>
          <w:p w14:paraId="076970A7">
            <w:pPr>
              <w:jc w:val="center"/>
              <w:rPr>
                <w:color w:val="auto"/>
                <w:highlight w:val="none"/>
              </w:rPr>
            </w:pPr>
          </w:p>
        </w:tc>
        <w:tc>
          <w:tcPr>
            <w:tcW w:w="1088" w:type="dxa"/>
            <w:noWrap w:val="0"/>
            <w:vAlign w:val="center"/>
          </w:tcPr>
          <w:p w14:paraId="189403D2">
            <w:pPr>
              <w:jc w:val="center"/>
              <w:rPr>
                <w:color w:val="auto"/>
                <w:highlight w:val="none"/>
              </w:rPr>
            </w:pPr>
          </w:p>
        </w:tc>
        <w:tc>
          <w:tcPr>
            <w:tcW w:w="1641" w:type="dxa"/>
            <w:gridSpan w:val="4"/>
            <w:noWrap w:val="0"/>
            <w:vAlign w:val="center"/>
          </w:tcPr>
          <w:p w14:paraId="5F8F0A31">
            <w:pPr>
              <w:jc w:val="center"/>
              <w:rPr>
                <w:color w:val="auto"/>
                <w:highlight w:val="none"/>
              </w:rPr>
            </w:pPr>
          </w:p>
        </w:tc>
        <w:tc>
          <w:tcPr>
            <w:tcW w:w="1484" w:type="dxa"/>
            <w:gridSpan w:val="2"/>
            <w:noWrap w:val="0"/>
            <w:vAlign w:val="center"/>
          </w:tcPr>
          <w:p w14:paraId="00891770">
            <w:pPr>
              <w:jc w:val="center"/>
              <w:rPr>
                <w:color w:val="auto"/>
                <w:highlight w:val="none"/>
              </w:rPr>
            </w:pPr>
          </w:p>
        </w:tc>
      </w:tr>
      <w:tr w14:paraId="0315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B9294B8">
            <w:pPr>
              <w:jc w:val="center"/>
              <w:rPr>
                <w:rFonts w:hint="eastAsia" w:ascii="宋体" w:hAnsi="宋体" w:cs="宋体"/>
                <w:color w:val="auto"/>
                <w:sz w:val="27"/>
                <w:szCs w:val="27"/>
                <w:highlight w:val="none"/>
                <w:lang w:bidi="ar"/>
              </w:rPr>
            </w:pPr>
            <w:r>
              <w:rPr>
                <w:rFonts w:hint="eastAsia" w:cs="宋体"/>
                <w:color w:val="auto"/>
                <w:highlight w:val="none"/>
              </w:rPr>
              <w:t>开工日期</w:t>
            </w:r>
          </w:p>
        </w:tc>
        <w:tc>
          <w:tcPr>
            <w:tcW w:w="1548" w:type="dxa"/>
            <w:gridSpan w:val="2"/>
            <w:noWrap w:val="0"/>
            <w:vAlign w:val="center"/>
          </w:tcPr>
          <w:p w14:paraId="0058A600">
            <w:pPr>
              <w:jc w:val="center"/>
              <w:rPr>
                <w:color w:val="auto"/>
                <w:highlight w:val="none"/>
              </w:rPr>
            </w:pPr>
          </w:p>
        </w:tc>
        <w:tc>
          <w:tcPr>
            <w:tcW w:w="2221" w:type="dxa"/>
            <w:gridSpan w:val="3"/>
            <w:noWrap w:val="0"/>
            <w:vAlign w:val="center"/>
          </w:tcPr>
          <w:p w14:paraId="2E9E550F">
            <w:pPr>
              <w:jc w:val="center"/>
              <w:rPr>
                <w:color w:val="auto"/>
                <w:highlight w:val="none"/>
              </w:rPr>
            </w:pPr>
          </w:p>
        </w:tc>
        <w:tc>
          <w:tcPr>
            <w:tcW w:w="1088" w:type="dxa"/>
            <w:noWrap w:val="0"/>
            <w:vAlign w:val="center"/>
          </w:tcPr>
          <w:p w14:paraId="78769916">
            <w:pPr>
              <w:jc w:val="center"/>
              <w:rPr>
                <w:color w:val="auto"/>
                <w:highlight w:val="none"/>
              </w:rPr>
            </w:pPr>
          </w:p>
        </w:tc>
        <w:tc>
          <w:tcPr>
            <w:tcW w:w="1641" w:type="dxa"/>
            <w:gridSpan w:val="4"/>
            <w:noWrap w:val="0"/>
            <w:vAlign w:val="center"/>
          </w:tcPr>
          <w:p w14:paraId="717067B1">
            <w:pPr>
              <w:jc w:val="center"/>
              <w:rPr>
                <w:color w:val="auto"/>
                <w:highlight w:val="none"/>
              </w:rPr>
            </w:pPr>
          </w:p>
        </w:tc>
        <w:tc>
          <w:tcPr>
            <w:tcW w:w="1484" w:type="dxa"/>
            <w:gridSpan w:val="2"/>
            <w:noWrap w:val="0"/>
            <w:vAlign w:val="center"/>
          </w:tcPr>
          <w:p w14:paraId="6227271D">
            <w:pPr>
              <w:jc w:val="center"/>
              <w:rPr>
                <w:color w:val="auto"/>
                <w:highlight w:val="none"/>
              </w:rPr>
            </w:pPr>
          </w:p>
        </w:tc>
      </w:tr>
      <w:tr w14:paraId="3CFD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51908D2">
            <w:pPr>
              <w:jc w:val="center"/>
              <w:rPr>
                <w:color w:val="auto"/>
                <w:highlight w:val="none"/>
              </w:rPr>
            </w:pPr>
            <w:r>
              <w:rPr>
                <w:rFonts w:hint="eastAsia" w:cs="宋体"/>
                <w:color w:val="auto"/>
                <w:highlight w:val="none"/>
              </w:rPr>
              <w:t>竣工日期</w:t>
            </w:r>
          </w:p>
        </w:tc>
        <w:tc>
          <w:tcPr>
            <w:tcW w:w="1548" w:type="dxa"/>
            <w:gridSpan w:val="2"/>
            <w:noWrap w:val="0"/>
            <w:vAlign w:val="center"/>
          </w:tcPr>
          <w:p w14:paraId="2FD0081E">
            <w:pPr>
              <w:jc w:val="center"/>
              <w:rPr>
                <w:color w:val="auto"/>
                <w:highlight w:val="none"/>
              </w:rPr>
            </w:pPr>
          </w:p>
        </w:tc>
        <w:tc>
          <w:tcPr>
            <w:tcW w:w="2221" w:type="dxa"/>
            <w:gridSpan w:val="3"/>
            <w:noWrap w:val="0"/>
            <w:vAlign w:val="center"/>
          </w:tcPr>
          <w:p w14:paraId="60D759AF">
            <w:pPr>
              <w:jc w:val="center"/>
              <w:rPr>
                <w:color w:val="auto"/>
                <w:highlight w:val="none"/>
              </w:rPr>
            </w:pPr>
          </w:p>
        </w:tc>
        <w:tc>
          <w:tcPr>
            <w:tcW w:w="1088" w:type="dxa"/>
            <w:noWrap w:val="0"/>
            <w:vAlign w:val="center"/>
          </w:tcPr>
          <w:p w14:paraId="53416117">
            <w:pPr>
              <w:jc w:val="center"/>
              <w:rPr>
                <w:color w:val="auto"/>
                <w:highlight w:val="none"/>
              </w:rPr>
            </w:pPr>
          </w:p>
        </w:tc>
        <w:tc>
          <w:tcPr>
            <w:tcW w:w="1641" w:type="dxa"/>
            <w:gridSpan w:val="4"/>
            <w:noWrap w:val="0"/>
            <w:vAlign w:val="center"/>
          </w:tcPr>
          <w:p w14:paraId="3A1CDA98">
            <w:pPr>
              <w:jc w:val="center"/>
              <w:rPr>
                <w:color w:val="auto"/>
                <w:highlight w:val="none"/>
              </w:rPr>
            </w:pPr>
          </w:p>
        </w:tc>
        <w:tc>
          <w:tcPr>
            <w:tcW w:w="1484" w:type="dxa"/>
            <w:gridSpan w:val="2"/>
            <w:noWrap w:val="0"/>
            <w:vAlign w:val="center"/>
          </w:tcPr>
          <w:p w14:paraId="5CE6181E">
            <w:pPr>
              <w:jc w:val="center"/>
              <w:rPr>
                <w:color w:val="auto"/>
                <w:highlight w:val="none"/>
              </w:rPr>
            </w:pPr>
          </w:p>
        </w:tc>
      </w:tr>
      <w:tr w14:paraId="675A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6487FE9">
            <w:pPr>
              <w:jc w:val="center"/>
              <w:rPr>
                <w:rFonts w:hint="eastAsia" w:cs="宋体"/>
                <w:color w:val="auto"/>
                <w:highlight w:val="none"/>
              </w:rPr>
            </w:pPr>
            <w:r>
              <w:rPr>
                <w:rFonts w:hint="eastAsia" w:cs="宋体"/>
                <w:color w:val="auto"/>
                <w:highlight w:val="none"/>
              </w:rPr>
              <w:t>人员角色</w:t>
            </w:r>
          </w:p>
        </w:tc>
        <w:tc>
          <w:tcPr>
            <w:tcW w:w="1548" w:type="dxa"/>
            <w:gridSpan w:val="2"/>
            <w:noWrap w:val="0"/>
            <w:vAlign w:val="center"/>
          </w:tcPr>
          <w:p w14:paraId="15801032">
            <w:pPr>
              <w:jc w:val="center"/>
              <w:rPr>
                <w:color w:val="auto"/>
                <w:highlight w:val="none"/>
              </w:rPr>
            </w:pPr>
          </w:p>
        </w:tc>
        <w:tc>
          <w:tcPr>
            <w:tcW w:w="2221" w:type="dxa"/>
            <w:gridSpan w:val="3"/>
            <w:noWrap w:val="0"/>
            <w:vAlign w:val="center"/>
          </w:tcPr>
          <w:p w14:paraId="16623837">
            <w:pPr>
              <w:jc w:val="center"/>
              <w:rPr>
                <w:color w:val="auto"/>
                <w:highlight w:val="none"/>
              </w:rPr>
            </w:pPr>
          </w:p>
        </w:tc>
        <w:tc>
          <w:tcPr>
            <w:tcW w:w="1088" w:type="dxa"/>
            <w:noWrap w:val="0"/>
            <w:vAlign w:val="center"/>
          </w:tcPr>
          <w:p w14:paraId="14CDF1C6">
            <w:pPr>
              <w:jc w:val="center"/>
              <w:rPr>
                <w:color w:val="auto"/>
                <w:highlight w:val="none"/>
              </w:rPr>
            </w:pPr>
          </w:p>
        </w:tc>
        <w:tc>
          <w:tcPr>
            <w:tcW w:w="1641" w:type="dxa"/>
            <w:gridSpan w:val="4"/>
            <w:noWrap w:val="0"/>
            <w:vAlign w:val="center"/>
          </w:tcPr>
          <w:p w14:paraId="738B3C1A">
            <w:pPr>
              <w:jc w:val="center"/>
              <w:rPr>
                <w:color w:val="auto"/>
                <w:highlight w:val="none"/>
              </w:rPr>
            </w:pPr>
          </w:p>
        </w:tc>
        <w:tc>
          <w:tcPr>
            <w:tcW w:w="1484" w:type="dxa"/>
            <w:gridSpan w:val="2"/>
            <w:noWrap w:val="0"/>
            <w:vAlign w:val="center"/>
          </w:tcPr>
          <w:p w14:paraId="70BE1575">
            <w:pPr>
              <w:jc w:val="center"/>
              <w:rPr>
                <w:color w:val="auto"/>
                <w:highlight w:val="none"/>
              </w:rPr>
            </w:pPr>
          </w:p>
        </w:tc>
      </w:tr>
      <w:tr w14:paraId="4B32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6FB44B4">
            <w:pPr>
              <w:jc w:val="center"/>
              <w:rPr>
                <w:rFonts w:hint="eastAsia" w:cs="宋体"/>
                <w:color w:val="auto"/>
                <w:highlight w:val="none"/>
              </w:rPr>
            </w:pPr>
            <w:r>
              <w:rPr>
                <w:rFonts w:hint="eastAsia" w:cs="宋体"/>
                <w:color w:val="auto"/>
                <w:highlight w:val="none"/>
              </w:rPr>
              <w:t>在建或已完</w:t>
            </w:r>
          </w:p>
        </w:tc>
        <w:tc>
          <w:tcPr>
            <w:tcW w:w="1548" w:type="dxa"/>
            <w:gridSpan w:val="2"/>
            <w:noWrap w:val="0"/>
            <w:vAlign w:val="center"/>
          </w:tcPr>
          <w:p w14:paraId="1919B5BF">
            <w:pPr>
              <w:jc w:val="center"/>
              <w:rPr>
                <w:color w:val="auto"/>
                <w:highlight w:val="none"/>
              </w:rPr>
            </w:pPr>
          </w:p>
        </w:tc>
        <w:tc>
          <w:tcPr>
            <w:tcW w:w="2221" w:type="dxa"/>
            <w:gridSpan w:val="3"/>
            <w:noWrap w:val="0"/>
            <w:vAlign w:val="center"/>
          </w:tcPr>
          <w:p w14:paraId="6777B48F">
            <w:pPr>
              <w:jc w:val="center"/>
              <w:rPr>
                <w:color w:val="auto"/>
                <w:highlight w:val="none"/>
              </w:rPr>
            </w:pPr>
          </w:p>
        </w:tc>
        <w:tc>
          <w:tcPr>
            <w:tcW w:w="1088" w:type="dxa"/>
            <w:noWrap w:val="0"/>
            <w:vAlign w:val="center"/>
          </w:tcPr>
          <w:p w14:paraId="19EA747E">
            <w:pPr>
              <w:jc w:val="center"/>
              <w:rPr>
                <w:color w:val="auto"/>
                <w:highlight w:val="none"/>
              </w:rPr>
            </w:pPr>
          </w:p>
        </w:tc>
        <w:tc>
          <w:tcPr>
            <w:tcW w:w="1641" w:type="dxa"/>
            <w:gridSpan w:val="4"/>
            <w:noWrap w:val="0"/>
            <w:vAlign w:val="center"/>
          </w:tcPr>
          <w:p w14:paraId="2AA752F0">
            <w:pPr>
              <w:jc w:val="center"/>
              <w:rPr>
                <w:color w:val="auto"/>
                <w:highlight w:val="none"/>
              </w:rPr>
            </w:pPr>
          </w:p>
        </w:tc>
        <w:tc>
          <w:tcPr>
            <w:tcW w:w="1484" w:type="dxa"/>
            <w:gridSpan w:val="2"/>
            <w:noWrap w:val="0"/>
            <w:vAlign w:val="center"/>
          </w:tcPr>
          <w:p w14:paraId="36D8E88D">
            <w:pPr>
              <w:jc w:val="center"/>
              <w:rPr>
                <w:color w:val="auto"/>
                <w:highlight w:val="none"/>
              </w:rPr>
            </w:pPr>
          </w:p>
        </w:tc>
      </w:tr>
      <w:tr w14:paraId="2A38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52FC0B38">
            <w:pPr>
              <w:jc w:val="center"/>
              <w:rPr>
                <w:rFonts w:hint="eastAsia" w:cs="宋体"/>
                <w:color w:val="auto"/>
                <w:highlight w:val="none"/>
              </w:rPr>
            </w:pPr>
            <w:r>
              <w:rPr>
                <w:rFonts w:hint="eastAsia" w:cs="宋体"/>
                <w:color w:val="auto"/>
                <w:highlight w:val="none"/>
              </w:rPr>
              <w:t>工程质量</w:t>
            </w:r>
          </w:p>
        </w:tc>
        <w:tc>
          <w:tcPr>
            <w:tcW w:w="1548" w:type="dxa"/>
            <w:gridSpan w:val="2"/>
            <w:noWrap w:val="0"/>
            <w:vAlign w:val="center"/>
          </w:tcPr>
          <w:p w14:paraId="64DD0AD2">
            <w:pPr>
              <w:jc w:val="center"/>
              <w:rPr>
                <w:color w:val="auto"/>
                <w:highlight w:val="none"/>
              </w:rPr>
            </w:pPr>
          </w:p>
        </w:tc>
        <w:tc>
          <w:tcPr>
            <w:tcW w:w="2221" w:type="dxa"/>
            <w:gridSpan w:val="3"/>
            <w:noWrap w:val="0"/>
            <w:vAlign w:val="center"/>
          </w:tcPr>
          <w:p w14:paraId="011C687E">
            <w:pPr>
              <w:jc w:val="center"/>
              <w:rPr>
                <w:color w:val="auto"/>
                <w:highlight w:val="none"/>
              </w:rPr>
            </w:pPr>
          </w:p>
        </w:tc>
        <w:tc>
          <w:tcPr>
            <w:tcW w:w="1088" w:type="dxa"/>
            <w:noWrap w:val="0"/>
            <w:vAlign w:val="center"/>
          </w:tcPr>
          <w:p w14:paraId="20597888">
            <w:pPr>
              <w:jc w:val="center"/>
              <w:rPr>
                <w:color w:val="auto"/>
                <w:highlight w:val="none"/>
              </w:rPr>
            </w:pPr>
          </w:p>
        </w:tc>
        <w:tc>
          <w:tcPr>
            <w:tcW w:w="1641" w:type="dxa"/>
            <w:gridSpan w:val="4"/>
            <w:noWrap w:val="0"/>
            <w:vAlign w:val="center"/>
          </w:tcPr>
          <w:p w14:paraId="08051167">
            <w:pPr>
              <w:jc w:val="center"/>
              <w:rPr>
                <w:color w:val="auto"/>
                <w:highlight w:val="none"/>
              </w:rPr>
            </w:pPr>
          </w:p>
        </w:tc>
        <w:tc>
          <w:tcPr>
            <w:tcW w:w="1484" w:type="dxa"/>
            <w:gridSpan w:val="2"/>
            <w:noWrap w:val="0"/>
            <w:vAlign w:val="center"/>
          </w:tcPr>
          <w:p w14:paraId="64E14EAC">
            <w:pPr>
              <w:jc w:val="center"/>
              <w:rPr>
                <w:color w:val="auto"/>
                <w:highlight w:val="none"/>
              </w:rPr>
            </w:pPr>
          </w:p>
        </w:tc>
      </w:tr>
      <w:tr w14:paraId="0759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F88384C">
            <w:pPr>
              <w:jc w:val="center"/>
              <w:rPr>
                <w:rFonts w:hint="eastAsia" w:cs="宋体"/>
                <w:color w:val="auto"/>
                <w:highlight w:val="none"/>
              </w:rPr>
            </w:pPr>
            <w:r>
              <w:rPr>
                <w:rFonts w:hint="eastAsia" w:cs="宋体"/>
                <w:color w:val="auto"/>
                <w:highlight w:val="none"/>
              </w:rPr>
              <w:t>受奖情况</w:t>
            </w:r>
          </w:p>
        </w:tc>
        <w:tc>
          <w:tcPr>
            <w:tcW w:w="1548" w:type="dxa"/>
            <w:gridSpan w:val="2"/>
            <w:noWrap w:val="0"/>
            <w:vAlign w:val="center"/>
          </w:tcPr>
          <w:p w14:paraId="52EA653B">
            <w:pPr>
              <w:jc w:val="center"/>
              <w:rPr>
                <w:color w:val="auto"/>
                <w:highlight w:val="none"/>
              </w:rPr>
            </w:pPr>
          </w:p>
        </w:tc>
        <w:tc>
          <w:tcPr>
            <w:tcW w:w="2221" w:type="dxa"/>
            <w:gridSpan w:val="3"/>
            <w:noWrap w:val="0"/>
            <w:vAlign w:val="center"/>
          </w:tcPr>
          <w:p w14:paraId="2C76D1E5">
            <w:pPr>
              <w:jc w:val="center"/>
              <w:rPr>
                <w:color w:val="auto"/>
                <w:highlight w:val="none"/>
              </w:rPr>
            </w:pPr>
          </w:p>
        </w:tc>
        <w:tc>
          <w:tcPr>
            <w:tcW w:w="1088" w:type="dxa"/>
            <w:noWrap w:val="0"/>
            <w:vAlign w:val="center"/>
          </w:tcPr>
          <w:p w14:paraId="37E80680">
            <w:pPr>
              <w:jc w:val="center"/>
              <w:rPr>
                <w:color w:val="auto"/>
                <w:highlight w:val="none"/>
              </w:rPr>
            </w:pPr>
          </w:p>
        </w:tc>
        <w:tc>
          <w:tcPr>
            <w:tcW w:w="1641" w:type="dxa"/>
            <w:gridSpan w:val="4"/>
            <w:noWrap w:val="0"/>
            <w:vAlign w:val="center"/>
          </w:tcPr>
          <w:p w14:paraId="70B1FA4A">
            <w:pPr>
              <w:jc w:val="center"/>
              <w:rPr>
                <w:color w:val="auto"/>
                <w:highlight w:val="none"/>
              </w:rPr>
            </w:pPr>
          </w:p>
        </w:tc>
        <w:tc>
          <w:tcPr>
            <w:tcW w:w="1484" w:type="dxa"/>
            <w:gridSpan w:val="2"/>
            <w:noWrap w:val="0"/>
            <w:vAlign w:val="center"/>
          </w:tcPr>
          <w:p w14:paraId="20F6E872">
            <w:pPr>
              <w:jc w:val="center"/>
              <w:rPr>
                <w:color w:val="auto"/>
                <w:highlight w:val="none"/>
              </w:rPr>
            </w:pPr>
          </w:p>
        </w:tc>
      </w:tr>
    </w:tbl>
    <w:p w14:paraId="31AA1A28">
      <w:pPr>
        <w:spacing w:line="360" w:lineRule="auto"/>
        <w:rPr>
          <w:rFonts w:ascii="宋体" w:hAnsi="宋体"/>
          <w:color w:val="auto"/>
          <w:szCs w:val="21"/>
          <w:highlight w:val="none"/>
        </w:rPr>
      </w:pPr>
      <w:r>
        <w:rPr>
          <w:rFonts w:hint="eastAsia" w:ascii="宋体" w:hAnsi="宋体" w:cs="楷体_GB2312"/>
          <w:color w:val="auto"/>
          <w:szCs w:val="21"/>
          <w:highlight w:val="none"/>
        </w:rPr>
        <w:t>备注：</w:t>
      </w:r>
    </w:p>
    <w:p w14:paraId="059DE15D">
      <w:pPr>
        <w:spacing w:line="360" w:lineRule="auto"/>
        <w:ind w:firstLine="420"/>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p>
    <w:p w14:paraId="4558AD0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2.本表后附项目技术负责人（项目总工）的学历证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w:t>
      </w:r>
      <w:r>
        <w:rPr>
          <w:rFonts w:hint="eastAsia" w:ascii="宋体" w:hAnsi="宋体"/>
          <w:color w:val="auto"/>
          <w:szCs w:val="21"/>
          <w:highlight w:val="none"/>
          <w:lang w:eastAsia="zh-CN"/>
        </w:rPr>
        <w:t>）</w:t>
      </w:r>
      <w:r>
        <w:rPr>
          <w:rFonts w:hint="eastAsia" w:ascii="宋体" w:hAnsi="宋体"/>
          <w:color w:val="auto"/>
          <w:szCs w:val="21"/>
          <w:highlight w:val="none"/>
        </w:rPr>
        <w:t>、本表所列证书复印件并加盖供应商电子签章。</w:t>
      </w:r>
    </w:p>
    <w:p w14:paraId="0AF70C62">
      <w:pPr>
        <w:spacing w:line="360" w:lineRule="auto"/>
        <w:rPr>
          <w:rFonts w:hint="eastAsia" w:eastAsia="楷体_GB2312"/>
          <w:color w:val="auto"/>
          <w:highlight w:val="none"/>
        </w:rPr>
      </w:pPr>
    </w:p>
    <w:p w14:paraId="445463B7">
      <w:pPr>
        <w:pStyle w:val="339"/>
        <w:spacing w:line="360" w:lineRule="auto"/>
        <w:jc w:val="center"/>
        <w:outlineLvl w:val="0"/>
        <w:rPr>
          <w:color w:val="auto"/>
          <w:sz w:val="28"/>
          <w:szCs w:val="28"/>
          <w:highlight w:val="none"/>
          <w:u w:val="single"/>
        </w:rPr>
      </w:pPr>
      <w:r>
        <w:rPr>
          <w:rFonts w:cs="宋体"/>
          <w:b/>
          <w:bCs/>
          <w:color w:val="auto"/>
          <w:sz w:val="28"/>
          <w:szCs w:val="28"/>
          <w:highlight w:val="none"/>
        </w:rPr>
        <w:br w:type="page" w:clear="all"/>
      </w:r>
      <w:bookmarkStart w:id="178" w:name="_Toc122424266"/>
      <w:bookmarkStart w:id="179" w:name="_Toc122424017"/>
      <w:bookmarkStart w:id="180" w:name="_Toc7105"/>
      <w:r>
        <w:rPr>
          <w:rFonts w:hint="eastAsia" w:cs="宋体"/>
          <w:b/>
          <w:color w:val="auto"/>
          <w:sz w:val="28"/>
          <w:szCs w:val="28"/>
          <w:highlight w:val="none"/>
        </w:rPr>
        <w:t>专职安全生产管理人员</w:t>
      </w:r>
      <w:bookmarkEnd w:id="178"/>
      <w:bookmarkEnd w:id="179"/>
      <w:bookmarkEnd w:id="180"/>
    </w:p>
    <w:tbl>
      <w:tblPr>
        <w:tblStyle w:val="45"/>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888"/>
        <w:gridCol w:w="660"/>
        <w:gridCol w:w="328"/>
        <w:gridCol w:w="234"/>
        <w:gridCol w:w="66"/>
        <w:gridCol w:w="1209"/>
        <w:gridCol w:w="142"/>
        <w:gridCol w:w="242"/>
        <w:gridCol w:w="1088"/>
        <w:gridCol w:w="88"/>
        <w:gridCol w:w="409"/>
        <w:gridCol w:w="1108"/>
        <w:gridCol w:w="36"/>
        <w:gridCol w:w="79"/>
        <w:gridCol w:w="1405"/>
        <w:gridCol w:w="11"/>
      </w:tblGrid>
      <w:tr w14:paraId="5DD5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noWrap w:val="0"/>
            <w:vAlign w:val="center"/>
          </w:tcPr>
          <w:p w14:paraId="3DD26098">
            <w:pPr>
              <w:jc w:val="center"/>
              <w:rPr>
                <w:color w:val="auto"/>
                <w:highlight w:val="none"/>
              </w:rPr>
            </w:pPr>
            <w:r>
              <w:rPr>
                <w:rFonts w:hint="eastAsia" w:cs="宋体"/>
                <w:color w:val="auto"/>
                <w:highlight w:val="none"/>
              </w:rPr>
              <w:t>姓名</w:t>
            </w:r>
          </w:p>
        </w:tc>
        <w:tc>
          <w:tcPr>
            <w:tcW w:w="2340" w:type="dxa"/>
            <w:gridSpan w:val="5"/>
            <w:noWrap w:val="0"/>
            <w:vAlign w:val="center"/>
          </w:tcPr>
          <w:p w14:paraId="2A9A796A">
            <w:pPr>
              <w:jc w:val="center"/>
              <w:rPr>
                <w:color w:val="auto"/>
                <w:highlight w:val="none"/>
              </w:rPr>
            </w:pPr>
          </w:p>
        </w:tc>
        <w:tc>
          <w:tcPr>
            <w:tcW w:w="1893" w:type="dxa"/>
            <w:gridSpan w:val="5"/>
            <w:noWrap w:val="0"/>
            <w:vAlign w:val="center"/>
          </w:tcPr>
          <w:p w14:paraId="7FFB0416">
            <w:pPr>
              <w:jc w:val="center"/>
              <w:rPr>
                <w:color w:val="auto"/>
                <w:highlight w:val="none"/>
              </w:rPr>
            </w:pPr>
            <w:r>
              <w:rPr>
                <w:rFonts w:hint="eastAsia" w:cs="宋体"/>
                <w:color w:val="auto"/>
                <w:highlight w:val="none"/>
              </w:rPr>
              <w:t>性别</w:t>
            </w:r>
          </w:p>
        </w:tc>
        <w:tc>
          <w:tcPr>
            <w:tcW w:w="1585" w:type="dxa"/>
            <w:gridSpan w:val="3"/>
            <w:noWrap w:val="0"/>
            <w:vAlign w:val="center"/>
          </w:tcPr>
          <w:p w14:paraId="7BA3138C">
            <w:pPr>
              <w:jc w:val="center"/>
              <w:rPr>
                <w:color w:val="auto"/>
                <w:highlight w:val="none"/>
              </w:rPr>
            </w:pPr>
          </w:p>
        </w:tc>
        <w:tc>
          <w:tcPr>
            <w:tcW w:w="1108" w:type="dxa"/>
            <w:noWrap w:val="0"/>
            <w:vAlign w:val="center"/>
          </w:tcPr>
          <w:p w14:paraId="702C3A3F">
            <w:pPr>
              <w:jc w:val="center"/>
              <w:rPr>
                <w:color w:val="auto"/>
                <w:highlight w:val="none"/>
              </w:rPr>
            </w:pPr>
            <w:r>
              <w:rPr>
                <w:rFonts w:hint="eastAsia" w:cs="宋体"/>
                <w:color w:val="auto"/>
                <w:highlight w:val="none"/>
              </w:rPr>
              <w:t>年龄</w:t>
            </w:r>
          </w:p>
        </w:tc>
        <w:tc>
          <w:tcPr>
            <w:tcW w:w="1531" w:type="dxa"/>
            <w:gridSpan w:val="4"/>
            <w:noWrap w:val="0"/>
            <w:vAlign w:val="center"/>
          </w:tcPr>
          <w:p w14:paraId="76FDADF7">
            <w:pPr>
              <w:jc w:val="center"/>
              <w:rPr>
                <w:color w:val="auto"/>
                <w:highlight w:val="none"/>
              </w:rPr>
            </w:pPr>
          </w:p>
        </w:tc>
      </w:tr>
      <w:tr w14:paraId="2D50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32815AE4">
            <w:pPr>
              <w:jc w:val="center"/>
              <w:rPr>
                <w:color w:val="auto"/>
                <w:highlight w:val="none"/>
              </w:rPr>
            </w:pPr>
            <w:r>
              <w:rPr>
                <w:rFonts w:hint="eastAsia" w:cs="宋体"/>
                <w:color w:val="auto"/>
                <w:highlight w:val="none"/>
              </w:rPr>
              <w:t>岗位</w:t>
            </w:r>
          </w:p>
        </w:tc>
        <w:tc>
          <w:tcPr>
            <w:tcW w:w="2340" w:type="dxa"/>
            <w:gridSpan w:val="5"/>
            <w:noWrap w:val="0"/>
            <w:vAlign w:val="center"/>
          </w:tcPr>
          <w:p w14:paraId="29121465">
            <w:pPr>
              <w:jc w:val="center"/>
              <w:rPr>
                <w:color w:val="auto"/>
                <w:highlight w:val="none"/>
              </w:rPr>
            </w:pPr>
            <w:r>
              <w:rPr>
                <w:rFonts w:hint="eastAsia"/>
                <w:color w:val="auto"/>
                <w:highlight w:val="none"/>
              </w:rPr>
              <w:t>专职安全生产管理人员</w:t>
            </w:r>
          </w:p>
        </w:tc>
        <w:tc>
          <w:tcPr>
            <w:tcW w:w="1893" w:type="dxa"/>
            <w:gridSpan w:val="5"/>
            <w:noWrap w:val="0"/>
            <w:vAlign w:val="center"/>
          </w:tcPr>
          <w:p w14:paraId="3E179AD4">
            <w:pPr>
              <w:jc w:val="center"/>
              <w:rPr>
                <w:color w:val="auto"/>
                <w:highlight w:val="none"/>
              </w:rPr>
            </w:pPr>
            <w:r>
              <w:rPr>
                <w:rFonts w:hint="eastAsia" w:cs="宋体"/>
                <w:color w:val="auto"/>
                <w:highlight w:val="none"/>
              </w:rPr>
              <w:t>职称</w:t>
            </w:r>
          </w:p>
        </w:tc>
        <w:tc>
          <w:tcPr>
            <w:tcW w:w="1585" w:type="dxa"/>
            <w:gridSpan w:val="3"/>
            <w:noWrap w:val="0"/>
            <w:vAlign w:val="center"/>
          </w:tcPr>
          <w:p w14:paraId="56135979">
            <w:pPr>
              <w:jc w:val="center"/>
              <w:rPr>
                <w:color w:val="auto"/>
                <w:highlight w:val="none"/>
              </w:rPr>
            </w:pPr>
          </w:p>
        </w:tc>
        <w:tc>
          <w:tcPr>
            <w:tcW w:w="1108" w:type="dxa"/>
            <w:noWrap w:val="0"/>
            <w:vAlign w:val="center"/>
          </w:tcPr>
          <w:p w14:paraId="5970762C">
            <w:pPr>
              <w:jc w:val="center"/>
              <w:rPr>
                <w:color w:val="auto"/>
                <w:highlight w:val="none"/>
              </w:rPr>
            </w:pPr>
            <w:r>
              <w:rPr>
                <w:rFonts w:hint="eastAsia" w:cs="宋体"/>
                <w:color w:val="auto"/>
                <w:highlight w:val="none"/>
              </w:rPr>
              <w:t>学历</w:t>
            </w:r>
          </w:p>
        </w:tc>
        <w:tc>
          <w:tcPr>
            <w:tcW w:w="1531" w:type="dxa"/>
            <w:gridSpan w:val="4"/>
            <w:noWrap w:val="0"/>
            <w:vAlign w:val="center"/>
          </w:tcPr>
          <w:p w14:paraId="3DD8643C">
            <w:pPr>
              <w:jc w:val="center"/>
              <w:rPr>
                <w:color w:val="auto"/>
                <w:highlight w:val="none"/>
              </w:rPr>
            </w:pPr>
          </w:p>
        </w:tc>
      </w:tr>
      <w:tr w14:paraId="66DD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noWrap w:val="0"/>
            <w:vAlign w:val="center"/>
          </w:tcPr>
          <w:p w14:paraId="08D31A16">
            <w:pPr>
              <w:jc w:val="center"/>
              <w:rPr>
                <w:rFonts w:hint="eastAsia" w:cs="宋体"/>
                <w:color w:val="auto"/>
                <w:highlight w:val="none"/>
              </w:rPr>
            </w:pPr>
            <w:r>
              <w:rPr>
                <w:rFonts w:hint="eastAsia" w:cs="宋体"/>
                <w:color w:val="auto"/>
                <w:highlight w:val="none"/>
              </w:rPr>
              <w:t>从业开始时间</w:t>
            </w:r>
          </w:p>
        </w:tc>
        <w:tc>
          <w:tcPr>
            <w:tcW w:w="2340" w:type="dxa"/>
            <w:gridSpan w:val="5"/>
            <w:noWrap w:val="0"/>
            <w:vAlign w:val="center"/>
          </w:tcPr>
          <w:p w14:paraId="651FE587">
            <w:pPr>
              <w:jc w:val="center"/>
              <w:rPr>
                <w:color w:val="auto"/>
                <w:highlight w:val="none"/>
              </w:rPr>
            </w:pPr>
          </w:p>
        </w:tc>
        <w:tc>
          <w:tcPr>
            <w:tcW w:w="1893" w:type="dxa"/>
            <w:gridSpan w:val="5"/>
            <w:noWrap w:val="0"/>
            <w:vAlign w:val="center"/>
          </w:tcPr>
          <w:p w14:paraId="302E3CF9">
            <w:pPr>
              <w:jc w:val="center"/>
              <w:rPr>
                <w:rFonts w:hint="eastAsia"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noWrap w:val="0"/>
            <w:vAlign w:val="center"/>
          </w:tcPr>
          <w:p w14:paraId="74D2C3E9">
            <w:pPr>
              <w:jc w:val="center"/>
              <w:rPr>
                <w:color w:val="auto"/>
                <w:highlight w:val="none"/>
              </w:rPr>
            </w:pPr>
          </w:p>
        </w:tc>
        <w:tc>
          <w:tcPr>
            <w:tcW w:w="1108" w:type="dxa"/>
            <w:noWrap w:val="0"/>
            <w:vAlign w:val="center"/>
          </w:tcPr>
          <w:p w14:paraId="790F4A85">
            <w:pPr>
              <w:jc w:val="center"/>
              <w:rPr>
                <w:rFonts w:hint="eastAsia" w:cs="宋体"/>
                <w:color w:val="auto"/>
                <w:highlight w:val="none"/>
              </w:rPr>
            </w:pPr>
            <w:r>
              <w:rPr>
                <w:rFonts w:hint="eastAsia" w:cs="宋体"/>
                <w:color w:val="auto"/>
                <w:highlight w:val="none"/>
              </w:rPr>
              <w:t>毕业时间</w:t>
            </w:r>
          </w:p>
        </w:tc>
        <w:tc>
          <w:tcPr>
            <w:tcW w:w="1531" w:type="dxa"/>
            <w:gridSpan w:val="4"/>
            <w:noWrap w:val="0"/>
            <w:vAlign w:val="center"/>
          </w:tcPr>
          <w:p w14:paraId="76C5BB59">
            <w:pPr>
              <w:jc w:val="center"/>
              <w:rPr>
                <w:color w:val="auto"/>
                <w:highlight w:val="none"/>
              </w:rPr>
            </w:pPr>
          </w:p>
        </w:tc>
      </w:tr>
      <w:tr w14:paraId="0EE1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281FC0B0">
            <w:pPr>
              <w:jc w:val="center"/>
              <w:rPr>
                <w:color w:val="auto"/>
                <w:highlight w:val="none"/>
              </w:rPr>
            </w:pPr>
            <w:r>
              <w:rPr>
                <w:rFonts w:hint="eastAsia" w:cs="宋体"/>
                <w:color w:val="auto"/>
                <w:highlight w:val="none"/>
              </w:rPr>
              <w:t>担任……年限</w:t>
            </w:r>
          </w:p>
        </w:tc>
        <w:tc>
          <w:tcPr>
            <w:tcW w:w="2563" w:type="dxa"/>
            <w:gridSpan w:val="6"/>
            <w:noWrap w:val="0"/>
            <w:vAlign w:val="center"/>
          </w:tcPr>
          <w:p w14:paraId="2E3C70B0">
            <w:pPr>
              <w:jc w:val="center"/>
              <w:rPr>
                <w:color w:val="auto"/>
                <w:highlight w:val="none"/>
              </w:rPr>
            </w:pPr>
          </w:p>
        </w:tc>
        <w:tc>
          <w:tcPr>
            <w:tcW w:w="1209" w:type="dxa"/>
            <w:noWrap w:val="0"/>
            <w:vAlign w:val="center"/>
          </w:tcPr>
          <w:p w14:paraId="225BC315">
            <w:pPr>
              <w:jc w:val="center"/>
              <w:rPr>
                <w:color w:val="auto"/>
                <w:highlight w:val="none"/>
              </w:rPr>
            </w:pPr>
            <w:r>
              <w:rPr>
                <w:rFonts w:hint="eastAsia"/>
                <w:color w:val="auto"/>
                <w:highlight w:val="none"/>
              </w:rPr>
              <w:t>身份</w:t>
            </w:r>
            <w:r>
              <w:rPr>
                <w:color w:val="auto"/>
                <w:highlight w:val="none"/>
              </w:rPr>
              <w:t>证号码</w:t>
            </w:r>
          </w:p>
        </w:tc>
        <w:tc>
          <w:tcPr>
            <w:tcW w:w="4608" w:type="dxa"/>
            <w:gridSpan w:val="10"/>
            <w:noWrap w:val="0"/>
            <w:vAlign w:val="center"/>
          </w:tcPr>
          <w:p w14:paraId="2ACA4CD0">
            <w:pPr>
              <w:jc w:val="center"/>
              <w:rPr>
                <w:color w:val="auto"/>
                <w:highlight w:val="none"/>
              </w:rPr>
            </w:pPr>
          </w:p>
        </w:tc>
      </w:tr>
      <w:tr w14:paraId="34EE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487EC1E">
            <w:pPr>
              <w:jc w:val="center"/>
              <w:rPr>
                <w:color w:val="auto"/>
                <w:highlight w:val="none"/>
              </w:rPr>
            </w:pPr>
            <w:r>
              <w:rPr>
                <w:rFonts w:hint="eastAsia"/>
                <w:color w:val="auto"/>
                <w:highlight w:val="none"/>
              </w:rPr>
              <w:t>证书名称</w:t>
            </w:r>
          </w:p>
        </w:tc>
        <w:tc>
          <w:tcPr>
            <w:tcW w:w="1275" w:type="dxa"/>
            <w:gridSpan w:val="2"/>
            <w:noWrap w:val="0"/>
            <w:vAlign w:val="center"/>
          </w:tcPr>
          <w:p w14:paraId="36AA1A5D">
            <w:pPr>
              <w:jc w:val="center"/>
              <w:rPr>
                <w:color w:val="auto"/>
                <w:highlight w:val="none"/>
              </w:rPr>
            </w:pPr>
            <w:r>
              <w:rPr>
                <w:rFonts w:hint="eastAsia"/>
                <w:color w:val="auto"/>
                <w:highlight w:val="none"/>
              </w:rPr>
              <w:t>注册专业</w:t>
            </w:r>
          </w:p>
        </w:tc>
        <w:tc>
          <w:tcPr>
            <w:tcW w:w="1222" w:type="dxa"/>
            <w:gridSpan w:val="3"/>
            <w:noWrap w:val="0"/>
            <w:vAlign w:val="center"/>
          </w:tcPr>
          <w:p w14:paraId="66916055">
            <w:pPr>
              <w:jc w:val="center"/>
              <w:rPr>
                <w:color w:val="auto"/>
                <w:highlight w:val="none"/>
              </w:rPr>
            </w:pPr>
            <w:r>
              <w:rPr>
                <w:color w:val="auto"/>
                <w:highlight w:val="none"/>
              </w:rPr>
              <w:t>级别</w:t>
            </w:r>
          </w:p>
        </w:tc>
        <w:tc>
          <w:tcPr>
            <w:tcW w:w="1417" w:type="dxa"/>
            <w:gridSpan w:val="3"/>
            <w:noWrap w:val="0"/>
            <w:vAlign w:val="center"/>
          </w:tcPr>
          <w:p w14:paraId="7C2099FB">
            <w:pPr>
              <w:jc w:val="center"/>
              <w:rPr>
                <w:color w:val="auto"/>
                <w:highlight w:val="none"/>
              </w:rPr>
            </w:pPr>
            <w:r>
              <w:rPr>
                <w:rFonts w:hint="eastAsia" w:cs="宋体"/>
                <w:color w:val="auto"/>
                <w:highlight w:val="none"/>
              </w:rPr>
              <w:t>证书编号</w:t>
            </w:r>
          </w:p>
        </w:tc>
        <w:tc>
          <w:tcPr>
            <w:tcW w:w="1418" w:type="dxa"/>
            <w:gridSpan w:val="3"/>
            <w:noWrap w:val="0"/>
            <w:vAlign w:val="center"/>
          </w:tcPr>
          <w:p w14:paraId="63A07E48">
            <w:pPr>
              <w:jc w:val="center"/>
              <w:rPr>
                <w:color w:val="auto"/>
                <w:highlight w:val="none"/>
              </w:rPr>
            </w:pPr>
            <w:r>
              <w:rPr>
                <w:rFonts w:hint="eastAsia"/>
                <w:color w:val="auto"/>
                <w:highlight w:val="none"/>
              </w:rPr>
              <w:t>注册时间</w:t>
            </w:r>
          </w:p>
        </w:tc>
        <w:tc>
          <w:tcPr>
            <w:tcW w:w="1632" w:type="dxa"/>
            <w:gridSpan w:val="4"/>
            <w:noWrap w:val="0"/>
            <w:vAlign w:val="center"/>
          </w:tcPr>
          <w:p w14:paraId="29B11A2B">
            <w:pPr>
              <w:jc w:val="center"/>
              <w:rPr>
                <w:color w:val="auto"/>
                <w:highlight w:val="none"/>
              </w:rPr>
            </w:pPr>
            <w:r>
              <w:rPr>
                <w:rFonts w:hint="eastAsia"/>
                <w:color w:val="auto"/>
                <w:highlight w:val="none"/>
              </w:rPr>
              <w:t>注册单位</w:t>
            </w:r>
          </w:p>
        </w:tc>
        <w:tc>
          <w:tcPr>
            <w:tcW w:w="1416" w:type="dxa"/>
            <w:gridSpan w:val="2"/>
            <w:noWrap w:val="0"/>
            <w:vAlign w:val="center"/>
          </w:tcPr>
          <w:p w14:paraId="602D64E8">
            <w:pPr>
              <w:jc w:val="center"/>
              <w:rPr>
                <w:color w:val="auto"/>
                <w:highlight w:val="none"/>
              </w:rPr>
            </w:pPr>
            <w:r>
              <w:rPr>
                <w:rFonts w:hint="eastAsia"/>
                <w:color w:val="auto"/>
                <w:highlight w:val="none"/>
              </w:rPr>
              <w:t>注册有效期</w:t>
            </w:r>
          </w:p>
        </w:tc>
      </w:tr>
      <w:tr w14:paraId="1A89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17BFA02">
            <w:pPr>
              <w:jc w:val="center"/>
              <w:rPr>
                <w:rFonts w:hint="eastAsia"/>
                <w:color w:val="auto"/>
                <w:highlight w:val="none"/>
              </w:rPr>
            </w:pPr>
            <w:r>
              <w:rPr>
                <w:rFonts w:hint="eastAsia"/>
                <w:color w:val="auto"/>
                <w:highlight w:val="none"/>
              </w:rPr>
              <w:t>安全生产考核合格证书</w:t>
            </w:r>
          </w:p>
        </w:tc>
        <w:tc>
          <w:tcPr>
            <w:tcW w:w="1275" w:type="dxa"/>
            <w:gridSpan w:val="2"/>
            <w:noWrap w:val="0"/>
            <w:vAlign w:val="center"/>
          </w:tcPr>
          <w:p w14:paraId="7317EB72">
            <w:pPr>
              <w:jc w:val="center"/>
              <w:rPr>
                <w:rFonts w:hint="eastAsia"/>
                <w:color w:val="auto"/>
                <w:highlight w:val="none"/>
              </w:rPr>
            </w:pPr>
          </w:p>
        </w:tc>
        <w:tc>
          <w:tcPr>
            <w:tcW w:w="1222" w:type="dxa"/>
            <w:gridSpan w:val="3"/>
            <w:noWrap w:val="0"/>
            <w:vAlign w:val="center"/>
          </w:tcPr>
          <w:p w14:paraId="6EB3A595">
            <w:pPr>
              <w:jc w:val="center"/>
              <w:rPr>
                <w:rFonts w:hint="eastAsia" w:cs="宋体"/>
                <w:color w:val="auto"/>
                <w:highlight w:val="none"/>
              </w:rPr>
            </w:pPr>
            <w:r>
              <w:rPr>
                <w:rFonts w:hint="eastAsia" w:cs="宋体"/>
                <w:color w:val="auto"/>
                <w:highlight w:val="none"/>
              </w:rPr>
              <w:t>C类</w:t>
            </w:r>
          </w:p>
        </w:tc>
        <w:tc>
          <w:tcPr>
            <w:tcW w:w="1417" w:type="dxa"/>
            <w:gridSpan w:val="3"/>
            <w:noWrap w:val="0"/>
            <w:vAlign w:val="center"/>
          </w:tcPr>
          <w:p w14:paraId="0299C311">
            <w:pPr>
              <w:jc w:val="center"/>
              <w:rPr>
                <w:rFonts w:hint="eastAsia"/>
                <w:color w:val="auto"/>
                <w:highlight w:val="none"/>
              </w:rPr>
            </w:pPr>
          </w:p>
        </w:tc>
        <w:tc>
          <w:tcPr>
            <w:tcW w:w="1418" w:type="dxa"/>
            <w:gridSpan w:val="3"/>
            <w:noWrap w:val="0"/>
            <w:vAlign w:val="center"/>
          </w:tcPr>
          <w:p w14:paraId="045EBB7F">
            <w:pPr>
              <w:jc w:val="center"/>
              <w:rPr>
                <w:rFonts w:hint="eastAsia"/>
                <w:color w:val="auto"/>
                <w:highlight w:val="none"/>
              </w:rPr>
            </w:pPr>
          </w:p>
        </w:tc>
        <w:tc>
          <w:tcPr>
            <w:tcW w:w="1632" w:type="dxa"/>
            <w:gridSpan w:val="4"/>
            <w:noWrap w:val="0"/>
            <w:vAlign w:val="center"/>
          </w:tcPr>
          <w:p w14:paraId="1D5A3578">
            <w:pPr>
              <w:jc w:val="center"/>
              <w:rPr>
                <w:rFonts w:hint="eastAsia"/>
                <w:color w:val="auto"/>
                <w:highlight w:val="none"/>
              </w:rPr>
            </w:pPr>
          </w:p>
        </w:tc>
        <w:tc>
          <w:tcPr>
            <w:tcW w:w="1416" w:type="dxa"/>
            <w:gridSpan w:val="2"/>
            <w:noWrap w:val="0"/>
            <w:vAlign w:val="center"/>
          </w:tcPr>
          <w:p w14:paraId="0736649F">
            <w:pPr>
              <w:jc w:val="center"/>
              <w:rPr>
                <w:rFonts w:hint="eastAsia"/>
                <w:color w:val="auto"/>
                <w:highlight w:val="none"/>
              </w:rPr>
            </w:pPr>
          </w:p>
        </w:tc>
      </w:tr>
      <w:tr w14:paraId="3D1B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noWrap w:val="0"/>
            <w:vAlign w:val="center"/>
          </w:tcPr>
          <w:p w14:paraId="7B63B46C">
            <w:pPr>
              <w:jc w:val="center"/>
              <w:rPr>
                <w:rFonts w:hint="eastAsia"/>
                <w:color w:val="auto"/>
                <w:highlight w:val="none"/>
              </w:rPr>
            </w:pPr>
          </w:p>
        </w:tc>
        <w:tc>
          <w:tcPr>
            <w:tcW w:w="1275" w:type="dxa"/>
            <w:gridSpan w:val="2"/>
            <w:noWrap w:val="0"/>
            <w:vAlign w:val="center"/>
          </w:tcPr>
          <w:p w14:paraId="281E2D45">
            <w:pPr>
              <w:jc w:val="center"/>
              <w:rPr>
                <w:rFonts w:hint="eastAsia"/>
                <w:color w:val="auto"/>
                <w:highlight w:val="none"/>
              </w:rPr>
            </w:pPr>
          </w:p>
        </w:tc>
        <w:tc>
          <w:tcPr>
            <w:tcW w:w="1222" w:type="dxa"/>
            <w:gridSpan w:val="3"/>
            <w:noWrap w:val="0"/>
            <w:vAlign w:val="center"/>
          </w:tcPr>
          <w:p w14:paraId="71E91A78">
            <w:pPr>
              <w:jc w:val="center"/>
              <w:rPr>
                <w:rFonts w:hint="eastAsia" w:cs="宋体"/>
                <w:color w:val="auto"/>
                <w:highlight w:val="none"/>
              </w:rPr>
            </w:pPr>
          </w:p>
        </w:tc>
        <w:tc>
          <w:tcPr>
            <w:tcW w:w="1417" w:type="dxa"/>
            <w:gridSpan w:val="3"/>
            <w:noWrap w:val="0"/>
            <w:vAlign w:val="center"/>
          </w:tcPr>
          <w:p w14:paraId="6CDF4B01">
            <w:pPr>
              <w:jc w:val="center"/>
              <w:rPr>
                <w:rFonts w:hint="eastAsia"/>
                <w:color w:val="auto"/>
                <w:highlight w:val="none"/>
              </w:rPr>
            </w:pPr>
          </w:p>
        </w:tc>
        <w:tc>
          <w:tcPr>
            <w:tcW w:w="1418" w:type="dxa"/>
            <w:gridSpan w:val="3"/>
            <w:noWrap w:val="0"/>
            <w:vAlign w:val="center"/>
          </w:tcPr>
          <w:p w14:paraId="73260D0E">
            <w:pPr>
              <w:jc w:val="center"/>
              <w:rPr>
                <w:rFonts w:hint="eastAsia"/>
                <w:color w:val="auto"/>
                <w:highlight w:val="none"/>
              </w:rPr>
            </w:pPr>
          </w:p>
        </w:tc>
        <w:tc>
          <w:tcPr>
            <w:tcW w:w="1632" w:type="dxa"/>
            <w:gridSpan w:val="4"/>
            <w:noWrap w:val="0"/>
            <w:vAlign w:val="center"/>
          </w:tcPr>
          <w:p w14:paraId="0F109B8A">
            <w:pPr>
              <w:jc w:val="center"/>
              <w:rPr>
                <w:rFonts w:hint="eastAsia"/>
                <w:color w:val="auto"/>
                <w:highlight w:val="none"/>
              </w:rPr>
            </w:pPr>
          </w:p>
        </w:tc>
        <w:tc>
          <w:tcPr>
            <w:tcW w:w="1416" w:type="dxa"/>
            <w:gridSpan w:val="2"/>
            <w:noWrap w:val="0"/>
            <w:vAlign w:val="center"/>
          </w:tcPr>
          <w:p w14:paraId="2AA9DCFA">
            <w:pPr>
              <w:jc w:val="center"/>
              <w:rPr>
                <w:rFonts w:hint="eastAsia"/>
                <w:color w:val="auto"/>
                <w:highlight w:val="none"/>
              </w:rPr>
            </w:pPr>
          </w:p>
        </w:tc>
      </w:tr>
      <w:tr w14:paraId="2B65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noWrap w:val="0"/>
            <w:vAlign w:val="center"/>
          </w:tcPr>
          <w:p w14:paraId="244F4417">
            <w:pPr>
              <w:jc w:val="center"/>
              <w:rPr>
                <w:color w:val="auto"/>
                <w:highlight w:val="none"/>
              </w:rPr>
            </w:pPr>
            <w:r>
              <w:rPr>
                <w:rFonts w:hint="eastAsia" w:cs="宋体"/>
                <w:color w:val="auto"/>
                <w:highlight w:val="none"/>
              </w:rPr>
              <w:t>在建和已完工程项目情况</w:t>
            </w:r>
          </w:p>
        </w:tc>
      </w:tr>
      <w:tr w14:paraId="21D5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712B98F3">
            <w:pPr>
              <w:jc w:val="center"/>
              <w:rPr>
                <w:color w:val="auto"/>
                <w:highlight w:val="none"/>
              </w:rPr>
            </w:pPr>
          </w:p>
        </w:tc>
        <w:tc>
          <w:tcPr>
            <w:tcW w:w="1548" w:type="dxa"/>
            <w:gridSpan w:val="2"/>
            <w:noWrap w:val="0"/>
            <w:vAlign w:val="center"/>
          </w:tcPr>
          <w:p w14:paraId="0E6B89CF">
            <w:pPr>
              <w:jc w:val="center"/>
              <w:rPr>
                <w:rFonts w:hint="eastAsia"/>
                <w:color w:val="auto"/>
                <w:highlight w:val="none"/>
              </w:rPr>
            </w:pPr>
            <w:r>
              <w:rPr>
                <w:rFonts w:hint="eastAsia"/>
                <w:color w:val="auto"/>
                <w:highlight w:val="none"/>
              </w:rPr>
              <w:t>项目1</w:t>
            </w:r>
          </w:p>
        </w:tc>
        <w:tc>
          <w:tcPr>
            <w:tcW w:w="1837" w:type="dxa"/>
            <w:gridSpan w:val="4"/>
            <w:noWrap w:val="0"/>
            <w:vAlign w:val="center"/>
          </w:tcPr>
          <w:p w14:paraId="49DD82BD">
            <w:pPr>
              <w:jc w:val="center"/>
              <w:rPr>
                <w:color w:val="auto"/>
                <w:highlight w:val="none"/>
              </w:rPr>
            </w:pPr>
            <w:r>
              <w:rPr>
                <w:rFonts w:hint="eastAsia"/>
                <w:color w:val="auto"/>
                <w:highlight w:val="none"/>
              </w:rPr>
              <w:t>项目2</w:t>
            </w:r>
          </w:p>
        </w:tc>
        <w:tc>
          <w:tcPr>
            <w:tcW w:w="1472" w:type="dxa"/>
            <w:gridSpan w:val="3"/>
            <w:noWrap w:val="0"/>
            <w:vAlign w:val="center"/>
          </w:tcPr>
          <w:p w14:paraId="2FE6C818">
            <w:pPr>
              <w:jc w:val="center"/>
              <w:rPr>
                <w:color w:val="auto"/>
                <w:highlight w:val="none"/>
              </w:rPr>
            </w:pPr>
            <w:r>
              <w:rPr>
                <w:rFonts w:hint="eastAsia"/>
                <w:color w:val="auto"/>
                <w:highlight w:val="none"/>
              </w:rPr>
              <w:t>项目3</w:t>
            </w:r>
          </w:p>
        </w:tc>
        <w:tc>
          <w:tcPr>
            <w:tcW w:w="1641" w:type="dxa"/>
            <w:gridSpan w:val="4"/>
            <w:noWrap w:val="0"/>
            <w:vAlign w:val="center"/>
          </w:tcPr>
          <w:p w14:paraId="3E16AE18">
            <w:pPr>
              <w:jc w:val="center"/>
              <w:rPr>
                <w:color w:val="auto"/>
                <w:highlight w:val="none"/>
              </w:rPr>
            </w:pPr>
            <w:r>
              <w:rPr>
                <w:rFonts w:hint="eastAsia"/>
                <w:color w:val="auto"/>
                <w:highlight w:val="none"/>
              </w:rPr>
              <w:t>项目4</w:t>
            </w:r>
          </w:p>
        </w:tc>
        <w:tc>
          <w:tcPr>
            <w:tcW w:w="1484" w:type="dxa"/>
            <w:gridSpan w:val="2"/>
            <w:noWrap w:val="0"/>
            <w:vAlign w:val="center"/>
          </w:tcPr>
          <w:p w14:paraId="46673DA4">
            <w:pPr>
              <w:jc w:val="center"/>
              <w:rPr>
                <w:color w:val="auto"/>
                <w:highlight w:val="none"/>
              </w:rPr>
            </w:pPr>
            <w:r>
              <w:rPr>
                <w:rFonts w:hint="eastAsia"/>
                <w:color w:val="auto"/>
                <w:highlight w:val="none"/>
              </w:rPr>
              <w:t>……</w:t>
            </w:r>
          </w:p>
        </w:tc>
      </w:tr>
      <w:tr w14:paraId="6703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noWrap w:val="0"/>
            <w:vAlign w:val="center"/>
          </w:tcPr>
          <w:p w14:paraId="50C180DE">
            <w:pPr>
              <w:jc w:val="center"/>
              <w:rPr>
                <w:color w:val="auto"/>
                <w:highlight w:val="none"/>
              </w:rPr>
            </w:pPr>
            <w:r>
              <w:rPr>
                <w:rFonts w:hint="eastAsia"/>
                <w:color w:val="auto"/>
                <w:highlight w:val="none"/>
              </w:rPr>
              <w:t>项目名称</w:t>
            </w:r>
          </w:p>
        </w:tc>
        <w:tc>
          <w:tcPr>
            <w:tcW w:w="1548" w:type="dxa"/>
            <w:gridSpan w:val="2"/>
            <w:noWrap w:val="0"/>
            <w:vAlign w:val="center"/>
          </w:tcPr>
          <w:p w14:paraId="7CCD3EF6">
            <w:pPr>
              <w:jc w:val="center"/>
              <w:rPr>
                <w:color w:val="auto"/>
                <w:highlight w:val="none"/>
              </w:rPr>
            </w:pPr>
          </w:p>
        </w:tc>
        <w:tc>
          <w:tcPr>
            <w:tcW w:w="1837" w:type="dxa"/>
            <w:gridSpan w:val="4"/>
            <w:noWrap w:val="0"/>
            <w:vAlign w:val="center"/>
          </w:tcPr>
          <w:p w14:paraId="306B0C4F">
            <w:pPr>
              <w:jc w:val="center"/>
              <w:rPr>
                <w:color w:val="auto"/>
                <w:highlight w:val="none"/>
              </w:rPr>
            </w:pPr>
          </w:p>
        </w:tc>
        <w:tc>
          <w:tcPr>
            <w:tcW w:w="1472" w:type="dxa"/>
            <w:gridSpan w:val="3"/>
            <w:noWrap w:val="0"/>
            <w:vAlign w:val="center"/>
          </w:tcPr>
          <w:p w14:paraId="7F0AB71B">
            <w:pPr>
              <w:jc w:val="center"/>
              <w:rPr>
                <w:color w:val="auto"/>
                <w:highlight w:val="none"/>
              </w:rPr>
            </w:pPr>
          </w:p>
        </w:tc>
        <w:tc>
          <w:tcPr>
            <w:tcW w:w="1641" w:type="dxa"/>
            <w:gridSpan w:val="4"/>
            <w:noWrap w:val="0"/>
            <w:vAlign w:val="center"/>
          </w:tcPr>
          <w:p w14:paraId="269951EF">
            <w:pPr>
              <w:jc w:val="center"/>
              <w:rPr>
                <w:color w:val="auto"/>
                <w:highlight w:val="none"/>
              </w:rPr>
            </w:pPr>
          </w:p>
        </w:tc>
        <w:tc>
          <w:tcPr>
            <w:tcW w:w="1484" w:type="dxa"/>
            <w:gridSpan w:val="2"/>
            <w:noWrap w:val="0"/>
            <w:vAlign w:val="center"/>
          </w:tcPr>
          <w:p w14:paraId="0656C553">
            <w:pPr>
              <w:jc w:val="center"/>
              <w:rPr>
                <w:color w:val="auto"/>
                <w:highlight w:val="none"/>
              </w:rPr>
            </w:pPr>
          </w:p>
        </w:tc>
      </w:tr>
      <w:tr w14:paraId="5FA6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32ADD85F">
            <w:pPr>
              <w:jc w:val="center"/>
              <w:rPr>
                <w:color w:val="auto"/>
                <w:highlight w:val="none"/>
              </w:rPr>
            </w:pPr>
            <w:r>
              <w:rPr>
                <w:rFonts w:hint="eastAsia" w:cs="宋体"/>
                <w:color w:val="auto"/>
                <w:highlight w:val="none"/>
              </w:rPr>
              <w:t>建设单位</w:t>
            </w:r>
          </w:p>
        </w:tc>
        <w:tc>
          <w:tcPr>
            <w:tcW w:w="1548" w:type="dxa"/>
            <w:gridSpan w:val="2"/>
            <w:noWrap w:val="0"/>
            <w:vAlign w:val="center"/>
          </w:tcPr>
          <w:p w14:paraId="4D2CEF64">
            <w:pPr>
              <w:jc w:val="center"/>
              <w:rPr>
                <w:color w:val="auto"/>
                <w:highlight w:val="none"/>
              </w:rPr>
            </w:pPr>
          </w:p>
        </w:tc>
        <w:tc>
          <w:tcPr>
            <w:tcW w:w="1837" w:type="dxa"/>
            <w:gridSpan w:val="4"/>
            <w:noWrap w:val="0"/>
            <w:vAlign w:val="center"/>
          </w:tcPr>
          <w:p w14:paraId="60D691D8">
            <w:pPr>
              <w:jc w:val="center"/>
              <w:rPr>
                <w:color w:val="auto"/>
                <w:highlight w:val="none"/>
              </w:rPr>
            </w:pPr>
          </w:p>
        </w:tc>
        <w:tc>
          <w:tcPr>
            <w:tcW w:w="1472" w:type="dxa"/>
            <w:gridSpan w:val="3"/>
            <w:noWrap w:val="0"/>
            <w:vAlign w:val="center"/>
          </w:tcPr>
          <w:p w14:paraId="2963C34B">
            <w:pPr>
              <w:jc w:val="center"/>
              <w:rPr>
                <w:color w:val="auto"/>
                <w:highlight w:val="none"/>
              </w:rPr>
            </w:pPr>
          </w:p>
        </w:tc>
        <w:tc>
          <w:tcPr>
            <w:tcW w:w="1641" w:type="dxa"/>
            <w:gridSpan w:val="4"/>
            <w:noWrap w:val="0"/>
            <w:vAlign w:val="center"/>
          </w:tcPr>
          <w:p w14:paraId="798E9A9B">
            <w:pPr>
              <w:jc w:val="center"/>
              <w:rPr>
                <w:color w:val="auto"/>
                <w:highlight w:val="none"/>
              </w:rPr>
            </w:pPr>
          </w:p>
        </w:tc>
        <w:tc>
          <w:tcPr>
            <w:tcW w:w="1484" w:type="dxa"/>
            <w:gridSpan w:val="2"/>
            <w:noWrap w:val="0"/>
            <w:vAlign w:val="center"/>
          </w:tcPr>
          <w:p w14:paraId="6922E87E">
            <w:pPr>
              <w:jc w:val="center"/>
              <w:rPr>
                <w:color w:val="auto"/>
                <w:highlight w:val="none"/>
              </w:rPr>
            </w:pPr>
          </w:p>
        </w:tc>
      </w:tr>
      <w:tr w14:paraId="065D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72AA861B">
            <w:pPr>
              <w:jc w:val="center"/>
              <w:rPr>
                <w:color w:val="auto"/>
                <w:highlight w:val="none"/>
              </w:rPr>
            </w:pPr>
            <w:r>
              <w:rPr>
                <w:rFonts w:hint="eastAsia" w:cs="宋体"/>
                <w:color w:val="auto"/>
                <w:highlight w:val="none"/>
              </w:rPr>
              <w:t>建设规模</w:t>
            </w:r>
          </w:p>
        </w:tc>
        <w:tc>
          <w:tcPr>
            <w:tcW w:w="1548" w:type="dxa"/>
            <w:gridSpan w:val="2"/>
            <w:noWrap w:val="0"/>
            <w:vAlign w:val="center"/>
          </w:tcPr>
          <w:p w14:paraId="683EB083">
            <w:pPr>
              <w:jc w:val="center"/>
              <w:rPr>
                <w:color w:val="auto"/>
                <w:highlight w:val="none"/>
              </w:rPr>
            </w:pPr>
          </w:p>
        </w:tc>
        <w:tc>
          <w:tcPr>
            <w:tcW w:w="1837" w:type="dxa"/>
            <w:gridSpan w:val="4"/>
            <w:noWrap w:val="0"/>
            <w:vAlign w:val="center"/>
          </w:tcPr>
          <w:p w14:paraId="1F40A66C">
            <w:pPr>
              <w:jc w:val="center"/>
              <w:rPr>
                <w:color w:val="auto"/>
                <w:highlight w:val="none"/>
              </w:rPr>
            </w:pPr>
          </w:p>
        </w:tc>
        <w:tc>
          <w:tcPr>
            <w:tcW w:w="1472" w:type="dxa"/>
            <w:gridSpan w:val="3"/>
            <w:noWrap w:val="0"/>
            <w:vAlign w:val="center"/>
          </w:tcPr>
          <w:p w14:paraId="5A1F6174">
            <w:pPr>
              <w:jc w:val="center"/>
              <w:rPr>
                <w:color w:val="auto"/>
                <w:highlight w:val="none"/>
              </w:rPr>
            </w:pPr>
          </w:p>
        </w:tc>
        <w:tc>
          <w:tcPr>
            <w:tcW w:w="1641" w:type="dxa"/>
            <w:gridSpan w:val="4"/>
            <w:noWrap w:val="0"/>
            <w:vAlign w:val="center"/>
          </w:tcPr>
          <w:p w14:paraId="4E9B8CD1">
            <w:pPr>
              <w:jc w:val="center"/>
              <w:rPr>
                <w:color w:val="auto"/>
                <w:highlight w:val="none"/>
              </w:rPr>
            </w:pPr>
          </w:p>
        </w:tc>
        <w:tc>
          <w:tcPr>
            <w:tcW w:w="1484" w:type="dxa"/>
            <w:gridSpan w:val="2"/>
            <w:noWrap w:val="0"/>
            <w:vAlign w:val="center"/>
          </w:tcPr>
          <w:p w14:paraId="75F274CF">
            <w:pPr>
              <w:jc w:val="center"/>
              <w:rPr>
                <w:color w:val="auto"/>
                <w:highlight w:val="none"/>
              </w:rPr>
            </w:pPr>
          </w:p>
        </w:tc>
      </w:tr>
      <w:tr w14:paraId="5BA4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noWrap w:val="0"/>
            <w:vAlign w:val="center"/>
          </w:tcPr>
          <w:p w14:paraId="5FCC2B21">
            <w:pPr>
              <w:jc w:val="center"/>
              <w:rPr>
                <w:rFonts w:hint="eastAsia" w:ascii="宋体" w:hAnsi="宋体" w:cs="宋体"/>
                <w:color w:val="auto"/>
                <w:sz w:val="27"/>
                <w:szCs w:val="27"/>
                <w:highlight w:val="none"/>
                <w:lang w:bidi="ar"/>
              </w:rPr>
            </w:pPr>
            <w:r>
              <w:rPr>
                <w:rFonts w:hint="eastAsia" w:cs="宋体"/>
                <w:color w:val="auto"/>
                <w:highlight w:val="none"/>
              </w:rPr>
              <w:t>开工日期</w:t>
            </w:r>
          </w:p>
        </w:tc>
        <w:tc>
          <w:tcPr>
            <w:tcW w:w="1548" w:type="dxa"/>
            <w:gridSpan w:val="2"/>
            <w:noWrap w:val="0"/>
            <w:vAlign w:val="center"/>
          </w:tcPr>
          <w:p w14:paraId="405CDBDD">
            <w:pPr>
              <w:jc w:val="center"/>
              <w:rPr>
                <w:color w:val="auto"/>
                <w:highlight w:val="none"/>
              </w:rPr>
            </w:pPr>
          </w:p>
        </w:tc>
        <w:tc>
          <w:tcPr>
            <w:tcW w:w="1837" w:type="dxa"/>
            <w:gridSpan w:val="4"/>
            <w:noWrap w:val="0"/>
            <w:vAlign w:val="center"/>
          </w:tcPr>
          <w:p w14:paraId="6C8DFC37">
            <w:pPr>
              <w:jc w:val="center"/>
              <w:rPr>
                <w:color w:val="auto"/>
                <w:highlight w:val="none"/>
              </w:rPr>
            </w:pPr>
          </w:p>
        </w:tc>
        <w:tc>
          <w:tcPr>
            <w:tcW w:w="1472" w:type="dxa"/>
            <w:gridSpan w:val="3"/>
            <w:noWrap w:val="0"/>
            <w:vAlign w:val="center"/>
          </w:tcPr>
          <w:p w14:paraId="5C9C1B4C">
            <w:pPr>
              <w:jc w:val="center"/>
              <w:rPr>
                <w:color w:val="auto"/>
                <w:highlight w:val="none"/>
              </w:rPr>
            </w:pPr>
          </w:p>
        </w:tc>
        <w:tc>
          <w:tcPr>
            <w:tcW w:w="1641" w:type="dxa"/>
            <w:gridSpan w:val="4"/>
            <w:noWrap w:val="0"/>
            <w:vAlign w:val="center"/>
          </w:tcPr>
          <w:p w14:paraId="79259521">
            <w:pPr>
              <w:jc w:val="center"/>
              <w:rPr>
                <w:color w:val="auto"/>
                <w:highlight w:val="none"/>
              </w:rPr>
            </w:pPr>
          </w:p>
        </w:tc>
        <w:tc>
          <w:tcPr>
            <w:tcW w:w="1484" w:type="dxa"/>
            <w:gridSpan w:val="2"/>
            <w:noWrap w:val="0"/>
            <w:vAlign w:val="center"/>
          </w:tcPr>
          <w:p w14:paraId="6DAF25C1">
            <w:pPr>
              <w:jc w:val="center"/>
              <w:rPr>
                <w:color w:val="auto"/>
                <w:highlight w:val="none"/>
              </w:rPr>
            </w:pPr>
          </w:p>
        </w:tc>
      </w:tr>
      <w:tr w14:paraId="1894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5181B1B">
            <w:pPr>
              <w:jc w:val="center"/>
              <w:rPr>
                <w:color w:val="auto"/>
                <w:highlight w:val="none"/>
              </w:rPr>
            </w:pPr>
            <w:r>
              <w:rPr>
                <w:rFonts w:hint="eastAsia" w:cs="宋体"/>
                <w:color w:val="auto"/>
                <w:highlight w:val="none"/>
              </w:rPr>
              <w:t>竣工日期</w:t>
            </w:r>
          </w:p>
        </w:tc>
        <w:tc>
          <w:tcPr>
            <w:tcW w:w="1548" w:type="dxa"/>
            <w:gridSpan w:val="2"/>
            <w:noWrap w:val="0"/>
            <w:vAlign w:val="center"/>
          </w:tcPr>
          <w:p w14:paraId="0B438898">
            <w:pPr>
              <w:jc w:val="center"/>
              <w:rPr>
                <w:color w:val="auto"/>
                <w:highlight w:val="none"/>
              </w:rPr>
            </w:pPr>
          </w:p>
        </w:tc>
        <w:tc>
          <w:tcPr>
            <w:tcW w:w="1837" w:type="dxa"/>
            <w:gridSpan w:val="4"/>
            <w:noWrap w:val="0"/>
            <w:vAlign w:val="center"/>
          </w:tcPr>
          <w:p w14:paraId="461CA882">
            <w:pPr>
              <w:jc w:val="center"/>
              <w:rPr>
                <w:color w:val="auto"/>
                <w:highlight w:val="none"/>
              </w:rPr>
            </w:pPr>
          </w:p>
        </w:tc>
        <w:tc>
          <w:tcPr>
            <w:tcW w:w="1472" w:type="dxa"/>
            <w:gridSpan w:val="3"/>
            <w:noWrap w:val="0"/>
            <w:vAlign w:val="center"/>
          </w:tcPr>
          <w:p w14:paraId="573359C6">
            <w:pPr>
              <w:jc w:val="center"/>
              <w:rPr>
                <w:color w:val="auto"/>
                <w:highlight w:val="none"/>
              </w:rPr>
            </w:pPr>
          </w:p>
        </w:tc>
        <w:tc>
          <w:tcPr>
            <w:tcW w:w="1641" w:type="dxa"/>
            <w:gridSpan w:val="4"/>
            <w:noWrap w:val="0"/>
            <w:vAlign w:val="center"/>
          </w:tcPr>
          <w:p w14:paraId="7AB3CECD">
            <w:pPr>
              <w:jc w:val="center"/>
              <w:rPr>
                <w:color w:val="auto"/>
                <w:highlight w:val="none"/>
              </w:rPr>
            </w:pPr>
          </w:p>
        </w:tc>
        <w:tc>
          <w:tcPr>
            <w:tcW w:w="1484" w:type="dxa"/>
            <w:gridSpan w:val="2"/>
            <w:noWrap w:val="0"/>
            <w:vAlign w:val="center"/>
          </w:tcPr>
          <w:p w14:paraId="3FBD3567">
            <w:pPr>
              <w:jc w:val="center"/>
              <w:rPr>
                <w:color w:val="auto"/>
                <w:highlight w:val="none"/>
              </w:rPr>
            </w:pPr>
          </w:p>
        </w:tc>
      </w:tr>
      <w:tr w14:paraId="6A89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A4A4B5F">
            <w:pPr>
              <w:jc w:val="center"/>
              <w:rPr>
                <w:rFonts w:hint="eastAsia" w:cs="宋体"/>
                <w:color w:val="auto"/>
                <w:highlight w:val="none"/>
              </w:rPr>
            </w:pPr>
            <w:r>
              <w:rPr>
                <w:rFonts w:hint="eastAsia" w:cs="宋体"/>
                <w:color w:val="auto"/>
                <w:highlight w:val="none"/>
              </w:rPr>
              <w:t>人员角色</w:t>
            </w:r>
          </w:p>
        </w:tc>
        <w:tc>
          <w:tcPr>
            <w:tcW w:w="1548" w:type="dxa"/>
            <w:gridSpan w:val="2"/>
            <w:noWrap w:val="0"/>
            <w:vAlign w:val="center"/>
          </w:tcPr>
          <w:p w14:paraId="437CBDD1">
            <w:pPr>
              <w:jc w:val="center"/>
              <w:rPr>
                <w:color w:val="auto"/>
                <w:highlight w:val="none"/>
              </w:rPr>
            </w:pPr>
          </w:p>
        </w:tc>
        <w:tc>
          <w:tcPr>
            <w:tcW w:w="1837" w:type="dxa"/>
            <w:gridSpan w:val="4"/>
            <w:noWrap w:val="0"/>
            <w:vAlign w:val="center"/>
          </w:tcPr>
          <w:p w14:paraId="2A811B7B">
            <w:pPr>
              <w:jc w:val="center"/>
              <w:rPr>
                <w:color w:val="auto"/>
                <w:highlight w:val="none"/>
              </w:rPr>
            </w:pPr>
          </w:p>
        </w:tc>
        <w:tc>
          <w:tcPr>
            <w:tcW w:w="1472" w:type="dxa"/>
            <w:gridSpan w:val="3"/>
            <w:noWrap w:val="0"/>
            <w:vAlign w:val="center"/>
          </w:tcPr>
          <w:p w14:paraId="592E1C82">
            <w:pPr>
              <w:jc w:val="center"/>
              <w:rPr>
                <w:color w:val="auto"/>
                <w:highlight w:val="none"/>
              </w:rPr>
            </w:pPr>
          </w:p>
        </w:tc>
        <w:tc>
          <w:tcPr>
            <w:tcW w:w="1641" w:type="dxa"/>
            <w:gridSpan w:val="4"/>
            <w:noWrap w:val="0"/>
            <w:vAlign w:val="center"/>
          </w:tcPr>
          <w:p w14:paraId="0D377415">
            <w:pPr>
              <w:jc w:val="center"/>
              <w:rPr>
                <w:color w:val="auto"/>
                <w:highlight w:val="none"/>
              </w:rPr>
            </w:pPr>
          </w:p>
        </w:tc>
        <w:tc>
          <w:tcPr>
            <w:tcW w:w="1484" w:type="dxa"/>
            <w:gridSpan w:val="2"/>
            <w:noWrap w:val="0"/>
            <w:vAlign w:val="center"/>
          </w:tcPr>
          <w:p w14:paraId="3A9D0499">
            <w:pPr>
              <w:jc w:val="center"/>
              <w:rPr>
                <w:color w:val="auto"/>
                <w:highlight w:val="none"/>
              </w:rPr>
            </w:pPr>
          </w:p>
        </w:tc>
      </w:tr>
      <w:tr w14:paraId="4113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66B098DC">
            <w:pPr>
              <w:jc w:val="center"/>
              <w:rPr>
                <w:rFonts w:hint="eastAsia" w:cs="宋体"/>
                <w:color w:val="auto"/>
                <w:highlight w:val="none"/>
              </w:rPr>
            </w:pPr>
            <w:r>
              <w:rPr>
                <w:rFonts w:hint="eastAsia" w:cs="宋体"/>
                <w:color w:val="auto"/>
                <w:highlight w:val="none"/>
              </w:rPr>
              <w:t>在建或已完</w:t>
            </w:r>
          </w:p>
        </w:tc>
        <w:tc>
          <w:tcPr>
            <w:tcW w:w="1548" w:type="dxa"/>
            <w:gridSpan w:val="2"/>
            <w:noWrap w:val="0"/>
            <w:vAlign w:val="center"/>
          </w:tcPr>
          <w:p w14:paraId="5AAE443E">
            <w:pPr>
              <w:jc w:val="center"/>
              <w:rPr>
                <w:color w:val="auto"/>
                <w:highlight w:val="none"/>
              </w:rPr>
            </w:pPr>
          </w:p>
        </w:tc>
        <w:tc>
          <w:tcPr>
            <w:tcW w:w="1837" w:type="dxa"/>
            <w:gridSpan w:val="4"/>
            <w:noWrap w:val="0"/>
            <w:vAlign w:val="center"/>
          </w:tcPr>
          <w:p w14:paraId="45CDE358">
            <w:pPr>
              <w:jc w:val="center"/>
              <w:rPr>
                <w:color w:val="auto"/>
                <w:highlight w:val="none"/>
              </w:rPr>
            </w:pPr>
          </w:p>
        </w:tc>
        <w:tc>
          <w:tcPr>
            <w:tcW w:w="1472" w:type="dxa"/>
            <w:gridSpan w:val="3"/>
            <w:noWrap w:val="0"/>
            <w:vAlign w:val="center"/>
          </w:tcPr>
          <w:p w14:paraId="39C5877C">
            <w:pPr>
              <w:jc w:val="center"/>
              <w:rPr>
                <w:color w:val="auto"/>
                <w:highlight w:val="none"/>
              </w:rPr>
            </w:pPr>
          </w:p>
        </w:tc>
        <w:tc>
          <w:tcPr>
            <w:tcW w:w="1641" w:type="dxa"/>
            <w:gridSpan w:val="4"/>
            <w:noWrap w:val="0"/>
            <w:vAlign w:val="center"/>
          </w:tcPr>
          <w:p w14:paraId="44B456FF">
            <w:pPr>
              <w:jc w:val="center"/>
              <w:rPr>
                <w:color w:val="auto"/>
                <w:highlight w:val="none"/>
              </w:rPr>
            </w:pPr>
          </w:p>
        </w:tc>
        <w:tc>
          <w:tcPr>
            <w:tcW w:w="1484" w:type="dxa"/>
            <w:gridSpan w:val="2"/>
            <w:noWrap w:val="0"/>
            <w:vAlign w:val="center"/>
          </w:tcPr>
          <w:p w14:paraId="522CD026">
            <w:pPr>
              <w:jc w:val="center"/>
              <w:rPr>
                <w:color w:val="auto"/>
                <w:highlight w:val="none"/>
              </w:rPr>
            </w:pPr>
          </w:p>
        </w:tc>
      </w:tr>
      <w:tr w14:paraId="78CC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30506B83">
            <w:pPr>
              <w:jc w:val="center"/>
              <w:rPr>
                <w:rFonts w:hint="eastAsia" w:cs="宋体"/>
                <w:color w:val="auto"/>
                <w:highlight w:val="none"/>
              </w:rPr>
            </w:pPr>
            <w:r>
              <w:rPr>
                <w:rFonts w:hint="eastAsia" w:cs="宋体"/>
                <w:color w:val="auto"/>
                <w:highlight w:val="none"/>
              </w:rPr>
              <w:t>工程质量</w:t>
            </w:r>
          </w:p>
        </w:tc>
        <w:tc>
          <w:tcPr>
            <w:tcW w:w="1548" w:type="dxa"/>
            <w:gridSpan w:val="2"/>
            <w:noWrap w:val="0"/>
            <w:vAlign w:val="center"/>
          </w:tcPr>
          <w:p w14:paraId="2FCF337B">
            <w:pPr>
              <w:jc w:val="center"/>
              <w:rPr>
                <w:color w:val="auto"/>
                <w:highlight w:val="none"/>
              </w:rPr>
            </w:pPr>
          </w:p>
        </w:tc>
        <w:tc>
          <w:tcPr>
            <w:tcW w:w="1837" w:type="dxa"/>
            <w:gridSpan w:val="4"/>
            <w:noWrap w:val="0"/>
            <w:vAlign w:val="center"/>
          </w:tcPr>
          <w:p w14:paraId="52250D1D">
            <w:pPr>
              <w:jc w:val="center"/>
              <w:rPr>
                <w:color w:val="auto"/>
                <w:highlight w:val="none"/>
              </w:rPr>
            </w:pPr>
          </w:p>
        </w:tc>
        <w:tc>
          <w:tcPr>
            <w:tcW w:w="1472" w:type="dxa"/>
            <w:gridSpan w:val="3"/>
            <w:noWrap w:val="0"/>
            <w:vAlign w:val="center"/>
          </w:tcPr>
          <w:p w14:paraId="14B2840A">
            <w:pPr>
              <w:jc w:val="center"/>
              <w:rPr>
                <w:color w:val="auto"/>
                <w:highlight w:val="none"/>
              </w:rPr>
            </w:pPr>
          </w:p>
        </w:tc>
        <w:tc>
          <w:tcPr>
            <w:tcW w:w="1641" w:type="dxa"/>
            <w:gridSpan w:val="4"/>
            <w:noWrap w:val="0"/>
            <w:vAlign w:val="center"/>
          </w:tcPr>
          <w:p w14:paraId="697E2F07">
            <w:pPr>
              <w:jc w:val="center"/>
              <w:rPr>
                <w:color w:val="auto"/>
                <w:highlight w:val="none"/>
              </w:rPr>
            </w:pPr>
          </w:p>
        </w:tc>
        <w:tc>
          <w:tcPr>
            <w:tcW w:w="1484" w:type="dxa"/>
            <w:gridSpan w:val="2"/>
            <w:noWrap w:val="0"/>
            <w:vAlign w:val="center"/>
          </w:tcPr>
          <w:p w14:paraId="5E56BA55">
            <w:pPr>
              <w:jc w:val="center"/>
              <w:rPr>
                <w:color w:val="auto"/>
                <w:highlight w:val="none"/>
              </w:rPr>
            </w:pPr>
          </w:p>
        </w:tc>
      </w:tr>
      <w:tr w14:paraId="3955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noWrap w:val="0"/>
            <w:vAlign w:val="center"/>
          </w:tcPr>
          <w:p w14:paraId="04D7E058">
            <w:pPr>
              <w:jc w:val="center"/>
              <w:rPr>
                <w:rFonts w:hint="eastAsia" w:cs="宋体"/>
                <w:color w:val="auto"/>
                <w:highlight w:val="none"/>
              </w:rPr>
            </w:pPr>
            <w:r>
              <w:rPr>
                <w:rFonts w:hint="eastAsia" w:cs="宋体"/>
                <w:color w:val="auto"/>
                <w:highlight w:val="none"/>
              </w:rPr>
              <w:t>受奖情况</w:t>
            </w:r>
          </w:p>
        </w:tc>
        <w:tc>
          <w:tcPr>
            <w:tcW w:w="1548" w:type="dxa"/>
            <w:gridSpan w:val="2"/>
            <w:noWrap w:val="0"/>
            <w:vAlign w:val="center"/>
          </w:tcPr>
          <w:p w14:paraId="30119F1E">
            <w:pPr>
              <w:jc w:val="center"/>
              <w:rPr>
                <w:color w:val="auto"/>
                <w:highlight w:val="none"/>
              </w:rPr>
            </w:pPr>
          </w:p>
        </w:tc>
        <w:tc>
          <w:tcPr>
            <w:tcW w:w="1837" w:type="dxa"/>
            <w:gridSpan w:val="4"/>
            <w:noWrap w:val="0"/>
            <w:vAlign w:val="center"/>
          </w:tcPr>
          <w:p w14:paraId="4C0FB460">
            <w:pPr>
              <w:jc w:val="center"/>
              <w:rPr>
                <w:color w:val="auto"/>
                <w:highlight w:val="none"/>
              </w:rPr>
            </w:pPr>
          </w:p>
        </w:tc>
        <w:tc>
          <w:tcPr>
            <w:tcW w:w="1472" w:type="dxa"/>
            <w:gridSpan w:val="3"/>
            <w:noWrap w:val="0"/>
            <w:vAlign w:val="center"/>
          </w:tcPr>
          <w:p w14:paraId="460BBDDB">
            <w:pPr>
              <w:jc w:val="center"/>
              <w:rPr>
                <w:color w:val="auto"/>
                <w:highlight w:val="none"/>
              </w:rPr>
            </w:pPr>
          </w:p>
        </w:tc>
        <w:tc>
          <w:tcPr>
            <w:tcW w:w="1641" w:type="dxa"/>
            <w:gridSpan w:val="4"/>
            <w:noWrap w:val="0"/>
            <w:vAlign w:val="center"/>
          </w:tcPr>
          <w:p w14:paraId="5798FEFC">
            <w:pPr>
              <w:jc w:val="center"/>
              <w:rPr>
                <w:color w:val="auto"/>
                <w:highlight w:val="none"/>
              </w:rPr>
            </w:pPr>
          </w:p>
        </w:tc>
        <w:tc>
          <w:tcPr>
            <w:tcW w:w="1484" w:type="dxa"/>
            <w:gridSpan w:val="2"/>
            <w:noWrap w:val="0"/>
            <w:vAlign w:val="center"/>
          </w:tcPr>
          <w:p w14:paraId="3B2ABD44">
            <w:pPr>
              <w:jc w:val="center"/>
              <w:rPr>
                <w:color w:val="auto"/>
                <w:highlight w:val="none"/>
              </w:rPr>
            </w:pPr>
          </w:p>
        </w:tc>
      </w:tr>
    </w:tbl>
    <w:p w14:paraId="00E2828B">
      <w:pPr>
        <w:spacing w:line="360" w:lineRule="auto"/>
        <w:rPr>
          <w:rFonts w:ascii="宋体" w:hAnsi="宋体"/>
          <w:color w:val="auto"/>
          <w:highlight w:val="none"/>
        </w:rPr>
      </w:pPr>
      <w:r>
        <w:rPr>
          <w:rFonts w:hint="eastAsia" w:ascii="宋体" w:hAnsi="宋体" w:cs="楷体_GB2312"/>
          <w:color w:val="auto"/>
          <w:highlight w:val="none"/>
        </w:rPr>
        <w:t>备注：</w:t>
      </w:r>
    </w:p>
    <w:p w14:paraId="7D6DBAAC">
      <w:pPr>
        <w:spacing w:line="360" w:lineRule="auto"/>
        <w:ind w:firstLine="420"/>
        <w:rPr>
          <w:rFonts w:hint="eastAsia" w:ascii="宋体" w:hAnsi="宋体"/>
          <w:color w:val="auto"/>
          <w:highlight w:val="none"/>
        </w:rPr>
      </w:pPr>
      <w:r>
        <w:rPr>
          <w:rFonts w:hint="eastAsia" w:ascii="宋体" w:hAnsi="宋体"/>
          <w:color w:val="auto"/>
          <w:highlight w:val="none"/>
        </w:rPr>
        <w:t>1.供应商可以根据项目情况增减表格内容，项目数可以根据需要增加。</w:t>
      </w:r>
    </w:p>
    <w:p w14:paraId="26861EAA">
      <w:pPr>
        <w:spacing w:line="360" w:lineRule="auto"/>
        <w:ind w:firstLine="420"/>
        <w:rPr>
          <w:rFonts w:hint="eastAsia" w:ascii="宋体" w:hAnsi="宋体"/>
          <w:color w:val="auto"/>
          <w:szCs w:val="21"/>
          <w:highlight w:val="none"/>
        </w:rPr>
      </w:pPr>
      <w:r>
        <w:rPr>
          <w:rFonts w:hint="eastAsia" w:ascii="宋体" w:hAnsi="宋体"/>
          <w:color w:val="auto"/>
          <w:highlight w:val="none"/>
        </w:rPr>
        <w:t>2.</w:t>
      </w:r>
      <w:r>
        <w:rPr>
          <w:rFonts w:hint="eastAsia" w:ascii="宋体" w:hAnsi="宋体"/>
          <w:color w:val="auto"/>
          <w:szCs w:val="21"/>
          <w:highlight w:val="none"/>
        </w:rPr>
        <w:t>本表后附专职安全生产管理人员的学历证</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w:t>
      </w:r>
      <w:r>
        <w:rPr>
          <w:rFonts w:hint="eastAsia" w:ascii="宋体" w:hAnsi="宋体"/>
          <w:color w:val="auto"/>
          <w:szCs w:val="21"/>
          <w:highlight w:val="none"/>
          <w:lang w:eastAsia="zh-CN"/>
        </w:rPr>
        <w:t>）</w:t>
      </w:r>
      <w:r>
        <w:rPr>
          <w:rFonts w:hint="eastAsia" w:ascii="宋体" w:hAnsi="宋体"/>
          <w:color w:val="auto"/>
          <w:szCs w:val="21"/>
          <w:highlight w:val="none"/>
        </w:rPr>
        <w:t>、安全生产考核合格证（C类）、本表所列证书复印件并加盖供应商电子签章。</w:t>
      </w:r>
    </w:p>
    <w:p w14:paraId="38D4D55E">
      <w:pPr>
        <w:spacing w:line="360" w:lineRule="auto"/>
        <w:rPr>
          <w:rFonts w:hint="eastAsia" w:ascii="宋体" w:hAnsi="宋体"/>
          <w:color w:val="auto"/>
          <w:szCs w:val="21"/>
          <w:highlight w:val="none"/>
        </w:rPr>
      </w:pPr>
      <w:r>
        <w:rPr>
          <w:rFonts w:ascii="宋体" w:hAnsi="宋体"/>
          <w:b/>
          <w:bCs/>
          <w:color w:val="auto"/>
          <w:sz w:val="24"/>
          <w:highlight w:val="none"/>
        </w:rPr>
        <w:br w:type="page" w:clear="all"/>
      </w:r>
      <w:r>
        <w:rPr>
          <w:rFonts w:hint="eastAsia" w:ascii="宋体" w:hAnsi="宋体"/>
          <w:b/>
          <w:bCs/>
          <w:color w:val="auto"/>
          <w:sz w:val="24"/>
          <w:highlight w:val="none"/>
        </w:rPr>
        <w:t>其他文书、文件格式</w:t>
      </w:r>
    </w:p>
    <w:p w14:paraId="580A5196">
      <w:pPr>
        <w:jc w:val="center"/>
        <w:rPr>
          <w:rFonts w:hint="eastAsia" w:ascii="方正小标宋简体" w:hAnsi="方正小标宋简体" w:eastAsia="方正小标宋简体" w:cs="方正小标宋简体"/>
          <w:color w:val="auto"/>
          <w:sz w:val="44"/>
          <w:szCs w:val="44"/>
          <w:highlight w:val="none"/>
        </w:rPr>
      </w:pPr>
      <w:bookmarkStart w:id="181" w:name="_Toc71365926"/>
      <w:r>
        <w:rPr>
          <w:rFonts w:hint="eastAsia" w:ascii="方正小标宋简体" w:hAnsi="方正小标宋简体" w:eastAsia="方正小标宋简体" w:cs="方正小标宋简体"/>
          <w:color w:val="auto"/>
          <w:sz w:val="44"/>
          <w:szCs w:val="44"/>
          <w:highlight w:val="none"/>
        </w:rPr>
        <w:t>中小企业声明函（工程）</w:t>
      </w:r>
      <w:bookmarkEnd w:id="181"/>
    </w:p>
    <w:p w14:paraId="1EE8CA8D">
      <w:pPr>
        <w:spacing w:before="2" w:line="500" w:lineRule="exact"/>
        <w:ind w:firstLine="708"/>
        <w:rPr>
          <w:rFonts w:hint="eastAsia" w:ascii="宋体" w:hAnsi="宋体" w:cs="宋体"/>
          <w:b/>
          <w:bCs/>
          <w:color w:val="auto"/>
          <w:sz w:val="24"/>
          <w:highlight w:val="none"/>
        </w:rPr>
      </w:pPr>
    </w:p>
    <w:p w14:paraId="63AF3BA4">
      <w:pPr>
        <w:pStyle w:val="19"/>
        <w:spacing w:line="500" w:lineRule="exact"/>
        <w:ind w:right="142" w:firstLine="705"/>
        <w:rPr>
          <w:rFonts w:hint="eastAsia"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548FFA2A">
      <w:pPr>
        <w:tabs>
          <w:tab w:val="left" w:pos="1384"/>
          <w:tab w:val="left" w:pos="4562"/>
          <w:tab w:val="left" w:pos="6803"/>
        </w:tabs>
        <w:spacing w:before="13" w:line="500" w:lineRule="exact"/>
        <w:ind w:right="142" w:firstLine="772"/>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327CF334">
      <w:pPr>
        <w:tabs>
          <w:tab w:val="left" w:pos="1065"/>
          <w:tab w:val="left" w:pos="4262"/>
          <w:tab w:val="left" w:pos="6477"/>
        </w:tabs>
        <w:spacing w:before="20" w:line="500" w:lineRule="exact"/>
        <w:ind w:right="84" w:firstLine="772"/>
        <w:rPr>
          <w:rFonts w:hint="eastAsia"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7E8AD27A">
      <w:pPr>
        <w:pStyle w:val="19"/>
        <w:spacing w:before="34" w:line="500" w:lineRule="exact"/>
        <w:ind w:right="142" w:firstLine="705"/>
        <w:rPr>
          <w:rFonts w:hint="eastAsia" w:ascii="宋体" w:hAnsi="宋体"/>
          <w:color w:val="auto"/>
          <w:sz w:val="24"/>
          <w:highlight w:val="none"/>
        </w:rPr>
      </w:pPr>
      <w:r>
        <w:rPr>
          <w:rFonts w:ascii="宋体" w:hAnsi="宋体"/>
          <w:color w:val="auto"/>
          <w:sz w:val="24"/>
          <w:highlight w:val="none"/>
        </w:rPr>
        <w:t xml:space="preserve">…… </w:t>
      </w:r>
    </w:p>
    <w:p w14:paraId="2EB98231">
      <w:pPr>
        <w:pStyle w:val="19"/>
        <w:spacing w:before="34" w:line="500" w:lineRule="exact"/>
        <w:ind w:right="142" w:firstLine="705"/>
        <w:rPr>
          <w:rFonts w:hint="eastAsia"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1DC44C9F">
      <w:pPr>
        <w:pStyle w:val="19"/>
        <w:spacing w:before="25" w:line="500" w:lineRule="exact"/>
        <w:ind w:right="142" w:firstLine="705"/>
        <w:rPr>
          <w:rFonts w:hint="eastAsia"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0EBC39CB">
      <w:pPr>
        <w:pStyle w:val="19"/>
        <w:spacing w:before="56" w:line="500" w:lineRule="exact"/>
        <w:ind w:right="1808" w:firstLine="705"/>
        <w:rPr>
          <w:rFonts w:hint="eastAsia" w:ascii="宋体" w:hAnsi="宋体"/>
          <w:color w:val="auto"/>
          <w:sz w:val="24"/>
          <w:highlight w:val="none"/>
        </w:rPr>
      </w:pPr>
    </w:p>
    <w:p w14:paraId="6601E5E7">
      <w:pPr>
        <w:pStyle w:val="19"/>
        <w:spacing w:before="56" w:line="500" w:lineRule="exact"/>
        <w:ind w:right="650" w:firstLine="5625"/>
        <w:rPr>
          <w:rFonts w:hint="eastAsia" w:ascii="宋体" w:hAnsi="宋体"/>
          <w:color w:val="auto"/>
          <w:sz w:val="24"/>
          <w:highlight w:val="none"/>
        </w:rPr>
      </w:pPr>
      <w:r>
        <w:rPr>
          <w:rFonts w:ascii="宋体" w:hAnsi="宋体"/>
          <w:color w:val="auto"/>
          <w:sz w:val="24"/>
          <w:highlight w:val="none"/>
        </w:rPr>
        <w:t xml:space="preserve">企业名称（章）： </w:t>
      </w:r>
    </w:p>
    <w:p w14:paraId="71DDC1DB">
      <w:pPr>
        <w:pStyle w:val="19"/>
        <w:spacing w:before="56" w:line="500" w:lineRule="exact"/>
        <w:ind w:right="1808" w:firstLine="5625"/>
        <w:rPr>
          <w:rFonts w:hint="eastAsia" w:ascii="宋体" w:hAnsi="宋体"/>
          <w:color w:val="auto"/>
          <w:sz w:val="24"/>
          <w:highlight w:val="none"/>
        </w:rPr>
      </w:pPr>
      <w:r>
        <w:rPr>
          <w:rFonts w:ascii="宋体" w:hAnsi="宋体"/>
          <w:color w:val="auto"/>
          <w:sz w:val="24"/>
          <w:highlight w:val="none"/>
        </w:rPr>
        <w:t>日 期：</w:t>
      </w:r>
    </w:p>
    <w:p w14:paraId="6362E0D3">
      <w:pPr>
        <w:spacing w:line="52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357D8A4">
      <w:pPr>
        <w:spacing w:line="520" w:lineRule="exact"/>
        <w:jc w:val="center"/>
        <w:rPr>
          <w:rFonts w:hint="eastAsia" w:ascii="仿宋_GB2312" w:hAnsi="仿宋_GB2312" w:eastAsia="仿宋_GB2312" w:cs="仿宋_GB2312"/>
          <w:color w:val="auto"/>
          <w:sz w:val="32"/>
          <w:szCs w:val="32"/>
          <w:highlight w:val="none"/>
        </w:rPr>
      </w:pPr>
      <w:r>
        <w:rPr>
          <w:rFonts w:ascii="宋体" w:hAnsi="宋体"/>
          <w:color w:val="auto"/>
          <w:sz w:val="24"/>
          <w:highlight w:val="none"/>
        </w:rPr>
        <w:br w:type="page" w:clear="all"/>
      </w:r>
      <w:r>
        <w:rPr>
          <w:rFonts w:hint="eastAsia" w:ascii="方正小标宋简体" w:hAnsi="方正小标宋简体" w:eastAsia="方正小标宋简体" w:cs="方正小标宋简体"/>
          <w:color w:val="auto"/>
          <w:sz w:val="44"/>
          <w:szCs w:val="44"/>
          <w:highlight w:val="none"/>
        </w:rPr>
        <w:t>残疾人福利性单位声明函</w:t>
      </w:r>
    </w:p>
    <w:p w14:paraId="3C1EEB30">
      <w:pPr>
        <w:spacing w:line="360" w:lineRule="auto"/>
        <w:contextualSpacing/>
        <w:rPr>
          <w:rFonts w:hint="eastAsia" w:ascii="仿宋_GB2312" w:hAnsi="仿宋_GB2312" w:eastAsia="仿宋_GB2312" w:cs="仿宋_GB2312"/>
          <w:color w:val="auto"/>
          <w:sz w:val="32"/>
          <w:szCs w:val="32"/>
          <w:highlight w:val="none"/>
        </w:rPr>
      </w:pPr>
    </w:p>
    <w:p w14:paraId="0931619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679867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3F286E4E">
      <w:pPr>
        <w:spacing w:line="360" w:lineRule="auto"/>
        <w:contextualSpacing/>
        <w:rPr>
          <w:rFonts w:hint="eastAsia" w:ascii="宋体" w:hAnsi="宋体" w:cs="仿宋_GB2312"/>
          <w:color w:val="auto"/>
          <w:sz w:val="24"/>
          <w:highlight w:val="none"/>
        </w:rPr>
      </w:pPr>
    </w:p>
    <w:p w14:paraId="0D1C6F78">
      <w:pPr>
        <w:spacing w:line="360" w:lineRule="auto"/>
        <w:contextualSpacing/>
        <w:rPr>
          <w:rFonts w:hint="eastAsia" w:ascii="宋体" w:hAnsi="宋体" w:cs="仿宋_GB2312"/>
          <w:color w:val="auto"/>
          <w:sz w:val="24"/>
          <w:highlight w:val="none"/>
        </w:rPr>
      </w:pPr>
    </w:p>
    <w:p w14:paraId="16ED0CDD">
      <w:pPr>
        <w:spacing w:line="360" w:lineRule="auto"/>
        <w:contextualSpacing/>
        <w:rPr>
          <w:rFonts w:hint="eastAsia" w:ascii="宋体" w:hAnsi="宋体" w:cs="仿宋_GB2312"/>
          <w:color w:val="auto"/>
          <w:sz w:val="24"/>
          <w:highlight w:val="none"/>
        </w:rPr>
      </w:pPr>
    </w:p>
    <w:p w14:paraId="1F132B97">
      <w:pPr>
        <w:spacing w:line="360" w:lineRule="auto"/>
        <w:ind w:firstLine="24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单位名称（盖章）：</w:t>
      </w:r>
    </w:p>
    <w:p w14:paraId="3D7C0743">
      <w:pPr>
        <w:spacing w:line="360" w:lineRule="auto"/>
        <w:ind w:firstLine="36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5A2F7326">
      <w:pPr>
        <w:spacing w:line="360" w:lineRule="auto"/>
        <w:contextualSpacing/>
        <w:rPr>
          <w:rFonts w:hint="eastAsia" w:ascii="宋体" w:hAnsi="宋体" w:cs="仿宋_GB2312"/>
          <w:color w:val="auto"/>
          <w:sz w:val="24"/>
          <w:highlight w:val="none"/>
        </w:rPr>
      </w:pPr>
    </w:p>
    <w:p w14:paraId="69616287">
      <w:pPr>
        <w:spacing w:line="360" w:lineRule="auto"/>
        <w:contextualSpacing/>
        <w:rPr>
          <w:rFonts w:hint="eastAsia" w:ascii="宋体" w:hAnsi="宋体" w:cs="仿宋_GB2312"/>
          <w:color w:val="auto"/>
          <w:sz w:val="24"/>
          <w:highlight w:val="none"/>
        </w:rPr>
      </w:pPr>
    </w:p>
    <w:p w14:paraId="580DBA32">
      <w:pPr>
        <w:spacing w:line="360" w:lineRule="auto"/>
        <w:contextualSpacing/>
        <w:rPr>
          <w:rFonts w:hint="eastAsia" w:ascii="宋体" w:hAnsi="宋体" w:cs="仿宋_GB2312"/>
          <w:color w:val="auto"/>
          <w:sz w:val="24"/>
          <w:highlight w:val="none"/>
        </w:rPr>
      </w:pPr>
    </w:p>
    <w:p w14:paraId="21ACF23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02D62BD0">
      <w:pPr>
        <w:spacing w:line="360" w:lineRule="auto"/>
        <w:jc w:val="center"/>
        <w:rPr>
          <w:rFonts w:hint="eastAsia" w:ascii="宋体" w:hAnsi="宋体" w:cs="仿宋_GB2312"/>
          <w:color w:val="auto"/>
          <w:sz w:val="24"/>
          <w:highlight w:val="none"/>
        </w:rPr>
      </w:pPr>
      <w:r>
        <w:rPr>
          <w:rFonts w:ascii="宋体" w:hAnsi="宋体" w:cs="仿宋_GB2312"/>
          <w:color w:val="auto"/>
          <w:sz w:val="24"/>
          <w:highlight w:val="none"/>
        </w:rPr>
        <w:br w:type="page" w:clear="all"/>
      </w:r>
    </w:p>
    <w:p w14:paraId="3AD6B97E">
      <w:pPr>
        <w:spacing w:line="360" w:lineRule="auto"/>
        <w:jc w:val="center"/>
        <w:rPr>
          <w:rFonts w:hint="eastAsia" w:ascii="宋体" w:hAnsi="宋体"/>
          <w:b/>
          <w:bCs/>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质疑函（格式）</w:t>
      </w:r>
    </w:p>
    <w:p w14:paraId="5C9AC383">
      <w:pPr>
        <w:pStyle w:val="25"/>
        <w:spacing w:line="360" w:lineRule="auto"/>
        <w:ind w:firstLine="482"/>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45DC5DAC">
      <w:pPr>
        <w:pStyle w:val="25"/>
        <w:spacing w:line="360" w:lineRule="auto"/>
        <w:ind w:firstLine="48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7BD08F4">
      <w:pPr>
        <w:pStyle w:val="25"/>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20E1E8E">
      <w:pPr>
        <w:pStyle w:val="25"/>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EEE8EE4">
      <w:pPr>
        <w:pStyle w:val="25"/>
        <w:spacing w:line="360" w:lineRule="auto"/>
        <w:ind w:firstLine="48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7632B5F7">
      <w:pPr>
        <w:pStyle w:val="25"/>
        <w:spacing w:line="360" w:lineRule="auto"/>
        <w:ind w:firstLine="48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20F23262">
      <w:pPr>
        <w:pStyle w:val="25"/>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3DDD300">
      <w:pPr>
        <w:pStyle w:val="25"/>
        <w:spacing w:line="360" w:lineRule="auto"/>
        <w:ind w:firstLine="482"/>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730B738F">
      <w:pPr>
        <w:pStyle w:val="25"/>
        <w:spacing w:line="360" w:lineRule="auto"/>
        <w:ind w:left="25" w:firstLine="472"/>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6D982164">
      <w:pPr>
        <w:pStyle w:val="25"/>
        <w:spacing w:line="360" w:lineRule="auto"/>
        <w:ind w:left="25" w:firstLine="472"/>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027AF6DB">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2342A33">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w:t>
      </w:r>
    </w:p>
    <w:p w14:paraId="69A41638">
      <w:pPr>
        <w:pStyle w:val="25"/>
        <w:spacing w:line="360" w:lineRule="auto"/>
        <w:ind w:left="25" w:firstLine="352"/>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41B16796">
      <w:pPr>
        <w:pStyle w:val="25"/>
        <w:spacing w:line="360" w:lineRule="auto"/>
        <w:ind w:left="25" w:firstLine="352"/>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75A877ED">
      <w:pPr>
        <w:pStyle w:val="25"/>
        <w:spacing w:line="360" w:lineRule="auto"/>
        <w:ind w:left="25" w:firstLine="352"/>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11B7C91E">
      <w:pPr>
        <w:pStyle w:val="25"/>
        <w:spacing w:line="360" w:lineRule="auto"/>
        <w:ind w:left="25" w:firstLine="472"/>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5BBBD191">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5F0809B2">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1B61AB4D">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1FCD9685">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质疑事项2</w:t>
      </w:r>
    </w:p>
    <w:p w14:paraId="3AFDB5A4">
      <w:pPr>
        <w:pStyle w:val="25"/>
        <w:spacing w:line="360" w:lineRule="auto"/>
        <w:ind w:left="25" w:firstLine="472"/>
        <w:contextualSpacing/>
        <w:rPr>
          <w:rFonts w:hint="eastAsia" w:hAnsi="宋体"/>
          <w:color w:val="auto"/>
          <w:sz w:val="24"/>
          <w:szCs w:val="24"/>
          <w:highlight w:val="none"/>
        </w:rPr>
      </w:pPr>
      <w:r>
        <w:rPr>
          <w:rFonts w:hAnsi="宋体"/>
          <w:color w:val="auto"/>
          <w:sz w:val="24"/>
          <w:szCs w:val="24"/>
          <w:highlight w:val="none"/>
        </w:rPr>
        <w:t>……</w:t>
      </w:r>
    </w:p>
    <w:p w14:paraId="6B327C79">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7C438CE9">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3AC3B07D">
      <w:pPr>
        <w:pStyle w:val="25"/>
        <w:spacing w:line="360" w:lineRule="auto"/>
        <w:ind w:left="25" w:firstLine="352"/>
        <w:contextualSpacing/>
        <w:rPr>
          <w:rFonts w:hint="eastAsia" w:hAnsi="宋体"/>
          <w:color w:val="auto"/>
          <w:sz w:val="24"/>
          <w:szCs w:val="24"/>
          <w:highlight w:val="none"/>
        </w:rPr>
      </w:pPr>
    </w:p>
    <w:p w14:paraId="0A69D98E">
      <w:pPr>
        <w:pStyle w:val="25"/>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62B7DB13">
      <w:pPr>
        <w:pStyle w:val="25"/>
        <w:spacing w:line="360" w:lineRule="auto"/>
        <w:ind w:firstLine="480"/>
        <w:contextualSpacing/>
        <w:rPr>
          <w:rFonts w:hint="eastAsia" w:hAnsi="宋体"/>
          <w:b/>
          <w:color w:val="auto"/>
          <w:sz w:val="24"/>
          <w:szCs w:val="24"/>
          <w:highlight w:val="none"/>
        </w:rPr>
      </w:pPr>
      <w:r>
        <w:rPr>
          <w:rFonts w:hint="eastAsia" w:hAnsi="宋体"/>
          <w:color w:val="auto"/>
          <w:sz w:val="24"/>
          <w:szCs w:val="24"/>
          <w:highlight w:val="none"/>
        </w:rPr>
        <w:t>日期：</w:t>
      </w:r>
    </w:p>
    <w:p w14:paraId="3D0F7A30">
      <w:pPr>
        <w:pStyle w:val="25"/>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3C6BF036">
      <w:pPr>
        <w:pStyle w:val="25"/>
        <w:spacing w:line="360" w:lineRule="auto"/>
        <w:ind w:left="25" w:firstLine="354"/>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3B01219B">
      <w:pPr>
        <w:pStyle w:val="25"/>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AF63BC">
      <w:pPr>
        <w:pStyle w:val="25"/>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57E71139">
      <w:pPr>
        <w:pStyle w:val="25"/>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7B566B17">
      <w:pPr>
        <w:pStyle w:val="25"/>
        <w:spacing w:line="360" w:lineRule="auto"/>
        <w:ind w:left="25" w:firstLine="354"/>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261BBF92">
      <w:pPr>
        <w:pStyle w:val="25"/>
        <w:rPr>
          <w:rFonts w:hint="eastAsia"/>
          <w:b/>
          <w:color w:val="auto"/>
          <w:sz w:val="24"/>
          <w:szCs w:val="24"/>
          <w:highlight w:val="none"/>
        </w:rPr>
      </w:pPr>
    </w:p>
    <w:p w14:paraId="651FB5F9">
      <w:pPr>
        <w:rPr>
          <w:rFonts w:hint="eastAsia"/>
          <w:color w:val="auto"/>
          <w:sz w:val="32"/>
          <w:szCs w:val="40"/>
          <w:highlight w:val="none"/>
        </w:rPr>
      </w:pPr>
    </w:p>
    <w:p w14:paraId="3A589AA2">
      <w:pPr>
        <w:rPr>
          <w:rFonts w:hint="eastAsia"/>
          <w:color w:val="auto"/>
          <w:sz w:val="32"/>
          <w:szCs w:val="40"/>
          <w:highlight w:val="none"/>
        </w:rPr>
      </w:pPr>
    </w:p>
    <w:p w14:paraId="6C97E45F">
      <w:pPr>
        <w:rPr>
          <w:rFonts w:hint="eastAsia"/>
          <w:color w:val="auto"/>
          <w:sz w:val="32"/>
          <w:szCs w:val="40"/>
          <w:highlight w:val="none"/>
        </w:rPr>
      </w:pPr>
    </w:p>
    <w:p w14:paraId="653D1084">
      <w:pPr>
        <w:rPr>
          <w:rFonts w:hint="eastAsia"/>
          <w:color w:val="auto"/>
          <w:sz w:val="32"/>
          <w:szCs w:val="40"/>
          <w:highlight w:val="none"/>
        </w:rPr>
      </w:pPr>
    </w:p>
    <w:p w14:paraId="10B608DD">
      <w:pPr>
        <w:rPr>
          <w:rFonts w:hint="eastAsia"/>
          <w:color w:val="auto"/>
          <w:sz w:val="32"/>
          <w:szCs w:val="40"/>
          <w:highlight w:val="none"/>
        </w:rPr>
      </w:pPr>
    </w:p>
    <w:p w14:paraId="404BF66A">
      <w:pPr>
        <w:rPr>
          <w:rFonts w:hint="eastAsia"/>
          <w:color w:val="auto"/>
          <w:sz w:val="32"/>
          <w:szCs w:val="40"/>
          <w:highlight w:val="none"/>
        </w:rPr>
      </w:pPr>
    </w:p>
    <w:p w14:paraId="7D6F381D">
      <w:pPr>
        <w:rPr>
          <w:rFonts w:hint="eastAsia"/>
          <w:color w:val="auto"/>
          <w:sz w:val="32"/>
          <w:szCs w:val="40"/>
          <w:highlight w:val="none"/>
        </w:rPr>
      </w:pPr>
    </w:p>
    <w:p w14:paraId="05C9D004">
      <w:pPr>
        <w:rPr>
          <w:rFonts w:hint="eastAsia"/>
          <w:color w:val="auto"/>
          <w:sz w:val="32"/>
          <w:szCs w:val="40"/>
          <w:highlight w:val="none"/>
        </w:rPr>
      </w:pPr>
    </w:p>
    <w:p w14:paraId="53B3BE2B">
      <w:pPr>
        <w:rPr>
          <w:rFonts w:hint="eastAsia"/>
          <w:color w:val="auto"/>
          <w:sz w:val="32"/>
          <w:szCs w:val="40"/>
          <w:highlight w:val="none"/>
        </w:rPr>
      </w:pPr>
    </w:p>
    <w:p w14:paraId="08C0335A">
      <w:pPr>
        <w:rPr>
          <w:rFonts w:hint="eastAsia"/>
          <w:color w:val="auto"/>
          <w:sz w:val="32"/>
          <w:szCs w:val="40"/>
          <w:highlight w:val="none"/>
        </w:rPr>
      </w:pPr>
    </w:p>
    <w:p w14:paraId="38E549A9">
      <w:pPr>
        <w:rPr>
          <w:rFonts w:hint="eastAsia"/>
          <w:color w:val="auto"/>
          <w:sz w:val="32"/>
          <w:szCs w:val="40"/>
          <w:highlight w:val="none"/>
        </w:rPr>
      </w:pPr>
    </w:p>
    <w:p w14:paraId="30ED238B">
      <w:pPr>
        <w:rPr>
          <w:rFonts w:hint="eastAsia"/>
          <w:color w:val="auto"/>
          <w:sz w:val="32"/>
          <w:szCs w:val="40"/>
          <w:highlight w:val="none"/>
        </w:rPr>
      </w:pPr>
    </w:p>
    <w:p w14:paraId="681B61C5">
      <w:pPr>
        <w:rPr>
          <w:rFonts w:hint="eastAsia"/>
          <w:color w:val="auto"/>
          <w:sz w:val="32"/>
          <w:szCs w:val="40"/>
          <w:highlight w:val="none"/>
        </w:rPr>
      </w:pPr>
    </w:p>
    <w:p w14:paraId="0FA34874">
      <w:pPr>
        <w:rPr>
          <w:rFonts w:hint="eastAsia"/>
          <w:color w:val="auto"/>
          <w:sz w:val="32"/>
          <w:szCs w:val="40"/>
          <w:highlight w:val="none"/>
        </w:rPr>
      </w:pPr>
    </w:p>
    <w:p w14:paraId="3815BD9C">
      <w:pPr>
        <w:spacing w:line="360" w:lineRule="auto"/>
        <w:jc w:val="center"/>
        <w:rPr>
          <w:rFonts w:hint="eastAsia" w:ascii="方正小标宋简体" w:hAnsi="方正小标宋简体" w:eastAsia="方正小标宋简体" w:cs="方正小标宋简体"/>
          <w:color w:val="auto"/>
          <w:sz w:val="44"/>
          <w:szCs w:val="44"/>
          <w:highlight w:val="none"/>
        </w:rPr>
      </w:pPr>
      <w:r>
        <w:rPr>
          <w:rFonts w:ascii="方正小标宋简体" w:hAnsi="方正小标宋简体" w:eastAsia="方正小标宋简体" w:cs="方正小标宋简体"/>
          <w:color w:val="auto"/>
          <w:sz w:val="44"/>
          <w:szCs w:val="44"/>
          <w:highlight w:val="none"/>
        </w:rPr>
        <w:br w:type="page" w:clear="all"/>
      </w:r>
      <w:r>
        <w:rPr>
          <w:rFonts w:hint="eastAsia" w:ascii="方正小标宋简体" w:hAnsi="方正小标宋简体" w:eastAsia="方正小标宋简体" w:cs="方正小标宋简体"/>
          <w:color w:val="auto"/>
          <w:sz w:val="44"/>
          <w:szCs w:val="44"/>
          <w:highlight w:val="none"/>
        </w:rPr>
        <w:t>投诉书（格式）</w:t>
      </w:r>
    </w:p>
    <w:p w14:paraId="0A4B8AE6">
      <w:pPr>
        <w:pStyle w:val="25"/>
        <w:spacing w:line="360" w:lineRule="auto"/>
        <w:ind w:firstLine="482"/>
        <w:rPr>
          <w:rFonts w:hAnsi="宋体"/>
          <w:b/>
          <w:bCs/>
          <w:color w:val="auto"/>
          <w:sz w:val="24"/>
          <w:szCs w:val="24"/>
          <w:highlight w:val="none"/>
        </w:rPr>
      </w:pPr>
      <w:r>
        <w:rPr>
          <w:rFonts w:hint="eastAsia" w:hAnsi="宋体"/>
          <w:b/>
          <w:bCs/>
          <w:color w:val="auto"/>
          <w:sz w:val="24"/>
          <w:szCs w:val="24"/>
          <w:highlight w:val="none"/>
        </w:rPr>
        <w:t>一、投诉相关主体基本情况：</w:t>
      </w:r>
    </w:p>
    <w:p w14:paraId="3A1B48A2">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6EDF12D">
      <w:pPr>
        <w:pStyle w:val="25"/>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0002385">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3A795611">
      <w:pPr>
        <w:pStyle w:val="25"/>
        <w:spacing w:line="360" w:lineRule="auto"/>
        <w:ind w:firstLine="48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FD17ED5">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6A0E50D7">
      <w:pPr>
        <w:pStyle w:val="25"/>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3FECBA8C">
      <w:pPr>
        <w:pStyle w:val="25"/>
        <w:spacing w:line="360" w:lineRule="auto"/>
        <w:ind w:firstLine="48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DFC0AE4">
      <w:pPr>
        <w:pStyle w:val="25"/>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被投诉人1：</w:t>
      </w:r>
    </w:p>
    <w:p w14:paraId="2C507339">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68B30980">
      <w:pPr>
        <w:pStyle w:val="25"/>
        <w:spacing w:line="360" w:lineRule="auto"/>
        <w:ind w:firstLine="48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4DC2F00">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20A6432F">
      <w:pPr>
        <w:pStyle w:val="25"/>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被投诉人2：</w:t>
      </w:r>
    </w:p>
    <w:p w14:paraId="40152396">
      <w:pPr>
        <w:pStyle w:val="25"/>
        <w:spacing w:line="360" w:lineRule="auto"/>
        <w:ind w:firstLine="480"/>
        <w:rPr>
          <w:rFonts w:hint="eastAsia" w:hAnsi="宋体"/>
          <w:bCs/>
          <w:color w:val="auto"/>
          <w:sz w:val="24"/>
          <w:szCs w:val="24"/>
          <w:highlight w:val="none"/>
        </w:rPr>
      </w:pPr>
      <w:r>
        <w:rPr>
          <w:rFonts w:hAnsi="宋体"/>
          <w:bCs/>
          <w:color w:val="auto"/>
          <w:sz w:val="24"/>
          <w:szCs w:val="24"/>
          <w:highlight w:val="none"/>
        </w:rPr>
        <w:t>……</w:t>
      </w:r>
    </w:p>
    <w:p w14:paraId="504F107F">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28D04F2F">
      <w:pPr>
        <w:pStyle w:val="25"/>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E14AAF8">
      <w:pPr>
        <w:pStyle w:val="25"/>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EB29992">
      <w:pPr>
        <w:pStyle w:val="25"/>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1E7C36A2">
      <w:pPr>
        <w:pStyle w:val="2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2CE1FB4A">
      <w:pPr>
        <w:pStyle w:val="2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6ED10BB9">
      <w:pPr>
        <w:pStyle w:val="2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22F53F7A">
      <w:pPr>
        <w:pStyle w:val="2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65927B3B">
      <w:pPr>
        <w:pStyle w:val="25"/>
        <w:spacing w:line="360" w:lineRule="auto"/>
        <w:ind w:left="25" w:firstLine="472"/>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4E43779D">
      <w:pPr>
        <w:pStyle w:val="25"/>
        <w:spacing w:line="360" w:lineRule="auto"/>
        <w:ind w:left="25" w:firstLine="472"/>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00309B34">
      <w:pPr>
        <w:pStyle w:val="2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三、质疑基本情况</w:t>
      </w:r>
    </w:p>
    <w:p w14:paraId="59E98F7A">
      <w:pPr>
        <w:pStyle w:val="25"/>
        <w:spacing w:line="360" w:lineRule="auto"/>
        <w:ind w:firstLine="48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12012928">
      <w:pPr>
        <w:pStyle w:val="25"/>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D2BF54D">
      <w:pPr>
        <w:pStyle w:val="25"/>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419665ED">
      <w:pPr>
        <w:pStyle w:val="25"/>
        <w:spacing w:line="360" w:lineRule="auto"/>
        <w:ind w:firstLine="48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176FB356">
      <w:pPr>
        <w:pStyle w:val="2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四、投诉事项具体内容</w:t>
      </w:r>
    </w:p>
    <w:p w14:paraId="1E9A9CC4">
      <w:pPr>
        <w:pStyle w:val="25"/>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5F7D5821">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29A11816">
      <w:pPr>
        <w:pStyle w:val="25"/>
        <w:spacing w:line="360" w:lineRule="auto"/>
        <w:ind w:left="25" w:firstLine="472"/>
        <w:rPr>
          <w:rFonts w:hint="eastAsia" w:hAnsi="宋体"/>
          <w:color w:val="auto"/>
          <w:sz w:val="24"/>
          <w:szCs w:val="24"/>
          <w:highlight w:val="none"/>
        </w:rPr>
      </w:pPr>
      <w:r>
        <w:rPr>
          <w:rFonts w:hint="eastAsia" w:hAnsi="宋体"/>
          <w:bCs/>
          <w:color w:val="auto"/>
          <w:sz w:val="24"/>
          <w:szCs w:val="24"/>
          <w:highlight w:val="none"/>
          <w:u w:val="single"/>
        </w:rPr>
        <w:t xml:space="preserve">                                                                                        </w:t>
      </w:r>
    </w:p>
    <w:p w14:paraId="08DD9C8A">
      <w:pPr>
        <w:pStyle w:val="25"/>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DC4645C">
      <w:pPr>
        <w:pStyle w:val="25"/>
        <w:spacing w:line="360" w:lineRule="auto"/>
        <w:ind w:left="25" w:firstLine="352"/>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2036B169">
      <w:pPr>
        <w:pStyle w:val="25"/>
        <w:spacing w:line="360" w:lineRule="auto"/>
        <w:ind w:left="25" w:firstLine="472"/>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14762AD4">
      <w:pPr>
        <w:pStyle w:val="25"/>
        <w:spacing w:line="360" w:lineRule="auto"/>
        <w:ind w:left="25" w:firstLine="472"/>
        <w:rPr>
          <w:rFonts w:hint="eastAsia" w:hAnsi="宋体"/>
          <w:bCs/>
          <w:color w:val="auto"/>
          <w:sz w:val="24"/>
          <w:szCs w:val="24"/>
          <w:highlight w:val="none"/>
        </w:rPr>
      </w:pPr>
      <w:r>
        <w:rPr>
          <w:rFonts w:hAnsi="宋体"/>
          <w:bCs/>
          <w:color w:val="auto"/>
          <w:sz w:val="24"/>
          <w:szCs w:val="24"/>
          <w:highlight w:val="none"/>
        </w:rPr>
        <w:t>……</w:t>
      </w:r>
    </w:p>
    <w:p w14:paraId="671F4F6F">
      <w:pPr>
        <w:pStyle w:val="25"/>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48192FC7">
      <w:pPr>
        <w:pStyle w:val="2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4230D25C">
      <w:pPr>
        <w:pStyle w:val="25"/>
        <w:spacing w:line="360" w:lineRule="auto"/>
        <w:ind w:left="25" w:firstLine="352"/>
        <w:rPr>
          <w:rFonts w:hint="eastAsia" w:hAnsi="宋体"/>
          <w:color w:val="auto"/>
          <w:sz w:val="24"/>
          <w:szCs w:val="24"/>
          <w:highlight w:val="none"/>
        </w:rPr>
      </w:pPr>
    </w:p>
    <w:p w14:paraId="4C6824D9">
      <w:pPr>
        <w:pStyle w:val="2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30F2A630">
      <w:pPr>
        <w:pStyle w:val="25"/>
        <w:spacing w:line="360" w:lineRule="auto"/>
        <w:ind w:left="25" w:firstLine="352"/>
        <w:rPr>
          <w:rFonts w:hint="eastAsia" w:hAnsi="宋体"/>
          <w:color w:val="auto"/>
          <w:sz w:val="24"/>
          <w:szCs w:val="24"/>
          <w:highlight w:val="none"/>
        </w:rPr>
      </w:pPr>
    </w:p>
    <w:p w14:paraId="51D81741">
      <w:pPr>
        <w:pStyle w:val="25"/>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0DC79058">
      <w:pPr>
        <w:pStyle w:val="25"/>
        <w:spacing w:line="360" w:lineRule="auto"/>
        <w:ind w:left="25" w:firstLine="472"/>
        <w:rPr>
          <w:rFonts w:hint="eastAsia" w:hAnsi="宋体"/>
          <w:b/>
          <w:color w:val="auto"/>
          <w:sz w:val="24"/>
          <w:szCs w:val="24"/>
          <w:highlight w:val="none"/>
        </w:rPr>
      </w:pPr>
      <w:r>
        <w:rPr>
          <w:rFonts w:hint="eastAsia" w:hAnsi="宋体"/>
          <w:bCs/>
          <w:color w:val="auto"/>
          <w:sz w:val="24"/>
          <w:szCs w:val="24"/>
          <w:highlight w:val="none"/>
        </w:rPr>
        <w:t xml:space="preserve">                                                                                 </w:t>
      </w:r>
    </w:p>
    <w:p w14:paraId="6CDB3559">
      <w:pPr>
        <w:pStyle w:val="25"/>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808C454">
      <w:pPr>
        <w:pStyle w:val="25"/>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w:t>
      </w:r>
      <w:bookmarkStart w:id="182" w:name="REVIEW_AI_BM_AI_11989_1359_28_34"/>
      <w:r>
        <w:rPr>
          <w:rFonts w:hint="eastAsia" w:hAnsi="宋体"/>
          <w:b/>
          <w:color w:val="auto"/>
          <w:sz w:val="24"/>
          <w:szCs w:val="24"/>
          <w:highlight w:val="none"/>
          <w:shd w:val="clear" w:color="FFFFFF" w:fill="FFFFFF"/>
        </w:rPr>
        <w:t>按照被投诉人和与投诉事项有关的供应商数量提供投诉书副本</w:t>
      </w:r>
      <w:bookmarkEnd w:id="182"/>
      <w:r>
        <w:rPr>
          <w:rFonts w:hint="eastAsia" w:hAnsi="宋体"/>
          <w:b/>
          <w:bCs/>
          <w:color w:val="auto"/>
          <w:sz w:val="24"/>
          <w:szCs w:val="24"/>
          <w:highlight w:val="none"/>
        </w:rPr>
        <w:t>。</w:t>
      </w:r>
    </w:p>
    <w:p w14:paraId="047C579E">
      <w:pPr>
        <w:pStyle w:val="2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62E1FDF">
      <w:pPr>
        <w:pStyle w:val="2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4C38B375">
      <w:pPr>
        <w:pStyle w:val="2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7DD1C1DC">
      <w:pPr>
        <w:pStyle w:val="25"/>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46405F62">
      <w:pPr>
        <w:pStyle w:val="25"/>
        <w:spacing w:line="360" w:lineRule="auto"/>
        <w:ind w:left="25" w:firstLine="354"/>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705F528C">
      <w:pPr>
        <w:pStyle w:val="25"/>
        <w:spacing w:line="360" w:lineRule="auto"/>
        <w:ind w:left="25" w:firstLine="295"/>
        <w:rPr>
          <w:rFonts w:hint="eastAsia" w:hAnsi="宋体"/>
          <w:b/>
          <w:color w:val="auto"/>
          <w:highlight w:val="none"/>
        </w:rPr>
      </w:pPr>
    </w:p>
    <w:p w14:paraId="02D333F6">
      <w:pPr>
        <w:pStyle w:val="3"/>
        <w:jc w:val="center"/>
        <w:rPr>
          <w:color w:val="auto"/>
          <w:highlight w:val="none"/>
        </w:rPr>
      </w:pPr>
    </w:p>
    <w:p w14:paraId="7B7D1584">
      <w:pPr>
        <w:pStyle w:val="3"/>
        <w:rPr>
          <w:color w:val="auto"/>
          <w:highlight w:val="none"/>
        </w:rPr>
      </w:pPr>
    </w:p>
    <w:p w14:paraId="08AF6F28">
      <w:pPr>
        <w:pStyle w:val="3"/>
        <w:jc w:val="center"/>
        <w:rPr>
          <w:color w:val="auto"/>
          <w:highlight w:val="none"/>
        </w:rPr>
      </w:pPr>
    </w:p>
    <w:p w14:paraId="4D4801DC">
      <w:pPr>
        <w:pStyle w:val="3"/>
        <w:jc w:val="center"/>
        <w:rPr>
          <w:color w:val="auto"/>
          <w:highlight w:val="none"/>
        </w:rPr>
      </w:pPr>
      <w:bookmarkStart w:id="183" w:name="_Toc26619"/>
      <w:r>
        <w:rPr>
          <w:rFonts w:hint="eastAsia"/>
          <w:color w:val="auto"/>
          <w:highlight w:val="none"/>
        </w:rPr>
        <w:t>第七章合同文本</w:t>
      </w:r>
      <w:bookmarkEnd w:id="183"/>
    </w:p>
    <w:p w14:paraId="5E7C34D4">
      <w:pPr>
        <w:spacing w:line="520" w:lineRule="exact"/>
        <w:rPr>
          <w:rFonts w:hint="eastAsia" w:ascii="宋体" w:hAnsi="宋体" w:cs="Courier New"/>
          <w:b/>
          <w:color w:val="auto"/>
          <w:sz w:val="32"/>
          <w:szCs w:val="32"/>
          <w:highlight w:val="none"/>
        </w:rPr>
      </w:pPr>
    </w:p>
    <w:p w14:paraId="6ADFF14B">
      <w:pPr>
        <w:widowControl/>
        <w:jc w:val="center"/>
        <w:rPr>
          <w:rFonts w:ascii="宋体" w:hAnsi="宋体" w:cs="宋体"/>
          <w:color w:val="auto"/>
          <w:highlight w:val="none"/>
        </w:rPr>
      </w:pPr>
      <w:r>
        <w:rPr>
          <w:rFonts w:ascii="宋体" w:hAnsi="宋体" w:cs="宋体"/>
          <w:color w:val="auto"/>
          <w:highlight w:val="none"/>
        </w:rPr>
        <w:br w:type="page" w:clear="all"/>
      </w:r>
    </w:p>
    <w:p w14:paraId="0E2B8150">
      <w:pPr>
        <w:widowControl/>
        <w:jc w:val="center"/>
        <w:rPr>
          <w:rFonts w:ascii="宋体" w:hAnsi="宋体" w:cs="宋体"/>
          <w:color w:val="auto"/>
          <w:highlight w:val="none"/>
        </w:rPr>
      </w:pPr>
    </w:p>
    <w:p w14:paraId="33E374BF">
      <w:pPr>
        <w:widowControl/>
        <w:jc w:val="center"/>
        <w:rPr>
          <w:rFonts w:ascii="宋体" w:hAnsi="宋体" w:cs="宋体"/>
          <w:color w:val="auto"/>
          <w:highlight w:val="none"/>
        </w:rPr>
      </w:pPr>
    </w:p>
    <w:p w14:paraId="26817FF7">
      <w:pPr>
        <w:widowControl/>
        <w:jc w:val="center"/>
        <w:rPr>
          <w:rFonts w:ascii="宋体" w:hAnsi="宋体" w:cs="宋体"/>
          <w:color w:val="auto"/>
          <w:highlight w:val="none"/>
        </w:rPr>
      </w:pPr>
    </w:p>
    <w:p w14:paraId="62241E23">
      <w:pPr>
        <w:widowControl/>
        <w:jc w:val="center"/>
        <w:rPr>
          <w:rFonts w:ascii="宋体" w:hAnsi="宋体" w:cs="宋体"/>
          <w:color w:val="auto"/>
          <w:highlight w:val="none"/>
        </w:rPr>
      </w:pPr>
    </w:p>
    <w:p w14:paraId="51FC93B3">
      <w:pPr>
        <w:widowControl/>
        <w:jc w:val="center"/>
        <w:rPr>
          <w:rFonts w:ascii="宋体" w:hAnsi="宋体" w:cs="宋体"/>
          <w:color w:val="auto"/>
          <w:highlight w:val="none"/>
        </w:rPr>
      </w:pPr>
    </w:p>
    <w:p w14:paraId="0FD76AFC">
      <w:pPr>
        <w:widowControl/>
        <w:jc w:val="center"/>
        <w:rPr>
          <w:rFonts w:ascii="宋体" w:hAnsi="宋体" w:cs="宋体"/>
          <w:color w:val="auto"/>
          <w:highlight w:val="none"/>
        </w:rPr>
      </w:pPr>
    </w:p>
    <w:p w14:paraId="4AA8D445">
      <w:pPr>
        <w:widowControl/>
        <w:jc w:val="center"/>
        <w:rPr>
          <w:rFonts w:ascii="宋体" w:hAnsi="宋体" w:cs="宋体"/>
          <w:color w:val="auto"/>
          <w:highlight w:val="none"/>
        </w:rPr>
      </w:pPr>
    </w:p>
    <w:p w14:paraId="5645ABF7">
      <w:pPr>
        <w:widowControl/>
        <w:jc w:val="center"/>
        <w:rPr>
          <w:rFonts w:ascii="宋体" w:hAnsi="宋体" w:cs="宋体"/>
          <w:color w:val="auto"/>
          <w:highlight w:val="none"/>
        </w:rPr>
      </w:pPr>
    </w:p>
    <w:p w14:paraId="6B83A59F">
      <w:pPr>
        <w:widowControl/>
        <w:jc w:val="center"/>
        <w:rPr>
          <w:rFonts w:ascii="宋体" w:hAnsi="宋体" w:cs="宋体"/>
          <w:color w:val="auto"/>
          <w:highlight w:val="none"/>
        </w:rPr>
      </w:pPr>
    </w:p>
    <w:p w14:paraId="1D3B1844">
      <w:pPr>
        <w:widowControl/>
        <w:jc w:val="center"/>
        <w:rPr>
          <w:rFonts w:ascii="宋体" w:hAnsi="宋体" w:cs="宋体"/>
          <w:color w:val="auto"/>
          <w:highlight w:val="none"/>
        </w:rPr>
      </w:pPr>
    </w:p>
    <w:p w14:paraId="01D0D91B">
      <w:pPr>
        <w:widowControl/>
        <w:jc w:val="center"/>
        <w:rPr>
          <w:rFonts w:ascii="宋体" w:hAnsi="宋体" w:cs="宋体"/>
          <w:color w:val="auto"/>
          <w:highlight w:val="none"/>
        </w:rPr>
      </w:pPr>
    </w:p>
    <w:p w14:paraId="3089B26C">
      <w:pPr>
        <w:widowControl/>
        <w:jc w:val="center"/>
        <w:rPr>
          <w:rFonts w:ascii="宋体" w:hAnsi="宋体" w:cs="宋体"/>
          <w:color w:val="auto"/>
          <w:highlight w:val="none"/>
        </w:rPr>
      </w:pPr>
    </w:p>
    <w:p w14:paraId="33744990">
      <w:pPr>
        <w:widowControl/>
        <w:jc w:val="center"/>
        <w:rPr>
          <w:rFonts w:ascii="宋体" w:hAnsi="宋体" w:cs="宋体"/>
          <w:color w:val="auto"/>
          <w:highlight w:val="none"/>
        </w:rPr>
      </w:pPr>
    </w:p>
    <w:p w14:paraId="4728F386">
      <w:pPr>
        <w:widowControl/>
        <w:jc w:val="center"/>
        <w:rPr>
          <w:rFonts w:ascii="宋体" w:hAnsi="宋体" w:cs="宋体"/>
          <w:color w:val="auto"/>
          <w:highlight w:val="none"/>
        </w:rPr>
      </w:pPr>
    </w:p>
    <w:p w14:paraId="250E44A0">
      <w:pPr>
        <w:widowControl/>
        <w:jc w:val="center"/>
        <w:rPr>
          <w:rFonts w:ascii="宋体" w:hAnsi="宋体" w:cs="宋体"/>
          <w:color w:val="auto"/>
          <w:highlight w:val="none"/>
        </w:rPr>
      </w:pPr>
    </w:p>
    <w:p w14:paraId="1E97E0EA">
      <w:pPr>
        <w:widowControl/>
        <w:jc w:val="center"/>
        <w:rPr>
          <w:rFonts w:ascii="宋体" w:hAnsi="宋体" w:cs="宋体"/>
          <w:color w:val="auto"/>
          <w:highlight w:val="none"/>
        </w:rPr>
      </w:pPr>
    </w:p>
    <w:p w14:paraId="6FE65CB2">
      <w:pPr>
        <w:widowControl/>
        <w:jc w:val="center"/>
        <w:rPr>
          <w:rFonts w:ascii="宋体" w:hAnsi="宋体" w:cs="宋体"/>
          <w:color w:val="auto"/>
          <w:highlight w:val="none"/>
        </w:rPr>
      </w:pPr>
    </w:p>
    <w:p w14:paraId="45ADAF6A">
      <w:pPr>
        <w:widowControl/>
        <w:jc w:val="center"/>
        <w:rPr>
          <w:rFonts w:ascii="宋体" w:hAnsi="宋体" w:cs="宋体"/>
          <w:color w:val="auto"/>
          <w:highlight w:val="none"/>
        </w:rPr>
      </w:pPr>
    </w:p>
    <w:p w14:paraId="0A017DD9">
      <w:pPr>
        <w:widowControl/>
        <w:jc w:val="center"/>
        <w:rPr>
          <w:rFonts w:ascii="宋体" w:hAnsi="宋体" w:cs="宋体"/>
          <w:color w:val="auto"/>
          <w:highlight w:val="none"/>
        </w:rPr>
      </w:pPr>
    </w:p>
    <w:p w14:paraId="26E1F00D">
      <w:pPr>
        <w:widowControl/>
        <w:jc w:val="center"/>
        <w:rPr>
          <w:rFonts w:ascii="宋体" w:hAnsi="宋体" w:cs="宋体"/>
          <w:color w:val="auto"/>
          <w:highlight w:val="none"/>
        </w:rPr>
      </w:pPr>
    </w:p>
    <w:p w14:paraId="1211C48C">
      <w:pPr>
        <w:widowControl/>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一、建设工程施工合同</w:t>
      </w:r>
    </w:p>
    <w:p w14:paraId="02AC0825">
      <w:pPr>
        <w:pStyle w:val="3"/>
        <w:jc w:val="center"/>
        <w:rPr>
          <w:color w:val="auto"/>
          <w:highlight w:val="none"/>
        </w:rPr>
      </w:pPr>
      <w:bookmarkStart w:id="184" w:name="_Toc373478199"/>
      <w:bookmarkStart w:id="185" w:name="_Toc351203480"/>
      <w:bookmarkStart w:id="186" w:name="_Toc407135191"/>
      <w:bookmarkStart w:id="187" w:name="_Toc296503025"/>
      <w:bookmarkStart w:id="188" w:name="_Toc296890982"/>
      <w:bookmarkStart w:id="189" w:name="_Toc724920571"/>
      <w:bookmarkStart w:id="190" w:name="_Toc389065255"/>
      <w:bookmarkStart w:id="191" w:name="_Toc1756478213"/>
      <w:bookmarkStart w:id="192" w:name="_Toc78449777"/>
      <w:bookmarkStart w:id="193" w:name="_Toc373227552"/>
      <w:r>
        <w:rPr>
          <w:rFonts w:cs="黑体"/>
          <w:color w:val="auto"/>
          <w:highlight w:val="none"/>
        </w:rPr>
        <w:br w:type="page" w:clear="all"/>
      </w:r>
      <w:bookmarkStart w:id="194" w:name="_Toc122424019"/>
      <w:bookmarkStart w:id="195" w:name="_Toc122424268"/>
      <w:bookmarkStart w:id="196" w:name="_Toc17559"/>
      <w:r>
        <w:rPr>
          <w:rFonts w:hint="eastAsia" w:cs="黑体"/>
          <w:color w:val="auto"/>
          <w:highlight w:val="none"/>
        </w:rPr>
        <w:t>第一部分</w:t>
      </w:r>
      <w:r>
        <w:rPr>
          <w:color w:val="auto"/>
          <w:highlight w:val="none"/>
        </w:rPr>
        <w:t xml:space="preserve"> </w:t>
      </w:r>
      <w:r>
        <w:rPr>
          <w:rFonts w:hint="eastAsia" w:cs="黑体"/>
          <w:color w:val="auto"/>
          <w:highlight w:val="none"/>
        </w:rPr>
        <w:t>合同协议书</w:t>
      </w:r>
      <w:bookmarkEnd w:id="184"/>
      <w:bookmarkEnd w:id="185"/>
      <w:bookmarkEnd w:id="186"/>
      <w:bookmarkEnd w:id="187"/>
      <w:bookmarkEnd w:id="188"/>
      <w:bookmarkEnd w:id="189"/>
      <w:bookmarkEnd w:id="190"/>
      <w:bookmarkEnd w:id="191"/>
      <w:bookmarkEnd w:id="192"/>
      <w:bookmarkEnd w:id="193"/>
      <w:bookmarkEnd w:id="194"/>
      <w:bookmarkEnd w:id="195"/>
      <w:bookmarkEnd w:id="196"/>
    </w:p>
    <w:p w14:paraId="4A9036C9">
      <w:pPr>
        <w:spacing w:line="360" w:lineRule="auto"/>
        <w:rPr>
          <w:rFonts w:hAnsi="宋体"/>
          <w:color w:val="auto"/>
          <w:highlight w:val="none"/>
          <w:u w:val="single"/>
        </w:rPr>
      </w:pPr>
      <w:r>
        <w:rPr>
          <w:rFonts w:hint="eastAsia" w:hAnsi="宋体" w:cs="宋体"/>
          <w:color w:val="auto"/>
          <w:highlight w:val="none"/>
        </w:rPr>
        <w:t>发包人（全称）：</w:t>
      </w:r>
      <w:r>
        <w:rPr>
          <w:rFonts w:hAnsi="宋体"/>
          <w:color w:val="auto"/>
          <w:highlight w:val="none"/>
          <w:u w:val="single"/>
        </w:rPr>
        <w:t xml:space="preserve"> </w:t>
      </w:r>
      <w:r>
        <w:rPr>
          <w:rFonts w:hint="eastAsia" w:hAnsi="宋体"/>
          <w:color w:val="auto"/>
          <w:highlight w:val="none"/>
          <w:u w:val="single"/>
          <w:lang w:eastAsia="zh-CN"/>
        </w:rPr>
        <w:t>贵港市覃塘区人民医院</w:t>
      </w:r>
      <w:r>
        <w:rPr>
          <w:rFonts w:hAnsi="宋体"/>
          <w:color w:val="auto"/>
          <w:highlight w:val="none"/>
          <w:u w:val="single"/>
        </w:rPr>
        <w:t xml:space="preserve">         </w:t>
      </w:r>
    </w:p>
    <w:p w14:paraId="4F3A9B85">
      <w:pPr>
        <w:spacing w:line="360" w:lineRule="auto"/>
        <w:rPr>
          <w:color w:val="auto"/>
          <w:highlight w:val="none"/>
          <w:u w:val="single"/>
        </w:rPr>
      </w:pPr>
      <w:r>
        <w:rPr>
          <w:rFonts w:hint="eastAsia" w:hAnsi="宋体" w:cs="宋体"/>
          <w:color w:val="auto"/>
          <w:highlight w:val="none"/>
        </w:rPr>
        <w:t>承包人（全称）：</w:t>
      </w:r>
      <w:r>
        <w:rPr>
          <w:rFonts w:hAnsi="宋体"/>
          <w:color w:val="auto"/>
          <w:highlight w:val="none"/>
          <w:u w:val="single"/>
        </w:rPr>
        <w:t xml:space="preserve">                              </w:t>
      </w:r>
    </w:p>
    <w:p w14:paraId="1908CD0C">
      <w:pPr>
        <w:spacing w:line="360" w:lineRule="auto"/>
        <w:ind w:firstLine="420"/>
        <w:rPr>
          <w:rFonts w:hAnsi="宋体"/>
          <w:color w:val="auto"/>
          <w:sz w:val="21"/>
          <w:szCs w:val="21"/>
          <w:highlight w:val="none"/>
        </w:rPr>
      </w:pPr>
      <w:r>
        <w:rPr>
          <w:rFonts w:hint="eastAsia" w:hAnsi="宋体" w:cs="宋体"/>
          <w:color w:val="auto"/>
          <w:highlight w:val="none"/>
        </w:rPr>
        <w:t>根据《中华人民共和国民法典》、《中华人民共和国建筑法》及有关法律规定，遵循平等、自愿、公平和诚实信用的原则，双方就</w:t>
      </w:r>
      <w:r>
        <w:rPr>
          <w:rFonts w:hint="eastAsia" w:hAnsi="宋体" w:cs="宋体"/>
          <w:color w:val="auto"/>
          <w:highlight w:val="none"/>
          <w:u w:val="single"/>
          <w:lang w:eastAsia="zh-CN"/>
        </w:rPr>
        <w:t>贵港市覃塘区人民医院</w:t>
      </w:r>
      <w:r>
        <w:rPr>
          <w:color w:val="auto"/>
          <w:sz w:val="21"/>
          <w:szCs w:val="21"/>
          <w:highlight w:val="none"/>
          <w:u w:val="single"/>
        </w:rPr>
        <w:t>门急诊综合楼消防安全评估整改项目</w:t>
      </w:r>
      <w:r>
        <w:rPr>
          <w:rFonts w:hint="eastAsia" w:hAnsi="宋体" w:cs="宋体"/>
          <w:color w:val="auto"/>
          <w:sz w:val="21"/>
          <w:szCs w:val="21"/>
          <w:highlight w:val="none"/>
          <w:u w:val="none"/>
        </w:rPr>
        <w:t>施工</w:t>
      </w:r>
      <w:r>
        <w:rPr>
          <w:rFonts w:hint="eastAsia" w:hAnsi="宋体" w:cs="宋体"/>
          <w:color w:val="auto"/>
          <w:sz w:val="21"/>
          <w:szCs w:val="21"/>
          <w:highlight w:val="none"/>
        </w:rPr>
        <w:t>及有关事项协商一致，共同达成如下协议：</w:t>
      </w:r>
      <w:bookmarkStart w:id="197" w:name="_Toc351203481"/>
    </w:p>
    <w:p w14:paraId="53E3F9F1">
      <w:pPr>
        <w:spacing w:line="360" w:lineRule="auto"/>
        <w:ind w:firstLine="422"/>
        <w:outlineLvl w:val="0"/>
        <w:rPr>
          <w:b/>
          <w:bCs/>
          <w:color w:val="auto"/>
          <w:highlight w:val="none"/>
        </w:rPr>
      </w:pPr>
      <w:bookmarkStart w:id="198" w:name="_Toc122424020"/>
      <w:bookmarkStart w:id="199" w:name="_Toc122424269"/>
      <w:bookmarkStart w:id="200" w:name="_Toc6166"/>
      <w:r>
        <w:rPr>
          <w:rFonts w:hint="eastAsia" w:hAnsi="宋体" w:cs="宋体"/>
          <w:b/>
          <w:bCs/>
          <w:color w:val="auto"/>
          <w:highlight w:val="none"/>
        </w:rPr>
        <w:t>一、工程概况</w:t>
      </w:r>
      <w:bookmarkEnd w:id="197"/>
      <w:bookmarkEnd w:id="198"/>
      <w:bookmarkEnd w:id="199"/>
      <w:bookmarkEnd w:id="200"/>
    </w:p>
    <w:p w14:paraId="0695929B">
      <w:pPr>
        <w:spacing w:line="360" w:lineRule="auto"/>
        <w:ind w:firstLine="411"/>
        <w:rPr>
          <w:color w:val="auto"/>
          <w:highlight w:val="none"/>
          <w:u w:val="single"/>
        </w:rPr>
      </w:pPr>
      <w:r>
        <w:rPr>
          <w:color w:val="auto"/>
          <w:highlight w:val="none"/>
        </w:rPr>
        <w:t xml:space="preserve">1. </w:t>
      </w:r>
      <w:r>
        <w:rPr>
          <w:rFonts w:hint="eastAsia" w:hAnsi="宋体" w:cs="宋体"/>
          <w:color w:val="auto"/>
          <w:highlight w:val="none"/>
        </w:rPr>
        <w:t>工程名称：</w:t>
      </w:r>
      <w:r>
        <w:rPr>
          <w:color w:val="auto"/>
          <w:highlight w:val="none"/>
          <w:u w:val="single"/>
        </w:rPr>
        <w:t xml:space="preserve">  </w:t>
      </w:r>
      <w:bookmarkStart w:id="201" w:name="REVIEW_AI_BM_AI_11989_1372_9_35"/>
      <w:r>
        <w:rPr>
          <w:color w:val="auto"/>
          <w:highlight w:val="none"/>
          <w:u w:val="single"/>
          <w:shd w:val="clear" w:color="FFFFFF" w:fill="FFFFFF"/>
        </w:rPr>
        <w:t>贵港市覃塘区人民医院门急诊综合楼消防安全评估整改项目</w:t>
      </w:r>
      <w:bookmarkEnd w:id="201"/>
      <w:r>
        <w:rPr>
          <w:rFonts w:hint="eastAsia"/>
          <w:color w:val="auto"/>
          <w:sz w:val="21"/>
          <w:szCs w:val="21"/>
          <w:highlight w:val="none"/>
          <w:u w:val="single"/>
        </w:rPr>
        <w:t xml:space="preserve"> </w:t>
      </w:r>
      <w:r>
        <w:rPr>
          <w:rFonts w:hint="eastAsia" w:hAnsi="宋体" w:cs="宋体"/>
          <w:color w:val="auto"/>
          <w:highlight w:val="none"/>
        </w:rPr>
        <w:t>。</w:t>
      </w:r>
    </w:p>
    <w:p w14:paraId="3CDBBB32">
      <w:pPr>
        <w:spacing w:line="360" w:lineRule="auto"/>
        <w:ind w:firstLine="411"/>
        <w:rPr>
          <w:color w:val="auto"/>
          <w:highlight w:val="none"/>
        </w:rPr>
      </w:pPr>
      <w:r>
        <w:rPr>
          <w:color w:val="auto"/>
          <w:highlight w:val="none"/>
        </w:rPr>
        <w:t xml:space="preserve">2. </w:t>
      </w:r>
      <w:r>
        <w:rPr>
          <w:rFonts w:hint="eastAsia" w:hAnsi="宋体" w:cs="宋体"/>
          <w:color w:val="auto"/>
          <w:highlight w:val="none"/>
        </w:rPr>
        <w:t>工程地点：</w:t>
      </w:r>
      <w:r>
        <w:rPr>
          <w:color w:val="auto"/>
          <w:highlight w:val="none"/>
          <w:u w:val="single"/>
        </w:rPr>
        <w:t xml:space="preserve"> </w:t>
      </w:r>
      <w:r>
        <w:rPr>
          <w:rFonts w:hint="eastAsia" w:hAnsi="宋体" w:cs="宋体"/>
          <w:color w:val="auto"/>
          <w:highlight w:val="none"/>
          <w:u w:val="single"/>
          <w:lang w:eastAsia="zh-CN"/>
        </w:rPr>
        <w:t>贵港市覃塘区人民医院</w:t>
      </w:r>
      <w:r>
        <w:rPr>
          <w:color w:val="auto"/>
          <w:sz w:val="21"/>
          <w:szCs w:val="21"/>
          <w:highlight w:val="none"/>
          <w:u w:val="single"/>
        </w:rPr>
        <w:t>门急诊综合楼</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3E2DD17E">
      <w:pPr>
        <w:spacing w:line="360" w:lineRule="auto"/>
        <w:ind w:firstLine="411"/>
        <w:rPr>
          <w:color w:val="auto"/>
          <w:highlight w:val="none"/>
        </w:rPr>
      </w:pPr>
      <w:r>
        <w:rPr>
          <w:color w:val="auto"/>
          <w:highlight w:val="none"/>
        </w:rPr>
        <w:t xml:space="preserve">3. </w:t>
      </w:r>
      <w:r>
        <w:rPr>
          <w:rFonts w:hint="eastAsia" w:hAnsi="宋体" w:cs="宋体"/>
          <w:color w:val="auto"/>
          <w:highlight w:val="none"/>
        </w:rPr>
        <w:t>工程立项批准文号：</w:t>
      </w:r>
      <w:r>
        <w:rPr>
          <w:color w:val="auto"/>
          <w:highlight w:val="none"/>
          <w:u w:val="single"/>
        </w:rPr>
        <w:t xml:space="preserve">   </w:t>
      </w: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08CDA77A">
      <w:pPr>
        <w:spacing w:line="360" w:lineRule="auto"/>
        <w:ind w:firstLine="411"/>
        <w:rPr>
          <w:color w:val="auto"/>
          <w:highlight w:val="none"/>
        </w:rPr>
      </w:pPr>
      <w:r>
        <w:rPr>
          <w:color w:val="auto"/>
          <w:highlight w:val="none"/>
        </w:rPr>
        <w:t xml:space="preserve">4. </w:t>
      </w:r>
      <w:r>
        <w:rPr>
          <w:rFonts w:hint="eastAsia" w:hAnsi="宋体" w:cs="宋体"/>
          <w:color w:val="auto"/>
          <w:highlight w:val="none"/>
        </w:rPr>
        <w:t>资金来源：</w:t>
      </w:r>
      <w:r>
        <w:rPr>
          <w:color w:val="auto"/>
          <w:highlight w:val="none"/>
          <w:u w:val="single"/>
        </w:rPr>
        <w:t xml:space="preserve"> </w:t>
      </w:r>
      <w:r>
        <w:rPr>
          <w:rFonts w:hint="eastAsia"/>
          <w:color w:val="auto"/>
          <w:highlight w:val="none"/>
          <w:u w:val="single"/>
          <w:lang w:val="en-US" w:eastAsia="zh-CN"/>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u w:val="single"/>
          <w:lang w:val="en-US" w:eastAsia="zh-CN"/>
        </w:rPr>
        <w:t xml:space="preserve">                     </w:t>
      </w:r>
      <w:r>
        <w:rPr>
          <w:color w:val="auto"/>
          <w:highlight w:val="none"/>
          <w:u w:val="single"/>
        </w:rPr>
        <w:t xml:space="preserve">   </w:t>
      </w:r>
      <w:r>
        <w:rPr>
          <w:rFonts w:hint="eastAsia" w:hAnsi="宋体" w:cs="宋体"/>
          <w:color w:val="auto"/>
          <w:highlight w:val="none"/>
        </w:rPr>
        <w:t>。</w:t>
      </w:r>
    </w:p>
    <w:p w14:paraId="28180376">
      <w:pPr>
        <w:spacing w:line="360" w:lineRule="auto"/>
        <w:ind w:firstLine="411"/>
        <w:rPr>
          <w:color w:val="auto"/>
          <w:highlight w:val="none"/>
        </w:rPr>
      </w:pPr>
      <w:r>
        <w:rPr>
          <w:color w:val="auto"/>
          <w:highlight w:val="none"/>
        </w:rPr>
        <w:t xml:space="preserve">5. </w:t>
      </w:r>
      <w:r>
        <w:rPr>
          <w:rFonts w:hint="eastAsia" w:hAnsi="宋体" w:cs="宋体"/>
          <w:color w:val="auto"/>
          <w:highlight w:val="none"/>
        </w:rPr>
        <w:t>工程内容：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4AF1A876">
      <w:pPr>
        <w:spacing w:line="360" w:lineRule="auto"/>
        <w:ind w:firstLine="411"/>
        <w:rPr>
          <w:color w:val="auto"/>
          <w:highlight w:val="none"/>
        </w:rPr>
      </w:pPr>
      <w:r>
        <w:rPr>
          <w:color w:val="auto"/>
          <w:highlight w:val="none"/>
        </w:rPr>
        <w:t xml:space="preserve">6. </w:t>
      </w:r>
      <w:r>
        <w:rPr>
          <w:rFonts w:hint="eastAsia" w:hAnsi="宋体" w:cs="宋体"/>
          <w:color w:val="auto"/>
          <w:highlight w:val="none"/>
        </w:rPr>
        <w:t>工程承包范围：</w:t>
      </w:r>
    </w:p>
    <w:p w14:paraId="425AD299">
      <w:pPr>
        <w:spacing w:line="360" w:lineRule="auto"/>
        <w:ind w:firstLine="405"/>
        <w:rPr>
          <w:rFonts w:hAnsi="宋体"/>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0F899E2E">
      <w:pPr>
        <w:spacing w:line="360" w:lineRule="auto"/>
        <w:ind w:firstLine="407"/>
        <w:outlineLvl w:val="0"/>
        <w:rPr>
          <w:b/>
          <w:bCs/>
          <w:color w:val="auto"/>
          <w:highlight w:val="none"/>
        </w:rPr>
      </w:pPr>
      <w:bookmarkStart w:id="202" w:name="_Toc122424021"/>
      <w:bookmarkStart w:id="203" w:name="_Toc351203482"/>
      <w:bookmarkStart w:id="204" w:name="_Toc122424270"/>
      <w:bookmarkStart w:id="205" w:name="_Toc6671"/>
      <w:r>
        <w:rPr>
          <w:rFonts w:hint="eastAsia" w:hAnsi="宋体" w:cs="宋体"/>
          <w:b/>
          <w:bCs/>
          <w:color w:val="auto"/>
          <w:highlight w:val="none"/>
        </w:rPr>
        <w:t>二、合同工期</w:t>
      </w:r>
      <w:bookmarkEnd w:id="202"/>
      <w:bookmarkEnd w:id="203"/>
      <w:bookmarkEnd w:id="204"/>
      <w:bookmarkEnd w:id="205"/>
    </w:p>
    <w:p w14:paraId="23AE4DB7">
      <w:pPr>
        <w:spacing w:line="360" w:lineRule="auto"/>
        <w:ind w:firstLine="459"/>
        <w:rPr>
          <w:color w:val="auto"/>
          <w:highlight w:val="none"/>
        </w:rPr>
      </w:pPr>
      <w:r>
        <w:rPr>
          <w:rFonts w:hint="eastAsia" w:hAnsi="宋体" w:cs="宋体"/>
          <w:color w:val="auto"/>
          <w:highlight w:val="none"/>
        </w:rPr>
        <w:t>计划开工日期：</w:t>
      </w:r>
      <w:r>
        <w:rPr>
          <w:rFonts w:hAnsi="宋体"/>
          <w:color w:val="auto"/>
          <w:highlight w:val="none"/>
          <w:u w:val="single"/>
        </w:rPr>
        <w:t></w:t>
      </w:r>
      <w:r>
        <w:rPr>
          <w:rFonts w:hint="eastAsia" w:hAnsi="宋体"/>
          <w:color w:val="auto"/>
          <w:highlight w:val="none"/>
          <w:u w:val="single"/>
          <w:lang w:val="en-US" w:eastAsia="zh-CN"/>
        </w:rPr>
        <w:t>2026</w:t>
      </w:r>
      <w:r>
        <w:rPr>
          <w:rFonts w:hAnsi="宋体"/>
          <w:color w:val="auto"/>
          <w:highlight w:val="none"/>
          <w:u w:val="single"/>
        </w:rPr>
        <w:t></w:t>
      </w:r>
      <w:r>
        <w:rPr>
          <w:rFonts w:hAnsi="宋体"/>
          <w:color w:val="auto"/>
          <w:highlight w:val="none"/>
        </w:rPr>
        <w:t>年</w:t>
      </w:r>
      <w:r>
        <w:rPr>
          <w:rFonts w:hAnsi="宋体"/>
          <w:color w:val="auto"/>
          <w:highlight w:val="none"/>
          <w:u w:val="single"/>
        </w:rPr>
        <w:t></w:t>
      </w:r>
      <w:r>
        <w:rPr>
          <w:rFonts w:hint="eastAsia" w:hAnsi="宋体"/>
          <w:color w:val="auto"/>
          <w:highlight w:val="none"/>
          <w:u w:val="single"/>
          <w:lang w:val="en-US" w:eastAsia="zh-CN"/>
        </w:rPr>
        <w:t xml:space="preserve"> </w:t>
      </w:r>
      <w:r>
        <w:rPr>
          <w:rFonts w:hAnsi="宋体"/>
          <w:color w:val="auto"/>
          <w:highlight w:val="none"/>
          <w:u w:val="single"/>
        </w:rPr>
        <w:t></w:t>
      </w:r>
      <w:r>
        <w:rPr>
          <w:rFonts w:hAnsi="宋体"/>
          <w:color w:val="auto"/>
          <w:highlight w:val="none"/>
        </w:rPr>
        <w:t>月</w:t>
      </w:r>
      <w:r>
        <w:rPr>
          <w:rFonts w:hAnsi="宋体"/>
          <w:color w:val="auto"/>
          <w:highlight w:val="none"/>
          <w:u w:val="single"/>
        </w:rPr>
        <w:t></w:t>
      </w:r>
      <w:r>
        <w:rPr>
          <w:rFonts w:hint="eastAsia" w:hAnsi="宋体"/>
          <w:color w:val="auto"/>
          <w:highlight w:val="none"/>
          <w:u w:val="single"/>
          <w:lang w:val="en-US" w:eastAsia="zh-CN"/>
        </w:rPr>
        <w:t xml:space="preserve"> </w:t>
      </w:r>
      <w:r>
        <w:rPr>
          <w:rFonts w:hAnsi="宋体"/>
          <w:color w:val="auto"/>
          <w:highlight w:val="none"/>
          <w:u w:val="single"/>
        </w:rPr>
        <w:t></w:t>
      </w:r>
      <w:r>
        <w:rPr>
          <w:rFonts w:hAnsi="宋体"/>
          <w:color w:val="auto"/>
          <w:highlight w:val="none"/>
        </w:rPr>
        <w:t>日。</w:t>
      </w:r>
      <w:r>
        <w:rPr>
          <w:rFonts w:hint="eastAsia" w:hAnsi="宋体" w:cs="宋体"/>
          <w:color w:val="auto"/>
          <w:highlight w:val="none"/>
        </w:rPr>
        <w:t>（具体以发包人书面通知为准）</w:t>
      </w:r>
    </w:p>
    <w:p w14:paraId="01437EF4">
      <w:pPr>
        <w:spacing w:line="360" w:lineRule="auto"/>
        <w:ind w:firstLine="459"/>
        <w:rPr>
          <w:color w:val="auto"/>
          <w:highlight w:val="none"/>
        </w:rPr>
      </w:pPr>
      <w:r>
        <w:rPr>
          <w:rFonts w:hint="eastAsia" w:hAnsi="宋体" w:cs="宋体"/>
          <w:color w:val="auto"/>
          <w:highlight w:val="none"/>
        </w:rPr>
        <w:t>计划竣工日期：</w:t>
      </w:r>
      <w:r>
        <w:rPr>
          <w:rFonts w:hAnsi="宋体"/>
          <w:color w:val="auto"/>
          <w:highlight w:val="none"/>
          <w:u w:val="single"/>
        </w:rPr>
        <w:t></w:t>
      </w:r>
      <w:r>
        <w:rPr>
          <w:rFonts w:hint="eastAsia" w:hAnsi="宋体"/>
          <w:color w:val="auto"/>
          <w:highlight w:val="none"/>
          <w:u w:val="single"/>
          <w:lang w:val="en-US" w:eastAsia="zh-CN"/>
        </w:rPr>
        <w:t>2026</w:t>
      </w:r>
      <w:r>
        <w:rPr>
          <w:rFonts w:hAnsi="宋体"/>
          <w:color w:val="auto"/>
          <w:highlight w:val="none"/>
          <w:u w:val="single"/>
        </w:rPr>
        <w:t></w:t>
      </w:r>
      <w:r>
        <w:rPr>
          <w:rFonts w:hAnsi="宋体"/>
          <w:color w:val="auto"/>
          <w:highlight w:val="none"/>
        </w:rPr>
        <w:t>年</w:t>
      </w:r>
      <w:r>
        <w:rPr>
          <w:rFonts w:hAnsi="宋体"/>
          <w:color w:val="auto"/>
          <w:highlight w:val="none"/>
          <w:u w:val="single"/>
        </w:rPr>
        <w:t></w:t>
      </w:r>
      <w:r>
        <w:rPr>
          <w:rFonts w:hint="eastAsia" w:hAnsi="宋体"/>
          <w:color w:val="auto"/>
          <w:highlight w:val="none"/>
          <w:u w:val="single"/>
          <w:lang w:val="en-US" w:eastAsia="zh-CN"/>
        </w:rPr>
        <w:t xml:space="preserve"> </w:t>
      </w:r>
      <w:r>
        <w:rPr>
          <w:rFonts w:hAnsi="宋体"/>
          <w:color w:val="auto"/>
          <w:highlight w:val="none"/>
          <w:u w:val="single"/>
        </w:rPr>
        <w:t></w:t>
      </w:r>
      <w:r>
        <w:rPr>
          <w:rFonts w:hAnsi="宋体"/>
          <w:color w:val="auto"/>
          <w:highlight w:val="none"/>
        </w:rPr>
        <w:t>月</w:t>
      </w:r>
      <w:r>
        <w:rPr>
          <w:rFonts w:hAnsi="宋体"/>
          <w:color w:val="auto"/>
          <w:highlight w:val="none"/>
          <w:u w:val="single"/>
        </w:rPr>
        <w:t></w:t>
      </w:r>
      <w:r>
        <w:rPr>
          <w:rFonts w:hint="eastAsia" w:hAnsi="宋体"/>
          <w:color w:val="auto"/>
          <w:highlight w:val="none"/>
          <w:u w:val="single"/>
          <w:lang w:val="en-US" w:eastAsia="zh-CN"/>
        </w:rPr>
        <w:t xml:space="preserve"> </w:t>
      </w:r>
      <w:r>
        <w:rPr>
          <w:rFonts w:hAnsi="宋体"/>
          <w:color w:val="auto"/>
          <w:highlight w:val="none"/>
        </w:rPr>
        <w:t>日</w:t>
      </w:r>
      <w:r>
        <w:rPr>
          <w:rFonts w:hint="eastAsia" w:hAnsi="宋体" w:cs="宋体"/>
          <w:color w:val="auto"/>
          <w:highlight w:val="none"/>
        </w:rPr>
        <w:t>。</w:t>
      </w:r>
    </w:p>
    <w:p w14:paraId="73DC1076">
      <w:pPr>
        <w:spacing w:line="360" w:lineRule="auto"/>
        <w:ind w:firstLine="459"/>
        <w:rPr>
          <w:rFonts w:hAnsi="宋体"/>
          <w:color w:val="auto"/>
          <w:highlight w:val="none"/>
        </w:rPr>
      </w:pPr>
      <w:r>
        <w:rPr>
          <w:rFonts w:hint="eastAsia" w:hAnsi="宋体" w:cs="宋体"/>
          <w:color w:val="auto"/>
          <w:highlight w:val="none"/>
        </w:rPr>
        <w:t>工期总日历天数：</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40 </w:t>
      </w:r>
      <w:r>
        <w:rPr>
          <w:rFonts w:hint="eastAsia" w:hAnsi="宋体" w:cs="宋体"/>
          <w:color w:val="auto"/>
          <w:highlight w:val="none"/>
          <w:u w:val="single"/>
        </w:rPr>
        <w:t xml:space="preserve"> </w:t>
      </w:r>
      <w:r>
        <w:rPr>
          <w:rFonts w:hint="eastAsia" w:hAnsi="宋体" w:cs="宋体"/>
          <w:color w:val="auto"/>
          <w:highlight w:val="none"/>
        </w:rPr>
        <w:t>天。工期总日历天数与根据前述计划开竣工日期计算的工期天数不一致的，以工期总日历天数为准。</w:t>
      </w:r>
    </w:p>
    <w:p w14:paraId="1FDE737A">
      <w:pPr>
        <w:spacing w:line="360" w:lineRule="auto"/>
        <w:ind w:firstLine="459"/>
        <w:outlineLvl w:val="0"/>
        <w:rPr>
          <w:b/>
          <w:bCs/>
          <w:color w:val="auto"/>
          <w:highlight w:val="none"/>
        </w:rPr>
      </w:pPr>
      <w:bookmarkStart w:id="206" w:name="_Toc351203483"/>
      <w:bookmarkStart w:id="207" w:name="_Toc122424271"/>
      <w:bookmarkStart w:id="208" w:name="_Toc122424022"/>
      <w:bookmarkStart w:id="209" w:name="_Toc13682"/>
      <w:r>
        <w:rPr>
          <w:rFonts w:hint="eastAsia" w:hAnsi="宋体" w:cs="宋体"/>
          <w:b/>
          <w:bCs/>
          <w:color w:val="auto"/>
          <w:highlight w:val="none"/>
        </w:rPr>
        <w:t>三、质量标准</w:t>
      </w:r>
      <w:bookmarkEnd w:id="206"/>
      <w:bookmarkEnd w:id="207"/>
      <w:bookmarkEnd w:id="208"/>
      <w:bookmarkEnd w:id="209"/>
    </w:p>
    <w:p w14:paraId="042FB6DA">
      <w:pPr>
        <w:spacing w:line="360" w:lineRule="auto"/>
        <w:ind w:firstLine="459"/>
        <w:rPr>
          <w:rFonts w:hint="eastAsia" w:hAnsi="宋体" w:eastAsia="宋体"/>
          <w:b w:val="0"/>
          <w:bCs w:val="0"/>
          <w:color w:val="auto"/>
          <w:highlight w:val="none"/>
          <w:u w:val="none"/>
          <w:lang w:eastAsia="zh-CN"/>
        </w:rPr>
      </w:pPr>
      <w:r>
        <w:rPr>
          <w:rFonts w:hint="eastAsia" w:hAnsi="宋体" w:cs="宋体"/>
          <w:color w:val="auto"/>
          <w:highlight w:val="none"/>
        </w:rPr>
        <w:t>工程质量符合</w:t>
      </w:r>
      <w:r>
        <w:rPr>
          <w:rFonts w:hint="eastAsia" w:ascii="宋体" w:hAnsi="宋体" w:eastAsia="宋体" w:cs="宋体"/>
          <w:b w:val="0"/>
          <w:bCs w:val="0"/>
          <w:color w:val="auto"/>
          <w:sz w:val="21"/>
          <w:szCs w:val="21"/>
          <w:highlight w:val="none"/>
          <w:u w:val="single"/>
        </w:rPr>
        <w:t>国家工程质量验收规范合格标准</w:t>
      </w:r>
      <w:r>
        <w:rPr>
          <w:rFonts w:hint="eastAsia" w:ascii="宋体" w:hAnsi="宋体" w:cs="宋体"/>
          <w:b w:val="0"/>
          <w:bCs w:val="0"/>
          <w:color w:val="auto"/>
          <w:sz w:val="21"/>
          <w:szCs w:val="21"/>
          <w:highlight w:val="none"/>
          <w:u w:val="none"/>
          <w:lang w:eastAsia="zh-CN"/>
        </w:rPr>
        <w:t>。</w:t>
      </w:r>
    </w:p>
    <w:p w14:paraId="1A59E3BD">
      <w:pPr>
        <w:spacing w:line="360" w:lineRule="auto"/>
        <w:ind w:firstLine="459"/>
        <w:outlineLvl w:val="0"/>
        <w:rPr>
          <w:rFonts w:hAnsi="宋体"/>
          <w:b/>
          <w:bCs/>
          <w:color w:val="auto"/>
          <w:highlight w:val="none"/>
        </w:rPr>
      </w:pPr>
      <w:bookmarkStart w:id="210" w:name="_Toc351203484"/>
      <w:bookmarkStart w:id="211" w:name="_Toc122424023"/>
      <w:bookmarkStart w:id="212" w:name="_Toc122424272"/>
      <w:bookmarkStart w:id="213" w:name="_Toc31567"/>
      <w:r>
        <w:rPr>
          <w:rFonts w:hint="eastAsia" w:hAnsi="宋体" w:cs="宋体"/>
          <w:b/>
          <w:bCs/>
          <w:color w:val="auto"/>
          <w:highlight w:val="none"/>
        </w:rPr>
        <w:t>四、签约合同价与合同价格形式</w:t>
      </w:r>
      <w:bookmarkEnd w:id="210"/>
      <w:bookmarkEnd w:id="211"/>
      <w:bookmarkEnd w:id="212"/>
      <w:bookmarkEnd w:id="213"/>
    </w:p>
    <w:p w14:paraId="07EB3CE5">
      <w:pPr>
        <w:spacing w:line="360" w:lineRule="auto"/>
        <w:ind w:firstLine="459"/>
        <w:rPr>
          <w:color w:val="auto"/>
          <w:highlight w:val="none"/>
        </w:rPr>
      </w:pPr>
      <w:r>
        <w:rPr>
          <w:color w:val="auto"/>
          <w:highlight w:val="none"/>
        </w:rPr>
        <w:t xml:space="preserve">1. </w:t>
      </w:r>
      <w:r>
        <w:rPr>
          <w:rFonts w:hint="eastAsia" w:hAnsi="宋体" w:cs="宋体"/>
          <w:color w:val="auto"/>
          <w:highlight w:val="none"/>
        </w:rPr>
        <w:t>签约合同价为：</w:t>
      </w:r>
    </w:p>
    <w:p w14:paraId="32CDC306">
      <w:pPr>
        <w:spacing w:line="360" w:lineRule="auto"/>
        <w:ind w:firstLine="525"/>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74477009">
      <w:pPr>
        <w:spacing w:line="360" w:lineRule="auto"/>
        <w:ind w:firstLine="525"/>
        <w:rPr>
          <w:rFonts w:hAnsi="宋体"/>
          <w:color w:val="auto"/>
          <w:highlight w:val="none"/>
        </w:rPr>
      </w:pPr>
      <w:r>
        <w:rPr>
          <w:rFonts w:hint="eastAsia" w:hAnsi="宋体" w:cs="宋体"/>
          <w:color w:val="auto"/>
          <w:highlight w:val="none"/>
        </w:rPr>
        <w:t>其中：</w:t>
      </w:r>
    </w:p>
    <w:p w14:paraId="2970C39D">
      <w:pPr>
        <w:spacing w:line="360" w:lineRule="auto"/>
        <w:ind w:firstLine="420"/>
        <w:rPr>
          <w:color w:val="auto"/>
          <w:highlight w:val="none"/>
        </w:rPr>
      </w:pPr>
      <w:r>
        <w:rPr>
          <w:rFonts w:hint="eastAsia" w:hAnsi="宋体" w:cs="宋体"/>
          <w:color w:val="auto"/>
          <w:highlight w:val="none"/>
        </w:rPr>
        <w:t>（</w:t>
      </w:r>
      <w:r>
        <w:rPr>
          <w:rFonts w:hAnsi="宋体"/>
          <w:color w:val="auto"/>
          <w:highlight w:val="none"/>
        </w:rPr>
        <w:t>1</w:t>
      </w:r>
      <w:r>
        <w:rPr>
          <w:rFonts w:hint="eastAsia" w:hAnsi="宋体" w:cs="宋体"/>
          <w:color w:val="auto"/>
          <w:highlight w:val="none"/>
        </w:rPr>
        <w:t>）安全文明施工费：</w:t>
      </w:r>
    </w:p>
    <w:p w14:paraId="0254F535">
      <w:pPr>
        <w:spacing w:line="360" w:lineRule="auto"/>
        <w:ind w:left="420" w:firstLine="525"/>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1461C824">
      <w:pPr>
        <w:spacing w:line="360" w:lineRule="auto"/>
        <w:ind w:firstLine="420"/>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）材料和工程设备暂估价金额：</w:t>
      </w:r>
    </w:p>
    <w:p w14:paraId="48AF1CB9">
      <w:pPr>
        <w:spacing w:line="360" w:lineRule="auto"/>
        <w:ind w:firstLine="945"/>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0CA1A56E">
      <w:pPr>
        <w:spacing w:line="360" w:lineRule="auto"/>
        <w:ind w:firstLine="420"/>
        <w:rPr>
          <w:color w:val="auto"/>
          <w:highlight w:val="none"/>
        </w:rPr>
      </w:pPr>
      <w:r>
        <w:rPr>
          <w:rFonts w:hint="eastAsia" w:hAnsi="宋体" w:cs="宋体"/>
          <w:color w:val="auto"/>
          <w:highlight w:val="none"/>
        </w:rPr>
        <w:t>（</w:t>
      </w:r>
      <w:r>
        <w:rPr>
          <w:color w:val="auto"/>
          <w:highlight w:val="none"/>
        </w:rPr>
        <w:t>3</w:t>
      </w:r>
      <w:r>
        <w:rPr>
          <w:rFonts w:hint="eastAsia" w:hAnsi="宋体" w:cs="宋体"/>
          <w:color w:val="auto"/>
          <w:highlight w:val="none"/>
        </w:rPr>
        <w:t>）专业工程暂估价金额：</w:t>
      </w:r>
    </w:p>
    <w:p w14:paraId="02F068EE">
      <w:pPr>
        <w:spacing w:line="360" w:lineRule="auto"/>
        <w:ind w:firstLine="945"/>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1CF565A3">
      <w:pPr>
        <w:spacing w:line="360" w:lineRule="auto"/>
        <w:ind w:firstLine="420"/>
        <w:rPr>
          <w:color w:val="auto"/>
          <w:highlight w:val="none"/>
        </w:rPr>
      </w:pPr>
      <w:r>
        <w:rPr>
          <w:rFonts w:hint="eastAsia" w:hAnsi="宋体" w:cs="宋体"/>
          <w:color w:val="auto"/>
          <w:highlight w:val="none"/>
        </w:rPr>
        <w:t>（</w:t>
      </w:r>
      <w:r>
        <w:rPr>
          <w:color w:val="auto"/>
          <w:highlight w:val="none"/>
        </w:rPr>
        <w:t>4</w:t>
      </w:r>
      <w:r>
        <w:rPr>
          <w:rFonts w:hint="eastAsia" w:hAnsi="宋体" w:cs="宋体"/>
          <w:color w:val="auto"/>
          <w:highlight w:val="none"/>
        </w:rPr>
        <w:t>）暂列金额：</w:t>
      </w:r>
    </w:p>
    <w:p w14:paraId="5EBBDDD5">
      <w:pPr>
        <w:spacing w:line="360" w:lineRule="auto"/>
        <w:ind w:firstLine="945"/>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181658C8">
      <w:pPr>
        <w:spacing w:line="360" w:lineRule="auto"/>
        <w:ind w:firstLine="420"/>
        <w:rPr>
          <w:rFonts w:hint="eastAsia" w:hAnsi="宋体"/>
          <w:color w:val="auto"/>
          <w:highlight w:val="none"/>
        </w:rPr>
      </w:pPr>
      <w:r>
        <w:rPr>
          <w:color w:val="auto"/>
          <w:highlight w:val="none"/>
        </w:rPr>
        <w:t xml:space="preserve">2. </w:t>
      </w:r>
      <w:r>
        <w:rPr>
          <w:rFonts w:hint="eastAsia" w:hAnsi="宋体" w:cs="宋体"/>
          <w:color w:val="auto"/>
          <w:highlight w:val="none"/>
        </w:rPr>
        <w:t>合同价格形式：</w:t>
      </w:r>
      <w:r>
        <w:rPr>
          <w:color w:val="auto"/>
          <w:highlight w:val="none"/>
        </w:rPr>
        <w:t xml:space="preserve">   </w:t>
      </w:r>
      <w:r>
        <w:rPr>
          <w:color w:val="auto"/>
          <w:highlight w:val="none"/>
          <w:u w:val="single"/>
        </w:rPr>
        <w:t xml:space="preserve">               </w:t>
      </w:r>
      <w:r>
        <w:rPr>
          <w:rFonts w:hint="eastAsia" w:hAnsi="宋体" w:cs="宋体"/>
          <w:color w:val="auto"/>
          <w:highlight w:val="none"/>
        </w:rPr>
        <w:t>。</w:t>
      </w:r>
    </w:p>
    <w:p w14:paraId="48069CBB">
      <w:pPr>
        <w:spacing w:line="360" w:lineRule="auto"/>
        <w:ind w:firstLine="422"/>
        <w:outlineLvl w:val="0"/>
        <w:rPr>
          <w:b/>
          <w:bCs/>
          <w:color w:val="auto"/>
          <w:highlight w:val="none"/>
        </w:rPr>
      </w:pPr>
      <w:bookmarkStart w:id="214" w:name="_Toc351203485"/>
      <w:bookmarkStart w:id="215" w:name="_Toc122424273"/>
      <w:bookmarkStart w:id="216" w:name="_Toc122424024"/>
      <w:bookmarkStart w:id="217" w:name="_Toc11736"/>
      <w:r>
        <w:rPr>
          <w:rFonts w:hint="eastAsia" w:hAnsi="宋体" w:cs="宋体"/>
          <w:b/>
          <w:bCs/>
          <w:color w:val="auto"/>
          <w:highlight w:val="none"/>
        </w:rPr>
        <w:t>五、</w:t>
      </w:r>
      <w:bookmarkEnd w:id="214"/>
      <w:r>
        <w:rPr>
          <w:rFonts w:hint="eastAsia" w:hAnsi="宋体" w:cs="宋体"/>
          <w:b/>
          <w:bCs/>
          <w:color w:val="auto"/>
          <w:highlight w:val="none"/>
        </w:rPr>
        <w:t>项目经理</w:t>
      </w:r>
      <w:bookmarkEnd w:id="215"/>
      <w:bookmarkEnd w:id="216"/>
      <w:bookmarkEnd w:id="217"/>
    </w:p>
    <w:p w14:paraId="1A078888">
      <w:pPr>
        <w:spacing w:line="360" w:lineRule="auto"/>
        <w:ind w:firstLine="420"/>
        <w:rPr>
          <w:rFonts w:hAnsi="宋体"/>
          <w:color w:val="auto"/>
          <w:highlight w:val="none"/>
        </w:rPr>
      </w:pPr>
      <w:r>
        <w:rPr>
          <w:rFonts w:hint="eastAsia" w:hAnsi="宋体" w:cs="宋体"/>
          <w:color w:val="auto"/>
          <w:highlight w:val="none"/>
        </w:rPr>
        <w:t>承包人项目经理：</w:t>
      </w:r>
      <w:r>
        <w:rPr>
          <w:color w:val="auto"/>
          <w:highlight w:val="none"/>
          <w:u w:val="single"/>
        </w:rPr>
        <w:t xml:space="preserve">                     </w:t>
      </w:r>
      <w:r>
        <w:rPr>
          <w:rFonts w:hint="eastAsia" w:hAnsi="宋体" w:cs="宋体"/>
          <w:color w:val="auto"/>
          <w:highlight w:val="none"/>
        </w:rPr>
        <w:t>。</w:t>
      </w:r>
    </w:p>
    <w:p w14:paraId="634C0C7D">
      <w:pPr>
        <w:spacing w:line="360" w:lineRule="auto"/>
        <w:ind w:firstLine="422"/>
        <w:outlineLvl w:val="0"/>
        <w:rPr>
          <w:b/>
          <w:bCs/>
          <w:color w:val="auto"/>
          <w:highlight w:val="none"/>
        </w:rPr>
      </w:pPr>
      <w:bookmarkStart w:id="218" w:name="_Toc122424025"/>
      <w:bookmarkStart w:id="219" w:name="_Toc122424274"/>
      <w:bookmarkStart w:id="220" w:name="_Toc351203486"/>
      <w:bookmarkStart w:id="221" w:name="_Toc25932"/>
      <w:r>
        <w:rPr>
          <w:rFonts w:hint="eastAsia" w:hAnsi="宋体" w:cs="宋体"/>
          <w:b/>
          <w:bCs/>
          <w:color w:val="auto"/>
          <w:highlight w:val="none"/>
        </w:rPr>
        <w:t>六、合同文件构成</w:t>
      </w:r>
      <w:bookmarkEnd w:id="218"/>
      <w:bookmarkEnd w:id="219"/>
      <w:bookmarkEnd w:id="220"/>
      <w:bookmarkEnd w:id="221"/>
    </w:p>
    <w:p w14:paraId="65921E4D">
      <w:pPr>
        <w:spacing w:line="360" w:lineRule="auto"/>
        <w:ind w:firstLine="420"/>
        <w:rPr>
          <w:color w:val="auto"/>
          <w:highlight w:val="none"/>
        </w:rPr>
      </w:pPr>
      <w:r>
        <w:rPr>
          <w:rFonts w:hint="eastAsia" w:hAnsi="宋体" w:cs="宋体"/>
          <w:color w:val="auto"/>
          <w:highlight w:val="none"/>
        </w:rPr>
        <w:t>本协议书与下列文件一起构成合同文件：</w:t>
      </w:r>
    </w:p>
    <w:p w14:paraId="1E0FE73E">
      <w:pPr>
        <w:spacing w:line="360" w:lineRule="auto"/>
        <w:ind w:firstLine="420"/>
        <w:jc w:val="left"/>
        <w:rPr>
          <w:rFonts w:hint="eastAsia" w:hAnsi="宋体" w:cs="宋体"/>
          <w:color w:val="auto"/>
          <w:highlight w:val="none"/>
        </w:rPr>
      </w:pPr>
      <w:r>
        <w:rPr>
          <w:rFonts w:hint="eastAsia" w:hAnsi="宋体" w:cs="宋体"/>
          <w:color w:val="auto"/>
          <w:highlight w:val="none"/>
        </w:rPr>
        <w:t>（1）中标</w:t>
      </w:r>
      <w:r>
        <w:rPr>
          <w:rFonts w:hint="eastAsia" w:hAnsi="宋体" w:cs="宋体"/>
          <w:color w:val="auto"/>
          <w:highlight w:val="none"/>
          <w:lang w:eastAsia="zh-CN"/>
        </w:rPr>
        <w:t>（成交）</w:t>
      </w:r>
      <w:r>
        <w:rPr>
          <w:rFonts w:hint="eastAsia" w:hAnsi="宋体" w:cs="宋体"/>
          <w:color w:val="auto"/>
          <w:highlight w:val="none"/>
        </w:rPr>
        <w:t>通知书（如果有）；</w:t>
      </w:r>
    </w:p>
    <w:p w14:paraId="7D326AE1">
      <w:pPr>
        <w:spacing w:line="360" w:lineRule="auto"/>
        <w:ind w:firstLine="420"/>
        <w:jc w:val="left"/>
        <w:rPr>
          <w:rFonts w:hint="eastAsia" w:hAnsi="宋体" w:cs="宋体"/>
          <w:color w:val="auto"/>
          <w:highlight w:val="none"/>
        </w:rPr>
      </w:pPr>
      <w:r>
        <w:rPr>
          <w:rFonts w:hint="eastAsia" w:hAnsi="宋体" w:cs="宋体"/>
          <w:color w:val="auto"/>
          <w:highlight w:val="none"/>
        </w:rPr>
        <w:t xml:space="preserve">（2）投标函及其附录（如果有）； </w:t>
      </w:r>
    </w:p>
    <w:p w14:paraId="6EDE6466">
      <w:pPr>
        <w:spacing w:line="360" w:lineRule="auto"/>
        <w:ind w:firstLine="420"/>
        <w:jc w:val="left"/>
        <w:rPr>
          <w:rFonts w:hint="eastAsia" w:hAnsi="宋体" w:cs="宋体"/>
          <w:color w:val="auto"/>
          <w:highlight w:val="none"/>
        </w:rPr>
      </w:pPr>
      <w:r>
        <w:rPr>
          <w:rFonts w:hint="eastAsia" w:hAnsi="宋体" w:cs="宋体"/>
          <w:color w:val="auto"/>
          <w:highlight w:val="none"/>
        </w:rPr>
        <w:t>（3）专用合同条款及其附件；</w:t>
      </w:r>
    </w:p>
    <w:p w14:paraId="20F5B5FF">
      <w:pPr>
        <w:spacing w:line="360" w:lineRule="auto"/>
        <w:ind w:firstLine="420"/>
        <w:jc w:val="left"/>
        <w:rPr>
          <w:rFonts w:hint="eastAsia" w:hAnsi="宋体" w:cs="宋体"/>
          <w:color w:val="auto"/>
          <w:highlight w:val="none"/>
        </w:rPr>
      </w:pPr>
      <w:r>
        <w:rPr>
          <w:rFonts w:hint="eastAsia" w:hAnsi="宋体" w:cs="宋体"/>
          <w:color w:val="auto"/>
          <w:highlight w:val="none"/>
        </w:rPr>
        <w:t>（4）通用合同条款；</w:t>
      </w:r>
    </w:p>
    <w:p w14:paraId="517623FE">
      <w:pPr>
        <w:spacing w:line="360" w:lineRule="auto"/>
        <w:ind w:firstLine="420"/>
        <w:jc w:val="left"/>
        <w:rPr>
          <w:rFonts w:hint="eastAsia" w:hAnsi="宋体" w:cs="宋体"/>
          <w:color w:val="auto"/>
          <w:highlight w:val="none"/>
        </w:rPr>
      </w:pPr>
      <w:r>
        <w:rPr>
          <w:rFonts w:hint="eastAsia" w:hAnsi="宋体" w:cs="宋体"/>
          <w:color w:val="auto"/>
          <w:highlight w:val="none"/>
        </w:rPr>
        <w:t>（5）技术标准和要求；</w:t>
      </w:r>
    </w:p>
    <w:p w14:paraId="12F06E05">
      <w:pPr>
        <w:spacing w:line="360" w:lineRule="auto"/>
        <w:ind w:firstLine="420"/>
        <w:jc w:val="left"/>
        <w:rPr>
          <w:rFonts w:hint="eastAsia" w:hAnsi="宋体" w:cs="宋体"/>
          <w:color w:val="auto"/>
          <w:highlight w:val="none"/>
        </w:rPr>
      </w:pPr>
      <w:r>
        <w:rPr>
          <w:rFonts w:hint="eastAsia" w:hAnsi="宋体" w:cs="宋体"/>
          <w:color w:val="auto"/>
          <w:highlight w:val="none"/>
        </w:rPr>
        <w:t>（</w:t>
      </w:r>
      <w:r>
        <w:rPr>
          <w:rFonts w:hint="eastAsia" w:hAnsi="宋体" w:cs="宋体"/>
          <w:color w:val="auto"/>
          <w:highlight w:val="none"/>
          <w:lang w:val="en-US" w:eastAsia="zh-CN"/>
        </w:rPr>
        <w:t>6</w:t>
      </w:r>
      <w:r>
        <w:rPr>
          <w:rFonts w:hint="eastAsia" w:hAnsi="宋体" w:cs="宋体"/>
          <w:color w:val="auto"/>
          <w:highlight w:val="none"/>
        </w:rPr>
        <w:t>）已标价工程量清单或预算书；</w:t>
      </w:r>
    </w:p>
    <w:p w14:paraId="6144403D">
      <w:pPr>
        <w:spacing w:line="360" w:lineRule="auto"/>
        <w:ind w:firstLine="420"/>
        <w:jc w:val="left"/>
        <w:rPr>
          <w:rFonts w:hint="eastAsia" w:hAnsi="宋体" w:cs="宋体"/>
          <w:color w:val="auto"/>
          <w:highlight w:val="none"/>
        </w:rPr>
      </w:pPr>
      <w:r>
        <w:rPr>
          <w:rFonts w:hint="eastAsia" w:hAnsi="宋体" w:cs="宋体"/>
          <w:color w:val="auto"/>
          <w:highlight w:val="none"/>
        </w:rPr>
        <w:t>（</w:t>
      </w:r>
      <w:r>
        <w:rPr>
          <w:rFonts w:hint="eastAsia" w:hAnsi="宋体" w:cs="宋体"/>
          <w:color w:val="auto"/>
          <w:highlight w:val="none"/>
          <w:lang w:val="en-US" w:eastAsia="zh-CN"/>
        </w:rPr>
        <w:t>7</w:t>
      </w:r>
      <w:r>
        <w:rPr>
          <w:rFonts w:hint="eastAsia" w:hAnsi="宋体" w:cs="宋体"/>
          <w:color w:val="auto"/>
          <w:highlight w:val="none"/>
        </w:rPr>
        <w:t>）图纸；</w:t>
      </w:r>
    </w:p>
    <w:p w14:paraId="65EFDA3E">
      <w:pPr>
        <w:spacing w:line="360" w:lineRule="auto"/>
        <w:ind w:firstLine="420"/>
        <w:jc w:val="left"/>
        <w:rPr>
          <w:rFonts w:hint="eastAsia" w:hAnsi="宋体" w:cs="宋体"/>
          <w:color w:val="auto"/>
          <w:highlight w:val="none"/>
        </w:rPr>
      </w:pPr>
      <w:r>
        <w:rPr>
          <w:rFonts w:hint="eastAsia" w:hAnsi="宋体" w:cs="宋体"/>
          <w:color w:val="auto"/>
          <w:highlight w:val="none"/>
          <w:lang w:val="en-US" w:eastAsia="zh-CN"/>
        </w:rPr>
        <w:t>（8）竞争性磋商</w:t>
      </w:r>
      <w:r>
        <w:rPr>
          <w:rFonts w:hint="eastAsia" w:hAnsi="宋体" w:cs="宋体"/>
          <w:color w:val="auto"/>
          <w:highlight w:val="none"/>
        </w:rPr>
        <w:t>文件及其附件（含所有补遗通知书和答疑）</w:t>
      </w:r>
    </w:p>
    <w:p w14:paraId="49CE6860">
      <w:pPr>
        <w:spacing w:line="360" w:lineRule="auto"/>
        <w:ind w:firstLine="420"/>
        <w:jc w:val="left"/>
        <w:rPr>
          <w:rFonts w:hint="eastAsia" w:hAnsi="宋体" w:cs="宋体"/>
          <w:color w:val="auto"/>
          <w:highlight w:val="none"/>
        </w:rPr>
      </w:pPr>
      <w:r>
        <w:rPr>
          <w:rFonts w:hint="eastAsia" w:hAnsi="宋体" w:cs="宋体"/>
          <w:color w:val="auto"/>
          <w:highlight w:val="none"/>
        </w:rPr>
        <w:t>（</w:t>
      </w:r>
      <w:r>
        <w:rPr>
          <w:rFonts w:hint="eastAsia" w:hAnsi="宋体" w:cs="宋体"/>
          <w:color w:val="auto"/>
          <w:highlight w:val="none"/>
          <w:lang w:val="en-US" w:eastAsia="zh-CN"/>
        </w:rPr>
        <w:t>9</w:t>
      </w:r>
      <w:r>
        <w:rPr>
          <w:rFonts w:hint="eastAsia" w:hAnsi="宋体" w:cs="宋体"/>
          <w:color w:val="auto"/>
          <w:highlight w:val="none"/>
        </w:rPr>
        <w:t>）其他合同文件。</w:t>
      </w:r>
    </w:p>
    <w:p w14:paraId="37CB3905">
      <w:pPr>
        <w:spacing w:line="360" w:lineRule="auto"/>
        <w:ind w:firstLine="420"/>
        <w:jc w:val="left"/>
        <w:rPr>
          <w:rFonts w:hAnsi="宋体"/>
          <w:color w:val="auto"/>
          <w:highlight w:val="none"/>
        </w:rPr>
      </w:pPr>
      <w:r>
        <w:rPr>
          <w:rFonts w:hint="eastAsia" w:hAnsi="宋体" w:cs="宋体"/>
          <w:color w:val="auto"/>
          <w:highlight w:val="none"/>
        </w:rPr>
        <w:t>上述各项合同文件包括合同当事人就该项合同文件所作出的补充和修改，属于同一类内容的文件，应以最新签署的为准（违反磋商文件</w:t>
      </w:r>
      <w:r>
        <w:rPr>
          <w:rFonts w:hAnsi="宋体" w:cs="宋体"/>
          <w:color w:val="auto"/>
          <w:highlight w:val="none"/>
        </w:rPr>
        <w:t>实质性内容的约定除外</w:t>
      </w:r>
      <w:r>
        <w:rPr>
          <w:rFonts w:hint="eastAsia" w:hAnsi="宋体" w:cs="宋体"/>
          <w:color w:val="auto"/>
          <w:highlight w:val="none"/>
        </w:rPr>
        <w:t>）。专用合同条款及其附件须经合同当事人签字或盖章。</w:t>
      </w:r>
    </w:p>
    <w:p w14:paraId="29055A68">
      <w:pPr>
        <w:spacing w:line="360" w:lineRule="auto"/>
        <w:ind w:firstLine="422"/>
        <w:jc w:val="left"/>
        <w:outlineLvl w:val="0"/>
        <w:rPr>
          <w:b/>
          <w:bCs/>
          <w:color w:val="auto"/>
          <w:highlight w:val="none"/>
        </w:rPr>
      </w:pPr>
      <w:bookmarkStart w:id="222" w:name="_Toc122424026"/>
      <w:bookmarkStart w:id="223" w:name="_Toc122424275"/>
      <w:bookmarkStart w:id="224" w:name="_Toc351203487"/>
      <w:bookmarkStart w:id="225" w:name="_Toc32626"/>
      <w:r>
        <w:rPr>
          <w:rFonts w:hint="eastAsia" w:hAnsi="宋体" w:cs="宋体"/>
          <w:b/>
          <w:bCs/>
          <w:color w:val="auto"/>
          <w:highlight w:val="none"/>
        </w:rPr>
        <w:t>七、承诺</w:t>
      </w:r>
      <w:bookmarkEnd w:id="222"/>
      <w:bookmarkEnd w:id="223"/>
      <w:bookmarkEnd w:id="224"/>
      <w:bookmarkEnd w:id="225"/>
    </w:p>
    <w:p w14:paraId="55B09BD2">
      <w:pPr>
        <w:spacing w:line="360" w:lineRule="auto"/>
        <w:ind w:firstLine="420"/>
        <w:rPr>
          <w:color w:val="auto"/>
          <w:highlight w:val="none"/>
        </w:rPr>
      </w:pPr>
      <w:r>
        <w:rPr>
          <w:color w:val="auto"/>
          <w:highlight w:val="none"/>
        </w:rPr>
        <w:t xml:space="preserve">1. </w:t>
      </w:r>
      <w:r>
        <w:rPr>
          <w:rFonts w:hint="eastAsia" w:hAnsi="宋体" w:cs="宋体"/>
          <w:color w:val="auto"/>
          <w:highlight w:val="none"/>
        </w:rPr>
        <w:t>发包人承诺按照法律规定履行项目审批手续、筹集工程建设资金并按照合同约定的期限和方式支付合同价款。</w:t>
      </w:r>
    </w:p>
    <w:p w14:paraId="0D88B034">
      <w:pPr>
        <w:spacing w:line="360" w:lineRule="auto"/>
        <w:ind w:firstLine="420"/>
        <w:rPr>
          <w:color w:val="auto"/>
          <w:highlight w:val="none"/>
        </w:rPr>
      </w:pPr>
      <w:r>
        <w:rPr>
          <w:color w:val="auto"/>
          <w:highlight w:val="none"/>
        </w:rPr>
        <w:t xml:space="preserve">2. </w:t>
      </w:r>
      <w:r>
        <w:rPr>
          <w:rFonts w:hint="eastAsia" w:hAnsi="宋体" w:cs="宋体"/>
          <w:color w:val="auto"/>
          <w:highlight w:val="none"/>
        </w:rPr>
        <w:t>承包人承诺按照法律规定及合同约定组织完成工程施工，确保工程质量和安全，不进行转包及违法分包，并在缺陷责任期及保修期内承担相应的工程维修责任。</w:t>
      </w:r>
    </w:p>
    <w:p w14:paraId="28143AEB">
      <w:pPr>
        <w:spacing w:line="360" w:lineRule="auto"/>
        <w:ind w:firstLine="420"/>
        <w:rPr>
          <w:rFonts w:hAnsi="宋体"/>
          <w:color w:val="auto"/>
          <w:highlight w:val="none"/>
        </w:rPr>
      </w:pPr>
      <w:r>
        <w:rPr>
          <w:color w:val="auto"/>
          <w:highlight w:val="none"/>
        </w:rPr>
        <w:t xml:space="preserve">3. </w:t>
      </w:r>
      <w:r>
        <w:rPr>
          <w:rFonts w:hint="eastAsia" w:hAnsi="宋体" w:cs="宋体"/>
          <w:color w:val="auto"/>
          <w:highlight w:val="none"/>
        </w:rPr>
        <w:t>发包人和承包人通过招投标形式签订合同的，双方理解并承诺不再就同一工程另行签订与合同实质性内容相背离的协议。</w:t>
      </w:r>
      <w:bookmarkStart w:id="226" w:name="_Toc351203488"/>
    </w:p>
    <w:p w14:paraId="09AEBABD">
      <w:pPr>
        <w:spacing w:line="360" w:lineRule="auto"/>
        <w:ind w:firstLine="422"/>
        <w:outlineLvl w:val="0"/>
        <w:rPr>
          <w:b/>
          <w:bCs/>
          <w:color w:val="auto"/>
          <w:highlight w:val="none"/>
        </w:rPr>
      </w:pPr>
      <w:bookmarkStart w:id="227" w:name="_Toc122424027"/>
      <w:bookmarkStart w:id="228" w:name="_Toc122424276"/>
      <w:bookmarkStart w:id="229" w:name="_Toc9838"/>
      <w:r>
        <w:rPr>
          <w:rFonts w:hint="eastAsia" w:hAnsi="宋体" w:cs="宋体"/>
          <w:b/>
          <w:bCs/>
          <w:color w:val="auto"/>
          <w:highlight w:val="none"/>
        </w:rPr>
        <w:t>八、词语含义</w:t>
      </w:r>
      <w:bookmarkEnd w:id="226"/>
      <w:bookmarkEnd w:id="227"/>
      <w:bookmarkEnd w:id="228"/>
      <w:bookmarkEnd w:id="229"/>
    </w:p>
    <w:p w14:paraId="73A5B978">
      <w:pPr>
        <w:spacing w:line="360" w:lineRule="auto"/>
        <w:ind w:firstLine="420"/>
        <w:rPr>
          <w:rFonts w:hAnsi="宋体"/>
          <w:color w:val="auto"/>
          <w:highlight w:val="none"/>
        </w:rPr>
      </w:pPr>
      <w:r>
        <w:rPr>
          <w:rFonts w:hint="eastAsia" w:hAnsi="宋体" w:cs="宋体"/>
          <w:color w:val="auto"/>
          <w:highlight w:val="none"/>
        </w:rPr>
        <w:t>本协议书中词语含义与第二部分通用合同条款中赋予的含义相同。</w:t>
      </w:r>
    </w:p>
    <w:p w14:paraId="224818E6">
      <w:pPr>
        <w:spacing w:line="360" w:lineRule="auto"/>
        <w:ind w:firstLine="422"/>
        <w:outlineLvl w:val="0"/>
        <w:rPr>
          <w:b/>
          <w:bCs/>
          <w:color w:val="auto"/>
          <w:highlight w:val="none"/>
        </w:rPr>
      </w:pPr>
      <w:bookmarkStart w:id="230" w:name="_Toc351203489"/>
      <w:bookmarkStart w:id="231" w:name="_Toc122424277"/>
      <w:bookmarkStart w:id="232" w:name="_Toc122424028"/>
      <w:bookmarkStart w:id="233" w:name="_Toc27746"/>
      <w:r>
        <w:rPr>
          <w:rFonts w:hint="eastAsia" w:hAnsi="宋体" w:cs="宋体"/>
          <w:b/>
          <w:bCs/>
          <w:color w:val="auto"/>
          <w:highlight w:val="none"/>
        </w:rPr>
        <w:t>九、签订时间</w:t>
      </w:r>
      <w:bookmarkEnd w:id="230"/>
      <w:bookmarkEnd w:id="231"/>
      <w:bookmarkEnd w:id="232"/>
      <w:bookmarkEnd w:id="233"/>
    </w:p>
    <w:p w14:paraId="3465CC54">
      <w:pPr>
        <w:spacing w:line="360" w:lineRule="auto"/>
        <w:ind w:firstLine="420"/>
        <w:rPr>
          <w:rFonts w:hAnsi="宋体"/>
          <w:color w:val="auto"/>
          <w:highlight w:val="none"/>
        </w:rPr>
      </w:pPr>
      <w:r>
        <w:rPr>
          <w:rFonts w:hint="eastAsia" w:hAnsi="宋体" w:cs="宋体"/>
          <w:color w:val="auto"/>
          <w:highlight w:val="none"/>
        </w:rPr>
        <w:t>本合同于</w:t>
      </w:r>
      <w:r>
        <w:rPr>
          <w:color w:val="auto"/>
          <w:highlight w:val="none"/>
          <w:u w:val="single"/>
        </w:rPr>
        <w:t xml:space="preserve">  </w:t>
      </w:r>
      <w:r>
        <w:rPr>
          <w:rFonts w:hint="eastAsia"/>
          <w:color w:val="auto"/>
          <w:highlight w:val="none"/>
          <w:u w:val="single"/>
          <w:lang w:val="en-US" w:eastAsia="zh-CN"/>
        </w:rPr>
        <w:t>2026</w:t>
      </w:r>
      <w:r>
        <w:rPr>
          <w:color w:val="auto"/>
          <w:highlight w:val="none"/>
          <w:u w:val="single"/>
        </w:rPr>
        <w:t xml:space="preserve">   </w:t>
      </w:r>
      <w:r>
        <w:rPr>
          <w:rFonts w:hint="eastAsia" w:hAnsi="宋体" w:cs="宋体"/>
          <w:color w:val="auto"/>
          <w:highlight w:val="none"/>
        </w:rPr>
        <w:t>年</w:t>
      </w:r>
      <w:r>
        <w:rPr>
          <w:color w:val="auto"/>
          <w:highlight w:val="none"/>
          <w:u w:val="single"/>
        </w:rPr>
        <w:t xml:space="preserve">    </w:t>
      </w:r>
      <w:r>
        <w:rPr>
          <w:rFonts w:hint="eastAsia" w:hAnsi="宋体" w:cs="宋体"/>
          <w:color w:val="auto"/>
          <w:highlight w:val="none"/>
        </w:rPr>
        <w:t>月</w:t>
      </w:r>
      <w:r>
        <w:rPr>
          <w:color w:val="auto"/>
          <w:highlight w:val="none"/>
          <w:u w:val="single"/>
        </w:rPr>
        <w:t xml:space="preserve">    </w:t>
      </w:r>
      <w:r>
        <w:rPr>
          <w:rFonts w:hint="eastAsia" w:hAnsi="宋体" w:cs="宋体"/>
          <w:color w:val="auto"/>
          <w:highlight w:val="none"/>
        </w:rPr>
        <w:t>日签订。</w:t>
      </w:r>
    </w:p>
    <w:p w14:paraId="0AF555F7">
      <w:pPr>
        <w:spacing w:line="360" w:lineRule="auto"/>
        <w:ind w:firstLine="422"/>
        <w:outlineLvl w:val="0"/>
        <w:rPr>
          <w:b/>
          <w:bCs/>
          <w:color w:val="auto"/>
          <w:highlight w:val="none"/>
        </w:rPr>
      </w:pPr>
      <w:bookmarkStart w:id="234" w:name="_Toc122424278"/>
      <w:bookmarkStart w:id="235" w:name="_Toc351203490"/>
      <w:bookmarkStart w:id="236" w:name="_Toc122424029"/>
      <w:bookmarkStart w:id="237" w:name="_Toc22589"/>
      <w:r>
        <w:rPr>
          <w:rFonts w:hint="eastAsia" w:hAnsi="宋体" w:cs="宋体"/>
          <w:b/>
          <w:bCs/>
          <w:color w:val="auto"/>
          <w:highlight w:val="none"/>
        </w:rPr>
        <w:t>十、签订地点</w:t>
      </w:r>
      <w:bookmarkEnd w:id="234"/>
      <w:bookmarkEnd w:id="235"/>
      <w:bookmarkEnd w:id="236"/>
      <w:bookmarkEnd w:id="237"/>
    </w:p>
    <w:p w14:paraId="48805743">
      <w:pPr>
        <w:spacing w:line="360" w:lineRule="auto"/>
        <w:ind w:firstLine="420"/>
        <w:rPr>
          <w:rFonts w:hAnsi="宋体"/>
          <w:color w:val="auto"/>
          <w:highlight w:val="none"/>
        </w:rPr>
      </w:pPr>
      <w:r>
        <w:rPr>
          <w:rFonts w:hint="eastAsia" w:hAnsi="宋体" w:cs="宋体"/>
          <w:color w:val="auto"/>
          <w:highlight w:val="none"/>
        </w:rPr>
        <w:t>本合同在</w:t>
      </w:r>
      <w:r>
        <w:rPr>
          <w:color w:val="auto"/>
          <w:highlight w:val="none"/>
          <w:u w:val="single"/>
        </w:rPr>
        <w:t xml:space="preserve"> </w:t>
      </w:r>
      <w:r>
        <w:rPr>
          <w:rFonts w:hint="eastAsia"/>
          <w:color w:val="auto"/>
          <w:highlight w:val="none"/>
          <w:u w:val="single"/>
          <w:lang w:eastAsia="zh-CN"/>
        </w:rPr>
        <w:t>贵港市覃塘区人民医院院内</w:t>
      </w:r>
      <w:r>
        <w:rPr>
          <w:rFonts w:hint="eastAsia" w:hAnsi="宋体" w:cs="宋体"/>
          <w:color w:val="auto"/>
          <w:highlight w:val="none"/>
        </w:rPr>
        <w:t>签订。</w:t>
      </w:r>
    </w:p>
    <w:p w14:paraId="7AA10D82">
      <w:pPr>
        <w:spacing w:line="360" w:lineRule="auto"/>
        <w:ind w:firstLine="422"/>
        <w:outlineLvl w:val="0"/>
        <w:rPr>
          <w:b/>
          <w:bCs/>
          <w:color w:val="auto"/>
          <w:highlight w:val="none"/>
        </w:rPr>
      </w:pPr>
      <w:bookmarkStart w:id="238" w:name="_Toc122424279"/>
      <w:bookmarkStart w:id="239" w:name="_Toc351203491"/>
      <w:bookmarkStart w:id="240" w:name="_Toc122424030"/>
      <w:bookmarkStart w:id="241" w:name="_Toc20538"/>
      <w:r>
        <w:rPr>
          <w:rFonts w:hint="eastAsia" w:hAnsi="宋体" w:cs="宋体"/>
          <w:b/>
          <w:bCs/>
          <w:color w:val="auto"/>
          <w:highlight w:val="none"/>
        </w:rPr>
        <w:t>十一、补充协议</w:t>
      </w:r>
      <w:bookmarkEnd w:id="238"/>
      <w:bookmarkEnd w:id="239"/>
      <w:bookmarkEnd w:id="240"/>
      <w:bookmarkEnd w:id="241"/>
    </w:p>
    <w:p w14:paraId="515F4CCB">
      <w:pPr>
        <w:spacing w:line="360" w:lineRule="auto"/>
        <w:ind w:firstLine="420"/>
        <w:rPr>
          <w:rFonts w:hAnsi="宋体"/>
          <w:color w:val="auto"/>
          <w:highlight w:val="none"/>
        </w:rPr>
      </w:pPr>
      <w:r>
        <w:rPr>
          <w:rFonts w:hint="eastAsia" w:hAnsi="宋体" w:cs="宋体"/>
          <w:color w:val="auto"/>
          <w:highlight w:val="none"/>
        </w:rPr>
        <w:t>合同未尽事宜，合同当事人另行签订补充协议，补充协议是合同的组成部分。</w:t>
      </w:r>
    </w:p>
    <w:p w14:paraId="42730ABC">
      <w:pPr>
        <w:spacing w:line="360" w:lineRule="auto"/>
        <w:ind w:firstLine="422"/>
        <w:outlineLvl w:val="0"/>
        <w:rPr>
          <w:b/>
          <w:bCs/>
          <w:color w:val="auto"/>
          <w:highlight w:val="none"/>
        </w:rPr>
      </w:pPr>
      <w:bookmarkStart w:id="242" w:name="_Toc122424280"/>
      <w:bookmarkStart w:id="243" w:name="_Toc122424031"/>
      <w:bookmarkStart w:id="244" w:name="_Toc351203492"/>
      <w:bookmarkStart w:id="245" w:name="_Toc6021"/>
      <w:r>
        <w:rPr>
          <w:rFonts w:hint="eastAsia" w:hAnsi="宋体" w:cs="宋体"/>
          <w:b/>
          <w:bCs/>
          <w:color w:val="auto"/>
          <w:highlight w:val="none"/>
        </w:rPr>
        <w:t>十二、合同生效</w:t>
      </w:r>
      <w:bookmarkEnd w:id="242"/>
      <w:bookmarkEnd w:id="243"/>
      <w:bookmarkEnd w:id="244"/>
      <w:bookmarkEnd w:id="245"/>
    </w:p>
    <w:p w14:paraId="2B6D2539">
      <w:pPr>
        <w:spacing w:line="360" w:lineRule="auto"/>
        <w:ind w:firstLine="420"/>
        <w:rPr>
          <w:rFonts w:hAnsi="宋体"/>
          <w:color w:val="auto"/>
          <w:highlight w:val="none"/>
        </w:rPr>
      </w:pPr>
      <w:r>
        <w:rPr>
          <w:rFonts w:hint="eastAsia" w:hAnsi="宋体" w:cs="宋体"/>
          <w:color w:val="auto"/>
          <w:highlight w:val="none"/>
        </w:rPr>
        <w:t>本合同自</w:t>
      </w:r>
      <w:r>
        <w:rPr>
          <w:color w:val="auto"/>
          <w:highlight w:val="none"/>
          <w:u w:val="single"/>
        </w:rPr>
        <w:t xml:space="preserve"> </w:t>
      </w:r>
      <w:r>
        <w:rPr>
          <w:rFonts w:hint="eastAsia"/>
          <w:color w:val="auto"/>
          <w:highlight w:val="none"/>
          <w:u w:val="single"/>
        </w:rPr>
        <w:t>双方签字盖章后</w:t>
      </w:r>
      <w:r>
        <w:rPr>
          <w:color w:val="auto"/>
          <w:highlight w:val="none"/>
          <w:u w:val="single"/>
        </w:rPr>
        <w:t xml:space="preserve">   </w:t>
      </w:r>
      <w:r>
        <w:rPr>
          <w:rFonts w:hint="eastAsia" w:hAnsi="宋体" w:cs="宋体"/>
          <w:color w:val="auto"/>
          <w:highlight w:val="none"/>
        </w:rPr>
        <w:t>生效。</w:t>
      </w:r>
    </w:p>
    <w:p w14:paraId="453FC688">
      <w:pPr>
        <w:spacing w:line="360" w:lineRule="auto"/>
        <w:ind w:firstLine="422"/>
        <w:outlineLvl w:val="0"/>
        <w:rPr>
          <w:b/>
          <w:bCs/>
          <w:color w:val="auto"/>
          <w:highlight w:val="none"/>
        </w:rPr>
      </w:pPr>
      <w:bookmarkStart w:id="246" w:name="_Toc351203493"/>
      <w:bookmarkStart w:id="247" w:name="_Toc122424281"/>
      <w:bookmarkStart w:id="248" w:name="_Toc122424032"/>
      <w:bookmarkStart w:id="249" w:name="_Toc19984"/>
      <w:r>
        <w:rPr>
          <w:rFonts w:hint="eastAsia" w:hAnsi="宋体" w:cs="宋体"/>
          <w:b/>
          <w:bCs/>
          <w:color w:val="auto"/>
          <w:highlight w:val="none"/>
        </w:rPr>
        <w:t>十三、合同份数</w:t>
      </w:r>
      <w:bookmarkEnd w:id="246"/>
      <w:bookmarkEnd w:id="247"/>
      <w:bookmarkEnd w:id="248"/>
      <w:bookmarkEnd w:id="249"/>
    </w:p>
    <w:p w14:paraId="1D1B931D">
      <w:pPr>
        <w:spacing w:line="360" w:lineRule="auto"/>
        <w:ind w:firstLine="420"/>
        <w:rPr>
          <w:color w:val="auto"/>
          <w:highlight w:val="none"/>
        </w:rPr>
      </w:pPr>
      <w:r>
        <w:rPr>
          <w:rFonts w:hint="eastAsia" w:hAnsi="宋体" w:cs="宋体"/>
          <w:color w:val="auto"/>
          <w:highlight w:val="none"/>
        </w:rPr>
        <w:t>本合同一式拾贰份，均具有同等法律效力，发包人执陆份，承包人执陆份。</w:t>
      </w:r>
    </w:p>
    <w:p w14:paraId="631BFFAA">
      <w:pPr>
        <w:spacing w:line="360" w:lineRule="auto"/>
        <w:rPr>
          <w:color w:val="auto"/>
          <w:highlight w:val="none"/>
        </w:rPr>
      </w:pPr>
    </w:p>
    <w:p w14:paraId="5F2B4898">
      <w:pPr>
        <w:spacing w:line="360" w:lineRule="auto"/>
        <w:rPr>
          <w:color w:val="auto"/>
          <w:highlight w:val="none"/>
        </w:rPr>
      </w:pPr>
      <w:r>
        <w:rPr>
          <w:rFonts w:hint="eastAsia" w:hAnsi="宋体" w:cs="宋体"/>
          <w:color w:val="auto"/>
          <w:highlight w:val="none"/>
        </w:rPr>
        <w:t>发包人：</w:t>
      </w:r>
      <w:r>
        <w:rPr>
          <w:rFonts w:hint="eastAsia" w:hAnsi="宋体" w:cs="宋体"/>
          <w:color w:val="auto"/>
          <w:highlight w:val="none"/>
          <w:lang w:eastAsia="zh-CN"/>
        </w:rPr>
        <w:t>贵港市覃塘区人民医院</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hAnsi="宋体" w:cs="宋体"/>
          <w:color w:val="auto"/>
          <w:highlight w:val="none"/>
        </w:rPr>
        <w:t>承包人：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p>
    <w:p w14:paraId="1082D124">
      <w:pPr>
        <w:spacing w:line="360" w:lineRule="auto"/>
        <w:rPr>
          <w:color w:val="auto"/>
          <w:highlight w:val="none"/>
          <w:u w:val="single"/>
        </w:rPr>
      </w:pPr>
      <w:r>
        <w:rPr>
          <w:color w:val="auto"/>
          <w:highlight w:val="none"/>
        </w:rPr>
        <w:t xml:space="preserve">                                 </w:t>
      </w:r>
    </w:p>
    <w:p w14:paraId="3B0B2911">
      <w:pPr>
        <w:spacing w:line="360" w:lineRule="auto"/>
        <w:rPr>
          <w:color w:val="auto"/>
          <w:highlight w:val="none"/>
        </w:rPr>
      </w:pPr>
      <w:r>
        <w:rPr>
          <w:rFonts w:hint="eastAsia" w:hAnsi="宋体" w:cs="宋体"/>
          <w:color w:val="auto"/>
          <w:highlight w:val="none"/>
        </w:rPr>
        <w:t>法定代表人或其委托代理人：</w:t>
      </w:r>
      <w:r>
        <w:rPr>
          <w:color w:val="auto"/>
          <w:highlight w:val="none"/>
        </w:rPr>
        <w:t xml:space="preserve">                    </w:t>
      </w:r>
      <w:r>
        <w:rPr>
          <w:rFonts w:hint="eastAsia" w:hAnsi="宋体" w:cs="宋体"/>
          <w:color w:val="auto"/>
          <w:highlight w:val="none"/>
        </w:rPr>
        <w:t>法定代表人或其委托代理人：</w:t>
      </w:r>
    </w:p>
    <w:p w14:paraId="43669F4F">
      <w:pPr>
        <w:spacing w:line="360" w:lineRule="auto"/>
        <w:rPr>
          <w:color w:val="auto"/>
          <w:highlight w:val="none"/>
        </w:rPr>
      </w:pPr>
      <w:r>
        <w:rPr>
          <w:rFonts w:hint="eastAsia" w:hAnsi="宋体" w:cs="宋体"/>
          <w:color w:val="auto"/>
          <w:highlight w:val="none"/>
        </w:rPr>
        <w:t>（签字）</w:t>
      </w:r>
      <w:r>
        <w:rPr>
          <w:color w:val="auto"/>
          <w:highlight w:val="none"/>
        </w:rPr>
        <w:t xml:space="preserve">                                     </w:t>
      </w:r>
      <w:r>
        <w:rPr>
          <w:rFonts w:hint="eastAsia" w:hAnsi="宋体" w:cs="宋体"/>
          <w:color w:val="auto"/>
          <w:highlight w:val="none"/>
        </w:rPr>
        <w:t>（签字）</w:t>
      </w:r>
    </w:p>
    <w:p w14:paraId="59CF05F3">
      <w:pPr>
        <w:spacing w:line="360" w:lineRule="auto"/>
        <w:rPr>
          <w:color w:val="auto"/>
          <w:highlight w:val="none"/>
          <w:u w:val="single"/>
        </w:rPr>
      </w:pPr>
    </w:p>
    <w:p w14:paraId="0E144C1D">
      <w:pPr>
        <w:tabs>
          <w:tab w:val="left" w:pos="4410"/>
        </w:tabs>
        <w:spacing w:line="360" w:lineRule="auto"/>
        <w:rPr>
          <w:color w:val="auto"/>
          <w:highlight w:val="none"/>
        </w:rPr>
      </w:pPr>
      <w:r>
        <w:rPr>
          <w:rFonts w:hint="eastAsia" w:hAnsi="宋体" w:cs="宋体"/>
          <w:color w:val="auto"/>
          <w:highlight w:val="none"/>
        </w:rPr>
        <w:t>统一社会信用代码：</w:t>
      </w:r>
      <w:r>
        <w:rPr>
          <w:color w:val="auto"/>
          <w:highlight w:val="none"/>
          <w:u w:val="single"/>
        </w:rPr>
        <w:t xml:space="preserve"> </w:t>
      </w:r>
      <w:r>
        <w:rPr>
          <w:rFonts w:ascii="宋体" w:hAnsi="宋体" w:eastAsia="宋体" w:cs="宋体"/>
          <w:color w:val="auto"/>
          <w:sz w:val="24"/>
          <w:szCs w:val="24"/>
          <w:highlight w:val="none"/>
          <w:u w:val="single"/>
        </w:rPr>
        <w:t>124508014993733665</w:t>
      </w:r>
      <w:r>
        <w:rPr>
          <w:color w:val="auto"/>
          <w:highlight w:val="none"/>
          <w:u w:val="single"/>
        </w:rPr>
        <w:t xml:space="preserve"> </w:t>
      </w:r>
      <w:r>
        <w:rPr>
          <w:color w:val="auto"/>
          <w:highlight w:val="none"/>
          <w:u w:val="none"/>
        </w:rPr>
        <w:t xml:space="preserve">     </w:t>
      </w:r>
      <w:r>
        <w:rPr>
          <w:rFonts w:hint="eastAsia" w:cs="宋体"/>
          <w:color w:val="auto"/>
          <w:highlight w:val="none"/>
        </w:rPr>
        <w:t>统一</w:t>
      </w:r>
      <w:r>
        <w:rPr>
          <w:rFonts w:hint="eastAsia" w:hAnsi="宋体" w:cs="宋体"/>
          <w:color w:val="auto"/>
          <w:highlight w:val="none"/>
        </w:rPr>
        <w:t>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p>
    <w:p w14:paraId="39F1D9A3">
      <w:pPr>
        <w:spacing w:line="360" w:lineRule="auto"/>
        <w:rPr>
          <w:color w:val="auto"/>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贵港市覃塘区覃塘街道中山大道</w:t>
      </w:r>
      <w:r>
        <w:rPr>
          <w:rFonts w:hint="eastAsia" w:ascii="宋体" w:hAnsi="宋体" w:eastAsia="宋体" w:cs="宋体"/>
          <w:color w:val="auto"/>
          <w:sz w:val="21"/>
          <w:szCs w:val="21"/>
          <w:highlight w:val="none"/>
          <w:u w:val="single"/>
          <w:lang w:val="en-US" w:eastAsia="zh-CN"/>
        </w:rPr>
        <w:t>638号</w:t>
      </w: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w:t>
      </w:r>
      <w:r>
        <w:rPr>
          <w:rFonts w:hint="eastAsia"/>
          <w:color w:val="auto"/>
          <w:highlight w:val="none"/>
          <w:u w:val="single"/>
        </w:rPr>
        <w:t xml:space="preserve">                  </w:t>
      </w:r>
    </w:p>
    <w:p w14:paraId="598E9CD9">
      <w:pPr>
        <w:spacing w:line="360" w:lineRule="auto"/>
        <w:rPr>
          <w:color w:val="auto"/>
          <w:highlight w:val="none"/>
        </w:rPr>
      </w:pPr>
      <w:r>
        <w:rPr>
          <w:rFonts w:hint="eastAsia" w:hAnsi="宋体" w:cs="宋体"/>
          <w:color w:val="auto"/>
          <w:highlight w:val="none"/>
        </w:rPr>
        <w:t>邮政编码：</w:t>
      </w:r>
      <w:r>
        <w:rPr>
          <w:rFonts w:hint="eastAsia" w:hAnsi="宋体" w:cs="宋体"/>
          <w:color w:val="auto"/>
          <w:highlight w:val="none"/>
          <w:u w:val="single"/>
          <w:lang w:val="en-US" w:eastAsia="zh-CN"/>
        </w:rPr>
        <w:t>537121</w:t>
      </w:r>
      <w:r>
        <w:rPr>
          <w:color w:val="auto"/>
          <w:highlight w:val="none"/>
          <w:u w:val="single"/>
        </w:rPr>
        <w:t xml:space="preserve">  </w:t>
      </w:r>
      <w:r>
        <w:rPr>
          <w:rFonts w:hint="eastAsia"/>
          <w:color w:val="auto"/>
          <w:highlight w:val="none"/>
          <w:u w:val="single"/>
          <w:lang w:val="en-US" w:eastAsia="zh-CN"/>
        </w:rPr>
        <w:t xml:space="preserve">                         </w:t>
      </w:r>
      <w:r>
        <w:rPr>
          <w:color w:val="auto"/>
          <w:highlight w:val="none"/>
        </w:rPr>
        <w:t xml:space="preserve">   </w:t>
      </w: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6D252D3C">
      <w:pPr>
        <w:spacing w:line="360" w:lineRule="auto"/>
        <w:rPr>
          <w:color w:val="auto"/>
          <w:highlight w:val="none"/>
        </w:rPr>
      </w:pP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0A560051">
      <w:pPr>
        <w:spacing w:line="360" w:lineRule="auto"/>
        <w:rPr>
          <w:color w:val="auto"/>
          <w:highlight w:val="none"/>
        </w:rPr>
      </w:pP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C328556">
      <w:pPr>
        <w:spacing w:line="360" w:lineRule="auto"/>
        <w:rPr>
          <w:color w:val="auto"/>
          <w:highlight w:val="none"/>
        </w:rPr>
      </w:pP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0775-4721022</w:t>
      </w:r>
      <w:r>
        <w:rPr>
          <w:rFonts w:hint="eastAsia"/>
          <w:color w:val="auto"/>
          <w:sz w:val="21"/>
          <w:szCs w:val="21"/>
          <w:highlight w:val="none"/>
          <w:u w:val="single"/>
        </w:rPr>
        <w:t xml:space="preserve">   </w:t>
      </w:r>
      <w:r>
        <w:rPr>
          <w:rFonts w:hint="eastAsia"/>
          <w:color w:val="auto"/>
          <w:sz w:val="21"/>
          <w:szCs w:val="21"/>
          <w:highlight w:val="none"/>
          <w:u w:val="none"/>
        </w:rPr>
        <w:t xml:space="preserve">               </w:t>
      </w:r>
      <w:r>
        <w:rPr>
          <w:color w:val="auto"/>
          <w:sz w:val="21"/>
          <w:szCs w:val="21"/>
          <w:highlight w:val="none"/>
          <w:u w:val="none"/>
        </w:rPr>
        <w:t xml:space="preserve"> </w:t>
      </w:r>
      <w:r>
        <w:rPr>
          <w:color w:val="auto"/>
          <w:highlight w:val="none"/>
          <w:u w:val="none"/>
        </w:rPr>
        <w:t xml:space="preserve">  </w:t>
      </w:r>
      <w:r>
        <w:rPr>
          <w:color w:val="auto"/>
          <w:highlight w:val="none"/>
        </w:rPr>
        <w:t xml:space="preserve">   </w:t>
      </w: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0D820F8">
      <w:pPr>
        <w:spacing w:line="360" w:lineRule="auto"/>
        <w:rPr>
          <w:color w:val="auto"/>
          <w:highlight w:val="none"/>
        </w:rPr>
      </w:pPr>
      <w:r>
        <w:rPr>
          <w:rFonts w:hint="eastAsia" w:hAnsi="宋体" w:cs="宋体"/>
          <w:color w:val="auto"/>
          <w:highlight w:val="none"/>
        </w:rPr>
        <w:t>电子信箱：</w:t>
      </w:r>
      <w:r>
        <w:rPr>
          <w:rFonts w:ascii="宋体" w:hAnsi="宋体" w:eastAsia="宋体" w:cs="宋体"/>
          <w:color w:val="auto"/>
          <w:sz w:val="24"/>
          <w:szCs w:val="24"/>
          <w:highlight w:val="none"/>
          <w:u w:val="single"/>
        </w:rPr>
        <w:t xml:space="preserve">qtqyy888@163.com </w:t>
      </w:r>
      <w:r>
        <w:rPr>
          <w:color w:val="auto"/>
          <w:highlight w:val="none"/>
          <w:u w:val="single"/>
        </w:rPr>
        <w:t xml:space="preserve">  </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p>
    <w:p w14:paraId="4E19B04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lang w:val="en-US" w:eastAsia="zh-CN" w:bidi="ar"/>
        </w:rPr>
        <w:t>贵港市荷城农村商业银行覃塘支行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14:paraId="2FD01153">
      <w:pP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bidi="ar"/>
        </w:rPr>
        <w:t>904412010103098452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w:t>
      </w:r>
    </w:p>
    <w:p w14:paraId="66499614">
      <w:pPr>
        <w:pStyle w:val="3"/>
        <w:jc w:val="center"/>
        <w:rPr>
          <w:color w:val="auto"/>
          <w:highlight w:val="none"/>
        </w:rPr>
      </w:pPr>
      <w:r>
        <w:rPr>
          <w:rFonts w:hint="eastAsia" w:ascii="宋体" w:hAnsi="宋体" w:eastAsia="宋体" w:cs="宋体"/>
          <w:color w:val="auto"/>
          <w:sz w:val="21"/>
          <w:szCs w:val="21"/>
          <w:highlight w:val="none"/>
        </w:rPr>
        <w:br w:type="page" w:clear="all"/>
      </w:r>
      <w:bookmarkStart w:id="250" w:name="_Toc389065256"/>
      <w:bookmarkStart w:id="251" w:name="_Toc78449778"/>
      <w:bookmarkStart w:id="252" w:name="_Toc122424282"/>
      <w:bookmarkStart w:id="253" w:name="_Toc122424033"/>
      <w:bookmarkStart w:id="254" w:name="_Toc407135192"/>
      <w:bookmarkStart w:id="255" w:name="_Toc86847323"/>
      <w:bookmarkStart w:id="256" w:name="_Toc1714491818"/>
      <w:bookmarkStart w:id="257" w:name="_Toc30359"/>
      <w:bookmarkStart w:id="258" w:name="_Toc351203632"/>
      <w:bookmarkStart w:id="259" w:name="_Toc373478338"/>
      <w:bookmarkStart w:id="260" w:name="_Toc373227691"/>
      <w:r>
        <w:rPr>
          <w:rFonts w:hint="eastAsia" w:cs="黑体"/>
          <w:color w:val="auto"/>
          <w:highlight w:val="none"/>
        </w:rPr>
        <w:t>第二部分</w:t>
      </w:r>
      <w:r>
        <w:rPr>
          <w:color w:val="auto"/>
          <w:highlight w:val="none"/>
        </w:rPr>
        <w:t xml:space="preserve"> </w:t>
      </w:r>
      <w:r>
        <w:rPr>
          <w:rFonts w:hint="eastAsia" w:cs="黑体"/>
          <w:color w:val="auto"/>
          <w:highlight w:val="none"/>
        </w:rPr>
        <w:t>通用合同条款</w:t>
      </w:r>
      <w:bookmarkEnd w:id="250"/>
      <w:bookmarkEnd w:id="251"/>
      <w:bookmarkEnd w:id="252"/>
      <w:bookmarkEnd w:id="253"/>
      <w:bookmarkEnd w:id="254"/>
      <w:bookmarkEnd w:id="255"/>
      <w:bookmarkEnd w:id="256"/>
      <w:bookmarkEnd w:id="257"/>
    </w:p>
    <w:p w14:paraId="2867DE7B">
      <w:pPr>
        <w:spacing w:line="360" w:lineRule="auto"/>
        <w:ind w:firstLine="420"/>
        <w:rPr>
          <w:rFonts w:hAnsi="宋体"/>
          <w:color w:val="auto"/>
          <w:highlight w:val="none"/>
        </w:rPr>
      </w:pPr>
    </w:p>
    <w:p w14:paraId="11F861E8">
      <w:pPr>
        <w:spacing w:line="360" w:lineRule="auto"/>
        <w:ind w:firstLine="422"/>
        <w:rPr>
          <w:rFonts w:hAnsi="宋体"/>
          <w:b/>
          <w:bCs/>
          <w:color w:val="auto"/>
          <w:highlight w:val="none"/>
        </w:rPr>
      </w:pPr>
      <w:r>
        <w:rPr>
          <w:rFonts w:hint="eastAsia" w:hAnsi="宋体" w:cs="宋体"/>
          <w:b/>
          <w:bCs/>
          <w:color w:val="auto"/>
          <w:highlight w:val="none"/>
        </w:rPr>
        <w:t>采用《建设工程施工合同（示范文本）》（</w:t>
      </w:r>
      <w:r>
        <w:rPr>
          <w:rFonts w:hAnsi="宋体"/>
          <w:b/>
          <w:bCs/>
          <w:color w:val="auto"/>
          <w:highlight w:val="none"/>
        </w:rPr>
        <w:t>GF</w:t>
      </w:r>
      <w:r>
        <w:rPr>
          <w:rFonts w:hAnsi="宋体" w:cs="宋体"/>
          <w:b/>
          <w:bCs/>
          <w:color w:val="auto"/>
          <w:highlight w:val="none"/>
        </w:rPr>
        <w:t>—</w:t>
      </w:r>
      <w:r>
        <w:rPr>
          <w:rFonts w:hAnsi="宋体"/>
          <w:b/>
          <w:bCs/>
          <w:color w:val="auto"/>
          <w:highlight w:val="none"/>
        </w:rPr>
        <w:t>201</w:t>
      </w:r>
      <w:r>
        <w:rPr>
          <w:rFonts w:hint="eastAsia" w:hAnsi="宋体"/>
          <w:b/>
          <w:bCs/>
          <w:color w:val="auto"/>
          <w:highlight w:val="none"/>
        </w:rPr>
        <w:t>7</w:t>
      </w:r>
      <w:r>
        <w:rPr>
          <w:rFonts w:hAnsi="宋体" w:cs="宋体"/>
          <w:b/>
          <w:bCs/>
          <w:color w:val="auto"/>
          <w:highlight w:val="none"/>
        </w:rPr>
        <w:t>—</w:t>
      </w:r>
      <w:r>
        <w:rPr>
          <w:rFonts w:hAnsi="宋体"/>
          <w:b/>
          <w:bCs/>
          <w:color w:val="auto"/>
          <w:highlight w:val="none"/>
        </w:rPr>
        <w:t>0201</w:t>
      </w:r>
      <w:r>
        <w:rPr>
          <w:rFonts w:hint="eastAsia" w:hAnsi="宋体" w:cs="宋体"/>
          <w:b/>
          <w:bCs/>
          <w:color w:val="auto"/>
          <w:highlight w:val="none"/>
        </w:rPr>
        <w:t>）。</w:t>
      </w:r>
    </w:p>
    <w:p w14:paraId="093E2ED4">
      <w:pPr>
        <w:pStyle w:val="3"/>
        <w:keepNext w:val="0"/>
        <w:keepLines w:val="0"/>
        <w:jc w:val="center"/>
        <w:rPr>
          <w:rFonts w:hAnsi="宋体"/>
          <w:color w:val="auto"/>
          <w:sz w:val="30"/>
          <w:szCs w:val="30"/>
          <w:highlight w:val="none"/>
        </w:rPr>
      </w:pPr>
      <w:bookmarkStart w:id="261" w:name="_Toc78449779"/>
      <w:bookmarkStart w:id="262" w:name="_Toc407135193"/>
      <w:bookmarkStart w:id="263" w:name="_Toc122424034"/>
      <w:bookmarkStart w:id="264" w:name="_Toc389065257"/>
      <w:bookmarkStart w:id="265" w:name="_Toc122424283"/>
      <w:bookmarkStart w:id="266" w:name="_Toc704444909"/>
      <w:bookmarkStart w:id="267" w:name="_Toc1204138598"/>
      <w:bookmarkStart w:id="268" w:name="_Toc1084"/>
      <w:r>
        <w:rPr>
          <w:rFonts w:hint="eastAsia" w:hAnsi="宋体" w:cs="黑体"/>
          <w:color w:val="auto"/>
          <w:sz w:val="30"/>
          <w:szCs w:val="30"/>
          <w:highlight w:val="none"/>
        </w:rPr>
        <w:t>第三部分</w:t>
      </w:r>
      <w:r>
        <w:rPr>
          <w:color w:val="auto"/>
          <w:sz w:val="30"/>
          <w:szCs w:val="30"/>
          <w:highlight w:val="none"/>
        </w:rPr>
        <w:t xml:space="preserve"> </w:t>
      </w:r>
      <w:r>
        <w:rPr>
          <w:rFonts w:hint="eastAsia" w:hAnsi="宋体" w:cs="黑体"/>
          <w:color w:val="auto"/>
          <w:sz w:val="30"/>
          <w:szCs w:val="30"/>
          <w:highlight w:val="none"/>
        </w:rPr>
        <w:t>专用合同条款</w:t>
      </w:r>
      <w:bookmarkEnd w:id="258"/>
      <w:bookmarkEnd w:id="259"/>
      <w:bookmarkEnd w:id="260"/>
      <w:bookmarkEnd w:id="261"/>
      <w:bookmarkEnd w:id="262"/>
      <w:bookmarkEnd w:id="263"/>
      <w:bookmarkEnd w:id="264"/>
      <w:bookmarkEnd w:id="265"/>
      <w:bookmarkEnd w:id="266"/>
      <w:bookmarkEnd w:id="267"/>
      <w:bookmarkEnd w:id="268"/>
    </w:p>
    <w:p w14:paraId="43C6CA6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 一般约定</w:t>
      </w:r>
    </w:p>
    <w:p w14:paraId="544CF11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 词语定义</w:t>
      </w:r>
    </w:p>
    <w:p w14:paraId="6EC71C6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1.1.1 合同</w:t>
      </w:r>
    </w:p>
    <w:p w14:paraId="05F536FD">
      <w:pPr>
        <w:spacing w:line="360" w:lineRule="auto"/>
        <w:ind w:firstLine="600"/>
        <w:rPr>
          <w:rFonts w:hint="eastAsia" w:ascii="宋体" w:hAnsi="宋体" w:cs="宋体"/>
          <w:color w:val="auto"/>
          <w:sz w:val="24"/>
          <w:highlight w:val="none"/>
          <w:u w:val="single"/>
        </w:rPr>
      </w:pPr>
      <w:r>
        <w:rPr>
          <w:rFonts w:hint="eastAsia" w:ascii="宋体" w:hAnsi="宋体" w:cs="宋体"/>
          <w:color w:val="auto"/>
          <w:sz w:val="24"/>
          <w:highlight w:val="none"/>
        </w:rPr>
        <w:t>1.1.1.10 其他合同文件包括：</w:t>
      </w:r>
      <w:r>
        <w:rPr>
          <w:rFonts w:hint="eastAsia" w:ascii="宋体" w:hAnsi="宋体" w:cs="宋体"/>
          <w:color w:val="auto"/>
          <w:sz w:val="24"/>
          <w:highlight w:val="none"/>
          <w:u w:val="single"/>
        </w:rPr>
        <w:t>双方在履行合同过程中形成的双方授权代表签署的会议纪要、备忘录、补充文件、变更和洽商等书面形式的文件构成本合同的组成部分。</w:t>
      </w:r>
    </w:p>
    <w:p w14:paraId="3EC0E4D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1.1.2 合同当事人及其他相关方</w:t>
      </w:r>
    </w:p>
    <w:p w14:paraId="29135328">
      <w:pPr>
        <w:spacing w:line="360" w:lineRule="auto"/>
        <w:ind w:firstLine="480"/>
        <w:outlineLvl w:val="0"/>
        <w:rPr>
          <w:rFonts w:hint="eastAsia" w:ascii="宋体" w:hAnsi="宋体" w:cs="宋体"/>
          <w:color w:val="auto"/>
          <w:sz w:val="24"/>
          <w:highlight w:val="none"/>
        </w:rPr>
      </w:pPr>
      <w:bookmarkStart w:id="269" w:name="_Toc17038"/>
      <w:r>
        <w:rPr>
          <w:rFonts w:hint="eastAsia" w:ascii="宋体" w:hAnsi="宋体" w:cs="宋体"/>
          <w:color w:val="auto"/>
          <w:sz w:val="24"/>
          <w:highlight w:val="none"/>
        </w:rPr>
        <w:t>1.1.2.4 监理人：</w:t>
      </w:r>
      <w:bookmarkEnd w:id="269"/>
    </w:p>
    <w:p w14:paraId="2A646E1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highlight w:val="none"/>
          <w:u w:val="single"/>
        </w:rPr>
        <w:t xml:space="preserve"> </w:t>
      </w:r>
      <w:bookmarkStart w:id="270" w:name="REVIEW_AI_BM_AI_11989_1449_5_37"/>
      <w:r>
        <w:rPr>
          <w:rFonts w:hint="eastAsia" w:ascii="宋体" w:hAnsi="宋体" w:cs="宋体"/>
          <w:color w:val="auto"/>
          <w:sz w:val="24"/>
          <w:highlight w:val="none"/>
          <w:u w:val="single"/>
          <w:shd w:val="clear" w:color="FFFFFF" w:fill="FFFFFF"/>
        </w:rPr>
        <w:t>详见监理合同</w:t>
      </w:r>
      <w:bookmarkEnd w:id="270"/>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DDAE05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资质类别和等级：</w:t>
      </w:r>
      <w:r>
        <w:rPr>
          <w:rFonts w:hint="eastAsia" w:ascii="宋体" w:hAnsi="宋体" w:cs="宋体"/>
          <w:color w:val="auto"/>
          <w:sz w:val="24"/>
          <w:highlight w:val="none"/>
          <w:u w:val="single"/>
        </w:rPr>
        <w:t xml:space="preserve">  详见监理合同  </w:t>
      </w:r>
      <w:r>
        <w:rPr>
          <w:rFonts w:hint="eastAsia" w:ascii="宋体" w:hAnsi="宋体" w:cs="宋体"/>
          <w:color w:val="auto"/>
          <w:sz w:val="24"/>
          <w:highlight w:val="none"/>
        </w:rPr>
        <w:t>；</w:t>
      </w:r>
    </w:p>
    <w:p w14:paraId="277B2DC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 xml:space="preserve"> 详见监理合同  </w:t>
      </w:r>
      <w:r>
        <w:rPr>
          <w:rFonts w:hint="eastAsia" w:ascii="宋体" w:hAnsi="宋体" w:cs="宋体"/>
          <w:color w:val="auto"/>
          <w:sz w:val="24"/>
          <w:highlight w:val="none"/>
        </w:rPr>
        <w:t>；</w:t>
      </w:r>
    </w:p>
    <w:p w14:paraId="21F5671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 xml:space="preserve"> 详见监理合同  </w:t>
      </w:r>
      <w:r>
        <w:rPr>
          <w:rFonts w:hint="eastAsia" w:ascii="宋体" w:hAnsi="宋体" w:cs="宋体"/>
          <w:color w:val="auto"/>
          <w:sz w:val="24"/>
          <w:highlight w:val="none"/>
        </w:rPr>
        <w:t>；</w:t>
      </w:r>
    </w:p>
    <w:p w14:paraId="69BE450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通信地址：</w:t>
      </w:r>
      <w:r>
        <w:rPr>
          <w:rFonts w:hint="eastAsia" w:ascii="宋体" w:hAnsi="宋体" w:cs="宋体"/>
          <w:color w:val="auto"/>
          <w:sz w:val="24"/>
          <w:highlight w:val="none"/>
          <w:u w:val="single"/>
        </w:rPr>
        <w:t xml:space="preserve">  详见监理合同  </w:t>
      </w:r>
      <w:r>
        <w:rPr>
          <w:rFonts w:hint="eastAsia" w:ascii="宋体" w:hAnsi="宋体" w:cs="宋体"/>
          <w:color w:val="auto"/>
          <w:sz w:val="24"/>
          <w:highlight w:val="none"/>
        </w:rPr>
        <w:t>。</w:t>
      </w:r>
    </w:p>
    <w:p w14:paraId="5596480E">
      <w:pPr>
        <w:spacing w:line="360" w:lineRule="auto"/>
        <w:ind w:firstLine="480"/>
        <w:outlineLvl w:val="0"/>
        <w:rPr>
          <w:rFonts w:hint="eastAsia" w:ascii="宋体" w:hAnsi="宋体" w:cs="宋体"/>
          <w:color w:val="auto"/>
          <w:sz w:val="24"/>
          <w:highlight w:val="none"/>
        </w:rPr>
      </w:pPr>
      <w:bookmarkStart w:id="271" w:name="_Toc6919"/>
      <w:r>
        <w:rPr>
          <w:rFonts w:hint="eastAsia" w:ascii="宋体" w:hAnsi="宋体" w:cs="宋体"/>
          <w:color w:val="auto"/>
          <w:sz w:val="24"/>
          <w:highlight w:val="none"/>
        </w:rPr>
        <w:t>1.1.2.5 设计人：</w:t>
      </w:r>
      <w:bookmarkEnd w:id="271"/>
    </w:p>
    <w:p w14:paraId="7412176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highlight w:val="none"/>
          <w:u w:val="single"/>
        </w:rPr>
        <w:t xml:space="preserve">  </w:t>
      </w:r>
      <w:bookmarkStart w:id="272" w:name="REVIEW_AI_BM_AI_11989_1455_5_38"/>
      <w:r>
        <w:rPr>
          <w:rFonts w:hint="eastAsia" w:ascii="宋体" w:hAnsi="宋体" w:cs="宋体"/>
          <w:color w:val="auto"/>
          <w:sz w:val="24"/>
          <w:highlight w:val="none"/>
          <w:u w:val="single"/>
          <w:shd w:val="clear" w:color="FFFFFF" w:fill="FFFFFF"/>
        </w:rPr>
        <w:t>详见设计合同</w:t>
      </w:r>
      <w:bookmarkEnd w:id="272"/>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8BA477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资质类别和等级：</w:t>
      </w:r>
      <w:r>
        <w:rPr>
          <w:rFonts w:hint="eastAsia" w:ascii="宋体" w:hAnsi="宋体" w:cs="宋体"/>
          <w:color w:val="auto"/>
          <w:sz w:val="24"/>
          <w:highlight w:val="none"/>
          <w:u w:val="single"/>
        </w:rPr>
        <w:t xml:space="preserve">  详见设计合同  </w:t>
      </w:r>
      <w:r>
        <w:rPr>
          <w:rFonts w:hint="eastAsia" w:ascii="宋体" w:hAnsi="宋体" w:cs="宋体"/>
          <w:color w:val="auto"/>
          <w:sz w:val="24"/>
          <w:highlight w:val="none"/>
        </w:rPr>
        <w:t>；</w:t>
      </w:r>
    </w:p>
    <w:p w14:paraId="2C19831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 xml:space="preserve">   详见设计合同   </w:t>
      </w:r>
      <w:r>
        <w:rPr>
          <w:rFonts w:hint="eastAsia" w:ascii="宋体" w:hAnsi="宋体" w:cs="宋体"/>
          <w:color w:val="auto"/>
          <w:sz w:val="24"/>
          <w:highlight w:val="none"/>
        </w:rPr>
        <w:t>；</w:t>
      </w:r>
    </w:p>
    <w:p w14:paraId="43CD32A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 xml:space="preserve">   详见设计合同  </w:t>
      </w:r>
      <w:r>
        <w:rPr>
          <w:rFonts w:hint="eastAsia" w:ascii="宋体" w:hAnsi="宋体" w:cs="宋体"/>
          <w:color w:val="auto"/>
          <w:sz w:val="24"/>
          <w:highlight w:val="none"/>
        </w:rPr>
        <w:t>；</w:t>
      </w:r>
    </w:p>
    <w:p w14:paraId="36BFE5A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通信地址：</w:t>
      </w:r>
      <w:r>
        <w:rPr>
          <w:rFonts w:hint="eastAsia" w:ascii="宋体" w:hAnsi="宋体" w:cs="宋体"/>
          <w:color w:val="auto"/>
          <w:sz w:val="24"/>
          <w:highlight w:val="none"/>
          <w:u w:val="single"/>
        </w:rPr>
        <w:t xml:space="preserve">   详见设计合同   </w:t>
      </w:r>
      <w:r>
        <w:rPr>
          <w:rFonts w:hint="eastAsia" w:ascii="宋体" w:hAnsi="宋体" w:cs="宋体"/>
          <w:color w:val="auto"/>
          <w:sz w:val="24"/>
          <w:highlight w:val="none"/>
        </w:rPr>
        <w:t>。</w:t>
      </w:r>
    </w:p>
    <w:p w14:paraId="21EA7B0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1.1.3 工程和设备</w:t>
      </w:r>
    </w:p>
    <w:p w14:paraId="72DC5FF3">
      <w:pPr>
        <w:spacing w:line="360" w:lineRule="auto"/>
        <w:ind w:firstLine="480"/>
        <w:outlineLvl w:val="0"/>
        <w:rPr>
          <w:rFonts w:hint="eastAsia" w:ascii="宋体" w:hAnsi="宋体" w:cs="宋体"/>
          <w:color w:val="auto"/>
          <w:sz w:val="24"/>
          <w:highlight w:val="none"/>
        </w:rPr>
      </w:pPr>
      <w:bookmarkStart w:id="273" w:name="_Toc15298"/>
      <w:r>
        <w:rPr>
          <w:rFonts w:hint="eastAsia" w:ascii="宋体" w:hAnsi="宋体" w:cs="宋体"/>
          <w:color w:val="auto"/>
          <w:sz w:val="24"/>
          <w:highlight w:val="none"/>
        </w:rPr>
        <w:t>1.1.3.7 作为施工现场组成部分的其他场所包括：</w:t>
      </w:r>
      <w:r>
        <w:rPr>
          <w:rFonts w:hint="eastAsia" w:ascii="宋体" w:hAnsi="宋体" w:cs="宋体"/>
          <w:color w:val="auto"/>
          <w:sz w:val="24"/>
          <w:highlight w:val="none"/>
          <w:u w:val="single"/>
        </w:rPr>
        <w:t xml:space="preserve">项目部等    </w:t>
      </w:r>
      <w:r>
        <w:rPr>
          <w:rFonts w:hint="eastAsia" w:ascii="宋体" w:hAnsi="宋体" w:cs="宋体"/>
          <w:color w:val="auto"/>
          <w:sz w:val="24"/>
          <w:highlight w:val="none"/>
        </w:rPr>
        <w:t>。</w:t>
      </w:r>
      <w:bookmarkEnd w:id="273"/>
    </w:p>
    <w:p w14:paraId="03F61C9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1.1.3.9 永久占地包括：</w:t>
      </w:r>
      <w:r>
        <w:rPr>
          <w:rFonts w:hint="eastAsia" w:ascii="宋体" w:hAnsi="宋体" w:cs="宋体"/>
          <w:color w:val="auto"/>
          <w:sz w:val="24"/>
          <w:highlight w:val="none"/>
          <w:u w:val="single"/>
        </w:rPr>
        <w:t xml:space="preserve">本工程规划红线内需占用的土地    </w:t>
      </w:r>
      <w:r>
        <w:rPr>
          <w:rFonts w:hint="eastAsia" w:ascii="宋体" w:hAnsi="宋体" w:cs="宋体"/>
          <w:color w:val="auto"/>
          <w:sz w:val="24"/>
          <w:highlight w:val="none"/>
        </w:rPr>
        <w:t>。</w:t>
      </w:r>
    </w:p>
    <w:p w14:paraId="49B999B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1.1.3.10 临时占地包括：</w:t>
      </w:r>
      <w:r>
        <w:rPr>
          <w:rFonts w:hint="eastAsia" w:ascii="宋体" w:hAnsi="宋体" w:cs="宋体"/>
          <w:color w:val="auto"/>
          <w:sz w:val="24"/>
          <w:highlight w:val="none"/>
          <w:u w:val="single"/>
        </w:rPr>
        <w:t xml:space="preserve">临时工人宿舍、实验室、材料堆放场、材料加工场及施工便道用地等 </w:t>
      </w:r>
      <w:r>
        <w:rPr>
          <w:rFonts w:hint="eastAsia" w:ascii="宋体" w:hAnsi="宋体" w:cs="宋体"/>
          <w:color w:val="auto"/>
          <w:sz w:val="24"/>
          <w:highlight w:val="none"/>
        </w:rPr>
        <w:t>。</w:t>
      </w:r>
    </w:p>
    <w:p w14:paraId="2523FC9B">
      <w:pPr>
        <w:pStyle w:val="5"/>
        <w:spacing w:line="360" w:lineRule="auto"/>
        <w:rPr>
          <w:rFonts w:hint="eastAsia" w:ascii="宋体" w:hAnsi="宋体" w:cs="宋体"/>
          <w:color w:val="auto"/>
          <w:sz w:val="24"/>
          <w:szCs w:val="24"/>
          <w:highlight w:val="none"/>
        </w:rPr>
      </w:pPr>
      <w:bookmarkStart w:id="274" w:name="_Toc28113"/>
      <w:r>
        <w:rPr>
          <w:rFonts w:hint="eastAsia" w:ascii="宋体" w:hAnsi="宋体" w:cs="宋体"/>
          <w:color w:val="auto"/>
          <w:sz w:val="24"/>
          <w:szCs w:val="24"/>
          <w:highlight w:val="none"/>
        </w:rPr>
        <w:t>1.3 法律</w:t>
      </w:r>
      <w:bookmarkEnd w:id="274"/>
    </w:p>
    <w:p w14:paraId="7B1D346C">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适用于合同的其他规范性文件：</w:t>
      </w:r>
      <w:r>
        <w:rPr>
          <w:rFonts w:hint="eastAsia" w:ascii="宋体" w:hAnsi="宋体" w:cs="宋体"/>
          <w:color w:val="auto"/>
          <w:sz w:val="24"/>
          <w:szCs w:val="24"/>
          <w:highlight w:val="none"/>
          <w:u w:val="single"/>
        </w:rPr>
        <w:t xml:space="preserve">现行《中华人民共和国建筑法》、《中华人民共和国民法典》、《中华人民共和国招标投标法》、《建设工程质量管理条例》、《建筑施工合同管理办法》《建设工程安全生产管理条例》及省市地方建设工程的法律、法规等 </w:t>
      </w:r>
      <w:r>
        <w:rPr>
          <w:rFonts w:hint="eastAsia" w:ascii="宋体" w:hAnsi="宋体" w:cs="宋体"/>
          <w:color w:val="auto"/>
          <w:sz w:val="24"/>
          <w:szCs w:val="24"/>
          <w:highlight w:val="none"/>
        </w:rPr>
        <w:t>。</w:t>
      </w:r>
    </w:p>
    <w:p w14:paraId="766672DA">
      <w:pPr>
        <w:pStyle w:val="5"/>
        <w:spacing w:line="360" w:lineRule="auto"/>
        <w:rPr>
          <w:rFonts w:hint="eastAsia" w:ascii="宋体" w:hAnsi="宋体" w:cs="宋体"/>
          <w:color w:val="auto"/>
          <w:sz w:val="24"/>
          <w:szCs w:val="24"/>
          <w:highlight w:val="none"/>
        </w:rPr>
      </w:pPr>
      <w:bookmarkStart w:id="275" w:name="_Toc8911"/>
      <w:r>
        <w:rPr>
          <w:rFonts w:hint="eastAsia" w:ascii="宋体" w:hAnsi="宋体" w:cs="宋体"/>
          <w:color w:val="auto"/>
          <w:sz w:val="24"/>
          <w:szCs w:val="24"/>
          <w:highlight w:val="none"/>
        </w:rPr>
        <w:t>1.4 标准和规范</w:t>
      </w:r>
      <w:bookmarkEnd w:id="275"/>
    </w:p>
    <w:p w14:paraId="415FC24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1.4.1 适用于工程的标准规范包括：</w:t>
      </w:r>
      <w:r>
        <w:rPr>
          <w:rFonts w:hint="eastAsia" w:ascii="宋体" w:hAnsi="宋体" w:cs="宋体"/>
          <w:color w:val="auto"/>
          <w:sz w:val="24"/>
          <w:highlight w:val="none"/>
          <w:u w:val="single"/>
        </w:rPr>
        <w:t>国家现行有效的有关建设项目管理、施工、验收及保修等规范和标准，以及项目主管部门批准的文件。发包人根据本工程具体情况，依照国家有关标准制订的施工技术规定及验收办法。</w:t>
      </w:r>
    </w:p>
    <w:p w14:paraId="1F328902">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1.4.2 发包人</w:t>
      </w:r>
      <w:bookmarkStart w:id="276" w:name="REVIEW_AI_BM_AI_11989_1468_9_39"/>
      <w:r>
        <w:rPr>
          <w:rFonts w:hint="eastAsia" w:ascii="宋体" w:hAnsi="宋体" w:cs="宋体"/>
          <w:color w:val="auto"/>
          <w:sz w:val="24"/>
          <w:highlight w:val="none"/>
          <w:shd w:val="clear" w:color="FFFFFF" w:fill="FFFFFF"/>
        </w:rPr>
        <w:t xml:space="preserve">提供国外标准、规范的名称：            无            </w:t>
      </w:r>
      <w:bookmarkEnd w:id="276"/>
    </w:p>
    <w:p w14:paraId="0F80F95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发包人提供国外标准、规范的份数：</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2580BFA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w:t>
      </w:r>
      <w:bookmarkStart w:id="277" w:name="REVIEW_AI_BM_AI_11989_1470_3_40"/>
      <w:r>
        <w:rPr>
          <w:rFonts w:hint="eastAsia" w:ascii="宋体" w:hAnsi="宋体" w:cs="宋体"/>
          <w:color w:val="auto"/>
          <w:sz w:val="24"/>
          <w:highlight w:val="none"/>
          <w:shd w:val="clear" w:color="FFFFFF" w:fill="FFFFFF"/>
        </w:rPr>
        <w:t>提供国外标准、规范的名称：            无            。</w:t>
      </w:r>
      <w:bookmarkEnd w:id="277"/>
    </w:p>
    <w:p w14:paraId="4A4737D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1.4.3 发包人对工程的技术标准和功能要求的特殊要求：</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73BBF40C">
      <w:pPr>
        <w:pStyle w:val="5"/>
        <w:spacing w:line="360" w:lineRule="auto"/>
        <w:rPr>
          <w:rFonts w:hint="eastAsia" w:ascii="宋体" w:hAnsi="宋体" w:cs="宋体"/>
          <w:color w:val="auto"/>
          <w:sz w:val="24"/>
          <w:szCs w:val="24"/>
          <w:highlight w:val="none"/>
        </w:rPr>
      </w:pPr>
      <w:bookmarkStart w:id="278" w:name="_Toc19072"/>
      <w:r>
        <w:rPr>
          <w:rFonts w:hint="eastAsia" w:ascii="宋体" w:hAnsi="宋体" w:cs="宋体"/>
          <w:color w:val="auto"/>
          <w:sz w:val="24"/>
          <w:szCs w:val="24"/>
          <w:highlight w:val="none"/>
        </w:rPr>
        <w:t>1.5 合同文件的优先顺序</w:t>
      </w:r>
      <w:bookmarkEnd w:id="278"/>
    </w:p>
    <w:p w14:paraId="6A145C2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合同文件组成及优先顺序为：</w:t>
      </w:r>
    </w:p>
    <w:p w14:paraId="6CA3125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（1）中标（成交）通知书（如果有）；</w:t>
      </w:r>
    </w:p>
    <w:p w14:paraId="5F5401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（2）投标函及其附录（如果有）； </w:t>
      </w:r>
    </w:p>
    <w:p w14:paraId="61282FD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（3）专用合同条款及其附件；</w:t>
      </w:r>
    </w:p>
    <w:p w14:paraId="2CAE3E2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（4）通用合同条款；</w:t>
      </w:r>
    </w:p>
    <w:p w14:paraId="7C02561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（5）技术标准和要求；</w:t>
      </w:r>
    </w:p>
    <w:p w14:paraId="30BA1D5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（6）已标价工程量清单或预算书；</w:t>
      </w:r>
    </w:p>
    <w:p w14:paraId="0AFC302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（7）图纸；</w:t>
      </w:r>
    </w:p>
    <w:p w14:paraId="6D7D45D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（8）竞争性磋商文件及其附件（含所有补遗通知书和答疑）</w:t>
      </w:r>
    </w:p>
    <w:p w14:paraId="0C72E79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（9）其他合同文件。</w:t>
      </w:r>
    </w:p>
    <w:p w14:paraId="5CF242A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417D39FA">
      <w:pPr>
        <w:pStyle w:val="5"/>
        <w:spacing w:line="360" w:lineRule="auto"/>
        <w:rPr>
          <w:rFonts w:hint="eastAsia" w:ascii="宋体" w:hAnsi="宋体" w:cs="宋体"/>
          <w:color w:val="auto"/>
          <w:sz w:val="24"/>
          <w:szCs w:val="24"/>
          <w:highlight w:val="none"/>
        </w:rPr>
      </w:pPr>
      <w:bookmarkStart w:id="279" w:name="_Toc18140"/>
      <w:r>
        <w:rPr>
          <w:rFonts w:hint="eastAsia" w:ascii="宋体" w:hAnsi="宋体" w:cs="宋体"/>
          <w:color w:val="auto"/>
          <w:sz w:val="24"/>
          <w:szCs w:val="24"/>
          <w:highlight w:val="none"/>
        </w:rPr>
        <w:t>1.6 图纸和承包人文件</w:t>
      </w:r>
      <w:bookmarkEnd w:id="279"/>
      <w:r>
        <w:rPr>
          <w:rFonts w:hint="eastAsia" w:ascii="宋体" w:hAnsi="宋体" w:cs="宋体"/>
          <w:color w:val="auto"/>
          <w:sz w:val="24"/>
          <w:szCs w:val="24"/>
          <w:highlight w:val="none"/>
        </w:rPr>
        <w:tab/>
      </w:r>
    </w:p>
    <w:p w14:paraId="60E352C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1.6.1 图纸的提供</w:t>
      </w:r>
    </w:p>
    <w:p w14:paraId="48442AE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发包人向承包人提供图纸的期限：</w:t>
      </w:r>
      <w:r>
        <w:rPr>
          <w:rFonts w:hint="eastAsia" w:ascii="宋体" w:hAnsi="宋体" w:cs="宋体"/>
          <w:color w:val="auto"/>
          <w:sz w:val="24"/>
          <w:highlight w:val="none"/>
          <w:u w:val="single"/>
        </w:rPr>
        <w:t xml:space="preserve">   </w:t>
      </w:r>
      <w:bookmarkStart w:id="280" w:name="REVIEW_AI_BM_AI_11989_1486_16_41"/>
      <w:r>
        <w:rPr>
          <w:rFonts w:hint="eastAsia" w:ascii="宋体" w:hAnsi="宋体" w:cs="宋体"/>
          <w:color w:val="auto"/>
          <w:sz w:val="24"/>
          <w:highlight w:val="none"/>
          <w:u w:val="single"/>
          <w:shd w:val="clear" w:color="FFFFFF" w:fill="FFFFFF"/>
        </w:rPr>
        <w:t>签订合同后三天内</w:t>
      </w:r>
      <w:bookmarkEnd w:id="280"/>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499905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发包人向承包人提供图纸的数量：</w:t>
      </w:r>
      <w:r>
        <w:rPr>
          <w:rFonts w:hint="eastAsia" w:ascii="宋体" w:hAnsi="宋体" w:cs="宋体"/>
          <w:color w:val="auto"/>
          <w:sz w:val="24"/>
          <w:highlight w:val="none"/>
          <w:u w:val="single"/>
        </w:rPr>
        <w:t xml:space="preserve">  </w:t>
      </w:r>
      <w:bookmarkStart w:id="281" w:name="REVIEW_AI_BM_AI_11989_1487_16_42"/>
      <w:r>
        <w:rPr>
          <w:rFonts w:hint="eastAsia" w:ascii="宋体" w:hAnsi="宋体" w:cs="宋体"/>
          <w:color w:val="auto"/>
          <w:sz w:val="24"/>
          <w:highlight w:val="none"/>
          <w:u w:val="single"/>
          <w:shd w:val="clear" w:color="FFFFFF" w:fill="FFFFFF"/>
        </w:rPr>
        <w:t>1  套（承包人需要增加图纸套数的，自行复制）</w:t>
      </w:r>
      <w:bookmarkEnd w:id="281"/>
      <w:r>
        <w:rPr>
          <w:rFonts w:hint="eastAsia" w:ascii="宋体" w:hAnsi="宋体" w:cs="宋体"/>
          <w:color w:val="auto"/>
          <w:sz w:val="24"/>
          <w:highlight w:val="none"/>
        </w:rPr>
        <w:t>；</w:t>
      </w:r>
    </w:p>
    <w:p w14:paraId="2897A38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发包人向承包人提供图纸的内容：</w:t>
      </w:r>
      <w:r>
        <w:rPr>
          <w:rFonts w:hint="eastAsia" w:ascii="宋体" w:hAnsi="宋体" w:cs="宋体"/>
          <w:color w:val="auto"/>
          <w:sz w:val="24"/>
          <w:highlight w:val="none"/>
          <w:u w:val="single"/>
        </w:rPr>
        <w:t xml:space="preserve">   本合同发包内容中的全部图纸      </w:t>
      </w:r>
      <w:r>
        <w:rPr>
          <w:rFonts w:hint="eastAsia" w:ascii="宋体" w:hAnsi="宋体" w:cs="宋体"/>
          <w:color w:val="auto"/>
          <w:sz w:val="24"/>
          <w:highlight w:val="none"/>
        </w:rPr>
        <w:t>。</w:t>
      </w:r>
    </w:p>
    <w:p w14:paraId="07A0B75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1.6.4 承包人文件</w:t>
      </w:r>
    </w:p>
    <w:p w14:paraId="1217BA51">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需要由承包人提供的文件，包括：</w:t>
      </w:r>
      <w:r>
        <w:rPr>
          <w:rFonts w:hint="eastAsia" w:ascii="宋体" w:hAnsi="宋体" w:cs="宋体"/>
          <w:color w:val="auto"/>
          <w:sz w:val="24"/>
          <w:highlight w:val="none"/>
          <w:u w:val="single"/>
        </w:rPr>
        <w:t xml:space="preserve">   施工组织设计、进度计划书        </w:t>
      </w:r>
      <w:r>
        <w:rPr>
          <w:rFonts w:hint="eastAsia" w:ascii="宋体" w:hAnsi="宋体" w:cs="宋体"/>
          <w:color w:val="auto"/>
          <w:sz w:val="24"/>
          <w:highlight w:val="none"/>
        </w:rPr>
        <w:t>；</w:t>
      </w:r>
    </w:p>
    <w:p w14:paraId="4C53605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承包人提供的文件的期限为：</w:t>
      </w:r>
      <w:r>
        <w:rPr>
          <w:rFonts w:hint="eastAsia" w:ascii="宋体" w:hAnsi="宋体" w:cs="宋体"/>
          <w:color w:val="auto"/>
          <w:sz w:val="24"/>
          <w:highlight w:val="none"/>
          <w:u w:val="single"/>
        </w:rPr>
        <w:t xml:space="preserve">         构件开始施工前 14 天内         </w:t>
      </w:r>
      <w:r>
        <w:rPr>
          <w:rFonts w:hint="eastAsia" w:ascii="宋体" w:hAnsi="宋体" w:cs="宋体"/>
          <w:color w:val="auto"/>
          <w:sz w:val="24"/>
          <w:highlight w:val="none"/>
        </w:rPr>
        <w:t>；</w:t>
      </w:r>
    </w:p>
    <w:p w14:paraId="236A2E2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承包人提供的文件的数量为：</w:t>
      </w:r>
      <w:r>
        <w:rPr>
          <w:rFonts w:hint="eastAsia" w:ascii="宋体" w:hAnsi="宋体" w:cs="宋体"/>
          <w:color w:val="auto"/>
          <w:sz w:val="24"/>
          <w:highlight w:val="none"/>
          <w:u w:val="single"/>
        </w:rPr>
        <w:t xml:space="preserve">             6份               </w:t>
      </w:r>
      <w:r>
        <w:rPr>
          <w:rFonts w:hint="eastAsia" w:ascii="宋体" w:hAnsi="宋体" w:cs="宋体"/>
          <w:color w:val="auto"/>
          <w:sz w:val="24"/>
          <w:highlight w:val="none"/>
        </w:rPr>
        <w:t>；</w:t>
      </w:r>
    </w:p>
    <w:p w14:paraId="0251B4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承包人提供的文件的形式为：</w:t>
      </w:r>
      <w:r>
        <w:rPr>
          <w:rFonts w:hint="eastAsia" w:ascii="宋体" w:hAnsi="宋体" w:cs="宋体"/>
          <w:color w:val="auto"/>
          <w:sz w:val="24"/>
          <w:highlight w:val="none"/>
          <w:u w:val="single"/>
        </w:rPr>
        <w:t xml:space="preserve">                书面              </w:t>
      </w:r>
      <w:r>
        <w:rPr>
          <w:rFonts w:hint="eastAsia" w:ascii="宋体" w:hAnsi="宋体" w:cs="宋体"/>
          <w:color w:val="auto"/>
          <w:sz w:val="24"/>
          <w:highlight w:val="none"/>
        </w:rPr>
        <w:t>；</w:t>
      </w:r>
    </w:p>
    <w:p w14:paraId="52306F9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发包人审批承包人文件的期限：</w:t>
      </w:r>
      <w:r>
        <w:rPr>
          <w:rFonts w:hint="eastAsia" w:ascii="宋体" w:hAnsi="宋体" w:cs="宋体"/>
          <w:color w:val="auto"/>
          <w:sz w:val="24"/>
          <w:highlight w:val="none"/>
          <w:u w:val="single"/>
        </w:rPr>
        <w:t xml:space="preserve">   在承包人提供文件后7天内审定完毕    </w:t>
      </w:r>
      <w:r>
        <w:rPr>
          <w:rFonts w:hint="eastAsia" w:ascii="宋体" w:hAnsi="宋体" w:cs="宋体"/>
          <w:color w:val="auto"/>
          <w:sz w:val="24"/>
          <w:highlight w:val="none"/>
        </w:rPr>
        <w:t>。</w:t>
      </w:r>
    </w:p>
    <w:p w14:paraId="4D0AC98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1.6.5 现场图纸准备</w:t>
      </w:r>
    </w:p>
    <w:p w14:paraId="0BA2EF09">
      <w:pPr>
        <w:pStyle w:val="374"/>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关于现场图纸准备的约定：</w:t>
      </w:r>
      <w:r>
        <w:rPr>
          <w:rFonts w:hint="eastAsia" w:ascii="宋体" w:hAnsi="宋体" w:cs="宋体"/>
          <w:color w:val="auto"/>
          <w:sz w:val="24"/>
          <w:szCs w:val="24"/>
          <w:highlight w:val="none"/>
          <w:u w:val="single"/>
        </w:rPr>
        <w:t xml:space="preserve">承包人应在施工现场另外保存一套完整的图纸和承包人文件，供发包人、监理人及有关人员进行工程检查时使用 </w:t>
      </w:r>
      <w:r>
        <w:rPr>
          <w:rFonts w:hint="eastAsia" w:ascii="宋体" w:hAnsi="宋体" w:cs="宋体"/>
          <w:color w:val="auto"/>
          <w:sz w:val="24"/>
          <w:szCs w:val="24"/>
          <w:highlight w:val="none"/>
        </w:rPr>
        <w:t>。</w:t>
      </w:r>
    </w:p>
    <w:p w14:paraId="1B8785B8">
      <w:pPr>
        <w:pStyle w:val="5"/>
        <w:spacing w:line="360" w:lineRule="auto"/>
        <w:rPr>
          <w:rFonts w:hint="eastAsia" w:ascii="宋体" w:hAnsi="宋体" w:cs="宋体"/>
          <w:color w:val="auto"/>
          <w:sz w:val="24"/>
          <w:szCs w:val="24"/>
          <w:highlight w:val="none"/>
        </w:rPr>
      </w:pPr>
      <w:bookmarkStart w:id="282" w:name="_Toc24876"/>
      <w:r>
        <w:rPr>
          <w:rFonts w:hint="eastAsia" w:ascii="宋体" w:hAnsi="宋体" w:cs="宋体"/>
          <w:color w:val="auto"/>
          <w:sz w:val="24"/>
          <w:szCs w:val="24"/>
          <w:highlight w:val="none"/>
        </w:rPr>
        <w:t>1.7 联络</w:t>
      </w:r>
      <w:bookmarkEnd w:id="282"/>
    </w:p>
    <w:p w14:paraId="1C4F88A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1.7.1发包人和承包人应当在</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天内将与合同有关的通知、批准、证明、证书、指示、指令、要求、请求、同意、意见、确定和决定等书面函件送达对方当事人。</w:t>
      </w:r>
    </w:p>
    <w:p w14:paraId="283B7F7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1.7.2 发包人接收文件的地点：</w:t>
      </w:r>
      <w:r>
        <w:rPr>
          <w:rFonts w:hint="eastAsia" w:ascii="宋体" w:hAnsi="宋体" w:cs="宋体"/>
          <w:color w:val="auto"/>
          <w:sz w:val="24"/>
          <w:highlight w:val="none"/>
          <w:u w:val="single"/>
        </w:rPr>
        <w:t xml:space="preserve">       发包人办公室      </w:t>
      </w:r>
      <w:r>
        <w:rPr>
          <w:rFonts w:hint="eastAsia" w:ascii="宋体" w:hAnsi="宋体" w:cs="宋体"/>
          <w:color w:val="auto"/>
          <w:sz w:val="24"/>
          <w:highlight w:val="none"/>
        </w:rPr>
        <w:t>；</w:t>
      </w:r>
    </w:p>
    <w:p w14:paraId="0D2DD11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发包人指定的接收人为：</w:t>
      </w:r>
      <w:r>
        <w:rPr>
          <w:rFonts w:hint="eastAsia" w:ascii="宋体" w:hAnsi="宋体" w:cs="宋体"/>
          <w:color w:val="auto"/>
          <w:sz w:val="24"/>
          <w:highlight w:val="none"/>
          <w:u w:val="single"/>
        </w:rPr>
        <w:t xml:space="preserve">           委派工程师            </w:t>
      </w:r>
      <w:r>
        <w:rPr>
          <w:rFonts w:hint="eastAsia" w:ascii="宋体" w:hAnsi="宋体" w:cs="宋体"/>
          <w:color w:val="auto"/>
          <w:sz w:val="24"/>
          <w:highlight w:val="none"/>
        </w:rPr>
        <w:t>。</w:t>
      </w:r>
    </w:p>
    <w:p w14:paraId="2EA0D11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承包人接收文件的地点：</w:t>
      </w:r>
      <w:r>
        <w:rPr>
          <w:rFonts w:hint="eastAsia" w:ascii="宋体" w:hAnsi="宋体" w:cs="宋体"/>
          <w:color w:val="auto"/>
          <w:sz w:val="24"/>
          <w:highlight w:val="none"/>
          <w:u w:val="single"/>
        </w:rPr>
        <w:t xml:space="preserve">          项目部办公室            </w:t>
      </w:r>
      <w:r>
        <w:rPr>
          <w:rFonts w:hint="eastAsia" w:ascii="宋体" w:hAnsi="宋体" w:cs="宋体"/>
          <w:color w:val="auto"/>
          <w:sz w:val="24"/>
          <w:highlight w:val="none"/>
        </w:rPr>
        <w:t>；</w:t>
      </w:r>
    </w:p>
    <w:p w14:paraId="0300F48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承包人指定的接收人为：</w:t>
      </w:r>
      <w:r>
        <w:rPr>
          <w:rFonts w:hint="eastAsia" w:ascii="宋体" w:hAnsi="宋体" w:cs="宋体"/>
          <w:color w:val="auto"/>
          <w:sz w:val="24"/>
          <w:highlight w:val="none"/>
          <w:u w:val="single"/>
        </w:rPr>
        <w:t xml:space="preserve">           项目经理             </w:t>
      </w:r>
      <w:r>
        <w:rPr>
          <w:rFonts w:hint="eastAsia" w:ascii="宋体" w:hAnsi="宋体" w:cs="宋体"/>
          <w:color w:val="auto"/>
          <w:sz w:val="24"/>
          <w:highlight w:val="none"/>
        </w:rPr>
        <w:t>。</w:t>
      </w:r>
    </w:p>
    <w:p w14:paraId="347CAE6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监理人接收文件的地点：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D89EC4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监理人指定的接收人为：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3E43B2E">
      <w:pPr>
        <w:pStyle w:val="5"/>
        <w:spacing w:line="360" w:lineRule="auto"/>
        <w:rPr>
          <w:rFonts w:hint="eastAsia" w:ascii="宋体" w:hAnsi="宋体" w:cs="宋体"/>
          <w:color w:val="auto"/>
          <w:sz w:val="24"/>
          <w:szCs w:val="24"/>
          <w:highlight w:val="none"/>
        </w:rPr>
      </w:pPr>
      <w:bookmarkStart w:id="283" w:name="_Toc26370"/>
      <w:r>
        <w:rPr>
          <w:rFonts w:hint="eastAsia" w:ascii="宋体" w:hAnsi="宋体" w:cs="宋体"/>
          <w:color w:val="auto"/>
          <w:sz w:val="24"/>
          <w:szCs w:val="24"/>
          <w:highlight w:val="none"/>
        </w:rPr>
        <w:t>1.10 交通运输</w:t>
      </w:r>
      <w:bookmarkEnd w:id="283"/>
    </w:p>
    <w:p w14:paraId="1458743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1.10.1 出入现场的权利</w:t>
      </w:r>
    </w:p>
    <w:p w14:paraId="7525563A">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关于出入现场的权利的约定：</w:t>
      </w:r>
      <w:r>
        <w:rPr>
          <w:rFonts w:hint="eastAsia" w:ascii="宋体" w:hAnsi="宋体" w:cs="宋体"/>
          <w:color w:val="auto"/>
          <w:sz w:val="24"/>
          <w:highlight w:val="none"/>
          <w:u w:val="single"/>
        </w:rPr>
        <w:t xml:space="preserve">发包人协助承包人取得出入施工现场所需的批准手续和全部权利，以及取得因施工所需修建道路、桥梁以及其他基础设施的权利，承包人承担相关手续费用和修建道路、桥梁以及其他基础设施的建设费用，此等费用无论承包人是否在投标报价中单独列支，发包人均认为此项费用包含在投标报价中，由承包人承担此等费用 </w:t>
      </w:r>
      <w:r>
        <w:rPr>
          <w:rFonts w:hint="eastAsia" w:ascii="宋体" w:hAnsi="宋体" w:cs="宋体"/>
          <w:color w:val="auto"/>
          <w:sz w:val="24"/>
          <w:highlight w:val="none"/>
        </w:rPr>
        <w:t>。</w:t>
      </w:r>
    </w:p>
    <w:p w14:paraId="17D8D7C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1.10.3 场内交通</w:t>
      </w:r>
    </w:p>
    <w:p w14:paraId="7BA3393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关于场外交通和场内交通的边界的约定：</w:t>
      </w:r>
      <w:r>
        <w:rPr>
          <w:rFonts w:hint="eastAsia" w:ascii="宋体" w:hAnsi="宋体" w:cs="宋体"/>
          <w:color w:val="auto"/>
          <w:sz w:val="24"/>
          <w:highlight w:val="none"/>
          <w:u w:val="single"/>
        </w:rPr>
        <w:t xml:space="preserve">     以设计红线范围为界     </w:t>
      </w:r>
      <w:r>
        <w:rPr>
          <w:rFonts w:hint="eastAsia" w:ascii="宋体" w:hAnsi="宋体" w:cs="宋体"/>
          <w:color w:val="auto"/>
          <w:sz w:val="24"/>
          <w:highlight w:val="none"/>
        </w:rPr>
        <w:t>。</w:t>
      </w:r>
    </w:p>
    <w:p w14:paraId="281E2E61">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关于发包人向承包人免费提供满足工程施工需要的场内道路和交通设施的约定：</w:t>
      </w:r>
      <w:r>
        <w:rPr>
          <w:rFonts w:hint="eastAsia" w:ascii="宋体" w:hAnsi="宋体" w:cs="宋体"/>
          <w:color w:val="auto"/>
          <w:sz w:val="24"/>
          <w:szCs w:val="24"/>
          <w:highlight w:val="none"/>
          <w:u w:val="single"/>
        </w:rPr>
        <w:t xml:space="preserve">由承包人负责并承担相应费用  </w:t>
      </w:r>
      <w:r>
        <w:rPr>
          <w:rFonts w:hint="eastAsia" w:ascii="宋体" w:hAnsi="宋体" w:cs="宋体"/>
          <w:color w:val="auto"/>
          <w:sz w:val="24"/>
          <w:szCs w:val="24"/>
          <w:highlight w:val="none"/>
        </w:rPr>
        <w:t>。</w:t>
      </w:r>
    </w:p>
    <w:p w14:paraId="13EAE31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1.10.4 超大件和超重件的运输</w:t>
      </w:r>
    </w:p>
    <w:p w14:paraId="742E0196">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运输超大件或超重件所需的道路和桥梁临时加固改造费用和其他有关费用由</w:t>
      </w:r>
      <w:r>
        <w:rPr>
          <w:rFonts w:hint="eastAsia" w:ascii="宋体" w:hAnsi="宋体" w:cs="宋体"/>
          <w:color w:val="auto"/>
          <w:sz w:val="24"/>
          <w:highlight w:val="none"/>
          <w:u w:val="single"/>
        </w:rPr>
        <w:t xml:space="preserve">  承包人 </w:t>
      </w:r>
      <w:r>
        <w:rPr>
          <w:rFonts w:hint="eastAsia" w:ascii="宋体" w:hAnsi="宋体" w:cs="宋体"/>
          <w:color w:val="auto"/>
          <w:sz w:val="24"/>
          <w:highlight w:val="none"/>
        </w:rPr>
        <w:t>承担。</w:t>
      </w:r>
    </w:p>
    <w:p w14:paraId="5F1E365D">
      <w:pPr>
        <w:pStyle w:val="5"/>
        <w:spacing w:line="360" w:lineRule="auto"/>
        <w:rPr>
          <w:rFonts w:hint="eastAsia" w:ascii="宋体" w:hAnsi="宋体" w:cs="宋体"/>
          <w:color w:val="auto"/>
          <w:sz w:val="24"/>
          <w:szCs w:val="24"/>
          <w:highlight w:val="none"/>
        </w:rPr>
      </w:pPr>
      <w:bookmarkStart w:id="284" w:name="_Toc3684"/>
      <w:r>
        <w:rPr>
          <w:rFonts w:hint="eastAsia" w:ascii="宋体" w:hAnsi="宋体" w:cs="宋体"/>
          <w:color w:val="auto"/>
          <w:sz w:val="24"/>
          <w:szCs w:val="24"/>
          <w:highlight w:val="none"/>
        </w:rPr>
        <w:t>1.11 知识产权</w:t>
      </w:r>
      <w:bookmarkEnd w:id="284"/>
    </w:p>
    <w:p w14:paraId="2A172D8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 w:val="24"/>
          <w:highlight w:val="none"/>
          <w:u w:val="single"/>
        </w:rPr>
        <w:t xml:space="preserve"> 发包人 </w:t>
      </w:r>
      <w:r>
        <w:rPr>
          <w:rFonts w:hint="eastAsia" w:ascii="宋体" w:hAnsi="宋体" w:cs="宋体"/>
          <w:color w:val="auto"/>
          <w:sz w:val="24"/>
          <w:highlight w:val="none"/>
        </w:rPr>
        <w:t>。</w:t>
      </w:r>
    </w:p>
    <w:p w14:paraId="71D2450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关于发包人提供的上述文件的使用限制的要求：</w:t>
      </w:r>
      <w:r>
        <w:rPr>
          <w:rFonts w:hint="eastAsia" w:ascii="宋体" w:hAnsi="宋体" w:cs="宋体"/>
          <w:color w:val="auto"/>
          <w:sz w:val="24"/>
          <w:highlight w:val="none"/>
          <w:u w:val="single"/>
        </w:rPr>
        <w:t xml:space="preserve"> 按《通用合同条款》1.11.1 条执行 </w:t>
      </w:r>
      <w:r>
        <w:rPr>
          <w:rFonts w:hint="eastAsia" w:ascii="宋体" w:hAnsi="宋体" w:cs="宋体"/>
          <w:color w:val="auto"/>
          <w:sz w:val="24"/>
          <w:highlight w:val="none"/>
        </w:rPr>
        <w:t>。</w:t>
      </w:r>
    </w:p>
    <w:p w14:paraId="1FC4916A">
      <w:pPr>
        <w:pStyle w:val="374"/>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1.11.2 关于承包人为实施工程所编制文件的著作权的归属：</w:t>
      </w:r>
      <w:r>
        <w:rPr>
          <w:rFonts w:hint="eastAsia" w:ascii="宋体" w:hAnsi="宋体" w:cs="宋体"/>
          <w:color w:val="auto"/>
          <w:sz w:val="24"/>
          <w:szCs w:val="24"/>
          <w:highlight w:val="none"/>
          <w:u w:val="single"/>
        </w:rPr>
        <w:t xml:space="preserve">  除署名权以外的著作权属于发包人  </w:t>
      </w:r>
      <w:r>
        <w:rPr>
          <w:rFonts w:hint="eastAsia" w:ascii="宋体" w:hAnsi="宋体" w:cs="宋体"/>
          <w:color w:val="auto"/>
          <w:sz w:val="24"/>
          <w:szCs w:val="24"/>
          <w:highlight w:val="none"/>
        </w:rPr>
        <w:t>。</w:t>
      </w:r>
    </w:p>
    <w:p w14:paraId="422E5FA8">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关于承包人提供的上述文件的使用限制的要求：</w:t>
      </w:r>
      <w:r>
        <w:rPr>
          <w:rFonts w:hint="eastAsia" w:ascii="宋体" w:hAnsi="宋体" w:cs="宋体"/>
          <w:color w:val="auto"/>
          <w:sz w:val="24"/>
          <w:highlight w:val="none"/>
          <w:u w:val="single"/>
        </w:rPr>
        <w:t xml:space="preserve">  按《通用合同条款》1.11.2 条执行 </w:t>
      </w:r>
      <w:r>
        <w:rPr>
          <w:rFonts w:hint="eastAsia" w:ascii="宋体" w:hAnsi="宋体" w:cs="宋体"/>
          <w:color w:val="auto"/>
          <w:sz w:val="24"/>
          <w:highlight w:val="none"/>
        </w:rPr>
        <w:t>。</w:t>
      </w:r>
    </w:p>
    <w:p w14:paraId="0A76A6EB">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1.11.4 承包人在施工过程中所采用的专利、专有技术、技术秘密的使用费的承担方式：</w:t>
      </w:r>
    </w:p>
    <w:p w14:paraId="37391A07">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 xml:space="preserve">承包人在合同签订前和签订时已确定采用的专利、专有技术、技术秘密的使用费已包含在签约合同价中 </w:t>
      </w:r>
      <w:r>
        <w:rPr>
          <w:rFonts w:hint="eastAsia" w:ascii="宋体" w:hAnsi="宋体" w:cs="宋体"/>
          <w:color w:val="auto"/>
          <w:sz w:val="24"/>
          <w:highlight w:val="none"/>
        </w:rPr>
        <w:t>。</w:t>
      </w:r>
    </w:p>
    <w:p w14:paraId="03D87FD6">
      <w:pPr>
        <w:pStyle w:val="5"/>
        <w:spacing w:line="360" w:lineRule="auto"/>
        <w:rPr>
          <w:rFonts w:hint="eastAsia" w:ascii="宋体" w:hAnsi="宋体" w:cs="宋体"/>
          <w:color w:val="auto"/>
          <w:sz w:val="24"/>
          <w:szCs w:val="24"/>
          <w:highlight w:val="none"/>
        </w:rPr>
      </w:pPr>
      <w:bookmarkStart w:id="285" w:name="_Toc2049"/>
      <w:r>
        <w:rPr>
          <w:rFonts w:hint="eastAsia" w:ascii="宋体" w:hAnsi="宋体" w:cs="宋体"/>
          <w:color w:val="auto"/>
          <w:sz w:val="24"/>
          <w:szCs w:val="24"/>
          <w:highlight w:val="none"/>
        </w:rPr>
        <w:t>1.13工程量清单错误的修正</w:t>
      </w:r>
      <w:bookmarkEnd w:id="285"/>
    </w:p>
    <w:p w14:paraId="6B56EB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出现工程量清单工程量偏差时，是否调整合同价格：</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 xml:space="preserve">是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否</w:t>
      </w:r>
      <w:r>
        <w:rPr>
          <w:rFonts w:hint="eastAsia" w:ascii="宋体" w:hAnsi="宋体" w:cs="宋体"/>
          <w:color w:val="auto"/>
          <w:sz w:val="24"/>
          <w:highlight w:val="none"/>
        </w:rPr>
        <w:t>。</w:t>
      </w:r>
    </w:p>
    <w:p w14:paraId="1DDF33E5">
      <w:pPr>
        <w:spacing w:line="360" w:lineRule="auto"/>
        <w:ind w:firstLine="48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允许调整合同价格的工程量偏差范围及其调整办法：</w:t>
      </w:r>
      <w:r>
        <w:rPr>
          <w:rFonts w:hint="eastAsia" w:ascii="宋体" w:hAnsi="宋体" w:cs="宋体"/>
          <w:color w:val="auto"/>
          <w:sz w:val="24"/>
          <w:highlight w:val="none"/>
          <w:u w:val="single"/>
        </w:rPr>
        <w:t>本工程采用固定综合单价合同，工程量按实际工程量，价格调整按照专用条款11.1执行</w:t>
      </w:r>
    </w:p>
    <w:p w14:paraId="50C670E1">
      <w:pPr>
        <w:pStyle w:val="4"/>
        <w:spacing w:line="360" w:lineRule="auto"/>
        <w:rPr>
          <w:rFonts w:hint="eastAsia" w:ascii="宋体" w:hAnsi="宋体" w:cs="宋体"/>
          <w:color w:val="auto"/>
          <w:sz w:val="24"/>
          <w:szCs w:val="24"/>
          <w:highlight w:val="none"/>
        </w:rPr>
      </w:pPr>
      <w:bookmarkStart w:id="286" w:name="_Toc15500"/>
      <w:r>
        <w:rPr>
          <w:rFonts w:hint="eastAsia" w:ascii="宋体" w:hAnsi="宋体" w:cs="宋体"/>
          <w:color w:val="auto"/>
          <w:sz w:val="24"/>
          <w:szCs w:val="24"/>
          <w:highlight w:val="none"/>
        </w:rPr>
        <w:t>2. 发包人</w:t>
      </w:r>
      <w:bookmarkEnd w:id="286"/>
    </w:p>
    <w:p w14:paraId="3788EB2C">
      <w:pPr>
        <w:pStyle w:val="5"/>
        <w:spacing w:line="360" w:lineRule="auto"/>
        <w:rPr>
          <w:rFonts w:hint="eastAsia" w:ascii="宋体" w:hAnsi="宋体" w:cs="宋体"/>
          <w:color w:val="auto"/>
          <w:sz w:val="24"/>
          <w:szCs w:val="24"/>
          <w:highlight w:val="none"/>
        </w:rPr>
      </w:pPr>
      <w:bookmarkStart w:id="287" w:name="_Toc10418"/>
      <w:r>
        <w:rPr>
          <w:rFonts w:hint="eastAsia" w:ascii="宋体" w:hAnsi="宋体" w:cs="宋体"/>
          <w:color w:val="auto"/>
          <w:sz w:val="24"/>
          <w:szCs w:val="24"/>
          <w:highlight w:val="none"/>
        </w:rPr>
        <w:t>2.2 发包人代表</w:t>
      </w:r>
      <w:bookmarkEnd w:id="287"/>
    </w:p>
    <w:p w14:paraId="23D55D5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发包人代表：</w:t>
      </w:r>
    </w:p>
    <w:p w14:paraId="3BFB579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    </w:t>
      </w:r>
      <w:r>
        <w:rPr>
          <w:rFonts w:hint="eastAsia" w:ascii="宋体" w:hAnsi="宋体" w:cs="宋体"/>
          <w:color w:val="auto"/>
          <w:sz w:val="24"/>
          <w:highlight w:val="none"/>
        </w:rPr>
        <w:t>；</w:t>
      </w:r>
    </w:p>
    <w:p w14:paraId="08CBDFD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u w:val="single"/>
        </w:rPr>
        <w:t>      </w:t>
      </w:r>
      <w:r>
        <w:rPr>
          <w:rFonts w:hint="eastAsia" w:ascii="宋体" w:hAnsi="宋体" w:cs="宋体"/>
          <w:color w:val="auto"/>
          <w:sz w:val="24"/>
          <w:highlight w:val="none"/>
        </w:rPr>
        <w:t>；</w:t>
      </w:r>
    </w:p>
    <w:p w14:paraId="33CCB39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 </w:t>
      </w:r>
      <w:r>
        <w:rPr>
          <w:rFonts w:hint="eastAsia" w:ascii="宋体" w:hAnsi="宋体" w:cs="宋体"/>
          <w:color w:val="auto"/>
          <w:sz w:val="24"/>
          <w:highlight w:val="none"/>
        </w:rPr>
        <w:t>；</w:t>
      </w:r>
    </w:p>
    <w:p w14:paraId="584DBE1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     </w:t>
      </w:r>
      <w:r>
        <w:rPr>
          <w:rFonts w:hint="eastAsia" w:ascii="宋体" w:hAnsi="宋体" w:cs="宋体"/>
          <w:color w:val="auto"/>
          <w:sz w:val="24"/>
          <w:highlight w:val="none"/>
        </w:rPr>
        <w:t>；</w:t>
      </w:r>
    </w:p>
    <w:p w14:paraId="4D3145D6">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     </w:t>
      </w:r>
      <w:r>
        <w:rPr>
          <w:rFonts w:hint="eastAsia" w:ascii="宋体" w:hAnsi="宋体" w:cs="宋体"/>
          <w:color w:val="auto"/>
          <w:sz w:val="24"/>
          <w:highlight w:val="none"/>
        </w:rPr>
        <w:t>；</w:t>
      </w:r>
    </w:p>
    <w:p w14:paraId="6BBBCB7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通信地址：</w:t>
      </w:r>
      <w:r>
        <w:rPr>
          <w:rFonts w:hint="eastAsia" w:ascii="宋体" w:hAnsi="宋体" w:cs="宋体"/>
          <w:color w:val="auto"/>
          <w:sz w:val="24"/>
          <w:highlight w:val="none"/>
          <w:u w:val="single"/>
        </w:rPr>
        <w:t>    </w:t>
      </w:r>
      <w:r>
        <w:rPr>
          <w:rFonts w:hint="eastAsia" w:ascii="宋体" w:hAnsi="宋体" w:cs="宋体"/>
          <w:color w:val="auto"/>
          <w:sz w:val="24"/>
          <w:highlight w:val="none"/>
        </w:rPr>
        <w:t>。</w:t>
      </w:r>
    </w:p>
    <w:p w14:paraId="44A28081">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发包人对发包人代表的授权范围如下：</w:t>
      </w:r>
      <w:r>
        <w:rPr>
          <w:rFonts w:hint="eastAsia" w:ascii="宋体" w:hAnsi="宋体" w:cs="宋体"/>
          <w:color w:val="auto"/>
          <w:sz w:val="24"/>
          <w:highlight w:val="none"/>
          <w:u w:val="single"/>
        </w:rPr>
        <w:t xml:space="preserve">（1）对承包人的工作进行监督、检查；（2）按照合同约定，代表发包人履行其权利和义务；（3）协调有关政府主管部门。 </w:t>
      </w:r>
    </w:p>
    <w:p w14:paraId="6240D9B5">
      <w:pPr>
        <w:pStyle w:val="5"/>
        <w:spacing w:line="360" w:lineRule="auto"/>
        <w:rPr>
          <w:rFonts w:hint="eastAsia" w:ascii="宋体" w:hAnsi="宋体" w:cs="宋体"/>
          <w:color w:val="auto"/>
          <w:sz w:val="24"/>
          <w:szCs w:val="24"/>
          <w:highlight w:val="none"/>
        </w:rPr>
      </w:pPr>
      <w:bookmarkStart w:id="288" w:name="_Toc15642"/>
      <w:r>
        <w:rPr>
          <w:rFonts w:hint="eastAsia" w:ascii="宋体" w:hAnsi="宋体" w:cs="宋体"/>
          <w:color w:val="auto"/>
          <w:sz w:val="24"/>
          <w:szCs w:val="24"/>
          <w:highlight w:val="none"/>
        </w:rPr>
        <w:t>2.4 施工现场、施工条件和基础资料的提供</w:t>
      </w:r>
      <w:bookmarkEnd w:id="288"/>
    </w:p>
    <w:p w14:paraId="2E2FB2A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2.4.1 提供施工现场</w:t>
      </w:r>
    </w:p>
    <w:p w14:paraId="7ED4BE2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关于发包人移交施工现场的期限要求：</w:t>
      </w:r>
      <w:r>
        <w:rPr>
          <w:rFonts w:hint="eastAsia" w:ascii="宋体" w:hAnsi="宋体" w:cs="宋体"/>
          <w:color w:val="auto"/>
          <w:sz w:val="24"/>
          <w:highlight w:val="none"/>
          <w:u w:val="single"/>
        </w:rPr>
        <w:t xml:space="preserve">     开工7日前移交         </w:t>
      </w:r>
      <w:r>
        <w:rPr>
          <w:rFonts w:hint="eastAsia" w:ascii="宋体" w:hAnsi="宋体" w:cs="宋体"/>
          <w:color w:val="auto"/>
          <w:sz w:val="24"/>
          <w:highlight w:val="none"/>
        </w:rPr>
        <w:t>。</w:t>
      </w:r>
    </w:p>
    <w:p w14:paraId="219E998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2.4.2 提供施工条件</w:t>
      </w:r>
    </w:p>
    <w:p w14:paraId="5A68CDCE">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关于发包人应负责提供施工所需要的条件，包括：</w:t>
      </w:r>
      <w:r>
        <w:rPr>
          <w:rFonts w:hint="eastAsia" w:ascii="宋体" w:hAnsi="宋体" w:cs="宋体"/>
          <w:color w:val="auto"/>
          <w:sz w:val="24"/>
          <w:highlight w:val="none"/>
          <w:u w:val="single"/>
        </w:rPr>
        <w:t xml:space="preserve">   施工所需电接点和水接点由发包人提供，接点至施工现场段管道/管线、计量设备由承包人自行解决，电讯线路的开通由承包人自行解决并承担费用；承包人使用的水、电、通讯费用由承包人负责。若供电部门的原因造成停电，承包人必须自行解决施工用电，费用由承包人负责 </w:t>
      </w:r>
      <w:r>
        <w:rPr>
          <w:rFonts w:hint="eastAsia" w:ascii="宋体" w:hAnsi="宋体" w:cs="宋体"/>
          <w:color w:val="auto"/>
          <w:sz w:val="24"/>
          <w:highlight w:val="none"/>
        </w:rPr>
        <w:t>。</w:t>
      </w:r>
    </w:p>
    <w:p w14:paraId="10DF778F">
      <w:pPr>
        <w:pStyle w:val="5"/>
        <w:spacing w:line="360" w:lineRule="auto"/>
        <w:rPr>
          <w:rFonts w:hint="eastAsia" w:ascii="宋体" w:hAnsi="宋体" w:cs="宋体"/>
          <w:color w:val="auto"/>
          <w:sz w:val="24"/>
          <w:szCs w:val="24"/>
          <w:highlight w:val="none"/>
        </w:rPr>
      </w:pPr>
      <w:bookmarkStart w:id="289" w:name="_Toc21194"/>
      <w:r>
        <w:rPr>
          <w:rFonts w:hint="eastAsia" w:ascii="宋体" w:hAnsi="宋体" w:cs="宋体"/>
          <w:color w:val="auto"/>
          <w:sz w:val="24"/>
          <w:szCs w:val="24"/>
          <w:highlight w:val="none"/>
        </w:rPr>
        <w:t>2.5 资金来源证明及支付担保</w:t>
      </w:r>
      <w:bookmarkEnd w:id="289"/>
    </w:p>
    <w:p w14:paraId="18EE19C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发包人提供资金来源证明的期限要求：</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484E9830">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发包人是否提供支付担保：</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078C5F5E">
      <w:pPr>
        <w:pStyle w:val="4"/>
        <w:spacing w:line="360" w:lineRule="auto"/>
        <w:rPr>
          <w:rFonts w:hint="eastAsia" w:ascii="宋体" w:hAnsi="宋体" w:cs="宋体"/>
          <w:color w:val="auto"/>
          <w:sz w:val="24"/>
          <w:szCs w:val="24"/>
          <w:highlight w:val="none"/>
        </w:rPr>
      </w:pPr>
      <w:bookmarkStart w:id="290" w:name="_Toc16566"/>
      <w:r>
        <w:rPr>
          <w:rFonts w:hint="eastAsia" w:ascii="宋体" w:hAnsi="宋体" w:cs="宋体"/>
          <w:color w:val="auto"/>
          <w:sz w:val="24"/>
          <w:szCs w:val="24"/>
          <w:highlight w:val="none"/>
        </w:rPr>
        <w:t>3. 承包人</w:t>
      </w:r>
      <w:bookmarkEnd w:id="290"/>
    </w:p>
    <w:p w14:paraId="2C98DE75">
      <w:pPr>
        <w:pStyle w:val="5"/>
        <w:spacing w:line="360" w:lineRule="auto"/>
        <w:rPr>
          <w:rFonts w:hint="eastAsia" w:ascii="宋体" w:hAnsi="宋体" w:cs="宋体"/>
          <w:color w:val="auto"/>
          <w:sz w:val="24"/>
          <w:szCs w:val="24"/>
          <w:highlight w:val="none"/>
        </w:rPr>
      </w:pPr>
      <w:bookmarkStart w:id="291" w:name="_Toc13032"/>
      <w:r>
        <w:rPr>
          <w:rFonts w:hint="eastAsia" w:ascii="宋体" w:hAnsi="宋体" w:cs="宋体"/>
          <w:color w:val="auto"/>
          <w:sz w:val="24"/>
          <w:szCs w:val="24"/>
          <w:highlight w:val="none"/>
        </w:rPr>
        <w:t>3.1 承包人的一般义务</w:t>
      </w:r>
      <w:bookmarkEnd w:id="291"/>
    </w:p>
    <w:p w14:paraId="2998092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（9）承包人提交的竣工资料的内容：</w:t>
      </w:r>
    </w:p>
    <w:p w14:paraId="3B02F8D4">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 xml:space="preserve"> 提供符合法律规定和合同约定及工程所在地行政质检监督部门要求的竣工图及竣工资料  </w:t>
      </w:r>
      <w:r>
        <w:rPr>
          <w:rFonts w:hint="eastAsia" w:ascii="宋体" w:hAnsi="宋体" w:cs="宋体"/>
          <w:color w:val="auto"/>
          <w:sz w:val="24"/>
          <w:highlight w:val="none"/>
        </w:rPr>
        <w:t>。</w:t>
      </w:r>
    </w:p>
    <w:p w14:paraId="1DB687D5">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承包人需要提交的竣工资料套数：</w:t>
      </w:r>
      <w:r>
        <w:rPr>
          <w:rFonts w:hint="eastAsia" w:ascii="宋体" w:hAnsi="宋体" w:cs="宋体"/>
          <w:color w:val="auto"/>
          <w:sz w:val="24"/>
          <w:szCs w:val="24"/>
          <w:highlight w:val="none"/>
          <w:u w:val="single"/>
        </w:rPr>
        <w:t xml:space="preserve"> 六套竣工图、六套竣工资料和电子版竣工图及资料光盘贰张</w:t>
      </w:r>
      <w:r>
        <w:rPr>
          <w:rFonts w:hint="eastAsia" w:ascii="宋体" w:hAnsi="宋体" w:cs="宋体"/>
          <w:color w:val="auto"/>
          <w:sz w:val="24"/>
          <w:szCs w:val="24"/>
          <w:highlight w:val="none"/>
        </w:rPr>
        <w:t>。</w:t>
      </w:r>
    </w:p>
    <w:p w14:paraId="71307BD5">
      <w:pPr>
        <w:spacing w:line="360" w:lineRule="auto"/>
        <w:ind w:left="424"/>
        <w:jc w:val="left"/>
        <w:rPr>
          <w:rFonts w:hint="eastAsia" w:ascii="宋体" w:hAnsi="宋体" w:cs="宋体"/>
          <w:color w:val="auto"/>
          <w:sz w:val="24"/>
          <w:highlight w:val="none"/>
        </w:rPr>
      </w:pPr>
      <w:r>
        <w:rPr>
          <w:rFonts w:hint="eastAsia" w:ascii="宋体" w:hAnsi="宋体" w:cs="宋体"/>
          <w:color w:val="auto"/>
          <w:sz w:val="24"/>
          <w:highlight w:val="none"/>
        </w:rPr>
        <w:t>承包人提交的竣工资料的费用承担：</w:t>
      </w:r>
      <w:r>
        <w:rPr>
          <w:rFonts w:hint="eastAsia" w:ascii="宋体" w:hAnsi="宋体" w:cs="宋体"/>
          <w:color w:val="auto"/>
          <w:sz w:val="24"/>
          <w:highlight w:val="none"/>
          <w:u w:val="single"/>
        </w:rPr>
        <w:t xml:space="preserve">  由承包人承担 </w:t>
      </w:r>
      <w:r>
        <w:rPr>
          <w:rFonts w:hint="eastAsia" w:ascii="宋体" w:hAnsi="宋体" w:cs="宋体"/>
          <w:color w:val="auto"/>
          <w:sz w:val="24"/>
          <w:highlight w:val="none"/>
        </w:rPr>
        <w:t>。</w:t>
      </w:r>
    </w:p>
    <w:p w14:paraId="52C0E2EC">
      <w:pPr>
        <w:spacing w:line="360" w:lineRule="auto"/>
        <w:ind w:left="424"/>
        <w:jc w:val="left"/>
        <w:rPr>
          <w:rFonts w:hint="eastAsia" w:ascii="宋体" w:hAnsi="宋体" w:cs="宋体"/>
          <w:color w:val="auto"/>
          <w:sz w:val="24"/>
          <w:highlight w:val="none"/>
        </w:rPr>
      </w:pPr>
      <w:r>
        <w:rPr>
          <w:rFonts w:hint="eastAsia" w:ascii="宋体" w:hAnsi="宋体" w:cs="宋体"/>
          <w:color w:val="auto"/>
          <w:sz w:val="24"/>
          <w:highlight w:val="none"/>
        </w:rPr>
        <w:t>承包人提交的竣工资料移交时间：</w:t>
      </w:r>
      <w:r>
        <w:rPr>
          <w:rFonts w:hint="eastAsia" w:ascii="宋体" w:hAnsi="宋体" w:cs="宋体"/>
          <w:color w:val="auto"/>
          <w:sz w:val="24"/>
          <w:highlight w:val="none"/>
          <w:u w:val="single"/>
        </w:rPr>
        <w:t xml:space="preserve">    竣工验收前   </w:t>
      </w:r>
      <w:r>
        <w:rPr>
          <w:rFonts w:hint="eastAsia" w:ascii="宋体" w:hAnsi="宋体" w:cs="宋体"/>
          <w:color w:val="auto"/>
          <w:sz w:val="24"/>
          <w:highlight w:val="none"/>
        </w:rPr>
        <w:t>。</w:t>
      </w:r>
    </w:p>
    <w:p w14:paraId="0E75A01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承包人提交的竣工资料形式要求：</w:t>
      </w:r>
      <w:r>
        <w:rPr>
          <w:rFonts w:hint="eastAsia" w:ascii="宋体" w:hAnsi="宋体" w:cs="宋体"/>
          <w:color w:val="auto"/>
          <w:sz w:val="24"/>
          <w:highlight w:val="none"/>
          <w:u w:val="single"/>
        </w:rPr>
        <w:t xml:space="preserve">        书面形式和电子文件    </w:t>
      </w:r>
      <w:r>
        <w:rPr>
          <w:rFonts w:hint="eastAsia" w:ascii="宋体" w:hAnsi="宋体" w:cs="宋体"/>
          <w:color w:val="auto"/>
          <w:sz w:val="24"/>
          <w:highlight w:val="none"/>
        </w:rPr>
        <w:t>。</w:t>
      </w:r>
    </w:p>
    <w:p w14:paraId="02C0CB9D">
      <w:pPr>
        <w:pStyle w:val="374"/>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（10）承包人应履行的其他义务：</w:t>
      </w:r>
      <w:r>
        <w:rPr>
          <w:rFonts w:hint="eastAsia" w:ascii="宋体" w:hAnsi="宋体" w:cs="宋体"/>
          <w:color w:val="auto"/>
          <w:sz w:val="24"/>
          <w:szCs w:val="24"/>
          <w:highlight w:val="none"/>
          <w:u w:val="single"/>
        </w:rPr>
        <w:t xml:space="preserve"> ①承包人应按发包人的指令，完成发包人要求的对工程内容的任何增加和删减。③承包人应按照政府相关规定，建立健全的雇员工资发放和劳动保障制度。如因雇员的工资发放和劳动保障制度不健全而引发纠纷，导致民工围堵发包人等的，发包人有权解除合同，并要求承包人退场并赔偿发包人的经济损失。④承包人使用的临时用水、临时用电等设施在合同执行期间，如发包人要求为与本合同相关的其他承包人提供分表接口的，承包人应予无条件同意。⑤如承包人进入居民住宅区施工，做好现场安全文明施工及已有成品保护工作。现场运输材料、堆放材料等造成的路面的污染，承包人应该有专人负责跟踪打扫；居民住宅区的绿化、市政等公用设施做好施工期间的保护工作；现场施工及生活产生的垃圾应该每天有人清除；不允许在园区道路上搅拌砼及砂浆。⑥必须遵守居民社区的相关制度,服从工程所在地行业行政主管部门对施工现场生活区、作业区、办公区的市政管理、施工现场管理、卫生管理等规定。</w:t>
      </w:r>
    </w:p>
    <w:p w14:paraId="08763466">
      <w:pPr>
        <w:pStyle w:val="5"/>
        <w:spacing w:line="360" w:lineRule="auto"/>
        <w:rPr>
          <w:rFonts w:hint="eastAsia" w:ascii="宋体" w:hAnsi="宋体" w:cs="宋体"/>
          <w:color w:val="auto"/>
          <w:sz w:val="24"/>
          <w:szCs w:val="24"/>
          <w:highlight w:val="none"/>
        </w:rPr>
      </w:pPr>
      <w:bookmarkStart w:id="292" w:name="_Toc3484"/>
      <w:r>
        <w:rPr>
          <w:rFonts w:hint="eastAsia" w:ascii="宋体" w:hAnsi="宋体" w:cs="宋体"/>
          <w:color w:val="auto"/>
          <w:sz w:val="24"/>
          <w:szCs w:val="24"/>
          <w:highlight w:val="none"/>
        </w:rPr>
        <w:t>3.2 项目经理</w:t>
      </w:r>
      <w:bookmarkEnd w:id="292"/>
    </w:p>
    <w:p w14:paraId="73E3DBE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3.2.1 项目经理：</w:t>
      </w:r>
    </w:p>
    <w:p w14:paraId="0BCF189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w:t>
      </w:r>
      <w:r>
        <w:rPr>
          <w:rFonts w:hint="eastAsia" w:ascii="宋体" w:hAnsi="宋体" w:cs="宋体"/>
          <w:color w:val="auto"/>
          <w:sz w:val="24"/>
          <w:highlight w:val="none"/>
        </w:rPr>
        <w:t>；</w:t>
      </w:r>
    </w:p>
    <w:p w14:paraId="020EFC1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u w:val="single"/>
        </w:rPr>
        <w:t> </w:t>
      </w:r>
      <w:r>
        <w:rPr>
          <w:rFonts w:hint="eastAsia" w:ascii="宋体" w:hAnsi="宋体" w:cs="宋体"/>
          <w:color w:val="auto"/>
          <w:sz w:val="24"/>
          <w:highlight w:val="none"/>
        </w:rPr>
        <w:t>；</w:t>
      </w:r>
    </w:p>
    <w:p w14:paraId="07FDC96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建造师执业资格等级：</w:t>
      </w:r>
      <w:r>
        <w:rPr>
          <w:rFonts w:hint="eastAsia" w:ascii="宋体" w:hAnsi="宋体" w:cs="宋体"/>
          <w:color w:val="auto"/>
          <w:sz w:val="24"/>
          <w:highlight w:val="none"/>
          <w:u w:val="single"/>
        </w:rPr>
        <w:t> </w:t>
      </w:r>
      <w:r>
        <w:rPr>
          <w:rFonts w:hint="eastAsia" w:ascii="宋体" w:hAnsi="宋体" w:cs="宋体"/>
          <w:color w:val="auto"/>
          <w:sz w:val="24"/>
          <w:highlight w:val="none"/>
        </w:rPr>
        <w:t>；</w:t>
      </w:r>
    </w:p>
    <w:p w14:paraId="2364B98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建造师注册证书号：</w:t>
      </w:r>
      <w:r>
        <w:rPr>
          <w:rFonts w:hint="eastAsia" w:ascii="宋体" w:hAnsi="宋体" w:cs="宋体"/>
          <w:color w:val="auto"/>
          <w:sz w:val="24"/>
          <w:highlight w:val="none"/>
          <w:u w:val="single"/>
        </w:rPr>
        <w:t> </w:t>
      </w:r>
      <w:r>
        <w:rPr>
          <w:rFonts w:hint="eastAsia" w:ascii="宋体" w:hAnsi="宋体" w:cs="宋体"/>
          <w:color w:val="auto"/>
          <w:sz w:val="24"/>
          <w:highlight w:val="none"/>
        </w:rPr>
        <w:t>；</w:t>
      </w:r>
    </w:p>
    <w:p w14:paraId="560B068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安全生产考核合格证书号：</w:t>
      </w:r>
      <w:r>
        <w:rPr>
          <w:rFonts w:hint="eastAsia" w:ascii="宋体" w:hAnsi="宋体" w:cs="宋体"/>
          <w:color w:val="auto"/>
          <w:sz w:val="24"/>
          <w:highlight w:val="none"/>
          <w:u w:val="single"/>
        </w:rPr>
        <w:t> </w:t>
      </w:r>
      <w:r>
        <w:rPr>
          <w:rFonts w:hint="eastAsia" w:ascii="宋体" w:hAnsi="宋体" w:cs="宋体"/>
          <w:color w:val="auto"/>
          <w:sz w:val="24"/>
          <w:highlight w:val="none"/>
        </w:rPr>
        <w:t>；</w:t>
      </w:r>
    </w:p>
    <w:p w14:paraId="17E45B79">
      <w:pPr>
        <w:pStyle w:val="38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r>
        <w:rPr>
          <w:rFonts w:hint="eastAsia" w:ascii="宋体" w:hAnsi="宋体" w:cs="宋体"/>
          <w:color w:val="auto"/>
          <w:sz w:val="24"/>
          <w:szCs w:val="24"/>
          <w:highlight w:val="none"/>
          <w:u w:val="single"/>
        </w:rPr>
        <w:t> </w:t>
      </w:r>
      <w:r>
        <w:rPr>
          <w:rFonts w:hint="eastAsia" w:ascii="宋体" w:hAnsi="宋体" w:cs="宋体"/>
          <w:color w:val="auto"/>
          <w:sz w:val="24"/>
          <w:szCs w:val="24"/>
          <w:highlight w:val="none"/>
        </w:rPr>
        <w:t>；</w:t>
      </w:r>
    </w:p>
    <w:p w14:paraId="59B3E7A9">
      <w:pPr>
        <w:pStyle w:val="38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电子信箱：</w:t>
      </w:r>
      <w:r>
        <w:rPr>
          <w:rFonts w:hint="eastAsia" w:ascii="宋体" w:hAnsi="宋体" w:cs="宋体"/>
          <w:color w:val="auto"/>
          <w:sz w:val="24"/>
          <w:szCs w:val="24"/>
          <w:highlight w:val="none"/>
          <w:u w:val="single"/>
        </w:rPr>
        <w:t> </w:t>
      </w:r>
      <w:r>
        <w:rPr>
          <w:rFonts w:hint="eastAsia" w:ascii="宋体" w:hAnsi="宋体" w:cs="宋体"/>
          <w:color w:val="auto"/>
          <w:sz w:val="24"/>
          <w:szCs w:val="24"/>
          <w:highlight w:val="none"/>
        </w:rPr>
        <w:t>；</w:t>
      </w:r>
    </w:p>
    <w:p w14:paraId="65528383">
      <w:pPr>
        <w:pStyle w:val="374"/>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通信地址：</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w:t>
      </w:r>
    </w:p>
    <w:p w14:paraId="1EF8F7DE">
      <w:pPr>
        <w:pStyle w:val="374"/>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承包人对项目经理的授权范围如下：  </w:t>
      </w:r>
      <w:r>
        <w:rPr>
          <w:rFonts w:hint="eastAsia" w:ascii="宋体" w:hAnsi="宋体" w:cs="宋体"/>
          <w:color w:val="auto"/>
          <w:sz w:val="24"/>
          <w:szCs w:val="24"/>
          <w:highlight w:val="none"/>
          <w:u w:val="single"/>
        </w:rPr>
        <w:t>项目经理为承包人法定代表人在该项目上的代表人，负责本工程施工过程</w:t>
      </w:r>
      <w:r>
        <w:rPr>
          <w:rFonts w:hint="eastAsia" w:ascii="宋体" w:hAnsi="宋体" w:cs="宋体"/>
          <w:color w:val="auto"/>
          <w:sz w:val="24"/>
          <w:szCs w:val="24"/>
          <w:highlight w:val="none"/>
          <w:u w:val="single"/>
          <w:lang w:eastAsia="zh-CN"/>
        </w:rPr>
        <w:t>中</w:t>
      </w:r>
      <w:r>
        <w:rPr>
          <w:rFonts w:hint="eastAsia" w:ascii="宋体" w:hAnsi="宋体" w:cs="宋体"/>
          <w:color w:val="auto"/>
          <w:sz w:val="24"/>
          <w:szCs w:val="24"/>
          <w:highlight w:val="none"/>
          <w:u w:val="single"/>
        </w:rPr>
        <w:t xml:space="preserve">的一切事务，项目经理仅限于本工程的现场施工管理，未经承包人签字盖章同意不得以承包人名义代收工程款、变更合同约定、向外采购材料设备、租用建筑周围材料、雇佣劳动力、签订分包合同等一切为承包人设立义务或责任的行为 </w:t>
      </w:r>
      <w:r>
        <w:rPr>
          <w:rFonts w:hint="eastAsia" w:ascii="宋体" w:hAnsi="宋体" w:cs="宋体"/>
          <w:color w:val="auto"/>
          <w:sz w:val="24"/>
          <w:szCs w:val="24"/>
          <w:highlight w:val="none"/>
        </w:rPr>
        <w:t>。</w:t>
      </w:r>
    </w:p>
    <w:p w14:paraId="2FBCF35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关于项目经理每月在施工现场的时间要求：</w:t>
      </w:r>
      <w:r>
        <w:rPr>
          <w:rFonts w:hint="eastAsia" w:ascii="宋体" w:hAnsi="宋体" w:cs="宋体"/>
          <w:color w:val="auto"/>
          <w:sz w:val="24"/>
          <w:highlight w:val="none"/>
          <w:u w:val="single"/>
        </w:rPr>
        <w:t>项目经理不少于 24 日历天，未达到的每少一天罚1000元，按月考核， 发包人可从应向承包人支付的款项中扣除此项违约金或其他方式回收此款；项目经理不到位累计达 5 天的，发包人及监理人给予警告，累计达 10 天及以上的，发包人有权终止合同，由此引起的损失由承包人承担</w:t>
      </w:r>
      <w:r>
        <w:rPr>
          <w:rFonts w:hint="eastAsia" w:ascii="宋体" w:hAnsi="宋体" w:cs="宋体"/>
          <w:color w:val="auto"/>
          <w:sz w:val="24"/>
          <w:highlight w:val="none"/>
        </w:rPr>
        <w:t>。</w:t>
      </w:r>
    </w:p>
    <w:p w14:paraId="68790C5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承包人未提交劳动合同，以及没有为项目经理缴纳社会保险证明的违约责任：</w:t>
      </w:r>
      <w:r>
        <w:rPr>
          <w:rFonts w:hint="eastAsia" w:ascii="宋体" w:hAnsi="宋体" w:cs="宋体"/>
          <w:color w:val="auto"/>
          <w:sz w:val="24"/>
          <w:highlight w:val="none"/>
          <w:u w:val="single"/>
        </w:rPr>
        <w:t xml:space="preserve"> 由承包人自行承担相关责任</w:t>
      </w:r>
      <w:r>
        <w:rPr>
          <w:rFonts w:hint="eastAsia" w:ascii="宋体" w:hAnsi="宋体" w:cs="宋体"/>
          <w:color w:val="auto"/>
          <w:sz w:val="24"/>
          <w:highlight w:val="none"/>
        </w:rPr>
        <w:t>。</w:t>
      </w:r>
    </w:p>
    <w:p w14:paraId="386354B8">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项目经理未经批准，擅自离开施工现场的违约责任：</w:t>
      </w:r>
      <w:r>
        <w:rPr>
          <w:rFonts w:hint="eastAsia" w:ascii="宋体" w:hAnsi="宋体" w:cs="宋体"/>
          <w:color w:val="auto"/>
          <w:sz w:val="24"/>
          <w:highlight w:val="none"/>
          <w:u w:val="single"/>
        </w:rPr>
        <w:t xml:space="preserve">项目经理每月在岗带班时间不得少于当月施工时间的80%。未经发包人同意或正当理由，项目经理每月在岗带班时间少于当月施工时间80%的，少在岗带班一天，发包人有权处违约金1000元/日（人民币）  </w:t>
      </w:r>
      <w:r>
        <w:rPr>
          <w:rFonts w:hint="eastAsia" w:ascii="宋体" w:hAnsi="宋体" w:cs="宋体"/>
          <w:color w:val="auto"/>
          <w:sz w:val="24"/>
          <w:highlight w:val="none"/>
        </w:rPr>
        <w:t>。</w:t>
      </w:r>
    </w:p>
    <w:p w14:paraId="36C1C402">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3.2.3 承包人擅自更换项目经理的违约责任：</w:t>
      </w:r>
      <w:r>
        <w:rPr>
          <w:rFonts w:hint="eastAsia" w:ascii="宋体" w:hAnsi="宋体" w:cs="宋体"/>
          <w:color w:val="auto"/>
          <w:sz w:val="24"/>
          <w:highlight w:val="none"/>
          <w:u w:val="single"/>
        </w:rPr>
        <w:t>承包人项目经理必须与承包人投标时所承诺的人员一致，并在开工日期前到</w:t>
      </w:r>
      <w:r>
        <w:rPr>
          <w:rFonts w:hint="eastAsia" w:ascii="宋体" w:hAnsi="宋体" w:cs="宋体"/>
          <w:color w:val="auto"/>
          <w:sz w:val="24"/>
          <w:highlight w:val="none"/>
        </w:rPr>
        <w:t xml:space="preserve">任。在监理人向承包人颁发 </w:t>
      </w:r>
      <w:r>
        <w:rPr>
          <w:rFonts w:hint="eastAsia" w:ascii="宋体" w:hAnsi="宋体" w:cs="宋体"/>
          <w:color w:val="auto"/>
          <w:sz w:val="24"/>
          <w:highlight w:val="none"/>
          <w:u w:val="single"/>
        </w:rPr>
        <w:t xml:space="preserve">   （竣工证明材料名称）   </w:t>
      </w:r>
      <w:r>
        <w:rPr>
          <w:rFonts w:hint="eastAsia" w:ascii="宋体" w:hAnsi="宋体" w:cs="宋体"/>
          <w:color w:val="auto"/>
          <w:sz w:val="24"/>
          <w:highlight w:val="none"/>
        </w:rPr>
        <w:t xml:space="preserve">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w:t>
      </w:r>
      <w:r>
        <w:rPr>
          <w:rFonts w:hint="eastAsia" w:ascii="宋体" w:hAnsi="宋体" w:cs="宋体"/>
          <w:color w:val="auto"/>
          <w:sz w:val="24"/>
          <w:highlight w:val="none"/>
          <w:u w:val="single"/>
        </w:rPr>
        <w:t xml:space="preserve"> 1000</w:t>
      </w:r>
      <w:r>
        <w:rPr>
          <w:rFonts w:hint="eastAsia" w:ascii="宋体" w:hAnsi="宋体" w:cs="宋体"/>
          <w:color w:val="auto"/>
          <w:sz w:val="24"/>
          <w:highlight w:val="none"/>
        </w:rPr>
        <w:t>元/人•次（人民币）。</w:t>
      </w:r>
    </w:p>
    <w:p w14:paraId="21D48DC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3.2.4 承包人无正当理由拒绝更换项目经理的违约责任：</w:t>
      </w:r>
      <w:r>
        <w:rPr>
          <w:rFonts w:hint="eastAsia" w:ascii="宋体" w:hAnsi="宋体" w:cs="宋体"/>
          <w:color w:val="auto"/>
          <w:sz w:val="24"/>
          <w:highlight w:val="none"/>
          <w:u w:val="single"/>
        </w:rPr>
        <w:t>因承包人项目经理不称职，发包人要求调换而未及时调换的（超过5天不更换到位），视为承包人违约，必须向发包人交纳处罚金1000元/人•次（人民币）</w:t>
      </w:r>
      <w:r>
        <w:rPr>
          <w:rFonts w:hint="eastAsia" w:ascii="宋体" w:hAnsi="宋体" w:cs="宋体"/>
          <w:color w:val="auto"/>
          <w:sz w:val="24"/>
          <w:highlight w:val="none"/>
        </w:rPr>
        <w:t>。</w:t>
      </w:r>
    </w:p>
    <w:p w14:paraId="1E8FC3A3">
      <w:pPr>
        <w:pStyle w:val="5"/>
        <w:spacing w:line="360" w:lineRule="auto"/>
        <w:rPr>
          <w:rFonts w:hint="eastAsia" w:ascii="宋体" w:hAnsi="宋体" w:cs="宋体"/>
          <w:color w:val="auto"/>
          <w:sz w:val="24"/>
          <w:szCs w:val="24"/>
          <w:highlight w:val="none"/>
        </w:rPr>
      </w:pPr>
      <w:bookmarkStart w:id="293" w:name="_Toc31251"/>
      <w:r>
        <w:rPr>
          <w:rFonts w:hint="eastAsia" w:ascii="宋体" w:hAnsi="宋体" w:cs="宋体"/>
          <w:color w:val="auto"/>
          <w:sz w:val="24"/>
          <w:szCs w:val="24"/>
          <w:highlight w:val="none"/>
        </w:rPr>
        <w:t>3.3 承包人人员</w:t>
      </w:r>
      <w:bookmarkEnd w:id="293"/>
    </w:p>
    <w:p w14:paraId="6026B8D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3.3.1 承包人提交项目管理机构及施工现场管理人员安排报告（格式见合同附件5）的期限：</w:t>
      </w:r>
      <w:r>
        <w:rPr>
          <w:rFonts w:hint="eastAsia" w:ascii="宋体" w:hAnsi="宋体" w:cs="宋体"/>
          <w:color w:val="auto"/>
          <w:sz w:val="24"/>
          <w:highlight w:val="none"/>
          <w:u w:val="single"/>
        </w:rPr>
        <w:t xml:space="preserve"> 开工日期前 7 天   </w:t>
      </w:r>
      <w:r>
        <w:rPr>
          <w:rFonts w:hint="eastAsia" w:ascii="宋体" w:hAnsi="宋体" w:cs="宋体"/>
          <w:color w:val="auto"/>
          <w:sz w:val="24"/>
          <w:highlight w:val="none"/>
        </w:rPr>
        <w:t>。</w:t>
      </w:r>
    </w:p>
    <w:p w14:paraId="7C2AF6D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3.3.3 承包人无正当理由拒绝撤换主要施工管理人员的违约责任：</w:t>
      </w:r>
      <w:r>
        <w:rPr>
          <w:rFonts w:hint="eastAsia" w:ascii="宋体" w:hAnsi="宋体" w:cs="宋体"/>
          <w:color w:val="auto"/>
          <w:sz w:val="24"/>
          <w:highlight w:val="none"/>
          <w:u w:val="single"/>
        </w:rPr>
        <w:t>因承包人主要施工管理人员不称职，发包人要求调换而无正当理由拒绝撤换或未及时调换的，视为承包人违约，必须向发包人交纳处罚金，处罚标准：技术负责人 1000元/人•次（人民币）；专业工程师 1000 元/人•次（人民币）</w:t>
      </w:r>
      <w:r>
        <w:rPr>
          <w:rFonts w:hint="eastAsia" w:ascii="宋体" w:hAnsi="宋体" w:cs="宋体"/>
          <w:color w:val="auto"/>
          <w:sz w:val="24"/>
          <w:highlight w:val="none"/>
        </w:rPr>
        <w:t>。</w:t>
      </w:r>
    </w:p>
    <w:p w14:paraId="75B3AC40">
      <w:pPr>
        <w:pStyle w:val="374"/>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3.3.4 承包人主要施工管理人员离开施工现场的批准要求：</w:t>
      </w:r>
      <w:r>
        <w:rPr>
          <w:rFonts w:hint="eastAsia" w:ascii="宋体" w:hAnsi="宋体" w:cs="宋体"/>
          <w:color w:val="auto"/>
          <w:sz w:val="24"/>
          <w:szCs w:val="24"/>
          <w:highlight w:val="none"/>
          <w:u w:val="single"/>
        </w:rPr>
        <w:t xml:space="preserve">承包人的主要施工管理人员（五大员）每人每月到位率不少于 24 日历天，未经发包人同意或正当理由，少在岗一天，发包人有权处违约金1000元/日（人民币） </w:t>
      </w:r>
      <w:r>
        <w:rPr>
          <w:rFonts w:hint="eastAsia" w:ascii="宋体" w:hAnsi="宋体" w:cs="宋体"/>
          <w:color w:val="auto"/>
          <w:sz w:val="24"/>
          <w:szCs w:val="24"/>
          <w:highlight w:val="none"/>
        </w:rPr>
        <w:t>。</w:t>
      </w:r>
    </w:p>
    <w:p w14:paraId="1C5C97B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3.3.5 承包人擅自更换主要施工管理人员的违约责任：</w:t>
      </w:r>
      <w:r>
        <w:rPr>
          <w:rFonts w:hint="eastAsia" w:ascii="宋体" w:hAnsi="宋体" w:cs="宋体"/>
          <w:color w:val="auto"/>
          <w:sz w:val="24"/>
          <w:highlight w:val="none"/>
          <w:u w:val="single"/>
        </w:rPr>
        <w:t>项目技术负责人、专职安全生产管理人员及其承诺的其它在场管理人员未经发包人书面同意不准擅自更换，擅自更换项目技术负责人处1000元/人•次（人民币）违约金；擅自更换专职安全生产管理人员处 1000   元/人•次（人民币）违约金；擅自更换其它在场管理人员处 1000元/人•次（人民币）违约金</w:t>
      </w:r>
      <w:r>
        <w:rPr>
          <w:rFonts w:hint="eastAsia" w:ascii="宋体" w:hAnsi="宋体" w:cs="宋体"/>
          <w:color w:val="auto"/>
          <w:sz w:val="24"/>
          <w:highlight w:val="none"/>
        </w:rPr>
        <w:t>。</w:t>
      </w:r>
    </w:p>
    <w:p w14:paraId="5D98E01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承包人主要施工管理人员擅自离开施工现场的违约责任：</w:t>
      </w:r>
      <w:r>
        <w:rPr>
          <w:rFonts w:hint="eastAsia" w:ascii="宋体" w:hAnsi="宋体" w:cs="宋体"/>
          <w:color w:val="auto"/>
          <w:sz w:val="24"/>
          <w:highlight w:val="none"/>
          <w:u w:val="single"/>
        </w:rPr>
        <w:t>未经发包人同意，项目技术负责人擅自离岗的，视为承包人违约，发包人有权处违约金500元/人•次（人民币）；未经发包人同意，专职安全生产管理人员擅自离岗的，视为承包人违约，发包人有权处违约金 500元/人•次（人民币）；其它在场管理人员擅自离岗的，视为承包人违约，发包人有权处违约金500 元/人•次（人民币）</w:t>
      </w:r>
      <w:r>
        <w:rPr>
          <w:rFonts w:hint="eastAsia" w:ascii="宋体" w:hAnsi="宋体" w:cs="宋体"/>
          <w:color w:val="auto"/>
          <w:sz w:val="24"/>
          <w:highlight w:val="none"/>
        </w:rPr>
        <w:t>。</w:t>
      </w:r>
    </w:p>
    <w:p w14:paraId="75C6403E">
      <w:pPr>
        <w:pStyle w:val="5"/>
        <w:spacing w:line="360" w:lineRule="auto"/>
        <w:rPr>
          <w:rFonts w:hint="eastAsia" w:ascii="宋体" w:hAnsi="宋体" w:cs="宋体"/>
          <w:color w:val="auto"/>
          <w:sz w:val="24"/>
          <w:szCs w:val="24"/>
          <w:highlight w:val="none"/>
        </w:rPr>
      </w:pPr>
      <w:bookmarkStart w:id="294" w:name="_Toc19875"/>
      <w:r>
        <w:rPr>
          <w:rFonts w:hint="eastAsia" w:ascii="宋体" w:hAnsi="宋体" w:cs="宋体"/>
          <w:color w:val="auto"/>
          <w:sz w:val="24"/>
          <w:szCs w:val="24"/>
          <w:highlight w:val="none"/>
        </w:rPr>
        <w:t>3.5 分包</w:t>
      </w:r>
      <w:bookmarkEnd w:id="294"/>
    </w:p>
    <w:p w14:paraId="1B338BDE">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u w:val="single"/>
          <w:lang w:eastAsia="zh-CN"/>
        </w:rPr>
        <w:t>本项目不允许分包</w:t>
      </w:r>
    </w:p>
    <w:p w14:paraId="5BF1A613">
      <w:pPr>
        <w:pStyle w:val="5"/>
        <w:spacing w:line="360" w:lineRule="auto"/>
        <w:rPr>
          <w:rFonts w:hint="eastAsia" w:ascii="宋体" w:hAnsi="宋体" w:cs="宋体"/>
          <w:color w:val="auto"/>
          <w:sz w:val="24"/>
          <w:szCs w:val="24"/>
          <w:highlight w:val="none"/>
        </w:rPr>
      </w:pPr>
      <w:bookmarkStart w:id="295" w:name="_Toc7175"/>
      <w:r>
        <w:rPr>
          <w:rFonts w:hint="eastAsia" w:ascii="宋体" w:hAnsi="宋体" w:cs="宋体"/>
          <w:color w:val="auto"/>
          <w:sz w:val="24"/>
          <w:szCs w:val="24"/>
          <w:highlight w:val="none"/>
        </w:rPr>
        <w:t>3.6 工程照管与成品、半成品保护</w:t>
      </w:r>
      <w:bookmarkEnd w:id="295"/>
    </w:p>
    <w:p w14:paraId="726B2A25">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承包人负责照管工程及工程相关的材料、工程设备的起始时间：</w:t>
      </w:r>
      <w:r>
        <w:rPr>
          <w:rFonts w:hint="eastAsia" w:ascii="宋体" w:hAnsi="宋体" w:cs="宋体"/>
          <w:color w:val="auto"/>
          <w:sz w:val="24"/>
          <w:highlight w:val="none"/>
          <w:u w:val="single"/>
        </w:rPr>
        <w:t>自发包人向承包人移交施工现场之日起，至承包人向发包人交付工程之日止</w:t>
      </w:r>
      <w:r>
        <w:rPr>
          <w:rFonts w:hint="eastAsia" w:ascii="宋体" w:hAnsi="宋体" w:cs="宋体"/>
          <w:color w:val="auto"/>
          <w:sz w:val="24"/>
          <w:highlight w:val="none"/>
        </w:rPr>
        <w:t>。</w:t>
      </w:r>
    </w:p>
    <w:p w14:paraId="1425E0E4">
      <w:pPr>
        <w:pStyle w:val="5"/>
        <w:spacing w:line="360" w:lineRule="auto"/>
        <w:rPr>
          <w:rFonts w:hint="eastAsia" w:ascii="宋体" w:hAnsi="宋体" w:eastAsia="宋体" w:cs="宋体"/>
          <w:color w:val="auto"/>
          <w:sz w:val="24"/>
          <w:szCs w:val="24"/>
          <w:highlight w:val="none"/>
          <w:lang w:eastAsia="zh-CN"/>
        </w:rPr>
      </w:pPr>
      <w:bookmarkStart w:id="296" w:name="_Toc22993"/>
      <w:r>
        <w:rPr>
          <w:rFonts w:hint="eastAsia" w:ascii="宋体" w:hAnsi="宋体" w:cs="宋体"/>
          <w:color w:val="auto"/>
          <w:sz w:val="24"/>
          <w:szCs w:val="24"/>
          <w:highlight w:val="none"/>
        </w:rPr>
        <w:t>3.7 履约保证金</w:t>
      </w:r>
      <w:r>
        <w:rPr>
          <w:rFonts w:hint="eastAsia" w:ascii="宋体" w:hAnsi="宋体" w:cs="宋体"/>
          <w:color w:val="auto"/>
          <w:sz w:val="24"/>
          <w:szCs w:val="24"/>
          <w:highlight w:val="none"/>
          <w:lang w:eastAsia="zh-CN"/>
        </w:rPr>
        <w:t>：本项目无履约保证金要求。</w:t>
      </w:r>
      <w:bookmarkEnd w:id="296"/>
    </w:p>
    <w:p w14:paraId="002C506D">
      <w:pPr>
        <w:pStyle w:val="4"/>
        <w:spacing w:line="360" w:lineRule="auto"/>
        <w:rPr>
          <w:rFonts w:hint="eastAsia" w:ascii="宋体" w:hAnsi="宋体" w:cs="宋体"/>
          <w:color w:val="auto"/>
          <w:sz w:val="24"/>
          <w:szCs w:val="24"/>
          <w:highlight w:val="none"/>
        </w:rPr>
      </w:pPr>
      <w:bookmarkStart w:id="297" w:name="_Toc22786"/>
      <w:r>
        <w:rPr>
          <w:rFonts w:hint="eastAsia" w:ascii="宋体" w:hAnsi="宋体" w:cs="宋体"/>
          <w:color w:val="auto"/>
          <w:sz w:val="24"/>
          <w:szCs w:val="24"/>
          <w:highlight w:val="none"/>
        </w:rPr>
        <w:t>4. 监理人</w:t>
      </w:r>
      <w:bookmarkEnd w:id="297"/>
    </w:p>
    <w:p w14:paraId="458D904C">
      <w:pPr>
        <w:pStyle w:val="5"/>
        <w:spacing w:line="360" w:lineRule="auto"/>
        <w:rPr>
          <w:rFonts w:hint="eastAsia" w:ascii="宋体" w:hAnsi="宋体" w:cs="宋体"/>
          <w:color w:val="auto"/>
          <w:sz w:val="24"/>
          <w:szCs w:val="24"/>
          <w:highlight w:val="none"/>
        </w:rPr>
      </w:pPr>
      <w:bookmarkStart w:id="298" w:name="_Toc22390"/>
      <w:r>
        <w:rPr>
          <w:rFonts w:hint="eastAsia" w:ascii="宋体" w:hAnsi="宋体" w:cs="宋体"/>
          <w:color w:val="auto"/>
          <w:sz w:val="24"/>
          <w:szCs w:val="24"/>
          <w:highlight w:val="none"/>
        </w:rPr>
        <w:t>4.1 监理人的一般规定</w:t>
      </w:r>
      <w:bookmarkEnd w:id="298"/>
    </w:p>
    <w:p w14:paraId="1E48E2A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关于监理人的监理内容：</w:t>
      </w:r>
      <w:r>
        <w:rPr>
          <w:rFonts w:hint="eastAsia" w:ascii="宋体" w:hAnsi="宋体" w:cs="宋体"/>
          <w:color w:val="auto"/>
          <w:sz w:val="24"/>
          <w:highlight w:val="none"/>
          <w:u w:val="single"/>
        </w:rPr>
        <w:t>根据发包人与监理人签订的《监理合同》及工程实际需要确定</w:t>
      </w:r>
      <w:r>
        <w:rPr>
          <w:rFonts w:hint="eastAsia" w:ascii="宋体" w:hAnsi="宋体" w:cs="宋体"/>
          <w:color w:val="auto"/>
          <w:sz w:val="24"/>
          <w:highlight w:val="none"/>
        </w:rPr>
        <w:t>。关于监理人的监理权限：</w:t>
      </w:r>
      <w:r>
        <w:rPr>
          <w:rFonts w:hint="eastAsia" w:ascii="宋体" w:hAnsi="宋体" w:cs="宋体"/>
          <w:color w:val="auto"/>
          <w:sz w:val="24"/>
          <w:highlight w:val="none"/>
          <w:u w:val="single"/>
        </w:rPr>
        <w:t xml:space="preserve">根据监理合同、施工承包合同和法律法规规定的事项代表发包人进行工程前期协调、施工现场协调、工程监理      </w:t>
      </w:r>
      <w:r>
        <w:rPr>
          <w:rFonts w:hint="eastAsia" w:ascii="宋体" w:hAnsi="宋体" w:cs="宋体"/>
          <w:color w:val="auto"/>
          <w:sz w:val="24"/>
          <w:highlight w:val="none"/>
        </w:rPr>
        <w:t xml:space="preserve">。 </w:t>
      </w:r>
    </w:p>
    <w:p w14:paraId="339D34A8">
      <w:pPr>
        <w:pStyle w:val="374"/>
        <w:spacing w:line="360" w:lineRule="auto"/>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关于监理人在施工现场的办公场所、生活场所的提供和费用承担的约定：</w:t>
      </w:r>
      <w:r>
        <w:rPr>
          <w:rFonts w:hint="eastAsia" w:ascii="宋体" w:hAnsi="宋体" w:cs="宋体"/>
          <w:color w:val="auto"/>
          <w:sz w:val="24"/>
          <w:szCs w:val="24"/>
          <w:highlight w:val="none"/>
          <w:u w:val="single"/>
        </w:rPr>
        <w:t xml:space="preserve"> 监理人在施工现</w:t>
      </w:r>
    </w:p>
    <w:p w14:paraId="2F397A19">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 xml:space="preserve">场的办公场所、生活场所由承包人提供，所发生的费用由承包人承担  </w:t>
      </w:r>
      <w:r>
        <w:rPr>
          <w:rFonts w:hint="eastAsia" w:ascii="宋体" w:hAnsi="宋体" w:cs="宋体"/>
          <w:color w:val="auto"/>
          <w:sz w:val="24"/>
          <w:highlight w:val="none"/>
        </w:rPr>
        <w:t>。</w:t>
      </w:r>
    </w:p>
    <w:p w14:paraId="4C773D8A">
      <w:pPr>
        <w:pStyle w:val="5"/>
        <w:spacing w:line="360" w:lineRule="auto"/>
        <w:rPr>
          <w:rFonts w:hint="eastAsia" w:ascii="宋体" w:hAnsi="宋体" w:cs="宋体"/>
          <w:color w:val="auto"/>
          <w:sz w:val="24"/>
          <w:szCs w:val="24"/>
          <w:highlight w:val="none"/>
        </w:rPr>
      </w:pPr>
      <w:bookmarkStart w:id="299" w:name="_Toc14069"/>
      <w:r>
        <w:rPr>
          <w:rFonts w:hint="eastAsia" w:ascii="宋体" w:hAnsi="宋体" w:cs="宋体"/>
          <w:color w:val="auto"/>
          <w:sz w:val="24"/>
          <w:szCs w:val="24"/>
          <w:highlight w:val="none"/>
        </w:rPr>
        <w:t>4.2 监理人员</w:t>
      </w:r>
      <w:bookmarkEnd w:id="299"/>
    </w:p>
    <w:p w14:paraId="666199A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总监理工程师：</w:t>
      </w:r>
    </w:p>
    <w:p w14:paraId="53E9241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详见监理合同 </w:t>
      </w:r>
      <w:r>
        <w:rPr>
          <w:rFonts w:hint="eastAsia" w:ascii="宋体" w:hAnsi="宋体" w:cs="宋体"/>
          <w:color w:val="auto"/>
          <w:sz w:val="24"/>
          <w:highlight w:val="none"/>
        </w:rPr>
        <w:t>；</w:t>
      </w:r>
    </w:p>
    <w:p w14:paraId="0979487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详见监理合同 </w:t>
      </w:r>
      <w:r>
        <w:rPr>
          <w:rFonts w:hint="eastAsia" w:ascii="宋体" w:hAnsi="宋体" w:cs="宋体"/>
          <w:color w:val="auto"/>
          <w:sz w:val="24"/>
          <w:highlight w:val="none"/>
        </w:rPr>
        <w:t>；</w:t>
      </w:r>
    </w:p>
    <w:p w14:paraId="7BC5A35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监理工程师注册证书号：</w:t>
      </w:r>
      <w:r>
        <w:rPr>
          <w:rFonts w:hint="eastAsia" w:ascii="宋体" w:hAnsi="宋体" w:cs="宋体"/>
          <w:color w:val="auto"/>
          <w:sz w:val="24"/>
          <w:highlight w:val="none"/>
          <w:u w:val="single"/>
        </w:rPr>
        <w:t>详见监理合同</w:t>
      </w:r>
      <w:r>
        <w:rPr>
          <w:rFonts w:hint="eastAsia" w:ascii="宋体" w:hAnsi="宋体" w:cs="宋体"/>
          <w:color w:val="auto"/>
          <w:sz w:val="24"/>
          <w:highlight w:val="none"/>
        </w:rPr>
        <w:t>；</w:t>
      </w:r>
    </w:p>
    <w:p w14:paraId="6537490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详见监理合同 </w:t>
      </w:r>
      <w:r>
        <w:rPr>
          <w:rFonts w:hint="eastAsia" w:ascii="宋体" w:hAnsi="宋体" w:cs="宋体"/>
          <w:color w:val="auto"/>
          <w:sz w:val="24"/>
          <w:highlight w:val="none"/>
        </w:rPr>
        <w:t>；</w:t>
      </w:r>
    </w:p>
    <w:p w14:paraId="7EB26B4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电子信箱：</w:t>
      </w:r>
      <w:r>
        <w:rPr>
          <w:rFonts w:hint="eastAsia" w:ascii="宋体" w:hAnsi="宋体" w:cs="宋体"/>
          <w:color w:val="auto"/>
          <w:sz w:val="24"/>
          <w:highlight w:val="none"/>
          <w:u w:val="single"/>
        </w:rPr>
        <w:t>详见监理合同</w:t>
      </w:r>
      <w:r>
        <w:rPr>
          <w:rFonts w:hint="eastAsia" w:ascii="宋体" w:hAnsi="宋体" w:cs="宋体"/>
          <w:color w:val="auto"/>
          <w:sz w:val="24"/>
          <w:highlight w:val="none"/>
        </w:rPr>
        <w:t>；</w:t>
      </w:r>
    </w:p>
    <w:p w14:paraId="3DEAED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通信地址：</w:t>
      </w:r>
      <w:r>
        <w:rPr>
          <w:rFonts w:hint="eastAsia" w:ascii="宋体" w:hAnsi="宋体" w:cs="宋体"/>
          <w:color w:val="auto"/>
          <w:sz w:val="24"/>
          <w:highlight w:val="none"/>
          <w:u w:val="single"/>
        </w:rPr>
        <w:t>详见监理合同</w:t>
      </w:r>
      <w:r>
        <w:rPr>
          <w:rFonts w:hint="eastAsia" w:ascii="宋体" w:hAnsi="宋体" w:cs="宋体"/>
          <w:color w:val="auto"/>
          <w:sz w:val="24"/>
          <w:highlight w:val="none"/>
        </w:rPr>
        <w:t>；</w:t>
      </w:r>
    </w:p>
    <w:p w14:paraId="3CB0359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关于监理人的其他约定：</w:t>
      </w:r>
      <w:r>
        <w:rPr>
          <w:rFonts w:hint="eastAsia" w:ascii="宋体" w:hAnsi="宋体" w:cs="宋体"/>
          <w:color w:val="auto"/>
          <w:sz w:val="24"/>
          <w:highlight w:val="none"/>
          <w:u w:val="single"/>
        </w:rPr>
        <w:t>按《通用合同条款》执行</w:t>
      </w:r>
      <w:r>
        <w:rPr>
          <w:rFonts w:hint="eastAsia" w:ascii="宋体" w:hAnsi="宋体" w:cs="宋体"/>
          <w:color w:val="auto"/>
          <w:sz w:val="24"/>
          <w:highlight w:val="none"/>
        </w:rPr>
        <w:t>。</w:t>
      </w:r>
    </w:p>
    <w:p w14:paraId="431BF85F">
      <w:pPr>
        <w:pStyle w:val="5"/>
        <w:spacing w:line="360" w:lineRule="auto"/>
        <w:rPr>
          <w:rFonts w:hint="eastAsia" w:ascii="宋体" w:hAnsi="宋体" w:cs="宋体"/>
          <w:color w:val="auto"/>
          <w:sz w:val="24"/>
          <w:szCs w:val="24"/>
          <w:highlight w:val="none"/>
        </w:rPr>
      </w:pPr>
      <w:bookmarkStart w:id="300" w:name="_Toc23319"/>
      <w:r>
        <w:rPr>
          <w:rFonts w:hint="eastAsia" w:ascii="宋体" w:hAnsi="宋体" w:cs="宋体"/>
          <w:color w:val="auto"/>
          <w:sz w:val="24"/>
          <w:szCs w:val="24"/>
          <w:highlight w:val="none"/>
        </w:rPr>
        <w:t>4.4 商定或确定</w:t>
      </w:r>
      <w:bookmarkEnd w:id="300"/>
    </w:p>
    <w:p w14:paraId="73D3C987">
      <w:pPr>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在发包人和承包人不能通过协商达成一致意见时，发包人授权监理人对以下事项进行确定：</w:t>
      </w:r>
      <w:r>
        <w:rPr>
          <w:rFonts w:hint="eastAsia" w:ascii="宋体" w:hAnsi="宋体" w:cs="宋体"/>
          <w:color w:val="auto"/>
          <w:sz w:val="24"/>
          <w:highlight w:val="none"/>
          <w:u w:val="single"/>
        </w:rPr>
        <w:t>/。</w:t>
      </w:r>
    </w:p>
    <w:p w14:paraId="09556061">
      <w:pPr>
        <w:pStyle w:val="4"/>
        <w:spacing w:line="360" w:lineRule="auto"/>
        <w:rPr>
          <w:rFonts w:hint="eastAsia" w:ascii="宋体" w:hAnsi="宋体" w:cs="宋体"/>
          <w:color w:val="auto"/>
          <w:sz w:val="24"/>
          <w:szCs w:val="24"/>
          <w:highlight w:val="none"/>
        </w:rPr>
      </w:pPr>
      <w:bookmarkStart w:id="301" w:name="_Toc27973"/>
      <w:r>
        <w:rPr>
          <w:rFonts w:hint="eastAsia" w:ascii="宋体" w:hAnsi="宋体" w:cs="宋体"/>
          <w:color w:val="auto"/>
          <w:sz w:val="24"/>
          <w:szCs w:val="24"/>
          <w:highlight w:val="none"/>
        </w:rPr>
        <w:t>5. 工程质量</w:t>
      </w:r>
      <w:bookmarkEnd w:id="301"/>
    </w:p>
    <w:p w14:paraId="0D3550E0">
      <w:pPr>
        <w:pStyle w:val="5"/>
        <w:spacing w:line="360" w:lineRule="auto"/>
        <w:rPr>
          <w:rFonts w:hint="eastAsia" w:ascii="宋体" w:hAnsi="宋体" w:cs="宋体"/>
          <w:color w:val="auto"/>
          <w:sz w:val="24"/>
          <w:szCs w:val="24"/>
          <w:highlight w:val="none"/>
        </w:rPr>
      </w:pPr>
      <w:bookmarkStart w:id="302" w:name="_Toc10161"/>
      <w:r>
        <w:rPr>
          <w:rFonts w:hint="eastAsia" w:ascii="宋体" w:hAnsi="宋体" w:cs="宋体"/>
          <w:color w:val="auto"/>
          <w:sz w:val="24"/>
          <w:szCs w:val="24"/>
          <w:highlight w:val="none"/>
        </w:rPr>
        <w:t>5.1 质量要求</w:t>
      </w:r>
      <w:bookmarkEnd w:id="302"/>
    </w:p>
    <w:p w14:paraId="7E2EA2A3">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5.1.1 特殊质量标准和要求：</w:t>
      </w:r>
      <w:r>
        <w:rPr>
          <w:rFonts w:hint="eastAsia" w:ascii="宋体" w:hAnsi="宋体" w:cs="宋体"/>
          <w:color w:val="auto"/>
          <w:sz w:val="24"/>
          <w:highlight w:val="none"/>
          <w:u w:val="single"/>
        </w:rPr>
        <w:t>严格执行广西住房和城乡自治区住建厅《关于严格实行房屋建筑和市政基础设施工程质量终身责任承诺、永久性质量责任标牌、终身责任信息档案等制度的通知》（桂建管【2014】96 号），落实建设工程质量终身责任</w:t>
      </w:r>
      <w:r>
        <w:rPr>
          <w:rFonts w:hint="eastAsia" w:ascii="宋体" w:hAnsi="宋体" w:cs="宋体"/>
          <w:color w:val="auto"/>
          <w:sz w:val="24"/>
          <w:highlight w:val="none"/>
        </w:rPr>
        <w:t>。</w:t>
      </w:r>
    </w:p>
    <w:p w14:paraId="69F4B5A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关于工程奖项的约定： 如果工程获得</w:t>
      </w:r>
      <w:r>
        <w:rPr>
          <w:rFonts w:hint="eastAsia" w:ascii="宋体" w:hAnsi="宋体" w:cs="宋体"/>
          <w:color w:val="auto"/>
          <w:sz w:val="24"/>
          <w:highlight w:val="none"/>
          <w:u w:val="single"/>
        </w:rPr>
        <w:t xml:space="preserve">     /        （奖项名称）</w:t>
      </w:r>
      <w:r>
        <w:rPr>
          <w:rFonts w:hint="eastAsia" w:ascii="宋体" w:hAnsi="宋体" w:cs="宋体"/>
          <w:color w:val="auto"/>
          <w:sz w:val="24"/>
          <w:highlight w:val="none"/>
        </w:rPr>
        <w:t>，给予承包人合同价</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%的奖励。（建设单位创建优质工程的，鼓励在招标控制价和预算中按我区工程建设定额规定计列工程优质费，并在招标文件中明确工程优质费不可竞争。）</w:t>
      </w:r>
    </w:p>
    <w:p w14:paraId="1A1EA1A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5.3 隐蔽工程检查</w:t>
      </w:r>
    </w:p>
    <w:p w14:paraId="08B2F9A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如验收不合格,双方商订时限内整改后按上述顺序重新验收,并视隐蔽工程或中间验收的关键部位和重要性处500元至20000元的罚款，并有权拒绝支付该部分工程款。</w:t>
      </w:r>
    </w:p>
    <w:p w14:paraId="1015BC3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监理人不能按时进行检查时，应提前</w:t>
      </w:r>
      <w:r>
        <w:rPr>
          <w:rFonts w:hint="eastAsia" w:ascii="宋体" w:hAnsi="宋体" w:cs="宋体"/>
          <w:color w:val="auto"/>
          <w:sz w:val="24"/>
          <w:highlight w:val="none"/>
          <w:u w:val="single"/>
        </w:rPr>
        <w:t xml:space="preserve">    12   </w:t>
      </w:r>
      <w:r>
        <w:rPr>
          <w:rFonts w:hint="eastAsia" w:ascii="宋体" w:hAnsi="宋体" w:cs="宋体"/>
          <w:color w:val="auto"/>
          <w:sz w:val="24"/>
          <w:highlight w:val="none"/>
        </w:rPr>
        <w:t>小时提交书面延期要求。</w:t>
      </w:r>
    </w:p>
    <w:p w14:paraId="252C6B2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关于延期最长不得超过：</w:t>
      </w:r>
      <w:r>
        <w:rPr>
          <w:rFonts w:hint="eastAsia" w:ascii="宋体" w:hAnsi="宋体" w:cs="宋体"/>
          <w:color w:val="auto"/>
          <w:sz w:val="24"/>
          <w:highlight w:val="none"/>
          <w:u w:val="single"/>
        </w:rPr>
        <w:t xml:space="preserve">    24     </w:t>
      </w:r>
      <w:r>
        <w:rPr>
          <w:rFonts w:hint="eastAsia" w:ascii="宋体" w:hAnsi="宋体" w:cs="宋体"/>
          <w:color w:val="auto"/>
          <w:sz w:val="24"/>
          <w:highlight w:val="none"/>
        </w:rPr>
        <w:t>小时。</w:t>
      </w:r>
    </w:p>
    <w:p w14:paraId="7F2C4CE1">
      <w:pPr>
        <w:pStyle w:val="4"/>
        <w:spacing w:line="360" w:lineRule="auto"/>
        <w:rPr>
          <w:rFonts w:hint="eastAsia" w:ascii="宋体" w:hAnsi="宋体" w:cs="宋体"/>
          <w:color w:val="auto"/>
          <w:sz w:val="24"/>
          <w:szCs w:val="24"/>
          <w:highlight w:val="none"/>
        </w:rPr>
      </w:pPr>
      <w:bookmarkStart w:id="303" w:name="_Toc8059"/>
      <w:r>
        <w:rPr>
          <w:rFonts w:hint="eastAsia" w:ascii="宋体" w:hAnsi="宋体" w:cs="宋体"/>
          <w:color w:val="auto"/>
          <w:sz w:val="24"/>
          <w:szCs w:val="24"/>
          <w:highlight w:val="none"/>
        </w:rPr>
        <w:t>6. 安全文明施工与环境保护</w:t>
      </w:r>
      <w:bookmarkEnd w:id="303"/>
    </w:p>
    <w:p w14:paraId="0E455AC7">
      <w:pPr>
        <w:pStyle w:val="5"/>
        <w:spacing w:line="360" w:lineRule="auto"/>
        <w:rPr>
          <w:rFonts w:hint="eastAsia" w:ascii="宋体" w:hAnsi="宋体" w:cs="宋体"/>
          <w:color w:val="auto"/>
          <w:sz w:val="24"/>
          <w:szCs w:val="24"/>
          <w:highlight w:val="none"/>
        </w:rPr>
      </w:pPr>
      <w:bookmarkStart w:id="304" w:name="_Toc5406"/>
      <w:r>
        <w:rPr>
          <w:rFonts w:hint="eastAsia" w:ascii="宋体" w:hAnsi="宋体" w:cs="宋体"/>
          <w:color w:val="auto"/>
          <w:sz w:val="24"/>
          <w:szCs w:val="24"/>
          <w:highlight w:val="none"/>
        </w:rPr>
        <w:t>6.1 安全文明施工</w:t>
      </w:r>
      <w:bookmarkEnd w:id="304"/>
    </w:p>
    <w:p w14:paraId="614A3FAC">
      <w:pPr>
        <w:widowControl/>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6.1.1 项目安全生产的达标目标及相应事项的约定：</w:t>
      </w:r>
      <w:r>
        <w:rPr>
          <w:rFonts w:hint="eastAsia" w:ascii="宋体" w:hAnsi="宋体" w:cs="宋体"/>
          <w:color w:val="auto"/>
          <w:sz w:val="24"/>
          <w:highlight w:val="none"/>
          <w:u w:val="single"/>
        </w:rPr>
        <w:t xml:space="preserve">承包人应遵守国家安全生产法律、法规的规定及国家和工程所在地工程建设安全生产有关管理规定，严格按现行安全标准组织施工，并随时服从和接受发包人、监理人和行业安全检查人员依法实施的监督检查，采取必要的安全防护措施，消除事故隐患。其安全施工防护费用已经含在合同价款内。本工程在整个施工期间杜绝一切人身伤亡和重大质量安全事故，如发生上述事故，则发包人视为承包人违约，在施工期间每发生一起人身损害（不包括死亡）事故，承包人除了接受政府相关部门处罚外，承包人须向发包人支付违约金 2 万元，每发生一起人身死亡事故，承包人除了接受政府相关部门处罚外，承包人须向发包人支付违约金 3 万元。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如经政府相关部门调查发现因承包人过失造成事故的发生，发包人有权解除合同，由此造成的一切经济损失和法律责任由承包人承担 。未尽事宜按《通用合同条款》6.1.1 条执行 </w:t>
      </w:r>
      <w:r>
        <w:rPr>
          <w:rFonts w:hint="eastAsia" w:ascii="宋体" w:hAnsi="宋体" w:cs="宋体"/>
          <w:color w:val="auto"/>
          <w:sz w:val="24"/>
          <w:highlight w:val="none"/>
        </w:rPr>
        <w:t>。</w:t>
      </w:r>
    </w:p>
    <w:p w14:paraId="638AED4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关于安全文明施工奖项的约定：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AAC3214">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6.1.4 关于治安保卫的特别约定：</w:t>
      </w:r>
      <w:r>
        <w:rPr>
          <w:rFonts w:hint="eastAsia" w:ascii="宋体" w:hAnsi="宋体" w:cs="宋体"/>
          <w:color w:val="auto"/>
          <w:sz w:val="24"/>
          <w:highlight w:val="none"/>
          <w:u w:val="single"/>
        </w:rPr>
        <w:t>承包人应承担施工安全保卫工作及非夜间施工照明的责任，承包人应采取一切合理的预防措施，防止人员伤亡、财产损失事故，费用由承包人承担。承包人生活设施及施工</w:t>
      </w:r>
      <w:r>
        <w:rPr>
          <w:rFonts w:hint="eastAsia" w:ascii="宋体" w:hAnsi="宋体" w:cs="宋体"/>
          <w:color w:val="auto"/>
          <w:sz w:val="24"/>
          <w:highlight w:val="none"/>
          <w:u w:val="single"/>
          <w:lang w:eastAsia="zh-CN"/>
        </w:rPr>
        <w:t>现场</w:t>
      </w:r>
      <w:r>
        <w:rPr>
          <w:rFonts w:hint="eastAsia" w:ascii="宋体" w:hAnsi="宋体" w:cs="宋体"/>
          <w:color w:val="auto"/>
          <w:sz w:val="24"/>
          <w:highlight w:val="none"/>
          <w:u w:val="single"/>
        </w:rPr>
        <w:t>应自费配备消防设备，防止火灾发生。</w:t>
      </w:r>
    </w:p>
    <w:p w14:paraId="32F80110">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关于编制施工场地治安管理计划的约定：</w:t>
      </w:r>
      <w:r>
        <w:rPr>
          <w:rFonts w:hint="eastAsia" w:ascii="宋体" w:hAnsi="宋体" w:cs="宋体"/>
          <w:color w:val="auto"/>
          <w:sz w:val="24"/>
          <w:szCs w:val="24"/>
          <w:highlight w:val="none"/>
          <w:u w:val="single"/>
        </w:rPr>
        <w:t xml:space="preserve"> 承包人应在工程开工后 7 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r>
        <w:rPr>
          <w:rFonts w:hint="eastAsia" w:ascii="宋体" w:hAnsi="宋体" w:cs="宋体"/>
          <w:color w:val="auto"/>
          <w:sz w:val="24"/>
          <w:szCs w:val="24"/>
          <w:highlight w:val="none"/>
        </w:rPr>
        <w:t>。</w:t>
      </w:r>
    </w:p>
    <w:p w14:paraId="6D8886B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6.1.5 文明施工</w:t>
      </w:r>
    </w:p>
    <w:p w14:paraId="36B4137D">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合同当事人对文明施工的要求：</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严格执行《中华人民共和国大气污染防治法》（主席令第三十一号）的有关规定确保建设工程各项安全防护、文明施工措施及其费用在工地一线按标准落实到位。</w:t>
      </w:r>
      <w:r>
        <w:rPr>
          <w:rFonts w:hint="eastAsia" w:ascii="宋体" w:hAnsi="宋体" w:cs="宋体"/>
          <w:color w:val="auto"/>
          <w:sz w:val="24"/>
          <w:highlight w:val="none"/>
          <w:u w:val="single"/>
        </w:rPr>
        <w:t xml:space="preserve"> </w:t>
      </w:r>
    </w:p>
    <w:p w14:paraId="2945CB0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6.1.6关于安全生产费总额、支付比例、支付期限、转入和结余收回的约定：</w:t>
      </w:r>
    </w:p>
    <w:p w14:paraId="7EC89A9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（1）本合同价款已包含安全文明施工费</w:t>
      </w:r>
      <w:r>
        <w:rPr>
          <w:rFonts w:hint="eastAsia" w:ascii="宋体" w:hAnsi="宋体" w:cs="宋体"/>
          <w:color w:val="auto"/>
          <w:sz w:val="24"/>
          <w:highlight w:val="none"/>
          <w:u w:val="single"/>
        </w:rPr>
        <w:t xml:space="preserve">  </w:t>
      </w:r>
      <w:r>
        <w:rPr>
          <w:rFonts w:hint="eastAsia" w:ascii="宋体" w:hAnsi="宋体" w:cs="宋体"/>
          <w:b/>
          <w:bCs/>
          <w:color w:val="auto"/>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p>
    <w:p w14:paraId="62E93A4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（2）使用要求：专款专用，不得用于其他用途。具体按</w:t>
      </w:r>
      <w:r>
        <w:rPr>
          <w:rFonts w:hint="eastAsia" w:ascii="宋体" w:hAnsi="宋体" w:cs="宋体"/>
          <w:color w:val="auto"/>
          <w:sz w:val="24"/>
          <w:highlight w:val="none"/>
          <w:u w:val="single"/>
        </w:rPr>
        <w:t>《广西壮族自治区建设工程安全文明施工费使用管理细则》（桂建质〔2015〕16号）</w:t>
      </w:r>
      <w:r>
        <w:rPr>
          <w:rFonts w:hint="eastAsia" w:ascii="宋体" w:hAnsi="宋体" w:cs="宋体"/>
          <w:color w:val="auto"/>
          <w:sz w:val="24"/>
          <w:highlight w:val="none"/>
        </w:rPr>
        <w:t>相关规定执行。</w:t>
      </w:r>
    </w:p>
    <w:p w14:paraId="2C90096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（3）支付约定：在本合同签订后</w:t>
      </w:r>
      <w:r>
        <w:rPr>
          <w:rFonts w:hint="eastAsia" w:ascii="宋体" w:hAnsi="宋体" w:cs="宋体"/>
          <w:color w:val="auto"/>
          <w:sz w:val="24"/>
          <w:highlight w:val="none"/>
          <w:u w:val="single"/>
        </w:rPr>
        <w:t xml:space="preserve">  30 </w:t>
      </w:r>
      <w:r>
        <w:rPr>
          <w:rFonts w:hint="eastAsia" w:ascii="宋体" w:hAnsi="宋体" w:cs="宋体"/>
          <w:color w:val="auto"/>
          <w:sz w:val="24"/>
          <w:highlight w:val="none"/>
        </w:rPr>
        <w:t>个工作日内，预付安全文明施工费总额的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 xml:space="preserve">0 </w:t>
      </w:r>
      <w:r>
        <w:rPr>
          <w:rFonts w:hint="eastAsia" w:ascii="宋体" w:hAnsi="宋体" w:cs="宋体"/>
          <w:color w:val="auto"/>
          <w:sz w:val="24"/>
          <w:highlight w:val="none"/>
        </w:rPr>
        <w:t xml:space="preserve"> %，其余部分待检查合格后与进度款同期支付，安全文明施工费预付款在工程进度款累计金额超过合同价的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0 %</w:t>
      </w:r>
      <w:r>
        <w:rPr>
          <w:rFonts w:hint="eastAsia" w:ascii="宋体" w:hAnsi="宋体" w:cs="宋体"/>
          <w:color w:val="auto"/>
          <w:sz w:val="24"/>
          <w:highlight w:val="none"/>
        </w:rPr>
        <w:t>时开始起扣，每月从支付给承包商的工程款内按安全文明预付款占合同总价的同一百分比扣回。</w:t>
      </w:r>
    </w:p>
    <w:p w14:paraId="62010A7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（4）建设单位按规定将安全生产费用转入施工单位设立的安全生产费用专户。</w:t>
      </w:r>
    </w:p>
    <w:p w14:paraId="7E139B0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（5）施工单位将安全生产费用使用情况定期报告建设单位和监理单位，并提供相应的材料接受建设行政主管部门对此事项监管。</w:t>
      </w:r>
    </w:p>
    <w:p w14:paraId="1FB91145">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（6）</w:t>
      </w:r>
      <w:r>
        <w:rPr>
          <w:rFonts w:hint="eastAsia" w:ascii="宋体" w:hAnsi="宋体" w:cs="宋体"/>
          <w:b/>
          <w:bCs/>
          <w:color w:val="auto"/>
          <w:sz w:val="24"/>
          <w:highlight w:val="none"/>
        </w:rPr>
        <w:t>安全生产费用专户</w:t>
      </w:r>
      <w:r>
        <w:rPr>
          <w:rFonts w:hint="eastAsia" w:ascii="宋体" w:hAnsi="宋体" w:cs="宋体"/>
          <w:color w:val="auto"/>
          <w:sz w:val="24"/>
          <w:highlight w:val="none"/>
        </w:rPr>
        <w:t>：</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14:paraId="01B3C3B5">
      <w:pPr>
        <w:spacing w:line="360" w:lineRule="auto"/>
        <w:ind w:firstLine="964"/>
        <w:jc w:val="left"/>
        <w:rPr>
          <w:rFonts w:hint="eastAsia" w:ascii="宋体" w:hAnsi="宋体" w:cs="宋体"/>
          <w:b/>
          <w:bCs/>
          <w:color w:val="auto"/>
          <w:sz w:val="24"/>
          <w:highlight w:val="none"/>
        </w:rPr>
      </w:pPr>
      <w:r>
        <w:rPr>
          <w:rFonts w:hint="eastAsia" w:ascii="宋体" w:hAnsi="宋体" w:cs="宋体"/>
          <w:b/>
          <w:bCs/>
          <w:color w:val="auto"/>
          <w:sz w:val="24"/>
          <w:highlight w:val="none"/>
        </w:rPr>
        <w:t>账号:</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14:paraId="5E361EB7">
      <w:pPr>
        <w:spacing w:line="360" w:lineRule="auto"/>
        <w:ind w:firstLine="964"/>
        <w:jc w:val="left"/>
        <w:rPr>
          <w:rFonts w:hint="eastAsia" w:ascii="宋体" w:hAnsi="宋体" w:cs="宋体"/>
          <w:color w:val="auto"/>
          <w:sz w:val="24"/>
          <w:highlight w:val="none"/>
        </w:rPr>
      </w:pPr>
      <w:r>
        <w:rPr>
          <w:rFonts w:hint="eastAsia" w:ascii="宋体" w:hAnsi="宋体" w:cs="宋体"/>
          <w:b/>
          <w:bCs/>
          <w:color w:val="auto"/>
          <w:sz w:val="24"/>
          <w:highlight w:val="none"/>
        </w:rPr>
        <w:t>开户银行：</w:t>
      </w:r>
      <w:r>
        <w:rPr>
          <w:rFonts w:hint="eastAsia" w:ascii="宋体" w:hAnsi="宋体" w:cs="宋体"/>
          <w:b/>
          <w:bCs/>
          <w:color w:val="auto"/>
          <w:sz w:val="24"/>
          <w:highlight w:val="none"/>
          <w:u w:val="single"/>
        </w:rPr>
        <w:t xml:space="preserve">       </w:t>
      </w:r>
      <w:r>
        <w:rPr>
          <w:rFonts w:hint="eastAsia" w:ascii="宋体" w:hAnsi="宋体" w:cs="宋体"/>
          <w:color w:val="auto"/>
          <w:sz w:val="24"/>
          <w:highlight w:val="none"/>
        </w:rPr>
        <w:t>。</w:t>
      </w:r>
    </w:p>
    <w:p w14:paraId="7EF78BE6">
      <w:pPr>
        <w:pStyle w:val="5"/>
        <w:spacing w:line="360" w:lineRule="auto"/>
        <w:rPr>
          <w:rFonts w:hint="eastAsia" w:ascii="宋体" w:hAnsi="宋体" w:cs="宋体"/>
          <w:color w:val="auto"/>
          <w:sz w:val="24"/>
          <w:szCs w:val="24"/>
          <w:highlight w:val="none"/>
        </w:rPr>
      </w:pPr>
      <w:bookmarkStart w:id="305" w:name="_Toc26266"/>
      <w:r>
        <w:rPr>
          <w:rFonts w:hint="eastAsia" w:ascii="宋体" w:hAnsi="宋体" w:cs="宋体"/>
          <w:color w:val="auto"/>
          <w:sz w:val="24"/>
          <w:szCs w:val="24"/>
          <w:highlight w:val="none"/>
        </w:rPr>
        <w:t>6.3 环境保护</w:t>
      </w:r>
      <w:bookmarkEnd w:id="305"/>
    </w:p>
    <w:p w14:paraId="7B9E31C8">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因施工需要，经发包人批准，由承包人办理有关施工场地交通、环卫和施工噪音管理等手续，费用由承包人负责。</w:t>
      </w:r>
    </w:p>
    <w:p w14:paraId="43EFAB62">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经过城市道路的施工车辆，必须按交警、城管、运输等部门相关规定执行。由于施工车辆造成的道路、环境等污染，其责任和费用均由承包人承担。</w:t>
      </w:r>
    </w:p>
    <w:p w14:paraId="025F2C67">
      <w:pPr>
        <w:pStyle w:val="4"/>
        <w:spacing w:line="360" w:lineRule="auto"/>
        <w:rPr>
          <w:rFonts w:hint="eastAsia" w:ascii="宋体" w:hAnsi="宋体" w:cs="宋体"/>
          <w:color w:val="auto"/>
          <w:sz w:val="24"/>
          <w:szCs w:val="24"/>
          <w:highlight w:val="none"/>
        </w:rPr>
      </w:pPr>
      <w:bookmarkStart w:id="306" w:name="_Toc16039"/>
      <w:r>
        <w:rPr>
          <w:rFonts w:hint="eastAsia" w:ascii="宋体" w:hAnsi="宋体" w:cs="宋体"/>
          <w:color w:val="auto"/>
          <w:sz w:val="24"/>
          <w:szCs w:val="24"/>
          <w:highlight w:val="none"/>
        </w:rPr>
        <w:t>7. 工期和进度</w:t>
      </w:r>
      <w:bookmarkEnd w:id="306"/>
    </w:p>
    <w:p w14:paraId="660B4C85">
      <w:pPr>
        <w:pStyle w:val="5"/>
        <w:spacing w:line="360" w:lineRule="auto"/>
        <w:rPr>
          <w:rFonts w:hint="eastAsia" w:ascii="宋体" w:hAnsi="宋体" w:cs="宋体"/>
          <w:color w:val="auto"/>
          <w:sz w:val="24"/>
          <w:szCs w:val="24"/>
          <w:highlight w:val="none"/>
        </w:rPr>
      </w:pPr>
      <w:bookmarkStart w:id="307" w:name="_Toc26095"/>
      <w:r>
        <w:rPr>
          <w:rFonts w:hint="eastAsia" w:ascii="宋体" w:hAnsi="宋体" w:cs="宋体"/>
          <w:color w:val="auto"/>
          <w:sz w:val="24"/>
          <w:szCs w:val="24"/>
          <w:highlight w:val="none"/>
        </w:rPr>
        <w:t>7.1 施工组织设计</w:t>
      </w:r>
      <w:bookmarkEnd w:id="307"/>
    </w:p>
    <w:p w14:paraId="3111AC7D">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7.1.1 合同当事人约定的施工组织设计应包括的其他内容：</w:t>
      </w:r>
      <w:r>
        <w:rPr>
          <w:rFonts w:hint="eastAsia" w:ascii="宋体" w:hAnsi="宋体" w:cs="宋体"/>
          <w:color w:val="auto"/>
          <w:sz w:val="24"/>
          <w:szCs w:val="24"/>
          <w:highlight w:val="none"/>
          <w:u w:val="single"/>
        </w:rPr>
        <w:t xml:space="preserve">按《通用合同条款》7.1.1条执行 </w:t>
      </w:r>
      <w:r>
        <w:rPr>
          <w:rFonts w:hint="eastAsia" w:ascii="宋体" w:hAnsi="宋体" w:cs="宋体"/>
          <w:color w:val="auto"/>
          <w:sz w:val="24"/>
          <w:szCs w:val="24"/>
          <w:highlight w:val="none"/>
        </w:rPr>
        <w:t>。</w:t>
      </w:r>
    </w:p>
    <w:p w14:paraId="69AB16C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7.1.2 施工组织设计的提交和修改</w:t>
      </w:r>
    </w:p>
    <w:p w14:paraId="0D89D3D9">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承包人提交详细施工组织设计的期限的约定：</w:t>
      </w:r>
      <w:r>
        <w:rPr>
          <w:rFonts w:hint="eastAsia" w:ascii="宋体" w:hAnsi="宋体" w:cs="宋体"/>
          <w:color w:val="auto"/>
          <w:sz w:val="24"/>
          <w:highlight w:val="none"/>
          <w:u w:val="single"/>
        </w:rPr>
        <w:t xml:space="preserve">承包人应在合同签订后3天内   </w:t>
      </w:r>
      <w:r>
        <w:rPr>
          <w:rFonts w:hint="eastAsia" w:ascii="宋体" w:hAnsi="宋体" w:cs="宋体"/>
          <w:color w:val="auto"/>
          <w:sz w:val="24"/>
          <w:highlight w:val="none"/>
        </w:rPr>
        <w:t>。</w:t>
      </w:r>
    </w:p>
    <w:p w14:paraId="5A74EA52">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发包人和监理人在收到详细的施工组织设计后确认或提出修改意见的期限：</w:t>
      </w:r>
      <w:r>
        <w:rPr>
          <w:rFonts w:hint="eastAsia" w:ascii="宋体" w:hAnsi="宋体" w:cs="宋体"/>
          <w:color w:val="auto"/>
          <w:sz w:val="24"/>
          <w:szCs w:val="24"/>
          <w:highlight w:val="none"/>
          <w:u w:val="single"/>
        </w:rPr>
        <w:t xml:space="preserve"> 收到施工组织设计后 2 天内确认或提出修改意见</w:t>
      </w:r>
      <w:r>
        <w:rPr>
          <w:rFonts w:hint="eastAsia" w:ascii="宋体" w:hAnsi="宋体" w:cs="宋体"/>
          <w:color w:val="auto"/>
          <w:sz w:val="24"/>
          <w:szCs w:val="24"/>
          <w:highlight w:val="none"/>
        </w:rPr>
        <w:t>。</w:t>
      </w:r>
    </w:p>
    <w:p w14:paraId="2589709C">
      <w:pPr>
        <w:pStyle w:val="5"/>
        <w:spacing w:line="360" w:lineRule="auto"/>
        <w:rPr>
          <w:rFonts w:hint="eastAsia" w:ascii="宋体" w:hAnsi="宋体" w:cs="宋体"/>
          <w:color w:val="auto"/>
          <w:sz w:val="24"/>
          <w:szCs w:val="24"/>
          <w:highlight w:val="none"/>
        </w:rPr>
      </w:pPr>
      <w:bookmarkStart w:id="308" w:name="_Toc25341"/>
      <w:r>
        <w:rPr>
          <w:rFonts w:hint="eastAsia" w:ascii="宋体" w:hAnsi="宋体" w:cs="宋体"/>
          <w:color w:val="auto"/>
          <w:sz w:val="24"/>
          <w:szCs w:val="24"/>
          <w:highlight w:val="none"/>
        </w:rPr>
        <w:t>7.2 施工进度计划</w:t>
      </w:r>
      <w:bookmarkEnd w:id="308"/>
    </w:p>
    <w:p w14:paraId="584FE01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7.2.2 施工进度计划的修订</w:t>
      </w:r>
    </w:p>
    <w:p w14:paraId="0C778532">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发包人和监理人在收到修订的施工进度计划后确认或提出修改意见的期限：</w:t>
      </w:r>
      <w:r>
        <w:rPr>
          <w:rFonts w:hint="eastAsia" w:ascii="宋体" w:hAnsi="宋体" w:cs="宋体"/>
          <w:color w:val="auto"/>
          <w:sz w:val="24"/>
          <w:szCs w:val="24"/>
          <w:highlight w:val="none"/>
          <w:u w:val="single"/>
        </w:rPr>
        <w:t xml:space="preserve">到修订的施工进度计划后 2 天内确认或提出修改意见 </w:t>
      </w:r>
      <w:r>
        <w:rPr>
          <w:rFonts w:hint="eastAsia" w:ascii="宋体" w:hAnsi="宋体" w:cs="宋体"/>
          <w:color w:val="auto"/>
          <w:sz w:val="24"/>
          <w:szCs w:val="24"/>
          <w:highlight w:val="none"/>
        </w:rPr>
        <w:t>。</w:t>
      </w:r>
    </w:p>
    <w:p w14:paraId="41CBEE57">
      <w:pPr>
        <w:pStyle w:val="5"/>
        <w:spacing w:line="360" w:lineRule="auto"/>
        <w:rPr>
          <w:rFonts w:hint="eastAsia" w:ascii="宋体" w:hAnsi="宋体" w:cs="宋体"/>
          <w:color w:val="auto"/>
          <w:sz w:val="24"/>
          <w:szCs w:val="24"/>
          <w:highlight w:val="none"/>
        </w:rPr>
      </w:pPr>
      <w:bookmarkStart w:id="309" w:name="_Toc20373"/>
      <w:r>
        <w:rPr>
          <w:rFonts w:hint="eastAsia" w:ascii="宋体" w:hAnsi="宋体" w:cs="宋体"/>
          <w:color w:val="auto"/>
          <w:sz w:val="24"/>
          <w:szCs w:val="24"/>
          <w:highlight w:val="none"/>
        </w:rPr>
        <w:t>7.3 开工</w:t>
      </w:r>
      <w:bookmarkEnd w:id="309"/>
    </w:p>
    <w:p w14:paraId="635EA35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7.3.1 开工准备</w:t>
      </w:r>
    </w:p>
    <w:p w14:paraId="77913C9F">
      <w:pPr>
        <w:spacing w:line="360" w:lineRule="auto"/>
        <w:ind w:firstLine="426"/>
        <w:jc w:val="left"/>
        <w:rPr>
          <w:rFonts w:hint="eastAsia" w:ascii="宋体" w:hAnsi="宋体" w:cs="宋体"/>
          <w:color w:val="auto"/>
          <w:sz w:val="24"/>
          <w:highlight w:val="none"/>
          <w:u w:val="single"/>
        </w:rPr>
      </w:pPr>
      <w:r>
        <w:rPr>
          <w:rFonts w:hint="eastAsia" w:ascii="宋体" w:hAnsi="宋体" w:cs="宋体"/>
          <w:color w:val="auto"/>
          <w:sz w:val="24"/>
          <w:highlight w:val="none"/>
        </w:rPr>
        <w:t>关于承包人提交工程开工报审表的期限：</w:t>
      </w:r>
      <w:r>
        <w:rPr>
          <w:rFonts w:hint="eastAsia" w:ascii="宋体" w:hAnsi="宋体" w:cs="宋体"/>
          <w:color w:val="auto"/>
          <w:sz w:val="24"/>
          <w:highlight w:val="none"/>
          <w:u w:val="single"/>
        </w:rPr>
        <w:t xml:space="preserve">   开工日期前 7 天    </w:t>
      </w:r>
      <w:r>
        <w:rPr>
          <w:rFonts w:hint="eastAsia" w:ascii="宋体" w:hAnsi="宋体" w:cs="宋体"/>
          <w:color w:val="auto"/>
          <w:sz w:val="24"/>
          <w:highlight w:val="none"/>
        </w:rPr>
        <w:t>。</w:t>
      </w:r>
    </w:p>
    <w:p w14:paraId="7E08A12B">
      <w:pPr>
        <w:spacing w:line="360" w:lineRule="auto"/>
        <w:ind w:firstLine="426"/>
        <w:jc w:val="left"/>
        <w:rPr>
          <w:rFonts w:hint="eastAsia" w:ascii="宋体" w:hAnsi="宋体" w:cs="宋体"/>
          <w:color w:val="auto"/>
          <w:sz w:val="24"/>
          <w:highlight w:val="none"/>
          <w:u w:val="single"/>
        </w:rPr>
      </w:pPr>
      <w:r>
        <w:rPr>
          <w:rFonts w:hint="eastAsia" w:ascii="宋体" w:hAnsi="宋体" w:cs="宋体"/>
          <w:color w:val="auto"/>
          <w:sz w:val="24"/>
          <w:highlight w:val="none"/>
        </w:rPr>
        <w:t>关于发包人应完成的其他开工准备工作及期限：</w:t>
      </w:r>
      <w:r>
        <w:rPr>
          <w:rFonts w:hint="eastAsia" w:ascii="宋体" w:hAnsi="宋体" w:cs="宋体"/>
          <w:color w:val="auto"/>
          <w:sz w:val="24"/>
          <w:highlight w:val="none"/>
          <w:u w:val="single"/>
        </w:rPr>
        <w:t xml:space="preserve">  按《通用合同条款》执行</w:t>
      </w:r>
      <w:r>
        <w:rPr>
          <w:rFonts w:hint="eastAsia" w:ascii="宋体" w:hAnsi="宋体" w:cs="宋体"/>
          <w:color w:val="auto"/>
          <w:sz w:val="24"/>
          <w:highlight w:val="none"/>
        </w:rPr>
        <w:t>。</w:t>
      </w:r>
    </w:p>
    <w:p w14:paraId="6FD2D94E">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关于承包人应完成的其他开工准备工作及期限：</w:t>
      </w:r>
      <w:r>
        <w:rPr>
          <w:rFonts w:hint="eastAsia" w:ascii="宋体" w:hAnsi="宋体" w:cs="宋体"/>
          <w:color w:val="auto"/>
          <w:sz w:val="24"/>
          <w:highlight w:val="none"/>
          <w:u w:val="single"/>
        </w:rPr>
        <w:t xml:space="preserve">   开工日期前 7 天 </w:t>
      </w:r>
      <w:r>
        <w:rPr>
          <w:rFonts w:hint="eastAsia" w:ascii="宋体" w:hAnsi="宋体" w:cs="宋体"/>
          <w:color w:val="auto"/>
          <w:sz w:val="24"/>
          <w:highlight w:val="none"/>
        </w:rPr>
        <w:t>。</w:t>
      </w:r>
    </w:p>
    <w:p w14:paraId="45141A6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7.3.2 开工通知</w:t>
      </w:r>
    </w:p>
    <w:p w14:paraId="28C5CE6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因发包人原因造成监理人未能在计划开工日期之日起</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天内发出开工通知的，承包人有权提出价格调整要求，或者解除合同。</w:t>
      </w:r>
    </w:p>
    <w:p w14:paraId="76EDE8D1">
      <w:pPr>
        <w:pStyle w:val="5"/>
        <w:spacing w:line="360" w:lineRule="auto"/>
        <w:rPr>
          <w:rFonts w:hint="eastAsia" w:ascii="宋体" w:hAnsi="宋体" w:cs="宋体"/>
          <w:color w:val="auto"/>
          <w:sz w:val="24"/>
          <w:szCs w:val="24"/>
          <w:highlight w:val="none"/>
        </w:rPr>
      </w:pPr>
      <w:bookmarkStart w:id="310" w:name="_Toc26933"/>
      <w:r>
        <w:rPr>
          <w:rFonts w:hint="eastAsia" w:ascii="宋体" w:hAnsi="宋体" w:cs="宋体"/>
          <w:color w:val="auto"/>
          <w:sz w:val="24"/>
          <w:szCs w:val="24"/>
          <w:highlight w:val="none"/>
        </w:rPr>
        <w:t>7.4 测量放线</w:t>
      </w:r>
      <w:bookmarkEnd w:id="310"/>
    </w:p>
    <w:p w14:paraId="38C20F3E">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7.4.1发包人通过监理人向承包人提供测量基准点、基准线和水准点及其书面资料的期限：</w:t>
      </w:r>
      <w:r>
        <w:rPr>
          <w:rFonts w:hint="eastAsia" w:ascii="宋体" w:hAnsi="宋体" w:cs="宋体"/>
          <w:color w:val="auto"/>
          <w:sz w:val="24"/>
          <w:highlight w:val="none"/>
          <w:u w:val="single"/>
        </w:rPr>
        <w:t xml:space="preserve">        开工前7天        </w:t>
      </w:r>
      <w:r>
        <w:rPr>
          <w:rFonts w:hint="eastAsia" w:ascii="宋体" w:hAnsi="宋体" w:cs="宋体"/>
          <w:color w:val="auto"/>
          <w:sz w:val="24"/>
          <w:highlight w:val="none"/>
        </w:rPr>
        <w:t>。</w:t>
      </w:r>
    </w:p>
    <w:p w14:paraId="4CB4467C">
      <w:pPr>
        <w:pStyle w:val="5"/>
        <w:spacing w:line="360" w:lineRule="auto"/>
        <w:rPr>
          <w:rFonts w:hint="eastAsia" w:ascii="宋体" w:hAnsi="宋体" w:cs="宋体"/>
          <w:color w:val="auto"/>
          <w:sz w:val="24"/>
          <w:szCs w:val="24"/>
          <w:highlight w:val="none"/>
        </w:rPr>
      </w:pPr>
      <w:bookmarkStart w:id="311" w:name="_Toc7696"/>
      <w:r>
        <w:rPr>
          <w:rFonts w:hint="eastAsia" w:ascii="宋体" w:hAnsi="宋体" w:cs="宋体"/>
          <w:color w:val="auto"/>
          <w:sz w:val="24"/>
          <w:szCs w:val="24"/>
          <w:highlight w:val="none"/>
        </w:rPr>
        <w:t>7.5 工期延误</w:t>
      </w:r>
      <w:bookmarkEnd w:id="311"/>
    </w:p>
    <w:p w14:paraId="5F4A32C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7.5.1 因发包人原因导致工期延误</w:t>
      </w:r>
    </w:p>
    <w:p w14:paraId="11D93D03">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（7）因发包人原因导致工期延误的其他情形：</w:t>
      </w:r>
      <w:r>
        <w:rPr>
          <w:rFonts w:hint="eastAsia" w:ascii="宋体" w:hAnsi="宋体" w:cs="宋体"/>
          <w:color w:val="auto"/>
          <w:sz w:val="24"/>
          <w:highlight w:val="none"/>
          <w:u w:val="single"/>
        </w:rPr>
        <w:t>①重大图纸变更影响</w:t>
      </w:r>
      <w:r>
        <w:rPr>
          <w:rFonts w:hint="eastAsia" w:ascii="宋体" w:hAnsi="宋体" w:cs="宋体"/>
          <w:color w:val="auto"/>
          <w:sz w:val="24"/>
          <w:highlight w:val="none"/>
          <w:u w:val="single"/>
          <w:lang w:eastAsia="zh-CN"/>
        </w:rPr>
        <w:t>关键</w:t>
      </w:r>
      <w:r>
        <w:rPr>
          <w:rFonts w:hint="eastAsia" w:ascii="宋体" w:hAnsi="宋体" w:cs="宋体"/>
          <w:color w:val="auto"/>
          <w:sz w:val="24"/>
          <w:highlight w:val="none"/>
          <w:u w:val="single"/>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cs="宋体"/>
          <w:color w:val="auto"/>
          <w:sz w:val="24"/>
          <w:highlight w:val="none"/>
        </w:rPr>
        <w:t xml:space="preserve"> 。</w:t>
      </w:r>
    </w:p>
    <w:p w14:paraId="478A67F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7.5.2 因承包人原因导致工期延误</w:t>
      </w:r>
    </w:p>
    <w:p w14:paraId="614971F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因承包人原因造成工期延误，逾期竣工违约金的计算方法为：</w:t>
      </w:r>
      <w:r>
        <w:rPr>
          <w:rFonts w:hint="eastAsia" w:ascii="宋体" w:hAnsi="宋体" w:cs="宋体"/>
          <w:color w:val="auto"/>
          <w:sz w:val="24"/>
          <w:highlight w:val="none"/>
          <w:u w:val="single"/>
        </w:rPr>
        <w:t>按逾期竣工的单项工程罚款，每延误一天,按单项工程应支付给承包人的结算造价的万分之一处罚,罚款直接从结算款中扣除。误期时间从规定竣工日期起直到实际竣工日期的天数（扣除发包人批准顺延的工期）。</w:t>
      </w:r>
      <w:r>
        <w:rPr>
          <w:rFonts w:hint="eastAsia" w:ascii="宋体" w:hAnsi="宋体" w:cs="宋体"/>
          <w:color w:val="auto"/>
          <w:sz w:val="24"/>
          <w:highlight w:val="none"/>
        </w:rPr>
        <w:t>因承包人原因造成工期延误，逾期竣工违约金的上限：</w:t>
      </w:r>
      <w:r>
        <w:rPr>
          <w:rFonts w:hint="eastAsia" w:ascii="宋体" w:hAnsi="宋体" w:cs="宋体"/>
          <w:color w:val="auto"/>
          <w:sz w:val="24"/>
          <w:highlight w:val="none"/>
          <w:u w:val="single"/>
        </w:rPr>
        <w:t>合同价的1%</w:t>
      </w:r>
      <w:r>
        <w:rPr>
          <w:rFonts w:hint="eastAsia" w:ascii="宋体" w:hAnsi="宋体" w:cs="宋体"/>
          <w:color w:val="auto"/>
          <w:sz w:val="24"/>
          <w:highlight w:val="none"/>
        </w:rPr>
        <w:t>。</w:t>
      </w:r>
    </w:p>
    <w:p w14:paraId="1BB45BA5">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7.5.3因其他原因导致的工期延误</w:t>
      </w:r>
    </w:p>
    <w:p w14:paraId="69FC34F3">
      <w:pPr>
        <w:pStyle w:val="389"/>
        <w:spacing w:before="0" w:after="0" w:line="360" w:lineRule="auto"/>
        <w:ind w:firstLine="480"/>
        <w:jc w:val="both"/>
        <w:rPr>
          <w:rFonts w:hint="eastAsia" w:hAnsi="宋体"/>
          <w:color w:val="auto"/>
          <w:highlight w:val="none"/>
          <w:u w:val="single"/>
        </w:rPr>
      </w:pPr>
      <w:r>
        <w:rPr>
          <w:rFonts w:hint="eastAsia" w:hAnsi="宋体"/>
          <w:color w:val="auto"/>
          <w:highlight w:val="none"/>
        </w:rPr>
        <w:t>由于以下原因之一在施工关键节点线路上及控制工期推迟的延误，工期顺延：</w:t>
      </w:r>
    </w:p>
    <w:p w14:paraId="36025FF5">
      <w:pPr>
        <w:pStyle w:val="370"/>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（1）因政府指令性要求停工的（国家法定节假日、“三月三”、中考、高考及“两会一节”等能合理</w:t>
      </w:r>
      <w:r>
        <w:rPr>
          <w:rFonts w:hint="eastAsia" w:ascii="宋体" w:hAnsi="宋体" w:cs="宋体"/>
          <w:color w:val="auto"/>
          <w:sz w:val="24"/>
          <w:szCs w:val="24"/>
          <w:highlight w:val="none"/>
          <w:u w:val="single"/>
          <w:lang w:eastAsia="zh-CN"/>
        </w:rPr>
        <w:t>预见</w:t>
      </w:r>
      <w:r>
        <w:rPr>
          <w:rFonts w:hint="eastAsia" w:ascii="宋体" w:hAnsi="宋体" w:cs="宋体"/>
          <w:color w:val="auto"/>
          <w:sz w:val="24"/>
          <w:szCs w:val="24"/>
          <w:highlight w:val="none"/>
          <w:u w:val="single"/>
        </w:rPr>
        <w:t>的情形除外）。</w:t>
      </w:r>
    </w:p>
    <w:p w14:paraId="12FB1F33">
      <w:pPr>
        <w:pStyle w:val="370"/>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（2）非承包人的责任造成的工期延误或承包人提供证据证明的可顺延工期且经发包人同意的其他情况。</w:t>
      </w:r>
    </w:p>
    <w:p w14:paraId="75998760">
      <w:pPr>
        <w:pStyle w:val="370"/>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7.5.4 工期延误签证程序</w:t>
      </w:r>
    </w:p>
    <w:p w14:paraId="69766D76">
      <w:pPr>
        <w:pStyle w:val="370"/>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承包人在关键节点延误事件发生之日起2天内，应就工期以书面形式向发包人提出意向，并在此延误事件结束之日起5天内提出报告。发包人在收到报告之日起14天内予以确认或答复，</w:t>
      </w:r>
      <w:r>
        <w:rPr>
          <w:rFonts w:hint="eastAsia" w:ascii="宋体" w:hAnsi="宋体" w:cs="宋体"/>
          <w:color w:val="auto"/>
          <w:sz w:val="24"/>
          <w:szCs w:val="24"/>
          <w:highlight w:val="none"/>
          <w:u w:val="single"/>
        </w:rPr>
        <w:t>逾期不批复确认也不提出书面意见的，视为同意。</w:t>
      </w:r>
      <w:r>
        <w:rPr>
          <w:rFonts w:hint="eastAsia" w:ascii="宋体" w:hAnsi="宋体" w:cs="宋体"/>
          <w:color w:val="auto"/>
          <w:sz w:val="24"/>
          <w:szCs w:val="24"/>
          <w:highlight w:val="none"/>
        </w:rPr>
        <w:t>如承包人未在上述时间内提出申请，视为工期不受影响。</w:t>
      </w:r>
    </w:p>
    <w:p w14:paraId="4B51AED7">
      <w:pPr>
        <w:pStyle w:val="370"/>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双方约定本工程属下列情况者，工期不予顺延：</w:t>
      </w:r>
    </w:p>
    <w:p w14:paraId="5E37A618">
      <w:pPr>
        <w:pStyle w:val="370"/>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（1） 因承包人违反规范或任何工程质量不合格而进行返工、重建、修建的施工工期或以伪劣材料充抵合同规定的品牌、型号、质量等级、或没有按投标时报送样品进行采购供货或不按本合同规定的人员进行配置时，经发包人代表或监理工程师下达停工令的停工日期的；</w:t>
      </w:r>
    </w:p>
    <w:p w14:paraId="35DDEF56">
      <w:pPr>
        <w:pStyle w:val="370"/>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（2）承包人未按设计要求进行施工、或因施工组织方案不可行导致发包人未能按时审批影响开工的；</w:t>
      </w:r>
    </w:p>
    <w:p w14:paraId="69D95E05">
      <w:pPr>
        <w:pStyle w:val="370"/>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 xml:space="preserve">（3）工程实施期间或完工后接受有关部门检查发现存在质量问题或技术问题需作整改的； </w:t>
      </w:r>
    </w:p>
    <w:p w14:paraId="754AC74D">
      <w:pPr>
        <w:pStyle w:val="370"/>
        <w:spacing w:line="360" w:lineRule="auto"/>
        <w:ind w:firstLine="480"/>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（4）承包人自身原因的待工待料的；</w:t>
      </w:r>
    </w:p>
    <w:p w14:paraId="1B08D97E">
      <w:pPr>
        <w:pStyle w:val="370"/>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（5）工程质量未达到等级标准要求，发包人要求承包人返工的。</w:t>
      </w:r>
    </w:p>
    <w:p w14:paraId="52FFB487">
      <w:pPr>
        <w:pStyle w:val="5"/>
        <w:spacing w:line="360" w:lineRule="auto"/>
        <w:rPr>
          <w:rFonts w:hint="eastAsia" w:ascii="宋体" w:hAnsi="宋体" w:cs="宋体"/>
          <w:color w:val="auto"/>
          <w:sz w:val="24"/>
          <w:szCs w:val="24"/>
          <w:highlight w:val="none"/>
        </w:rPr>
      </w:pPr>
      <w:bookmarkStart w:id="312" w:name="_Toc23167"/>
      <w:r>
        <w:rPr>
          <w:rFonts w:hint="eastAsia" w:ascii="宋体" w:hAnsi="宋体" w:cs="宋体"/>
          <w:color w:val="auto"/>
          <w:sz w:val="24"/>
          <w:szCs w:val="24"/>
          <w:highlight w:val="none"/>
        </w:rPr>
        <w:t>7.6 不利物质条件</w:t>
      </w:r>
      <w:bookmarkEnd w:id="312"/>
    </w:p>
    <w:p w14:paraId="4E42A4C8">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不利物质条件的其他情形和有关约定：</w:t>
      </w:r>
      <w:r>
        <w:rPr>
          <w:rFonts w:hint="eastAsia" w:ascii="宋体" w:hAnsi="宋体" w:cs="宋体"/>
          <w:color w:val="auto"/>
          <w:sz w:val="24"/>
          <w:highlight w:val="none"/>
          <w:u w:val="single"/>
        </w:rPr>
        <w:t xml:space="preserve">  按《通用合同条款》7.6 条执行    </w:t>
      </w:r>
      <w:r>
        <w:rPr>
          <w:rFonts w:hint="eastAsia" w:ascii="宋体" w:hAnsi="宋体" w:cs="宋体"/>
          <w:color w:val="auto"/>
          <w:sz w:val="24"/>
          <w:highlight w:val="none"/>
        </w:rPr>
        <w:t>。</w:t>
      </w:r>
    </w:p>
    <w:p w14:paraId="3C517146">
      <w:pPr>
        <w:pStyle w:val="5"/>
        <w:spacing w:line="360" w:lineRule="auto"/>
        <w:rPr>
          <w:rFonts w:hint="eastAsia" w:ascii="宋体" w:hAnsi="宋体" w:cs="宋体"/>
          <w:color w:val="auto"/>
          <w:sz w:val="24"/>
          <w:szCs w:val="24"/>
          <w:highlight w:val="none"/>
        </w:rPr>
      </w:pPr>
      <w:bookmarkStart w:id="313" w:name="_Toc13214"/>
      <w:r>
        <w:rPr>
          <w:rFonts w:hint="eastAsia" w:ascii="宋体" w:hAnsi="宋体" w:cs="宋体"/>
          <w:color w:val="auto"/>
          <w:sz w:val="24"/>
          <w:szCs w:val="24"/>
          <w:highlight w:val="none"/>
        </w:rPr>
        <w:t>7.7 异常恶劣的气候条件</w:t>
      </w:r>
      <w:bookmarkEnd w:id="313"/>
    </w:p>
    <w:p w14:paraId="531B96D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发包人和承包人同意以下情形视为异常恶劣的气候条件：</w:t>
      </w:r>
    </w:p>
    <w:p w14:paraId="0D91CFEB">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 xml:space="preserve">  5 年一遇强度的降水   </w:t>
      </w:r>
      <w:r>
        <w:rPr>
          <w:rFonts w:hint="eastAsia" w:ascii="宋体" w:hAnsi="宋体" w:cs="宋体"/>
          <w:color w:val="auto"/>
          <w:sz w:val="24"/>
          <w:szCs w:val="24"/>
          <w:highlight w:val="none"/>
        </w:rPr>
        <w:t>；</w:t>
      </w:r>
    </w:p>
    <w:p w14:paraId="67022E98">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u w:val="single"/>
        </w:rPr>
        <w:t xml:space="preserve">    6 级以上大风     </w:t>
      </w:r>
      <w:r>
        <w:rPr>
          <w:rFonts w:hint="eastAsia" w:ascii="宋体" w:hAnsi="宋体" w:cs="宋体"/>
          <w:color w:val="auto"/>
          <w:sz w:val="24"/>
          <w:szCs w:val="24"/>
          <w:highlight w:val="none"/>
        </w:rPr>
        <w:t>；</w:t>
      </w:r>
    </w:p>
    <w:p w14:paraId="780F4866">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u w:val="single"/>
        </w:rPr>
        <w:t xml:space="preserve">   室内气温 40℃及以上</w:t>
      </w:r>
      <w:r>
        <w:rPr>
          <w:rFonts w:hint="eastAsia" w:ascii="宋体" w:hAnsi="宋体" w:cs="宋体"/>
          <w:color w:val="auto"/>
          <w:sz w:val="24"/>
          <w:szCs w:val="24"/>
          <w:highlight w:val="none"/>
        </w:rPr>
        <w:t>。</w:t>
      </w:r>
    </w:p>
    <w:p w14:paraId="50075FF7">
      <w:pPr>
        <w:pStyle w:val="5"/>
        <w:spacing w:line="360" w:lineRule="auto"/>
        <w:rPr>
          <w:rFonts w:hint="eastAsia" w:ascii="宋体" w:hAnsi="宋体" w:cs="宋体"/>
          <w:color w:val="auto"/>
          <w:sz w:val="24"/>
          <w:szCs w:val="24"/>
          <w:highlight w:val="none"/>
        </w:rPr>
      </w:pPr>
      <w:bookmarkStart w:id="314" w:name="_Toc24237"/>
      <w:r>
        <w:rPr>
          <w:rFonts w:hint="eastAsia" w:ascii="宋体" w:hAnsi="宋体" w:cs="宋体"/>
          <w:color w:val="auto"/>
          <w:sz w:val="24"/>
          <w:szCs w:val="24"/>
          <w:highlight w:val="none"/>
        </w:rPr>
        <w:t>7.9 提前竣工</w:t>
      </w:r>
      <w:bookmarkEnd w:id="314"/>
    </w:p>
    <w:p w14:paraId="58701A5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7.9.2提前竣工（赶工）增加费的计算方法：</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548FCEF6">
      <w:pPr>
        <w:pStyle w:val="4"/>
        <w:spacing w:line="360" w:lineRule="auto"/>
        <w:rPr>
          <w:rFonts w:hint="eastAsia" w:ascii="宋体" w:hAnsi="宋体" w:cs="宋体"/>
          <w:color w:val="auto"/>
          <w:sz w:val="24"/>
          <w:szCs w:val="24"/>
          <w:highlight w:val="none"/>
        </w:rPr>
      </w:pPr>
      <w:bookmarkStart w:id="315" w:name="_Toc21809"/>
      <w:r>
        <w:rPr>
          <w:rFonts w:hint="eastAsia" w:ascii="宋体" w:hAnsi="宋体" w:cs="宋体"/>
          <w:color w:val="auto"/>
          <w:sz w:val="24"/>
          <w:szCs w:val="24"/>
          <w:highlight w:val="none"/>
        </w:rPr>
        <w:t>8. 材料与设备</w:t>
      </w:r>
      <w:bookmarkEnd w:id="315"/>
    </w:p>
    <w:p w14:paraId="74D13F3C">
      <w:pPr>
        <w:pStyle w:val="5"/>
        <w:spacing w:line="360" w:lineRule="auto"/>
        <w:rPr>
          <w:rFonts w:hint="eastAsia" w:ascii="宋体" w:hAnsi="宋体" w:cs="宋体"/>
          <w:color w:val="auto"/>
          <w:sz w:val="24"/>
          <w:szCs w:val="24"/>
          <w:highlight w:val="none"/>
        </w:rPr>
      </w:pPr>
      <w:bookmarkStart w:id="316" w:name="_Toc31166"/>
      <w:r>
        <w:rPr>
          <w:rFonts w:hint="eastAsia" w:ascii="宋体" w:hAnsi="宋体" w:cs="宋体"/>
          <w:color w:val="auto"/>
          <w:sz w:val="24"/>
          <w:szCs w:val="24"/>
          <w:highlight w:val="none"/>
        </w:rPr>
        <w:t>8.2 承包人采购材料与工程设备</w:t>
      </w:r>
      <w:bookmarkEnd w:id="316"/>
    </w:p>
    <w:p w14:paraId="2046FD3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除已标价工程量清单《发包人提供主要材料和工程设备一览表》（表-21）中明确的材料、工程设备外，由承包人负责材料和工程设备的采购、运输和保管。</w:t>
      </w:r>
    </w:p>
    <w:p w14:paraId="6D05351E">
      <w:pPr>
        <w:pStyle w:val="372"/>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承包人负责采购材料、工程设备的，应按照设计和有关标准要求采购，并提供产品合格证明及出厂证明，对材料、工程设备质量负责。</w:t>
      </w:r>
    </w:p>
    <w:p w14:paraId="47EE1433">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建筑、装修及安装的材料，承包人应选择相当于或优于工程量清单描述品牌。如实际采购与其不符，承包人收集有关材料上报，报发包人项目管理部及监理工程师确定后方可采购。严禁承包人采购小型钢厂且不符合冶金类行业标准的钢筋。在施工前，承包人须将材料样板送监理单位及发包人确认封板后方可使用。施工期间该部分材料或设备如未超过招标约定的风险幅度的，结算时按投标单价支付，不得调整。</w:t>
      </w:r>
    </w:p>
    <w:p w14:paraId="2B70F6F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0893FD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禁止使用松木、松木包装材料设备、种子、苗木、花卉及繁殖材料。</w:t>
      </w:r>
    </w:p>
    <w:p w14:paraId="7F1502E6">
      <w:pPr>
        <w:pStyle w:val="5"/>
        <w:spacing w:line="360" w:lineRule="auto"/>
        <w:rPr>
          <w:rFonts w:hint="eastAsia" w:ascii="宋体" w:hAnsi="宋体" w:cs="宋体"/>
          <w:color w:val="auto"/>
          <w:sz w:val="24"/>
          <w:szCs w:val="24"/>
          <w:highlight w:val="none"/>
        </w:rPr>
      </w:pPr>
      <w:bookmarkStart w:id="317" w:name="_Toc26169"/>
      <w:r>
        <w:rPr>
          <w:rFonts w:hint="eastAsia" w:ascii="宋体" w:hAnsi="宋体" w:cs="宋体"/>
          <w:color w:val="auto"/>
          <w:sz w:val="24"/>
          <w:szCs w:val="24"/>
          <w:highlight w:val="none"/>
        </w:rPr>
        <w:t>8.4 材料与工程设备的保管与使用</w:t>
      </w:r>
      <w:bookmarkEnd w:id="317"/>
    </w:p>
    <w:p w14:paraId="6F5B51E7">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8.4.1发包人供应的材料设备的保管费用的承担：</w:t>
      </w:r>
      <w:r>
        <w:rPr>
          <w:rFonts w:hint="eastAsia" w:ascii="宋体" w:hAnsi="宋体" w:cs="宋体"/>
          <w:color w:val="auto"/>
          <w:sz w:val="24"/>
          <w:szCs w:val="24"/>
          <w:highlight w:val="none"/>
          <w:u w:val="single"/>
        </w:rPr>
        <w:t xml:space="preserve">由承包人在投标报价中考虑并承担相应费用  </w:t>
      </w:r>
      <w:r>
        <w:rPr>
          <w:rFonts w:hint="eastAsia" w:ascii="宋体" w:hAnsi="宋体" w:cs="宋体"/>
          <w:color w:val="auto"/>
          <w:sz w:val="24"/>
          <w:szCs w:val="24"/>
          <w:highlight w:val="none"/>
        </w:rPr>
        <w:t>。</w:t>
      </w:r>
    </w:p>
    <w:p w14:paraId="62D64B59">
      <w:pPr>
        <w:pStyle w:val="5"/>
        <w:spacing w:line="360" w:lineRule="auto"/>
        <w:rPr>
          <w:rFonts w:hint="eastAsia" w:ascii="宋体" w:hAnsi="宋体" w:cs="宋体"/>
          <w:color w:val="auto"/>
          <w:sz w:val="24"/>
          <w:szCs w:val="24"/>
          <w:highlight w:val="none"/>
        </w:rPr>
      </w:pPr>
      <w:bookmarkStart w:id="318" w:name="_Toc31507"/>
      <w:r>
        <w:rPr>
          <w:rFonts w:hint="eastAsia" w:ascii="宋体" w:hAnsi="宋体" w:cs="宋体"/>
          <w:color w:val="auto"/>
          <w:sz w:val="24"/>
          <w:szCs w:val="24"/>
          <w:highlight w:val="none"/>
        </w:rPr>
        <w:t>8.6 样品</w:t>
      </w:r>
      <w:bookmarkEnd w:id="318"/>
    </w:p>
    <w:p w14:paraId="40EC7B9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8.6.1 样品的报送与封存</w:t>
      </w:r>
    </w:p>
    <w:p w14:paraId="2288F59C">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需要承包人报送样品的材料或工程设备，样品的种类、名称、规格、数量要求：</w:t>
      </w:r>
      <w:r>
        <w:rPr>
          <w:rFonts w:hint="eastAsia" w:ascii="宋体" w:hAnsi="宋体" w:cs="宋体"/>
          <w:color w:val="auto"/>
          <w:sz w:val="24"/>
          <w:highlight w:val="none"/>
          <w:u w:val="single"/>
        </w:rPr>
        <w:t>主要材料涉及品种、款式、颜色等方面内容的，承包人应提交准备合格的材料样品送发包人选定。</w:t>
      </w:r>
    </w:p>
    <w:p w14:paraId="5685CD6D">
      <w:pPr>
        <w:pStyle w:val="5"/>
        <w:spacing w:line="360" w:lineRule="auto"/>
        <w:rPr>
          <w:rFonts w:hint="eastAsia" w:ascii="宋体" w:hAnsi="宋体" w:cs="宋体"/>
          <w:color w:val="auto"/>
          <w:sz w:val="24"/>
          <w:szCs w:val="24"/>
          <w:highlight w:val="none"/>
        </w:rPr>
      </w:pPr>
      <w:bookmarkStart w:id="319" w:name="_Toc13210"/>
      <w:r>
        <w:rPr>
          <w:rFonts w:hint="eastAsia" w:ascii="宋体" w:hAnsi="宋体" w:cs="宋体"/>
          <w:color w:val="auto"/>
          <w:sz w:val="24"/>
          <w:szCs w:val="24"/>
          <w:highlight w:val="none"/>
        </w:rPr>
        <w:t>8.8 施工设备和临时设施</w:t>
      </w:r>
      <w:bookmarkEnd w:id="319"/>
    </w:p>
    <w:p w14:paraId="53E7B6E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8.8.1 承包人提供的施工设备和临时设施</w:t>
      </w:r>
    </w:p>
    <w:p w14:paraId="3DBB3C9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5A7F19F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关于修建临时设施费用承担的约定：</w:t>
      </w:r>
    </w:p>
    <w:p w14:paraId="191593E9">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 xml:space="preserve"> ①承包人的临时用地（含项目部驻地等）租用费（含拆迁补偿）、临时用地的环保、恢复、临时用地的青苗补偿及地面附着物拆除等费用均由承包人负责，以上费用在投标报价中综合考虑。</w:t>
      </w:r>
    </w:p>
    <w:p w14:paraId="129F0A71">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②承包人负责合同实施期间其合同段内临时交通道路（含场内外连接公共交通道路）和交通设施的修建、维修、养护和交通管理工作，并承担一切费用。</w:t>
      </w:r>
    </w:p>
    <w:p w14:paraId="0A1FBC1F">
      <w:pPr>
        <w:pStyle w:val="374"/>
        <w:spacing w:line="360" w:lineRule="auto"/>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③承包人修建的临时道路和交通设施，应免费提供给发包人、监理工程师使用。</w:t>
      </w:r>
    </w:p>
    <w:p w14:paraId="12350B2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8.8.2 发包人提供的施工设备和临时设施</w:t>
      </w:r>
    </w:p>
    <w:p w14:paraId="3C5448B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发包人提供的施工设备和临时设施：</w:t>
      </w:r>
      <w:r>
        <w:rPr>
          <w:rFonts w:hint="eastAsia" w:ascii="宋体" w:hAnsi="宋体" w:cs="宋体"/>
          <w:color w:val="auto"/>
          <w:sz w:val="24"/>
          <w:highlight w:val="none"/>
          <w:u w:val="single"/>
        </w:rPr>
        <w:t xml:space="preserve">      按《通用合同合同条款》条执行     </w:t>
      </w:r>
      <w:r>
        <w:rPr>
          <w:rFonts w:hint="eastAsia" w:ascii="宋体" w:hAnsi="宋体" w:cs="宋体"/>
          <w:color w:val="auto"/>
          <w:sz w:val="24"/>
          <w:highlight w:val="none"/>
        </w:rPr>
        <w:t>。</w:t>
      </w:r>
    </w:p>
    <w:p w14:paraId="3130337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发包人提供的施工设备和临时设施的运行、维护、拆除、清运费用的承担人：</w:t>
      </w:r>
      <w:r>
        <w:rPr>
          <w:rFonts w:hint="eastAsia" w:ascii="宋体" w:hAnsi="宋体" w:cs="宋体"/>
          <w:color w:val="auto"/>
          <w:sz w:val="24"/>
          <w:highlight w:val="none"/>
          <w:u w:val="single"/>
        </w:rPr>
        <w:t xml:space="preserve"> 由承包人承担相应费用</w:t>
      </w:r>
      <w:r>
        <w:rPr>
          <w:rFonts w:hint="eastAsia" w:ascii="宋体" w:hAnsi="宋体" w:cs="宋体"/>
          <w:color w:val="auto"/>
          <w:sz w:val="24"/>
          <w:highlight w:val="none"/>
        </w:rPr>
        <w:t>。</w:t>
      </w:r>
    </w:p>
    <w:p w14:paraId="03019DC4">
      <w:pPr>
        <w:pStyle w:val="4"/>
        <w:spacing w:line="360" w:lineRule="auto"/>
        <w:rPr>
          <w:rFonts w:hint="eastAsia" w:ascii="宋体" w:hAnsi="宋体" w:cs="宋体"/>
          <w:color w:val="auto"/>
          <w:sz w:val="24"/>
          <w:szCs w:val="24"/>
          <w:highlight w:val="none"/>
        </w:rPr>
      </w:pPr>
      <w:bookmarkStart w:id="320" w:name="_Toc21236"/>
      <w:r>
        <w:rPr>
          <w:rFonts w:hint="eastAsia" w:ascii="宋体" w:hAnsi="宋体" w:cs="宋体"/>
          <w:color w:val="auto"/>
          <w:sz w:val="24"/>
          <w:szCs w:val="24"/>
          <w:highlight w:val="none"/>
        </w:rPr>
        <w:t>9. 试验与检验</w:t>
      </w:r>
      <w:bookmarkEnd w:id="320"/>
    </w:p>
    <w:p w14:paraId="1AD7A877">
      <w:pPr>
        <w:pStyle w:val="5"/>
        <w:spacing w:line="360" w:lineRule="auto"/>
        <w:rPr>
          <w:rFonts w:hint="eastAsia" w:ascii="宋体" w:hAnsi="宋体" w:cs="宋体"/>
          <w:color w:val="auto"/>
          <w:sz w:val="24"/>
          <w:szCs w:val="24"/>
          <w:highlight w:val="none"/>
        </w:rPr>
      </w:pPr>
      <w:bookmarkStart w:id="321" w:name="_Toc20362"/>
      <w:r>
        <w:rPr>
          <w:rFonts w:hint="eastAsia" w:ascii="宋体" w:hAnsi="宋体" w:cs="宋体"/>
          <w:color w:val="auto"/>
          <w:sz w:val="24"/>
          <w:szCs w:val="24"/>
          <w:highlight w:val="none"/>
        </w:rPr>
        <w:t>9.1 试验设备与试验人员</w:t>
      </w:r>
      <w:bookmarkEnd w:id="321"/>
    </w:p>
    <w:p w14:paraId="6E50C63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9.1.2 试验设备</w:t>
      </w:r>
    </w:p>
    <w:p w14:paraId="254F8492">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施工现场需要配置的试验场所：</w:t>
      </w:r>
      <w:r>
        <w:rPr>
          <w:rFonts w:hint="eastAsia" w:ascii="宋体" w:hAnsi="宋体" w:cs="宋体"/>
          <w:color w:val="auto"/>
          <w:sz w:val="24"/>
          <w:highlight w:val="none"/>
          <w:u w:val="single"/>
        </w:rPr>
        <w:t xml:space="preserve">  按相关规定执行，由承包人提供   </w:t>
      </w:r>
      <w:r>
        <w:rPr>
          <w:rFonts w:hint="eastAsia" w:ascii="宋体" w:hAnsi="宋体" w:cs="宋体"/>
          <w:color w:val="auto"/>
          <w:sz w:val="24"/>
          <w:highlight w:val="none"/>
        </w:rPr>
        <w:t>。</w:t>
      </w:r>
    </w:p>
    <w:p w14:paraId="584A2AFF">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施工现场需要配备的试验设备：</w:t>
      </w:r>
      <w:r>
        <w:rPr>
          <w:rFonts w:hint="eastAsia" w:ascii="宋体" w:hAnsi="宋体" w:cs="宋体"/>
          <w:color w:val="auto"/>
          <w:sz w:val="24"/>
          <w:highlight w:val="none"/>
          <w:u w:val="single"/>
        </w:rPr>
        <w:t xml:space="preserve">    按相关规定执行，由承包人提供    </w:t>
      </w:r>
      <w:r>
        <w:rPr>
          <w:rFonts w:hint="eastAsia" w:ascii="宋体" w:hAnsi="宋体" w:cs="宋体"/>
          <w:color w:val="auto"/>
          <w:sz w:val="24"/>
          <w:highlight w:val="none"/>
        </w:rPr>
        <w:t>。</w:t>
      </w:r>
    </w:p>
    <w:p w14:paraId="77188765">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施工现场需要具备的其他试验条件：</w:t>
      </w:r>
      <w:r>
        <w:rPr>
          <w:rFonts w:hint="eastAsia" w:ascii="宋体" w:hAnsi="宋体" w:cs="宋体"/>
          <w:color w:val="auto"/>
          <w:sz w:val="24"/>
          <w:highlight w:val="none"/>
          <w:u w:val="single"/>
        </w:rPr>
        <w:t xml:space="preserve">   按相关规定执行，由承包人提供    </w:t>
      </w:r>
      <w:r>
        <w:rPr>
          <w:rFonts w:hint="eastAsia" w:ascii="宋体" w:hAnsi="宋体" w:cs="宋体"/>
          <w:color w:val="auto"/>
          <w:sz w:val="24"/>
          <w:highlight w:val="none"/>
        </w:rPr>
        <w:t>。</w:t>
      </w:r>
    </w:p>
    <w:p w14:paraId="48B60CC7">
      <w:pPr>
        <w:pStyle w:val="5"/>
        <w:spacing w:line="360" w:lineRule="auto"/>
        <w:rPr>
          <w:rFonts w:hint="eastAsia" w:ascii="宋体" w:hAnsi="宋体" w:cs="宋体"/>
          <w:color w:val="auto"/>
          <w:sz w:val="24"/>
          <w:szCs w:val="24"/>
          <w:highlight w:val="none"/>
        </w:rPr>
      </w:pPr>
      <w:bookmarkStart w:id="322" w:name="_Toc27020"/>
      <w:r>
        <w:rPr>
          <w:rFonts w:hint="eastAsia" w:ascii="宋体" w:hAnsi="宋体" w:cs="宋体"/>
          <w:color w:val="auto"/>
          <w:sz w:val="24"/>
          <w:szCs w:val="24"/>
          <w:highlight w:val="none"/>
        </w:rPr>
        <w:t>9.4 现场工艺试验</w:t>
      </w:r>
      <w:bookmarkEnd w:id="322"/>
      <w:r>
        <w:rPr>
          <w:rFonts w:hint="eastAsia" w:ascii="宋体" w:hAnsi="宋体" w:cs="宋体"/>
          <w:color w:val="auto"/>
          <w:sz w:val="24"/>
          <w:szCs w:val="24"/>
          <w:highlight w:val="none"/>
        </w:rPr>
        <w:t xml:space="preserve"> </w:t>
      </w:r>
    </w:p>
    <w:p w14:paraId="2334664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现场工艺试验的有关约定：</w:t>
      </w:r>
      <w:r>
        <w:rPr>
          <w:rFonts w:hint="eastAsia" w:ascii="宋体" w:hAnsi="宋体" w:cs="宋体"/>
          <w:color w:val="auto"/>
          <w:sz w:val="24"/>
          <w:highlight w:val="none"/>
          <w:u w:val="single"/>
        </w:rPr>
        <w:t xml:space="preserve">    按《通用合同条款》</w:t>
      </w:r>
      <w:r>
        <w:rPr>
          <w:rFonts w:hint="eastAsia" w:ascii="宋体" w:hAnsi="宋体" w:cs="宋体"/>
          <w:color w:val="auto"/>
          <w:sz w:val="24"/>
          <w:highlight w:val="none"/>
          <w:u w:val="single"/>
          <w:lang w:val="en-US" w:eastAsia="zh-CN"/>
        </w:rPr>
        <w:t>第</w:t>
      </w:r>
      <w:r>
        <w:rPr>
          <w:rFonts w:hint="eastAsia" w:ascii="宋体" w:hAnsi="宋体" w:cs="宋体"/>
          <w:color w:val="auto"/>
          <w:sz w:val="24"/>
          <w:highlight w:val="none"/>
          <w:u w:val="single"/>
        </w:rPr>
        <w:t xml:space="preserve">9.4 条执行 </w:t>
      </w:r>
      <w:r>
        <w:rPr>
          <w:rFonts w:hint="eastAsia" w:ascii="宋体" w:hAnsi="宋体" w:cs="宋体"/>
          <w:color w:val="auto"/>
          <w:sz w:val="24"/>
          <w:highlight w:val="none"/>
        </w:rPr>
        <w:t>。</w:t>
      </w:r>
    </w:p>
    <w:p w14:paraId="7881CE9D">
      <w:pPr>
        <w:pStyle w:val="5"/>
        <w:spacing w:line="360" w:lineRule="auto"/>
        <w:rPr>
          <w:rFonts w:hint="eastAsia" w:ascii="宋体" w:hAnsi="宋体" w:cs="宋体"/>
          <w:color w:val="auto"/>
          <w:sz w:val="24"/>
          <w:szCs w:val="24"/>
          <w:highlight w:val="none"/>
        </w:rPr>
      </w:pPr>
      <w:bookmarkStart w:id="323" w:name="_Toc19755"/>
      <w:r>
        <w:rPr>
          <w:rFonts w:hint="eastAsia" w:ascii="宋体" w:hAnsi="宋体" w:cs="宋体"/>
          <w:color w:val="auto"/>
          <w:sz w:val="24"/>
          <w:szCs w:val="24"/>
          <w:highlight w:val="none"/>
        </w:rPr>
        <w:t>9.5 检验费用</w:t>
      </w:r>
      <w:bookmarkEnd w:id="323"/>
    </w:p>
    <w:p w14:paraId="4E7EDF56">
      <w:pPr>
        <w:spacing w:line="360" w:lineRule="auto"/>
        <w:ind w:firstLine="470"/>
        <w:rPr>
          <w:rFonts w:hint="eastAsia" w:ascii="宋体" w:hAnsi="宋体" w:cs="宋体"/>
          <w:color w:val="auto"/>
          <w:sz w:val="24"/>
          <w:highlight w:val="none"/>
        </w:rPr>
      </w:pPr>
      <w:r>
        <w:rPr>
          <w:rFonts w:hint="eastAsia" w:ascii="宋体" w:hAnsi="宋体" w:cs="宋体"/>
          <w:color w:val="auto"/>
          <w:sz w:val="24"/>
          <w:highlight w:val="none"/>
        </w:rPr>
        <w:t>根据《建设工程质量检测管理办法》（中华人民共和国住房和城乡建设部令第57号）规定，工程质量检测业务由发包人委托有相应资质的检测机构检测。费用从发包人的项目建设经费中支出并直接支付给检测机构，不计入合同价款内。</w:t>
      </w:r>
    </w:p>
    <w:p w14:paraId="44916E58">
      <w:pPr>
        <w:pStyle w:val="4"/>
        <w:spacing w:line="360" w:lineRule="auto"/>
        <w:rPr>
          <w:rFonts w:hint="eastAsia" w:ascii="宋体" w:hAnsi="宋体" w:cs="宋体"/>
          <w:color w:val="auto"/>
          <w:sz w:val="24"/>
          <w:szCs w:val="24"/>
          <w:highlight w:val="none"/>
        </w:rPr>
      </w:pPr>
      <w:bookmarkStart w:id="324" w:name="_Toc10893"/>
      <w:r>
        <w:rPr>
          <w:rFonts w:hint="eastAsia" w:ascii="宋体" w:hAnsi="宋体" w:cs="宋体"/>
          <w:color w:val="auto"/>
          <w:sz w:val="24"/>
          <w:szCs w:val="24"/>
          <w:highlight w:val="none"/>
        </w:rPr>
        <w:t>10. 变更</w:t>
      </w:r>
      <w:bookmarkEnd w:id="324"/>
    </w:p>
    <w:p w14:paraId="40AB4E19">
      <w:pPr>
        <w:pStyle w:val="5"/>
        <w:spacing w:line="360" w:lineRule="auto"/>
        <w:rPr>
          <w:rFonts w:hint="eastAsia" w:ascii="宋体" w:hAnsi="宋体" w:cs="宋体"/>
          <w:color w:val="auto"/>
          <w:sz w:val="24"/>
          <w:szCs w:val="24"/>
          <w:highlight w:val="none"/>
        </w:rPr>
      </w:pPr>
      <w:bookmarkStart w:id="325" w:name="_Toc25112"/>
      <w:r>
        <w:rPr>
          <w:rFonts w:hint="eastAsia" w:ascii="宋体" w:hAnsi="宋体" w:cs="宋体"/>
          <w:color w:val="auto"/>
          <w:sz w:val="24"/>
          <w:szCs w:val="24"/>
          <w:highlight w:val="none"/>
        </w:rPr>
        <w:t>10.1 变更的范围</w:t>
      </w:r>
      <w:bookmarkEnd w:id="325"/>
    </w:p>
    <w:p w14:paraId="661443F4">
      <w:pPr>
        <w:pStyle w:val="39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关于变更的范围的约定：包括工程设计变更和其他变更。</w:t>
      </w:r>
    </w:p>
    <w:p w14:paraId="3BE563CC">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（1）增加或减少合同中任何工作，或追加额外的工作；</w:t>
      </w:r>
    </w:p>
    <w:p w14:paraId="4F4B68C7">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（2）取消合同中任何工作，但转由他人实施的工作除外；</w:t>
      </w:r>
    </w:p>
    <w:p w14:paraId="33D859FA">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（3）改变合同中任何工作的质量标准或其他特性；</w:t>
      </w:r>
    </w:p>
    <w:p w14:paraId="6A205275">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（4）改变工程的基线、标高、位置和尺寸；</w:t>
      </w:r>
    </w:p>
    <w:p w14:paraId="47EC2D44">
      <w:pPr>
        <w:pStyle w:val="372"/>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（5）改变工程的时间安排或实施顺序。</w:t>
      </w:r>
    </w:p>
    <w:p w14:paraId="7219532B">
      <w:pPr>
        <w:pStyle w:val="391"/>
        <w:spacing w:before="0" w:after="0" w:line="360" w:lineRule="auto"/>
        <w:outlineLvl w:val="0"/>
        <w:rPr>
          <w:rFonts w:hint="eastAsia" w:ascii="宋体" w:hAnsi="宋体" w:cs="宋体"/>
          <w:color w:val="auto"/>
          <w:sz w:val="24"/>
          <w:szCs w:val="24"/>
          <w:highlight w:val="none"/>
        </w:rPr>
      </w:pPr>
      <w:bookmarkStart w:id="326" w:name="_Toc373478389"/>
      <w:bookmarkStart w:id="327" w:name="_Toc389065308"/>
      <w:bookmarkStart w:id="328" w:name="_Toc12609400"/>
      <w:bookmarkStart w:id="329" w:name="_Toc407135245"/>
      <w:bookmarkStart w:id="330" w:name="_Toc373227742"/>
      <w:bookmarkStart w:id="331" w:name="_Toc21267"/>
      <w:r>
        <w:rPr>
          <w:rFonts w:hint="eastAsia" w:ascii="宋体" w:hAnsi="宋体" w:cs="宋体"/>
          <w:color w:val="auto"/>
          <w:sz w:val="24"/>
          <w:szCs w:val="24"/>
          <w:highlight w:val="none"/>
        </w:rPr>
        <w:t>10.2 变更估价</w:t>
      </w:r>
      <w:bookmarkEnd w:id="326"/>
      <w:bookmarkEnd w:id="327"/>
      <w:bookmarkEnd w:id="328"/>
      <w:bookmarkEnd w:id="329"/>
      <w:bookmarkEnd w:id="330"/>
      <w:bookmarkEnd w:id="331"/>
    </w:p>
    <w:p w14:paraId="08A08FBE">
      <w:pPr>
        <w:pStyle w:val="372"/>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变更估价原则</w:t>
      </w:r>
    </w:p>
    <w:p w14:paraId="5F527B6E">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关于变更估价按本款约定处理: </w:t>
      </w:r>
    </w:p>
    <w:p w14:paraId="7998E7C7">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（1）合同工程量清单中有相同细目的，按该相同细目合同综合单价计算；</w:t>
      </w:r>
    </w:p>
    <w:p w14:paraId="497AEB40">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（2）如无相同细目，但合同工程量清单中有类似细目的，参照类似细目合同综合单价计算；</w:t>
      </w:r>
    </w:p>
    <w:p w14:paraId="5C32BD3A">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无类似细目的新增项目，有定额的套定额，并乘以下浮系数计算，下浮系数为投标报价/招标控制价。其中材料价格按施工期《贵港市建设工程造价信息》相应材料除税信息价计取，无信息价的，由发包人、承包人、监理单位共同根据市场调查确定；无定额可套的，根据市场价格协商确定，单价按市场价格结算。新增项目的单价必须经发包人审定。</w:t>
      </w:r>
    </w:p>
    <w:p w14:paraId="440FB23A">
      <w:pPr>
        <w:pStyle w:val="370"/>
        <w:keepNext/>
        <w:keepLines/>
        <w:spacing w:line="360" w:lineRule="auto"/>
        <w:ind w:firstLine="480"/>
        <w:outlineLvl w:val="2"/>
        <w:rPr>
          <w:rFonts w:hint="eastAsia" w:ascii="宋体" w:hAnsi="宋体" w:cs="宋体"/>
          <w:color w:val="auto"/>
          <w:sz w:val="24"/>
          <w:szCs w:val="24"/>
          <w:highlight w:val="none"/>
        </w:rPr>
      </w:pPr>
      <w:bookmarkStart w:id="332" w:name="_Toc25922"/>
      <w:r>
        <w:rPr>
          <w:rFonts w:hint="eastAsia" w:ascii="宋体" w:hAnsi="宋体" w:cs="宋体"/>
          <w:color w:val="auto"/>
          <w:sz w:val="24"/>
          <w:szCs w:val="24"/>
          <w:highlight w:val="none"/>
        </w:rPr>
        <w:t>工程变更必须经监理人代表、发包人代表共同签字并经发包人确认后方可实施，否则所发生的费用和相关责任均由承包人自行承担。任何未经发包人确认的工程变更均视为无效，发包人有权不予支付。</w:t>
      </w:r>
      <w:bookmarkEnd w:id="332"/>
    </w:p>
    <w:p w14:paraId="0BD1349D">
      <w:pPr>
        <w:pStyle w:val="5"/>
        <w:spacing w:line="360" w:lineRule="auto"/>
        <w:rPr>
          <w:rFonts w:hint="eastAsia" w:ascii="宋体" w:hAnsi="宋体" w:cs="宋体"/>
          <w:color w:val="auto"/>
          <w:sz w:val="24"/>
          <w:szCs w:val="24"/>
          <w:highlight w:val="none"/>
        </w:rPr>
      </w:pPr>
      <w:bookmarkStart w:id="333" w:name="_Toc15233"/>
      <w:r>
        <w:rPr>
          <w:rFonts w:hint="eastAsia" w:ascii="宋体" w:hAnsi="宋体" w:cs="宋体"/>
          <w:color w:val="auto"/>
          <w:sz w:val="24"/>
          <w:szCs w:val="24"/>
          <w:highlight w:val="none"/>
        </w:rPr>
        <w:t>10.3 变更程序</w:t>
      </w:r>
      <w:bookmarkEnd w:id="333"/>
    </w:p>
    <w:p w14:paraId="7803A00D">
      <w:pPr>
        <w:pStyle w:val="25"/>
        <w:spacing w:line="360" w:lineRule="auto"/>
        <w:ind w:firstLine="504"/>
        <w:rPr>
          <w:rFonts w:hint="eastAsia" w:hAnsi="宋体" w:cs="宋体"/>
          <w:color w:val="auto"/>
          <w:sz w:val="24"/>
          <w:szCs w:val="24"/>
          <w:highlight w:val="none"/>
        </w:rPr>
      </w:pPr>
      <w:r>
        <w:rPr>
          <w:rFonts w:hint="eastAsia" w:hAnsi="宋体" w:cs="宋体"/>
          <w:color w:val="auto"/>
          <w:sz w:val="24"/>
          <w:szCs w:val="24"/>
          <w:highlight w:val="none"/>
        </w:rPr>
        <w:t>10.3.1国有投资项目：</w:t>
      </w:r>
    </w:p>
    <w:p w14:paraId="5F987146">
      <w:pPr>
        <w:pStyle w:val="25"/>
        <w:spacing w:line="360" w:lineRule="auto"/>
        <w:ind w:firstLine="504"/>
        <w:rPr>
          <w:rFonts w:hint="eastAsia" w:hAnsi="宋体" w:cs="宋体"/>
          <w:bCs/>
          <w:color w:val="auto"/>
          <w:sz w:val="24"/>
          <w:szCs w:val="24"/>
          <w:highlight w:val="none"/>
        </w:rPr>
      </w:pPr>
      <w:r>
        <w:rPr>
          <w:rFonts w:hint="eastAsia" w:hAnsi="宋体" w:cs="宋体"/>
          <w:bCs/>
          <w:color w:val="auto"/>
          <w:sz w:val="24"/>
          <w:szCs w:val="24"/>
          <w:highlight w:val="none"/>
        </w:rPr>
        <w:t>⑴设计变更和工程签证，按各市政府或相关部门的规定办理。属不可抗力（自然灾害、突发事件等）造成变更的，按特事特办原则予以办理。</w:t>
      </w:r>
    </w:p>
    <w:p w14:paraId="4071B3ED">
      <w:pPr>
        <w:pStyle w:val="25"/>
        <w:spacing w:line="360" w:lineRule="auto"/>
        <w:ind w:firstLine="504"/>
        <w:rPr>
          <w:rFonts w:hint="eastAsia" w:hAnsi="宋体" w:cs="宋体"/>
          <w:bCs/>
          <w:color w:val="auto"/>
          <w:sz w:val="24"/>
          <w:szCs w:val="24"/>
          <w:highlight w:val="none"/>
        </w:rPr>
      </w:pPr>
      <w:r>
        <w:rPr>
          <w:rFonts w:hint="eastAsia" w:hAnsi="宋体" w:cs="宋体"/>
          <w:bCs/>
          <w:color w:val="auto"/>
          <w:sz w:val="24"/>
          <w:szCs w:val="24"/>
          <w:highlight w:val="none"/>
        </w:rPr>
        <w:t>⑵建设单位在实施项目过程中，若发生单价变动，由发包人、承包人、监理或造价咨询等单位共同商定并签字确认。</w:t>
      </w:r>
    </w:p>
    <w:p w14:paraId="1A76BA2E">
      <w:pPr>
        <w:pStyle w:val="25"/>
        <w:spacing w:line="360" w:lineRule="auto"/>
        <w:ind w:firstLine="504"/>
        <w:rPr>
          <w:rFonts w:hint="eastAsia" w:hAnsi="宋体" w:cs="宋体"/>
          <w:bCs/>
          <w:color w:val="auto"/>
          <w:sz w:val="24"/>
          <w:szCs w:val="24"/>
          <w:highlight w:val="none"/>
        </w:rPr>
      </w:pPr>
      <w:r>
        <w:rPr>
          <w:rFonts w:hint="eastAsia" w:hAnsi="宋体" w:cs="宋体"/>
          <w:bCs/>
          <w:color w:val="auto"/>
          <w:sz w:val="24"/>
          <w:szCs w:val="24"/>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356480E8">
      <w:pPr>
        <w:pStyle w:val="5"/>
        <w:spacing w:line="360" w:lineRule="auto"/>
        <w:rPr>
          <w:rFonts w:hint="eastAsia" w:ascii="宋体" w:hAnsi="宋体" w:cs="宋体"/>
          <w:color w:val="auto"/>
          <w:sz w:val="24"/>
          <w:szCs w:val="24"/>
          <w:highlight w:val="none"/>
        </w:rPr>
      </w:pPr>
      <w:bookmarkStart w:id="334" w:name="_Toc7633"/>
      <w:r>
        <w:rPr>
          <w:rFonts w:hint="eastAsia" w:ascii="宋体" w:hAnsi="宋体" w:cs="宋体"/>
          <w:color w:val="auto"/>
          <w:sz w:val="24"/>
          <w:szCs w:val="24"/>
          <w:highlight w:val="none"/>
        </w:rPr>
        <w:t>10.4 变更估价</w:t>
      </w:r>
      <w:bookmarkEnd w:id="334"/>
    </w:p>
    <w:p w14:paraId="1FCEA2F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10.4.1 变更估价原则</w:t>
      </w:r>
    </w:p>
    <w:p w14:paraId="21BB4C7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关于变更估价的约定: </w:t>
      </w:r>
      <w:r>
        <w:rPr>
          <w:rFonts w:hint="eastAsia" w:ascii="宋体" w:hAnsi="宋体" w:cs="宋体"/>
          <w:color w:val="auto"/>
          <w:sz w:val="24"/>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cs="宋体"/>
          <w:b/>
          <w:bCs/>
          <w:color w:val="auto"/>
          <w:sz w:val="24"/>
          <w:highlight w:val="none"/>
        </w:rPr>
        <w:t>☑</w:t>
      </w:r>
      <w:r>
        <w:rPr>
          <w:rFonts w:hint="eastAsia" w:ascii="宋体" w:hAnsi="宋体" w:cs="宋体"/>
          <w:color w:val="auto"/>
          <w:sz w:val="24"/>
          <w:highlight w:val="none"/>
          <w:u w:val="single"/>
        </w:rPr>
        <w:t>乘以中标下浮系数      %，</w:t>
      </w:r>
      <w:r>
        <w:rPr>
          <w:rFonts w:hint="eastAsia" w:ascii="宋体" w:hAnsi="宋体" w:cs="宋体"/>
          <w:b/>
          <w:bCs/>
          <w:color w:val="auto"/>
          <w:sz w:val="24"/>
          <w:highlight w:val="none"/>
        </w:rPr>
        <w:t>□</w:t>
      </w:r>
      <w:r>
        <w:rPr>
          <w:rFonts w:hint="eastAsia" w:ascii="宋体" w:hAnsi="宋体" w:cs="宋体"/>
          <w:color w:val="auto"/>
          <w:sz w:val="24"/>
          <w:highlight w:val="none"/>
          <w:u w:val="single"/>
        </w:rPr>
        <w:t>不乘下浮系数）计算，其中：材料设备价格按施工期间的《贵港 市建设工程造价信息》相应信息价的加权平均值计算，《贵港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cs="宋体"/>
          <w:color w:val="auto"/>
          <w:sz w:val="24"/>
          <w:highlight w:val="none"/>
        </w:rPr>
        <w:t>。以上约定同时适用于招标工程量清单缺项以及工程量清单项目特征与图纸不符时的价款确定。</w:t>
      </w:r>
    </w:p>
    <w:p w14:paraId="6F179D6C">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工程变更导致实际完成的变更工程量与已标价清单或预算书中列明的该项目工程量有偏差时，其综合单价的确定按专用条款“11.1工程量清单错误的修正”执行。</w:t>
      </w:r>
    </w:p>
    <w:p w14:paraId="4FCBC571">
      <w:pPr>
        <w:pStyle w:val="5"/>
        <w:spacing w:line="360" w:lineRule="auto"/>
        <w:rPr>
          <w:rFonts w:hint="eastAsia" w:ascii="宋体" w:hAnsi="宋体" w:cs="宋体"/>
          <w:color w:val="auto"/>
          <w:sz w:val="24"/>
          <w:szCs w:val="24"/>
          <w:highlight w:val="none"/>
        </w:rPr>
      </w:pPr>
      <w:bookmarkStart w:id="335" w:name="_Toc25966"/>
      <w:r>
        <w:rPr>
          <w:rFonts w:hint="eastAsia" w:ascii="宋体" w:hAnsi="宋体" w:cs="宋体"/>
          <w:color w:val="auto"/>
          <w:sz w:val="24"/>
          <w:szCs w:val="24"/>
          <w:highlight w:val="none"/>
        </w:rPr>
        <w:t>10.5 承包人的合理化建议</w:t>
      </w:r>
      <w:bookmarkEnd w:id="335"/>
    </w:p>
    <w:p w14:paraId="31A7492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监理人审查承包人合理化建议的期限：</w:t>
      </w:r>
      <w:r>
        <w:rPr>
          <w:rFonts w:hint="eastAsia" w:ascii="宋体" w:hAnsi="宋体" w:cs="宋体"/>
          <w:color w:val="auto"/>
          <w:sz w:val="24"/>
          <w:highlight w:val="none"/>
          <w:u w:val="single"/>
        </w:rPr>
        <w:t xml:space="preserve">  3 天内审查完毕并报发包人</w:t>
      </w:r>
      <w:r>
        <w:rPr>
          <w:rFonts w:hint="eastAsia" w:ascii="宋体" w:hAnsi="宋体" w:cs="宋体"/>
          <w:color w:val="auto"/>
          <w:sz w:val="24"/>
          <w:highlight w:val="none"/>
        </w:rPr>
        <w:t>。</w:t>
      </w:r>
    </w:p>
    <w:p w14:paraId="6CEADAA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发包人审批承包人合理化建议的期限：</w:t>
      </w:r>
      <w:r>
        <w:rPr>
          <w:rFonts w:hint="eastAsia" w:ascii="宋体" w:hAnsi="宋体" w:cs="宋体"/>
          <w:color w:val="auto"/>
          <w:sz w:val="24"/>
          <w:highlight w:val="none"/>
          <w:u w:val="single"/>
        </w:rPr>
        <w:t xml:space="preserve">  收到监理人报送的合理化建议后 7 天内审批完毕 </w:t>
      </w:r>
      <w:r>
        <w:rPr>
          <w:rFonts w:hint="eastAsia" w:ascii="宋体" w:hAnsi="宋体" w:cs="宋体"/>
          <w:color w:val="auto"/>
          <w:sz w:val="24"/>
          <w:highlight w:val="none"/>
        </w:rPr>
        <w:t>。</w:t>
      </w:r>
    </w:p>
    <w:p w14:paraId="7669850F">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承包人提出的合理化建议降低了合同价格或者提高了工程经济效益的奖励的方法和金额为：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368B8F1B">
      <w:pPr>
        <w:pStyle w:val="5"/>
        <w:spacing w:line="360" w:lineRule="auto"/>
        <w:rPr>
          <w:rFonts w:hint="eastAsia" w:ascii="宋体" w:hAnsi="宋体" w:cs="宋体"/>
          <w:color w:val="auto"/>
          <w:sz w:val="24"/>
          <w:szCs w:val="24"/>
          <w:highlight w:val="none"/>
        </w:rPr>
      </w:pPr>
      <w:bookmarkStart w:id="336" w:name="_Toc10719"/>
      <w:r>
        <w:rPr>
          <w:rFonts w:hint="eastAsia" w:ascii="宋体" w:hAnsi="宋体" w:cs="宋体"/>
          <w:color w:val="auto"/>
          <w:sz w:val="24"/>
          <w:szCs w:val="24"/>
          <w:highlight w:val="none"/>
        </w:rPr>
        <w:t>10.7 暂估价</w:t>
      </w:r>
      <w:bookmarkEnd w:id="336"/>
    </w:p>
    <w:p w14:paraId="1374178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暂估价材料和工程设备的明细详见已标价工程量清单《材料（工程设备）暂估价格及调整表》（表12-2）和《专业工程暂估价表》（表12-3）。</w:t>
      </w:r>
    </w:p>
    <w:p w14:paraId="57E6673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10.7.1 依法必须招标的暂估价项目</w:t>
      </w:r>
    </w:p>
    <w:p w14:paraId="1887DFD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对于依法必须招标的暂估价项目的确认和批准采取第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种方式确定。</w:t>
      </w:r>
    </w:p>
    <w:p w14:paraId="3A4028D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10.7.2 不属于依法必须招标的暂估价项目</w:t>
      </w:r>
    </w:p>
    <w:p w14:paraId="1366182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对于不属于依法必须招标的暂估价项目的确认和批准采取第</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种方式确定。</w:t>
      </w:r>
    </w:p>
    <w:p w14:paraId="024427B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第3种方式：承包人直接实施的暂估价项目</w:t>
      </w:r>
    </w:p>
    <w:p w14:paraId="440D371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承包人直接实施的暂估价项目的约定：</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2E0E1F9E">
      <w:pPr>
        <w:pStyle w:val="5"/>
        <w:spacing w:line="360" w:lineRule="auto"/>
        <w:rPr>
          <w:rFonts w:hint="eastAsia" w:ascii="宋体" w:hAnsi="宋体" w:cs="宋体"/>
          <w:color w:val="auto"/>
          <w:sz w:val="24"/>
          <w:szCs w:val="24"/>
          <w:highlight w:val="none"/>
        </w:rPr>
      </w:pPr>
      <w:bookmarkStart w:id="337" w:name="_Toc5600"/>
      <w:r>
        <w:rPr>
          <w:rFonts w:hint="eastAsia" w:ascii="宋体" w:hAnsi="宋体" w:cs="宋体"/>
          <w:color w:val="auto"/>
          <w:sz w:val="24"/>
          <w:szCs w:val="24"/>
          <w:highlight w:val="none"/>
        </w:rPr>
        <w:t>10.8 暂列金额</w:t>
      </w:r>
      <w:bookmarkEnd w:id="337"/>
    </w:p>
    <w:p w14:paraId="7FADBF00">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合同当事人关于暂列金额使用的约定：</w:t>
      </w:r>
      <w:r>
        <w:rPr>
          <w:rFonts w:hint="eastAsia" w:ascii="宋体" w:hAnsi="宋体" w:cs="宋体"/>
          <w:color w:val="auto"/>
          <w:sz w:val="24"/>
          <w:highlight w:val="none"/>
          <w:u w:val="single"/>
        </w:rPr>
        <w:t xml:space="preserve">     调整       </w:t>
      </w:r>
      <w:r>
        <w:rPr>
          <w:rFonts w:hint="eastAsia" w:ascii="宋体" w:hAnsi="宋体" w:cs="宋体"/>
          <w:color w:val="auto"/>
          <w:sz w:val="24"/>
          <w:highlight w:val="none"/>
        </w:rPr>
        <w:t>。</w:t>
      </w:r>
    </w:p>
    <w:p w14:paraId="198A7050">
      <w:pPr>
        <w:pStyle w:val="4"/>
        <w:numPr>
          <w:ilvl w:val="0"/>
          <w:numId w:val="4"/>
        </w:numPr>
        <w:spacing w:line="360" w:lineRule="auto"/>
        <w:ind w:left="885" w:hanging="360"/>
        <w:rPr>
          <w:rFonts w:hint="eastAsia" w:ascii="宋体" w:hAnsi="宋体" w:cs="宋体"/>
          <w:color w:val="auto"/>
          <w:sz w:val="24"/>
          <w:szCs w:val="24"/>
          <w:highlight w:val="none"/>
        </w:rPr>
      </w:pPr>
      <w:bookmarkStart w:id="338" w:name="_Toc17486"/>
      <w:r>
        <w:rPr>
          <w:rFonts w:hint="eastAsia" w:ascii="宋体" w:hAnsi="宋体" w:cs="宋体"/>
          <w:color w:val="auto"/>
          <w:sz w:val="24"/>
          <w:szCs w:val="24"/>
          <w:highlight w:val="none"/>
        </w:rPr>
        <w:t>价格调整</w:t>
      </w:r>
      <w:bookmarkEnd w:id="338"/>
    </w:p>
    <w:p w14:paraId="30AECC9C">
      <w:pPr>
        <w:pStyle w:val="5"/>
        <w:spacing w:line="360" w:lineRule="auto"/>
        <w:rPr>
          <w:rFonts w:hint="eastAsia" w:ascii="宋体" w:hAnsi="宋体" w:cs="宋体"/>
          <w:color w:val="auto"/>
          <w:sz w:val="24"/>
          <w:szCs w:val="24"/>
          <w:highlight w:val="none"/>
        </w:rPr>
      </w:pPr>
      <w:bookmarkStart w:id="339" w:name="_Toc18016"/>
      <w:r>
        <w:rPr>
          <w:rFonts w:hint="eastAsia" w:ascii="宋体" w:hAnsi="宋体" w:cs="宋体"/>
          <w:color w:val="auto"/>
          <w:sz w:val="24"/>
          <w:szCs w:val="24"/>
          <w:highlight w:val="none"/>
        </w:rPr>
        <w:t>11.1 市场价格波动引起的调整</w:t>
      </w:r>
      <w:bookmarkEnd w:id="339"/>
    </w:p>
    <w:p w14:paraId="32E0DE0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市场价格波动是否调整合同价格的约定：</w:t>
      </w:r>
      <w:r>
        <w:rPr>
          <w:rFonts w:hint="eastAsia" w:ascii="宋体" w:hAnsi="宋体" w:cs="宋体"/>
          <w:color w:val="auto"/>
          <w:sz w:val="24"/>
          <w:highlight w:val="none"/>
          <w:u w:val="single"/>
        </w:rPr>
        <w:t>钢筋、钢材、商品混凝土、沥青、商品砂浆、水泥、砂、石、砖、砌块、电线电缆主要材料市场价格涨跌超过5%予以调整</w:t>
      </w:r>
      <w:r>
        <w:rPr>
          <w:rFonts w:hint="eastAsia" w:ascii="宋体" w:hAnsi="宋体" w:cs="宋体"/>
          <w:color w:val="auto"/>
          <w:sz w:val="24"/>
          <w:highlight w:val="none"/>
        </w:rPr>
        <w:t>。</w:t>
      </w:r>
    </w:p>
    <w:p w14:paraId="61D5072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因市场价格波动调整合同价格，采用以下第</w:t>
      </w:r>
      <w:r>
        <w:rPr>
          <w:rFonts w:hint="eastAsia" w:ascii="宋体" w:hAnsi="宋体" w:cs="宋体"/>
          <w:color w:val="auto"/>
          <w:sz w:val="24"/>
          <w:highlight w:val="none"/>
          <w:u w:val="single"/>
        </w:rPr>
        <w:t xml:space="preserve">  2  </w:t>
      </w:r>
      <w:r>
        <w:rPr>
          <w:rFonts w:hint="eastAsia" w:ascii="宋体" w:hAnsi="宋体" w:cs="宋体"/>
          <w:color w:val="auto"/>
          <w:sz w:val="24"/>
          <w:highlight w:val="none"/>
        </w:rPr>
        <w:t>种方式对合同价格进行调整：</w:t>
      </w:r>
    </w:p>
    <w:p w14:paraId="7D055FC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第1种方式：采用价格指数进行价格调整。</w:t>
      </w:r>
    </w:p>
    <w:p w14:paraId="0B58E7C2">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关于各可调因子、定值和变值权重，以及基本价格指数及其来源的约定：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 xml:space="preserve">；  </w:t>
      </w:r>
    </w:p>
    <w:p w14:paraId="4CC582CE">
      <w:pPr>
        <w:pStyle w:val="370"/>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关于基准价格的约定：</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w:t>
      </w:r>
    </w:p>
    <w:p w14:paraId="2E7D0CF3">
      <w:pPr>
        <w:spacing w:line="360" w:lineRule="auto"/>
        <w:ind w:firstLine="456"/>
        <w:jc w:val="left"/>
        <w:rPr>
          <w:rFonts w:hAnsi="宋体"/>
          <w:color w:val="auto"/>
          <w:sz w:val="24"/>
          <w:highlight w:val="none"/>
        </w:rPr>
      </w:pPr>
      <w:r>
        <w:rPr>
          <w:rFonts w:hint="eastAsia" w:ascii="宋体" w:hAnsi="宋体" w:cs="宋体"/>
          <w:color w:val="auto"/>
          <w:spacing w:val="-6"/>
          <w:sz w:val="24"/>
          <w:highlight w:val="none"/>
        </w:rPr>
        <w:t>第2种方式：</w:t>
      </w:r>
      <w:r>
        <w:rPr>
          <w:rFonts w:hint="eastAsia" w:hAnsi="宋体" w:cs="宋体"/>
          <w:color w:val="auto"/>
          <w:sz w:val="24"/>
          <w:highlight w:val="none"/>
        </w:rPr>
        <w:t>采用造价信息进行价格调整。</w:t>
      </w:r>
    </w:p>
    <w:p w14:paraId="1EE10847">
      <w:pPr>
        <w:spacing w:line="360" w:lineRule="auto"/>
        <w:ind w:firstLine="480"/>
        <w:jc w:val="left"/>
        <w:rPr>
          <w:rFonts w:hAnsi="宋体"/>
          <w:color w:val="auto"/>
          <w:sz w:val="24"/>
          <w:highlight w:val="none"/>
        </w:rPr>
      </w:pPr>
      <w:r>
        <w:rPr>
          <w:rFonts w:hint="eastAsia" w:hAnsi="宋体" w:cs="宋体"/>
          <w:color w:val="auto"/>
          <w:sz w:val="24"/>
          <w:highlight w:val="none"/>
        </w:rPr>
        <w:t>（</w:t>
      </w:r>
      <w:r>
        <w:rPr>
          <w:color w:val="auto"/>
          <w:sz w:val="24"/>
          <w:highlight w:val="none"/>
        </w:rPr>
        <w:t>1</w:t>
      </w:r>
      <w:r>
        <w:rPr>
          <w:rFonts w:hint="eastAsia" w:hAnsi="宋体" w:cs="宋体"/>
          <w:color w:val="auto"/>
          <w:sz w:val="24"/>
          <w:highlight w:val="none"/>
        </w:rPr>
        <w:t>）允许调整主要材料和</w:t>
      </w:r>
      <w:r>
        <w:rPr>
          <w:rFonts w:hAnsi="宋体" w:cs="宋体"/>
          <w:color w:val="auto"/>
          <w:sz w:val="24"/>
          <w:highlight w:val="none"/>
          <w:lang w:val="en"/>
        </w:rPr>
        <w:t>工程</w:t>
      </w:r>
      <w:r>
        <w:rPr>
          <w:rFonts w:hint="eastAsia" w:hAnsi="宋体" w:cs="宋体"/>
          <w:color w:val="auto"/>
          <w:sz w:val="24"/>
          <w:highlight w:val="none"/>
        </w:rPr>
        <w:t>设备、基期价格、风险系数、投标报价详见《</w:t>
      </w:r>
      <w:r>
        <w:rPr>
          <w:rFonts w:hAnsi="宋体" w:cs="宋体"/>
          <w:color w:val="auto"/>
          <w:sz w:val="24"/>
          <w:highlight w:val="none"/>
          <w:lang w:val="en"/>
        </w:rPr>
        <w:t>允许调整</w:t>
      </w:r>
      <w:r>
        <w:rPr>
          <w:rFonts w:hint="eastAsia" w:hAnsi="宋体" w:cs="宋体"/>
          <w:color w:val="auto"/>
          <w:sz w:val="24"/>
          <w:highlight w:val="none"/>
        </w:rPr>
        <w:t>主要材料和</w:t>
      </w:r>
      <w:r>
        <w:rPr>
          <w:rFonts w:hAnsi="宋体" w:cs="宋体"/>
          <w:color w:val="auto"/>
          <w:sz w:val="24"/>
          <w:highlight w:val="none"/>
          <w:lang w:val="en"/>
        </w:rPr>
        <w:t>工程</w:t>
      </w:r>
      <w:r>
        <w:rPr>
          <w:rFonts w:hint="eastAsia" w:hAnsi="宋体" w:cs="宋体"/>
          <w:color w:val="auto"/>
          <w:sz w:val="24"/>
          <w:highlight w:val="none"/>
        </w:rPr>
        <w:t>设备一览表》</w:t>
      </w:r>
      <w:r>
        <w:rPr>
          <w:rFonts w:hint="eastAsia" w:ascii="宋体" w:hAnsi="宋体"/>
          <w:color w:val="auto"/>
          <w:sz w:val="24"/>
          <w:highlight w:val="none"/>
        </w:rPr>
        <w:t>（表</w:t>
      </w:r>
      <w:r>
        <w:rPr>
          <w:rFonts w:ascii="宋体" w:hAnsi="宋体"/>
          <w:color w:val="auto"/>
          <w:sz w:val="24"/>
          <w:highlight w:val="none"/>
        </w:rPr>
        <w:t>-22</w:t>
      </w:r>
      <w:r>
        <w:rPr>
          <w:rFonts w:hint="eastAsia" w:ascii="宋体" w:hAnsi="宋体"/>
          <w:color w:val="auto"/>
          <w:sz w:val="24"/>
          <w:highlight w:val="none"/>
        </w:rPr>
        <w:t>）</w:t>
      </w:r>
      <w:r>
        <w:rPr>
          <w:rFonts w:hint="eastAsia" w:hAnsi="宋体" w:cs="宋体"/>
          <w:color w:val="auto"/>
          <w:sz w:val="24"/>
          <w:highlight w:val="none"/>
        </w:rPr>
        <w:t>,价</w:t>
      </w:r>
      <w:r>
        <w:rPr>
          <w:rFonts w:hAnsi="宋体" w:cs="宋体"/>
          <w:color w:val="auto"/>
          <w:sz w:val="24"/>
          <w:highlight w:val="none"/>
        </w:rPr>
        <w:t>差</w:t>
      </w:r>
      <w:r>
        <w:rPr>
          <w:rFonts w:hint="eastAsia" w:ascii="Calibri" w:hAnsi="宋体" w:cs="宋体"/>
          <w:color w:val="auto"/>
          <w:sz w:val="24"/>
          <w:highlight w:val="none"/>
        </w:rPr>
        <w:t>调整部分仅计算税金，除此表列明的材料、设备外，其余材料设备价差原则上不予调整。</w:t>
      </w:r>
    </w:p>
    <w:p w14:paraId="4211EE35">
      <w:pPr>
        <w:spacing w:line="360" w:lineRule="auto"/>
        <w:ind w:firstLine="480"/>
        <w:jc w:val="left"/>
        <w:rPr>
          <w:rFonts w:hAnsi="宋体"/>
          <w:color w:val="auto"/>
          <w:sz w:val="24"/>
          <w:highlight w:val="none"/>
        </w:rPr>
      </w:pPr>
      <w:r>
        <w:rPr>
          <w:rFonts w:hint="eastAsia" w:hAnsi="宋体" w:cs="宋体"/>
          <w:color w:val="auto"/>
          <w:sz w:val="24"/>
          <w:highlight w:val="none"/>
        </w:rPr>
        <w:t>（</w:t>
      </w:r>
      <w:r>
        <w:rPr>
          <w:color w:val="auto"/>
          <w:sz w:val="24"/>
          <w:highlight w:val="none"/>
        </w:rPr>
        <w:t>2</w:t>
      </w:r>
      <w:r>
        <w:rPr>
          <w:rFonts w:hint="eastAsia" w:hAnsi="宋体" w:cs="宋体"/>
          <w:color w:val="auto"/>
          <w:sz w:val="24"/>
          <w:highlight w:val="none"/>
        </w:rPr>
        <w:t>）主要材料和</w:t>
      </w:r>
      <w:r>
        <w:rPr>
          <w:rFonts w:hAnsi="宋体" w:cs="宋体"/>
          <w:color w:val="auto"/>
          <w:sz w:val="24"/>
          <w:highlight w:val="none"/>
          <w:lang w:val="en"/>
        </w:rPr>
        <w:t>工程</w:t>
      </w:r>
      <w:r>
        <w:rPr>
          <w:rFonts w:hint="eastAsia" w:hAnsi="宋体" w:cs="宋体"/>
          <w:color w:val="auto"/>
          <w:sz w:val="24"/>
          <w:highlight w:val="none"/>
        </w:rPr>
        <w:t>设备确认价：</w:t>
      </w:r>
    </w:p>
    <w:p w14:paraId="1F71CCCE">
      <w:pPr>
        <w:spacing w:line="360" w:lineRule="auto"/>
        <w:ind w:firstLine="480"/>
        <w:jc w:val="left"/>
        <w:rPr>
          <w:color w:val="auto"/>
          <w:sz w:val="24"/>
          <w:highlight w:val="none"/>
        </w:rPr>
      </w:pPr>
      <w:r>
        <w:rPr>
          <w:rFonts w:hint="eastAsia" w:hAnsi="宋体" w:cs="宋体"/>
          <w:color w:val="auto"/>
          <w:sz w:val="24"/>
          <w:highlight w:val="none"/>
        </w:rPr>
        <w:t>按施工期间《</w:t>
      </w:r>
      <w:r>
        <w:rPr>
          <w:color w:val="auto"/>
          <w:sz w:val="24"/>
          <w:highlight w:val="none"/>
          <w:u w:val="single"/>
        </w:rPr>
        <w:t xml:space="preserve"> </w:t>
      </w:r>
      <w:r>
        <w:rPr>
          <w:rFonts w:hint="eastAsia"/>
          <w:color w:val="auto"/>
          <w:sz w:val="24"/>
          <w:highlight w:val="none"/>
          <w:u w:val="single"/>
        </w:rPr>
        <w:t>贵港</w:t>
      </w:r>
      <w:r>
        <w:rPr>
          <w:color w:val="auto"/>
          <w:sz w:val="24"/>
          <w:highlight w:val="none"/>
          <w:u w:val="single"/>
        </w:rPr>
        <w:t xml:space="preserve"> </w:t>
      </w:r>
      <w:r>
        <w:rPr>
          <w:rFonts w:hint="eastAsia" w:hAnsi="宋体" w:cs="宋体"/>
          <w:color w:val="auto"/>
          <w:sz w:val="24"/>
          <w:highlight w:val="none"/>
        </w:rPr>
        <w:t>市建设工程造价信息》材料信息价的加权平均价计算，信息价没有的按通用条款规定确定。</w:t>
      </w:r>
    </w:p>
    <w:p w14:paraId="62C783FF">
      <w:pPr>
        <w:spacing w:line="360" w:lineRule="auto"/>
        <w:ind w:firstLine="480"/>
        <w:jc w:val="left"/>
        <w:rPr>
          <w:rFonts w:hAnsi="宋体"/>
          <w:color w:val="auto"/>
          <w:sz w:val="24"/>
          <w:highlight w:val="none"/>
        </w:rPr>
      </w:pPr>
      <w:r>
        <w:rPr>
          <w:rFonts w:hint="eastAsia" w:hAnsi="宋体" w:cs="宋体"/>
          <w:color w:val="auto"/>
          <w:sz w:val="24"/>
          <w:highlight w:val="none"/>
        </w:rPr>
        <w:t>（</w:t>
      </w:r>
      <w:r>
        <w:rPr>
          <w:color w:val="auto"/>
          <w:sz w:val="24"/>
          <w:highlight w:val="none"/>
        </w:rPr>
        <w:t>3</w:t>
      </w:r>
      <w:r>
        <w:rPr>
          <w:rFonts w:hint="eastAsia" w:hAnsi="宋体" w:cs="宋体"/>
          <w:color w:val="auto"/>
          <w:sz w:val="24"/>
          <w:highlight w:val="none"/>
        </w:rPr>
        <w:t>）价差计算方法：</w:t>
      </w:r>
    </w:p>
    <w:p w14:paraId="53A20918">
      <w:pPr>
        <w:spacing w:line="360" w:lineRule="auto"/>
        <w:ind w:firstLine="480"/>
        <w:jc w:val="left"/>
        <w:rPr>
          <w:rFonts w:hAnsi="宋体"/>
          <w:color w:val="auto"/>
          <w:sz w:val="24"/>
          <w:highlight w:val="none"/>
        </w:rPr>
      </w:pPr>
      <w:r>
        <w:rPr>
          <w:rFonts w:hint="eastAsia" w:hAnsi="宋体" w:cs="宋体"/>
          <w:color w:val="auto"/>
          <w:sz w:val="24"/>
          <w:highlight w:val="none"/>
        </w:rPr>
        <w:t>①《</w:t>
      </w:r>
      <w:r>
        <w:rPr>
          <w:rFonts w:hAnsi="宋体" w:cs="宋体"/>
          <w:color w:val="auto"/>
          <w:sz w:val="24"/>
          <w:highlight w:val="none"/>
          <w:lang w:val="en"/>
        </w:rPr>
        <w:t>允许调整</w:t>
      </w:r>
      <w:r>
        <w:rPr>
          <w:rFonts w:hint="eastAsia" w:hAnsi="宋体" w:cs="宋体"/>
          <w:color w:val="auto"/>
          <w:sz w:val="24"/>
          <w:highlight w:val="none"/>
        </w:rPr>
        <w:t>主要材料和工程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6163B97E">
      <w:pPr>
        <w:spacing w:line="360" w:lineRule="auto"/>
        <w:ind w:firstLine="480"/>
        <w:jc w:val="left"/>
        <w:rPr>
          <w:rFonts w:hAnsi="宋体"/>
          <w:color w:val="auto"/>
          <w:sz w:val="24"/>
          <w:highlight w:val="none"/>
        </w:rPr>
      </w:pPr>
      <w:r>
        <w:rPr>
          <w:rFonts w:hint="eastAsia" w:hAnsi="宋体" w:cs="宋体"/>
          <w:color w:val="auto"/>
          <w:sz w:val="24"/>
          <w:highlight w:val="none"/>
        </w:rPr>
        <w:t>②承包人在《</w:t>
      </w:r>
      <w:r>
        <w:rPr>
          <w:rFonts w:hAnsi="宋体" w:cs="宋体"/>
          <w:color w:val="auto"/>
          <w:sz w:val="24"/>
          <w:highlight w:val="none"/>
          <w:lang w:val="en"/>
        </w:rPr>
        <w:t>允许调整</w:t>
      </w:r>
      <w:r>
        <w:rPr>
          <w:rFonts w:hint="eastAsia" w:hAnsi="宋体" w:cs="宋体"/>
          <w:color w:val="auto"/>
          <w:sz w:val="24"/>
          <w:highlight w:val="none"/>
        </w:rPr>
        <w:t>主要材料和工程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3BE4D216">
      <w:pPr>
        <w:spacing w:line="360" w:lineRule="auto"/>
        <w:ind w:firstLine="480"/>
        <w:jc w:val="left"/>
        <w:rPr>
          <w:rFonts w:hint="eastAsia" w:ascii="宋体" w:hAnsi="宋体" w:cs="宋体"/>
          <w:color w:val="auto"/>
          <w:sz w:val="24"/>
          <w:highlight w:val="none"/>
        </w:rPr>
      </w:pPr>
      <w:r>
        <w:rPr>
          <w:rFonts w:hint="eastAsia" w:hAnsi="宋体" w:cs="宋体"/>
          <w:color w:val="auto"/>
          <w:sz w:val="24"/>
          <w:highlight w:val="none"/>
        </w:rPr>
        <w:t>③承包人在《</w:t>
      </w:r>
      <w:r>
        <w:rPr>
          <w:rFonts w:hAnsi="宋体" w:cs="宋体"/>
          <w:color w:val="auto"/>
          <w:sz w:val="24"/>
          <w:highlight w:val="none"/>
          <w:lang w:val="en"/>
        </w:rPr>
        <w:t>允许调整</w:t>
      </w:r>
      <w:r>
        <w:rPr>
          <w:rFonts w:hint="eastAsia" w:hAnsi="宋体" w:cs="宋体"/>
          <w:color w:val="auto"/>
          <w:sz w:val="24"/>
          <w:highlight w:val="none"/>
        </w:rPr>
        <w:t>主要材料和工程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7EFF9608">
      <w:pPr>
        <w:pStyle w:val="4"/>
        <w:spacing w:line="360" w:lineRule="auto"/>
        <w:rPr>
          <w:rFonts w:hint="eastAsia" w:ascii="宋体" w:hAnsi="宋体" w:cs="宋体"/>
          <w:color w:val="auto"/>
          <w:sz w:val="24"/>
          <w:szCs w:val="24"/>
          <w:highlight w:val="none"/>
        </w:rPr>
      </w:pPr>
      <w:bookmarkStart w:id="340" w:name="_Toc10758"/>
      <w:r>
        <w:rPr>
          <w:rFonts w:hint="eastAsia" w:ascii="宋体" w:hAnsi="宋体" w:cs="宋体"/>
          <w:color w:val="auto"/>
          <w:sz w:val="24"/>
          <w:szCs w:val="24"/>
          <w:highlight w:val="none"/>
        </w:rPr>
        <w:t>12. 合同价格、计量与支付</w:t>
      </w:r>
      <w:bookmarkEnd w:id="340"/>
    </w:p>
    <w:p w14:paraId="5CF106EA">
      <w:pPr>
        <w:pStyle w:val="5"/>
        <w:spacing w:line="360" w:lineRule="auto"/>
        <w:rPr>
          <w:rFonts w:hint="eastAsia" w:ascii="宋体" w:hAnsi="宋体" w:cs="宋体"/>
          <w:color w:val="auto"/>
          <w:sz w:val="24"/>
          <w:szCs w:val="24"/>
          <w:highlight w:val="none"/>
        </w:rPr>
      </w:pPr>
      <w:bookmarkStart w:id="341" w:name="_Toc19375"/>
      <w:r>
        <w:rPr>
          <w:rFonts w:hint="eastAsia" w:ascii="宋体" w:hAnsi="宋体" w:cs="宋体"/>
          <w:color w:val="auto"/>
          <w:sz w:val="24"/>
          <w:szCs w:val="24"/>
          <w:highlight w:val="none"/>
        </w:rPr>
        <w:t>12.1 合同价格形式</w:t>
      </w:r>
      <w:bookmarkEnd w:id="341"/>
    </w:p>
    <w:p w14:paraId="0B8DC6A7">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本工程采用</w:t>
      </w:r>
      <w:r>
        <w:rPr>
          <w:rFonts w:hint="eastAsia" w:ascii="宋体" w:hAnsi="宋体" w:cs="宋体"/>
          <w:color w:val="auto"/>
          <w:sz w:val="24"/>
          <w:highlight w:val="none"/>
          <w:u w:val="single"/>
        </w:rPr>
        <w:t xml:space="preserve">  固定综合单价   </w:t>
      </w:r>
      <w:r>
        <w:rPr>
          <w:rFonts w:hint="eastAsia" w:ascii="宋体" w:hAnsi="宋体" w:cs="宋体"/>
          <w:color w:val="auto"/>
          <w:sz w:val="24"/>
          <w:highlight w:val="none"/>
        </w:rPr>
        <w:t>合同价格形式，合同价格包含增值税，本工程计价时采用的增值税计税方法为：一般计税法</w:t>
      </w:r>
      <w:r>
        <w:rPr>
          <w:rFonts w:hint="eastAsia" w:ascii="宋体" w:hAnsi="宋体" w:cs="宋体"/>
          <w:color w:val="auto"/>
          <w:sz w:val="24"/>
          <w:highlight w:val="none"/>
          <w:lang w:eastAsia="zh-CN"/>
        </w:rPr>
        <w:t>。</w:t>
      </w:r>
    </w:p>
    <w:p w14:paraId="747BCA3A">
      <w:pPr>
        <w:spacing w:line="360" w:lineRule="auto"/>
        <w:ind w:firstLine="480"/>
        <w:jc w:val="left"/>
        <w:rPr>
          <w:rFonts w:hAnsi="宋体"/>
          <w:color w:val="auto"/>
          <w:sz w:val="24"/>
          <w:highlight w:val="none"/>
        </w:rPr>
      </w:pPr>
      <w:r>
        <w:rPr>
          <w:rFonts w:hint="eastAsia" w:hAnsi="宋体" w:cs="宋体"/>
          <w:color w:val="auto"/>
          <w:sz w:val="24"/>
          <w:highlight w:val="none"/>
        </w:rPr>
        <w:t>（</w:t>
      </w:r>
      <w:r>
        <w:rPr>
          <w:rFonts w:hAnsi="宋体"/>
          <w:color w:val="auto"/>
          <w:sz w:val="24"/>
          <w:highlight w:val="none"/>
        </w:rPr>
        <w:t>1</w:t>
      </w:r>
      <w:r>
        <w:rPr>
          <w:rFonts w:hint="eastAsia" w:hAnsi="宋体" w:cs="宋体"/>
          <w:color w:val="auto"/>
          <w:sz w:val="24"/>
          <w:highlight w:val="none"/>
        </w:rPr>
        <w:t>）单价合同。</w:t>
      </w:r>
    </w:p>
    <w:p w14:paraId="6359474C">
      <w:pPr>
        <w:spacing w:line="360" w:lineRule="auto"/>
        <w:ind w:firstLine="480"/>
        <w:jc w:val="left"/>
        <w:rPr>
          <w:rFonts w:hAnsi="宋体"/>
          <w:color w:val="auto"/>
          <w:sz w:val="24"/>
          <w:highlight w:val="none"/>
        </w:rPr>
      </w:pPr>
      <w:r>
        <w:rPr>
          <w:rFonts w:hint="eastAsia" w:hAnsi="宋体" w:cs="宋体"/>
          <w:color w:val="auto"/>
          <w:sz w:val="24"/>
          <w:highlight w:val="none"/>
        </w:rPr>
        <w:t>采用综合单价合同方式时，工程量按建设单位、监理单位、施工单位三方确认的竣工图结算。</w:t>
      </w:r>
    </w:p>
    <w:p w14:paraId="017EB9BF">
      <w:pPr>
        <w:spacing w:line="360" w:lineRule="auto"/>
        <w:ind w:firstLine="480"/>
        <w:jc w:val="left"/>
        <w:rPr>
          <w:rFonts w:hAnsi="宋体"/>
          <w:color w:val="auto"/>
          <w:sz w:val="24"/>
          <w:highlight w:val="none"/>
        </w:rPr>
      </w:pPr>
      <w:r>
        <w:rPr>
          <w:rFonts w:hint="eastAsia" w:hAnsi="宋体" w:cs="宋体"/>
          <w:color w:val="auto"/>
          <w:sz w:val="24"/>
          <w:highlight w:val="none"/>
        </w:rPr>
        <w:t>综合单价包含的风险范围：</w:t>
      </w:r>
      <w:r>
        <w:rPr>
          <w:rFonts w:hint="eastAsia" w:hAnsi="宋体" w:cs="宋体"/>
          <w:color w:val="auto"/>
          <w:sz w:val="24"/>
          <w:highlight w:val="none"/>
          <w:u w:val="single"/>
        </w:rPr>
        <w:t>除工程变更、项目特征不符、工程量清单缺项、工程量偏差、政策性调整、市场价格波动。</w:t>
      </w:r>
    </w:p>
    <w:p w14:paraId="527DE949">
      <w:pPr>
        <w:spacing w:line="360" w:lineRule="auto"/>
        <w:ind w:firstLine="480"/>
        <w:jc w:val="left"/>
        <w:rPr>
          <w:rFonts w:hAnsi="宋体" w:cs="宋体"/>
          <w:color w:val="auto"/>
          <w:sz w:val="24"/>
          <w:highlight w:val="none"/>
        </w:rPr>
      </w:pPr>
      <w:r>
        <w:rPr>
          <w:rFonts w:hint="eastAsia" w:hAnsi="宋体" w:cs="宋体"/>
          <w:color w:val="auto"/>
          <w:sz w:val="24"/>
          <w:highlight w:val="none"/>
        </w:rPr>
        <w:t>风险范围以外合同价格的调整方法：</w:t>
      </w:r>
    </w:p>
    <w:p w14:paraId="2495B3AA">
      <w:pPr>
        <w:spacing w:line="360" w:lineRule="auto"/>
        <w:ind w:firstLine="480"/>
        <w:jc w:val="left"/>
        <w:rPr>
          <w:rFonts w:hint="eastAsia" w:hAnsi="宋体" w:cs="宋体"/>
          <w:color w:val="auto"/>
          <w:sz w:val="24"/>
          <w:highlight w:val="none"/>
        </w:rPr>
      </w:pPr>
      <w:r>
        <w:rPr>
          <w:rFonts w:hint="eastAsia" w:hAnsi="宋体" w:cs="宋体"/>
          <w:color w:val="auto"/>
          <w:sz w:val="24"/>
          <w:highlight w:val="none"/>
        </w:rPr>
        <w:t>①工程变更</w:t>
      </w:r>
      <w:r>
        <w:rPr>
          <w:rFonts w:hint="eastAsia" w:ascii="Calibri" w:hAnsi="宋体" w:cs="宋体"/>
          <w:color w:val="auto"/>
          <w:sz w:val="24"/>
          <w:highlight w:val="none"/>
        </w:rPr>
        <w:t>、项目特征不符、工程量清单缺项</w:t>
      </w:r>
      <w:r>
        <w:rPr>
          <w:rFonts w:hint="eastAsia" w:hAnsi="宋体" w:cs="宋体"/>
          <w:color w:val="auto"/>
          <w:sz w:val="24"/>
          <w:highlight w:val="none"/>
        </w:rPr>
        <w:t>：按</w:t>
      </w:r>
      <w:r>
        <w:rPr>
          <w:rFonts w:hAnsi="宋体" w:cs="宋体"/>
          <w:color w:val="auto"/>
          <w:sz w:val="24"/>
          <w:highlight w:val="none"/>
        </w:rPr>
        <w:t>10.4.1</w:t>
      </w:r>
      <w:r>
        <w:rPr>
          <w:rFonts w:hint="eastAsia" w:hAnsi="宋体" w:cs="宋体"/>
          <w:color w:val="auto"/>
          <w:sz w:val="24"/>
          <w:highlight w:val="none"/>
        </w:rPr>
        <w:t>变更估价原则的约定调整。</w:t>
      </w:r>
    </w:p>
    <w:p w14:paraId="4FB98D09">
      <w:pPr>
        <w:spacing w:line="360" w:lineRule="auto"/>
        <w:ind w:firstLine="480"/>
        <w:jc w:val="left"/>
        <w:rPr>
          <w:rFonts w:hint="eastAsia" w:hAnsi="宋体" w:cs="宋体"/>
          <w:color w:val="auto"/>
          <w:sz w:val="24"/>
          <w:highlight w:val="none"/>
        </w:rPr>
      </w:pPr>
      <w:r>
        <w:rPr>
          <w:rFonts w:hint="eastAsia" w:hAnsi="宋体" w:cs="宋体"/>
          <w:color w:val="auto"/>
          <w:sz w:val="24"/>
          <w:highlight w:val="none"/>
        </w:rPr>
        <w:t>②</w:t>
      </w:r>
      <w:r>
        <w:rPr>
          <w:rFonts w:hint="eastAsia" w:ascii="Calibri" w:hAnsi="宋体" w:cs="宋体"/>
          <w:color w:val="auto"/>
          <w:sz w:val="24"/>
          <w:highlight w:val="none"/>
        </w:rPr>
        <w:t>工程量偏差：按1.13工程量清单错误修正的约定调整。</w:t>
      </w:r>
    </w:p>
    <w:p w14:paraId="217804AF">
      <w:pPr>
        <w:spacing w:line="360" w:lineRule="auto"/>
        <w:ind w:firstLine="480"/>
        <w:jc w:val="left"/>
        <w:rPr>
          <w:rFonts w:hAnsi="宋体" w:cs="宋体"/>
          <w:color w:val="auto"/>
          <w:sz w:val="24"/>
          <w:highlight w:val="none"/>
        </w:rPr>
      </w:pPr>
      <w:r>
        <w:rPr>
          <w:rFonts w:hint="eastAsia" w:hAnsi="宋体" w:cs="宋体"/>
          <w:color w:val="auto"/>
          <w:sz w:val="24"/>
          <w:highlight w:val="none"/>
        </w:rPr>
        <w:t>③政策性调整：</w:t>
      </w:r>
      <w:r>
        <w:rPr>
          <w:rFonts w:hint="eastAsia" w:ascii="仿宋_GB2312" w:hAnsi="宋体"/>
          <w:color w:val="auto"/>
          <w:sz w:val="24"/>
          <w:highlight w:val="none"/>
        </w:rPr>
        <w:t>按国家、自治区住房城乡建设厅或工程所在地市级住房城乡建设主管部门颁布的文件执行</w:t>
      </w:r>
      <w:r>
        <w:rPr>
          <w:rFonts w:hint="eastAsia" w:hAnsi="宋体" w:cs="宋体"/>
          <w:color w:val="auto"/>
          <w:sz w:val="24"/>
          <w:highlight w:val="none"/>
        </w:rPr>
        <w:t>。</w:t>
      </w:r>
    </w:p>
    <w:p w14:paraId="7833457B">
      <w:pPr>
        <w:spacing w:line="360" w:lineRule="auto"/>
        <w:ind w:firstLine="480"/>
        <w:jc w:val="left"/>
        <w:rPr>
          <w:rFonts w:hint="eastAsia" w:ascii="宋体" w:hAnsi="宋体" w:eastAsia="宋体" w:cs="宋体"/>
          <w:color w:val="auto"/>
          <w:sz w:val="24"/>
          <w:szCs w:val="24"/>
          <w:highlight w:val="none"/>
        </w:rPr>
      </w:pPr>
      <w:r>
        <w:rPr>
          <w:rFonts w:hint="eastAsia" w:hAnsi="宋体" w:cs="宋体"/>
          <w:color w:val="auto"/>
          <w:sz w:val="24"/>
          <w:highlight w:val="none"/>
        </w:rPr>
        <w:t>④市场波动引起的调整：按</w:t>
      </w:r>
      <w:r>
        <w:rPr>
          <w:rFonts w:hAnsi="宋体" w:cs="宋体"/>
          <w:color w:val="auto"/>
          <w:sz w:val="24"/>
          <w:highlight w:val="none"/>
        </w:rPr>
        <w:t>11.1</w:t>
      </w:r>
      <w:r>
        <w:rPr>
          <w:rFonts w:hint="eastAsia" w:hAnsi="宋体" w:cs="宋体"/>
          <w:color w:val="auto"/>
          <w:sz w:val="24"/>
          <w:highlight w:val="none"/>
        </w:rPr>
        <w:t>的约定调整。</w:t>
      </w:r>
    </w:p>
    <w:p w14:paraId="77B086E1">
      <w:pPr>
        <w:pStyle w:val="5"/>
        <w:spacing w:line="360" w:lineRule="auto"/>
        <w:rPr>
          <w:rFonts w:hint="eastAsia" w:ascii="宋体" w:hAnsi="宋体" w:cs="宋体"/>
          <w:color w:val="auto"/>
          <w:sz w:val="24"/>
          <w:szCs w:val="24"/>
          <w:highlight w:val="none"/>
        </w:rPr>
      </w:pPr>
      <w:bookmarkStart w:id="342" w:name="_Toc8793"/>
      <w:r>
        <w:rPr>
          <w:rFonts w:hint="eastAsia" w:ascii="宋体" w:hAnsi="宋体" w:cs="宋体"/>
          <w:color w:val="auto"/>
          <w:sz w:val="24"/>
          <w:szCs w:val="24"/>
          <w:highlight w:val="none"/>
        </w:rPr>
        <w:t>12.2 预付款</w:t>
      </w:r>
      <w:bookmarkEnd w:id="342"/>
    </w:p>
    <w:p w14:paraId="69DB1B8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12.2.1 预付款的支付</w:t>
      </w:r>
    </w:p>
    <w:p w14:paraId="712C1B18">
      <w:pPr>
        <w:spacing w:line="360" w:lineRule="auto"/>
        <w:ind w:firstLine="480"/>
        <w:jc w:val="left"/>
        <w:rPr>
          <w:rFonts w:hint="eastAsia" w:ascii="宋体" w:hAnsi="宋体" w:eastAsia="宋体" w:cs="宋体"/>
          <w:color w:val="auto"/>
          <w:sz w:val="24"/>
          <w:highlight w:val="none"/>
          <w:u w:val="single"/>
          <w:lang w:val="en-US" w:eastAsia="zh-CN"/>
        </w:rPr>
      </w:pPr>
      <w:r>
        <w:rPr>
          <w:rFonts w:hint="eastAsia" w:ascii="宋体" w:hAnsi="宋体" w:cs="宋体"/>
          <w:color w:val="auto"/>
          <w:sz w:val="24"/>
          <w:highlight w:val="none"/>
        </w:rPr>
        <w:t>预付款支付比例或金额：</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p>
    <w:p w14:paraId="23A3E0E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预付款支付期限：</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rPr>
        <w:t>。</w:t>
      </w:r>
    </w:p>
    <w:p w14:paraId="71CB275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预付款扣回的方式：</w:t>
      </w:r>
      <w:r>
        <w:rPr>
          <w:rFonts w:hint="eastAsia" w:ascii="宋体" w:hAnsi="宋体" w:cs="宋体"/>
          <w:color w:val="auto"/>
          <w:sz w:val="24"/>
          <w:highlight w:val="none"/>
          <w:u w:val="single"/>
          <w:lang w:val="en-US" w:eastAsia="zh-CN"/>
        </w:rPr>
        <w:t xml:space="preserve">    /   </w:t>
      </w:r>
      <w:r>
        <w:rPr>
          <w:rFonts w:hint="eastAsia" w:ascii="宋体" w:hAnsi="宋体" w:cs="宋体"/>
          <w:color w:val="auto"/>
          <w:sz w:val="24"/>
          <w:highlight w:val="none"/>
          <w:u w:val="single"/>
        </w:rPr>
        <w:t>。</w:t>
      </w:r>
    </w:p>
    <w:p w14:paraId="378E498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12.2.2 预付款担保</w:t>
      </w:r>
    </w:p>
    <w:p w14:paraId="66265E5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承包人提交预付款担保的期限：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999EC80">
      <w:pPr>
        <w:pStyle w:val="5"/>
        <w:spacing w:line="360" w:lineRule="auto"/>
        <w:rPr>
          <w:rFonts w:hint="eastAsia" w:ascii="宋体" w:hAnsi="宋体" w:cs="宋体"/>
          <w:color w:val="auto"/>
          <w:sz w:val="24"/>
          <w:szCs w:val="24"/>
          <w:highlight w:val="none"/>
        </w:rPr>
      </w:pPr>
      <w:bookmarkStart w:id="343" w:name="_Toc18209"/>
      <w:r>
        <w:rPr>
          <w:rFonts w:hint="eastAsia" w:ascii="宋体" w:hAnsi="宋体" w:cs="宋体"/>
          <w:color w:val="auto"/>
          <w:sz w:val="24"/>
          <w:szCs w:val="24"/>
          <w:highlight w:val="none"/>
        </w:rPr>
        <w:t>12.3 计量</w:t>
      </w:r>
      <w:bookmarkEnd w:id="343"/>
    </w:p>
    <w:p w14:paraId="2C19598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12.3.1 计量原则</w:t>
      </w:r>
    </w:p>
    <w:p w14:paraId="70A80D0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工程量计算规则：</w:t>
      </w:r>
      <w:r>
        <w:rPr>
          <w:rFonts w:hint="eastAsia" w:ascii="宋体" w:hAnsi="宋体" w:cs="宋体"/>
          <w:color w:val="auto"/>
          <w:sz w:val="24"/>
          <w:highlight w:val="none"/>
          <w:u w:val="single"/>
        </w:rPr>
        <w:t>工程的计量均以《建设工程工程量清单计价规范》（GB50500－2013）及广西壮族自治区实施细则、《建设工程工程量清单计算规范》（GB50854~50862－2013）及广西实施细则、本工程补充项目清单为准。</w:t>
      </w:r>
    </w:p>
    <w:p w14:paraId="020E938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12.3.2 计量周期</w:t>
      </w:r>
    </w:p>
    <w:p w14:paraId="082C4F9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关于计量周期的约定：</w:t>
      </w:r>
      <w:r>
        <w:rPr>
          <w:rFonts w:hint="eastAsia" w:ascii="宋体" w:hAnsi="宋体" w:cs="宋体"/>
          <w:color w:val="auto"/>
          <w:sz w:val="24"/>
          <w:highlight w:val="none"/>
          <w:u w:val="single"/>
        </w:rPr>
        <w:t>每月25日前</w:t>
      </w:r>
      <w:r>
        <w:rPr>
          <w:rFonts w:hint="eastAsia" w:ascii="宋体" w:hAnsi="宋体" w:cs="宋体"/>
          <w:color w:val="auto"/>
          <w:sz w:val="24"/>
          <w:highlight w:val="none"/>
        </w:rPr>
        <w:t>。</w:t>
      </w:r>
    </w:p>
    <w:p w14:paraId="4E3941F2">
      <w:pPr>
        <w:spacing w:line="360" w:lineRule="auto"/>
        <w:ind w:firstLine="480"/>
        <w:jc w:val="left"/>
        <w:outlineLvl w:val="0"/>
        <w:rPr>
          <w:rFonts w:hint="eastAsia" w:ascii="宋体" w:hAnsi="宋体" w:cs="宋体"/>
          <w:color w:val="auto"/>
          <w:sz w:val="24"/>
          <w:highlight w:val="none"/>
        </w:rPr>
      </w:pPr>
      <w:bookmarkStart w:id="344" w:name="_Toc2917"/>
      <w:r>
        <w:rPr>
          <w:rFonts w:hint="eastAsia" w:ascii="宋体" w:hAnsi="宋体" w:cs="宋体"/>
          <w:color w:val="auto"/>
          <w:sz w:val="24"/>
          <w:highlight w:val="none"/>
        </w:rPr>
        <w:t>12.3.3 单价合同的计量</w:t>
      </w:r>
      <w:bookmarkEnd w:id="344"/>
    </w:p>
    <w:p w14:paraId="595C2BA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关于单价合同计量的约定：</w:t>
      </w:r>
    </w:p>
    <w:p w14:paraId="622C1904">
      <w:pPr>
        <w:spacing w:line="360" w:lineRule="auto"/>
        <w:ind w:firstLine="504"/>
        <w:rPr>
          <w:rFonts w:hint="eastAsia" w:ascii="宋体" w:hAnsi="宋体" w:cs="宋体"/>
          <w:color w:val="auto"/>
          <w:sz w:val="24"/>
          <w:highlight w:val="none"/>
        </w:rPr>
      </w:pPr>
      <w:r>
        <w:rPr>
          <w:rFonts w:hint="eastAsia" w:ascii="宋体" w:hAnsi="宋体" w:cs="宋体"/>
          <w:color w:val="auto"/>
          <w:sz w:val="24"/>
          <w:highlight w:val="none"/>
        </w:rPr>
        <w:t>(1) 工程量清单所列的工程量，不能作为承包人按合同履行其责任依据，实际施工中发生的工程量增加或减少并不影响承包人履行合同的责任，工程结算以完成的实际工程量为准。</w:t>
      </w:r>
    </w:p>
    <w:p w14:paraId="622FB310">
      <w:pPr>
        <w:spacing w:line="360" w:lineRule="auto"/>
        <w:ind w:firstLine="504"/>
        <w:rPr>
          <w:rFonts w:hint="eastAsia" w:ascii="宋体" w:hAnsi="宋体" w:cs="宋体"/>
          <w:color w:val="auto"/>
          <w:sz w:val="24"/>
          <w:highlight w:val="none"/>
        </w:rPr>
      </w:pPr>
      <w:r>
        <w:rPr>
          <w:rFonts w:hint="eastAsia" w:ascii="宋体" w:hAnsi="宋体" w:cs="宋体"/>
          <w:color w:val="auto"/>
          <w:sz w:val="24"/>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7DA5B12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12.3.4 总价合同的计量</w:t>
      </w:r>
    </w:p>
    <w:p w14:paraId="258CF7E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（1）总价合同计量约定：进度款按支付分解表支付，支付分解表在招标完成后签合同之前制定，具体详见本专用合同条款12.4.6。</w:t>
      </w:r>
    </w:p>
    <w:p w14:paraId="6CB5164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12.3.6 其他价格形式合同的计量</w:t>
      </w:r>
    </w:p>
    <w:p w14:paraId="26E735FF">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其他价格形式的计量方式和程序：</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56A79AF">
      <w:pPr>
        <w:pStyle w:val="5"/>
        <w:spacing w:line="360" w:lineRule="auto"/>
        <w:rPr>
          <w:rFonts w:hint="eastAsia" w:ascii="宋体" w:hAnsi="宋体" w:cs="宋体"/>
          <w:color w:val="auto"/>
          <w:sz w:val="24"/>
          <w:szCs w:val="24"/>
          <w:highlight w:val="none"/>
        </w:rPr>
      </w:pPr>
      <w:bookmarkStart w:id="345" w:name="_Toc24562"/>
      <w:r>
        <w:rPr>
          <w:rFonts w:hint="eastAsia" w:ascii="宋体" w:hAnsi="宋体" w:cs="宋体"/>
          <w:color w:val="auto"/>
          <w:sz w:val="24"/>
          <w:szCs w:val="24"/>
          <w:highlight w:val="none"/>
        </w:rPr>
        <w:t>12.4 工程进度款支付</w:t>
      </w:r>
      <w:bookmarkEnd w:id="345"/>
    </w:p>
    <w:p w14:paraId="37B5B3F3">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12.4.1 付款周期</w:t>
      </w:r>
    </w:p>
    <w:p w14:paraId="1BE342E4">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门急诊综合楼消防安全评估整改完成后，</w:t>
      </w:r>
      <w:r>
        <w:rPr>
          <w:rFonts w:hint="eastAsia" w:ascii="宋体" w:hAnsi="宋体" w:cs="宋体"/>
          <w:color w:val="auto"/>
          <w:sz w:val="24"/>
          <w:highlight w:val="none"/>
          <w:u w:val="single"/>
          <w:lang w:val="en-US" w:eastAsia="zh-CN"/>
        </w:rPr>
        <w:t>甲方</w:t>
      </w:r>
      <w:r>
        <w:rPr>
          <w:rFonts w:hint="eastAsia" w:ascii="宋体" w:hAnsi="宋体" w:cs="宋体"/>
          <w:color w:val="auto"/>
          <w:sz w:val="24"/>
          <w:highlight w:val="none"/>
          <w:u w:val="single"/>
        </w:rPr>
        <w:t>支付合同款30%给</w:t>
      </w:r>
      <w:r>
        <w:rPr>
          <w:rFonts w:hint="eastAsia" w:ascii="宋体" w:hAnsi="宋体" w:cs="宋体"/>
          <w:color w:val="auto"/>
          <w:sz w:val="24"/>
          <w:highlight w:val="none"/>
          <w:u w:val="single"/>
          <w:lang w:val="en-US" w:eastAsia="zh-CN"/>
        </w:rPr>
        <w:t>乙方</w:t>
      </w:r>
      <w:r>
        <w:rPr>
          <w:rFonts w:hint="eastAsia" w:ascii="宋体" w:hAnsi="宋体" w:cs="宋体"/>
          <w:color w:val="auto"/>
          <w:sz w:val="24"/>
          <w:highlight w:val="none"/>
          <w:u w:val="single"/>
        </w:rPr>
        <w:t>；通过消防安全评估审核，得到合格的审核报告后，</w:t>
      </w:r>
      <w:r>
        <w:rPr>
          <w:rFonts w:hint="eastAsia" w:ascii="宋体" w:hAnsi="宋体" w:cs="宋体"/>
          <w:color w:val="auto"/>
          <w:sz w:val="24"/>
          <w:highlight w:val="none"/>
          <w:u w:val="single"/>
          <w:lang w:val="en-US" w:eastAsia="zh-CN"/>
        </w:rPr>
        <w:t>甲方</w:t>
      </w:r>
      <w:r>
        <w:rPr>
          <w:rFonts w:hint="eastAsia" w:ascii="宋体" w:hAnsi="宋体" w:cs="宋体"/>
          <w:color w:val="auto"/>
          <w:sz w:val="24"/>
          <w:highlight w:val="none"/>
          <w:u w:val="single"/>
        </w:rPr>
        <w:t>扣除审计结算总金额3%作为项目质量保证金，剩余的审计结算款项</w:t>
      </w:r>
      <w:r>
        <w:rPr>
          <w:rFonts w:hint="eastAsia" w:ascii="宋体" w:hAnsi="宋体" w:cs="宋体"/>
          <w:color w:val="auto"/>
          <w:sz w:val="24"/>
          <w:highlight w:val="none"/>
          <w:u w:val="single"/>
          <w:lang w:val="en-US" w:eastAsia="zh-CN"/>
        </w:rPr>
        <w:t>甲方</w:t>
      </w:r>
      <w:r>
        <w:rPr>
          <w:rFonts w:hint="eastAsia" w:ascii="宋体" w:hAnsi="宋体" w:cs="宋体"/>
          <w:color w:val="auto"/>
          <w:sz w:val="24"/>
          <w:highlight w:val="none"/>
          <w:u w:val="single"/>
        </w:rPr>
        <w:t>在3个月内支付给</w:t>
      </w:r>
      <w:r>
        <w:rPr>
          <w:rFonts w:hint="eastAsia" w:ascii="宋体" w:hAnsi="宋体" w:cs="宋体"/>
          <w:color w:val="auto"/>
          <w:sz w:val="24"/>
          <w:highlight w:val="none"/>
          <w:u w:val="single"/>
          <w:lang w:val="en-US" w:eastAsia="zh-CN"/>
        </w:rPr>
        <w:t>乙方</w:t>
      </w:r>
      <w:r>
        <w:rPr>
          <w:rFonts w:hint="eastAsia" w:ascii="宋体" w:hAnsi="宋体" w:cs="宋体"/>
          <w:color w:val="auto"/>
          <w:sz w:val="24"/>
          <w:highlight w:val="none"/>
          <w:u w:val="single"/>
        </w:rPr>
        <w:t>；待工程保质期满，</w:t>
      </w:r>
      <w:r>
        <w:rPr>
          <w:rFonts w:hint="eastAsia" w:ascii="宋体" w:hAnsi="宋体" w:cs="宋体"/>
          <w:color w:val="auto"/>
          <w:sz w:val="24"/>
          <w:highlight w:val="none"/>
          <w:u w:val="single"/>
          <w:lang w:val="en-US" w:eastAsia="zh-CN"/>
        </w:rPr>
        <w:t>甲方</w:t>
      </w:r>
      <w:r>
        <w:rPr>
          <w:rFonts w:hint="eastAsia" w:ascii="宋体" w:hAnsi="宋体" w:cs="宋体"/>
          <w:color w:val="auto"/>
          <w:sz w:val="24"/>
          <w:highlight w:val="none"/>
          <w:u w:val="single"/>
        </w:rPr>
        <w:t>1个月内支付项目质量保证金给</w:t>
      </w:r>
      <w:r>
        <w:rPr>
          <w:rFonts w:hint="eastAsia" w:ascii="宋体" w:hAnsi="宋体" w:cs="宋体"/>
          <w:color w:val="auto"/>
          <w:sz w:val="24"/>
          <w:highlight w:val="none"/>
          <w:u w:val="single"/>
          <w:lang w:val="en-US" w:eastAsia="zh-CN"/>
        </w:rPr>
        <w:t>乙方</w:t>
      </w:r>
      <w:r>
        <w:rPr>
          <w:rFonts w:hint="eastAsia" w:ascii="宋体" w:hAnsi="宋体" w:cs="宋体"/>
          <w:color w:val="auto"/>
          <w:sz w:val="24"/>
          <w:highlight w:val="none"/>
          <w:u w:val="single"/>
        </w:rPr>
        <w:t>。</w:t>
      </w:r>
    </w:p>
    <w:p w14:paraId="6282CB4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12.4.2 进度付款申请单的编制</w:t>
      </w:r>
    </w:p>
    <w:p w14:paraId="682AB444">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关于进度付款申请单编制的约定：</w:t>
      </w:r>
      <w:r>
        <w:rPr>
          <w:rFonts w:hint="eastAsia" w:ascii="宋体" w:hAnsi="宋体" w:cs="宋体"/>
          <w:color w:val="auto"/>
          <w:sz w:val="24"/>
          <w:highlight w:val="none"/>
          <w:u w:val="single"/>
        </w:rPr>
        <w:t xml:space="preserve">      每月 25 日前     </w:t>
      </w:r>
      <w:r>
        <w:rPr>
          <w:rFonts w:hint="eastAsia" w:ascii="宋体" w:hAnsi="宋体" w:cs="宋体"/>
          <w:color w:val="auto"/>
          <w:sz w:val="24"/>
          <w:highlight w:val="none"/>
        </w:rPr>
        <w:t>。</w:t>
      </w:r>
    </w:p>
    <w:p w14:paraId="56E9CCF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12.4.3 进度付款申请单的提交</w:t>
      </w:r>
    </w:p>
    <w:p w14:paraId="217FA80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（1）单价合同进度付款申请单提交的约定：</w:t>
      </w:r>
      <w:r>
        <w:rPr>
          <w:rFonts w:hint="eastAsia" w:ascii="宋体" w:hAnsi="宋体" w:cs="宋体"/>
          <w:color w:val="auto"/>
          <w:sz w:val="24"/>
          <w:highlight w:val="none"/>
          <w:u w:val="single"/>
        </w:rPr>
        <w:t xml:space="preserve">   承包人每月 25 日，向发包人递交当月已完工程量工程进度款申请，并附已完成工程量报表   </w:t>
      </w:r>
      <w:r>
        <w:rPr>
          <w:rFonts w:hint="eastAsia" w:ascii="宋体" w:hAnsi="宋体" w:cs="宋体"/>
          <w:color w:val="auto"/>
          <w:sz w:val="24"/>
          <w:highlight w:val="none"/>
        </w:rPr>
        <w:t>。</w:t>
      </w:r>
    </w:p>
    <w:p w14:paraId="11B5254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（2）总价合同进度付款申请单提交的约定：</w:t>
      </w:r>
      <w:r>
        <w:rPr>
          <w:rFonts w:hint="eastAsia" w:ascii="宋体" w:hAnsi="宋体" w:cs="宋体"/>
          <w:color w:val="auto"/>
          <w:sz w:val="24"/>
          <w:highlight w:val="none"/>
          <w:u w:val="single"/>
        </w:rPr>
        <w:t xml:space="preserve"> 承包人应在每个计量周期到期后的 7 天内向发包人提交已完工程进度款支付申请一式六份，详细说明此周期自己认为有权得到的款额，包括分包人已完工程的价款   </w:t>
      </w:r>
      <w:r>
        <w:rPr>
          <w:rFonts w:hint="eastAsia" w:ascii="宋体" w:hAnsi="宋体" w:cs="宋体"/>
          <w:color w:val="auto"/>
          <w:sz w:val="24"/>
          <w:highlight w:val="none"/>
        </w:rPr>
        <w:t>。</w:t>
      </w:r>
    </w:p>
    <w:p w14:paraId="1980CD88">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（3）其他价格形式合同进度付款申请单提交的约定：</w:t>
      </w:r>
      <w:r>
        <w:rPr>
          <w:rFonts w:hint="eastAsia" w:ascii="宋体" w:hAnsi="宋体" w:cs="宋体"/>
          <w:color w:val="auto"/>
          <w:sz w:val="24"/>
          <w:highlight w:val="none"/>
          <w:u w:val="single"/>
        </w:rPr>
        <w:t xml:space="preserve">     每月 25 日前    </w:t>
      </w:r>
      <w:r>
        <w:rPr>
          <w:rFonts w:hint="eastAsia" w:ascii="宋体" w:hAnsi="宋体" w:cs="宋体"/>
          <w:color w:val="auto"/>
          <w:sz w:val="24"/>
          <w:highlight w:val="none"/>
        </w:rPr>
        <w:t>。</w:t>
      </w:r>
    </w:p>
    <w:p w14:paraId="18CEDBA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12.4.4 进度款审核和支付</w:t>
      </w:r>
    </w:p>
    <w:p w14:paraId="19500C79">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（1）监理人审查并报送发包人的期限：</w:t>
      </w:r>
      <w:r>
        <w:rPr>
          <w:rFonts w:hint="eastAsia" w:ascii="宋体" w:hAnsi="宋体" w:cs="宋体"/>
          <w:color w:val="auto"/>
          <w:sz w:val="24"/>
          <w:highlight w:val="none"/>
          <w:u w:val="single"/>
        </w:rPr>
        <w:t xml:space="preserve"> 监理人应在收到承包人进度付款申请单以及相关资料后 7 天内完成审查并报送发包人   </w:t>
      </w:r>
      <w:r>
        <w:rPr>
          <w:rFonts w:hint="eastAsia" w:ascii="宋体" w:hAnsi="宋体" w:cs="宋体"/>
          <w:color w:val="auto"/>
          <w:sz w:val="24"/>
          <w:highlight w:val="none"/>
        </w:rPr>
        <w:t>。</w:t>
      </w:r>
    </w:p>
    <w:p w14:paraId="4964CD3A">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发包人完成审批并签发进度款支付证书的期限：</w:t>
      </w:r>
      <w:r>
        <w:rPr>
          <w:rFonts w:hint="eastAsia" w:ascii="宋体" w:hAnsi="宋体" w:cs="宋体"/>
          <w:color w:val="auto"/>
          <w:sz w:val="24"/>
          <w:highlight w:val="none"/>
          <w:u w:val="single"/>
        </w:rPr>
        <w:t xml:space="preserve">发包人应在收到后 7 天内完成审批并签发进度款支付证书       </w:t>
      </w:r>
      <w:r>
        <w:rPr>
          <w:rFonts w:hint="eastAsia" w:ascii="宋体" w:hAnsi="宋体" w:cs="宋体"/>
          <w:color w:val="auto"/>
          <w:sz w:val="24"/>
          <w:highlight w:val="none"/>
        </w:rPr>
        <w:t>。</w:t>
      </w:r>
    </w:p>
    <w:p w14:paraId="11D91FE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（2）发包人支付进度款的期限：</w:t>
      </w:r>
      <w:r>
        <w:rPr>
          <w:rFonts w:hint="eastAsia" w:ascii="宋体" w:hAnsi="宋体" w:cs="宋体"/>
          <w:color w:val="auto"/>
          <w:sz w:val="24"/>
          <w:highlight w:val="none"/>
          <w:u w:val="single"/>
        </w:rPr>
        <w:t xml:space="preserve">  进度款支付证书签发后 7 天内  </w:t>
      </w:r>
      <w:r>
        <w:rPr>
          <w:rFonts w:hint="eastAsia" w:ascii="宋体" w:hAnsi="宋体" w:cs="宋体"/>
          <w:color w:val="auto"/>
          <w:sz w:val="24"/>
          <w:highlight w:val="none"/>
        </w:rPr>
        <w:t>。</w:t>
      </w:r>
    </w:p>
    <w:p w14:paraId="3D0443BE">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发包人逾期支付进度款的违约金的计算方式：</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1BA4C0F9">
      <w:pPr>
        <w:spacing w:line="360" w:lineRule="auto"/>
        <w:ind w:firstLine="720"/>
        <w:rPr>
          <w:rFonts w:hint="eastAsia" w:ascii="宋体" w:hAnsi="宋体" w:cs="宋体"/>
          <w:color w:val="auto"/>
          <w:sz w:val="24"/>
          <w:highlight w:val="none"/>
        </w:rPr>
      </w:pPr>
      <w:r>
        <w:rPr>
          <w:rFonts w:hint="eastAsia" w:ascii="宋体" w:hAnsi="宋体" w:cs="宋体"/>
          <w:color w:val="auto"/>
          <w:sz w:val="24"/>
          <w:highlight w:val="none"/>
        </w:rPr>
        <w:t>进度款支付方式：</w:t>
      </w:r>
      <w:r>
        <w:rPr>
          <w:rFonts w:hint="eastAsia" w:ascii="宋体" w:hAnsi="宋体" w:cs="宋体"/>
          <w:color w:val="auto"/>
          <w:sz w:val="24"/>
          <w:highlight w:val="none"/>
          <w:u w:val="single"/>
        </w:rPr>
        <w:t>银行转账</w:t>
      </w:r>
      <w:r>
        <w:rPr>
          <w:rFonts w:hint="eastAsia" w:ascii="宋体" w:hAnsi="宋体" w:cs="宋体"/>
          <w:color w:val="auto"/>
          <w:sz w:val="24"/>
          <w:highlight w:val="none"/>
        </w:rPr>
        <w:t>。进度款支付申请（核准）表见合同附件11。</w:t>
      </w:r>
    </w:p>
    <w:p w14:paraId="1F1B2B5A">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（3） 农民工工资支付</w:t>
      </w:r>
    </w:p>
    <w:p w14:paraId="7931DACA">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459C2A6F">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2）人工费应与工程进度款分</w:t>
      </w:r>
      <w:r>
        <w:rPr>
          <w:rFonts w:hint="eastAsia" w:ascii="宋体" w:hAnsi="宋体" w:cs="宋体"/>
          <w:color w:val="auto"/>
          <w:sz w:val="24"/>
          <w:highlight w:val="none"/>
          <w:lang w:eastAsia="zh-CN"/>
        </w:rPr>
        <w:t>账</w:t>
      </w:r>
      <w:r>
        <w:rPr>
          <w:rFonts w:hint="eastAsia" w:ascii="宋体" w:hAnsi="宋体" w:cs="宋体"/>
          <w:color w:val="auto"/>
          <w:sz w:val="24"/>
          <w:highlight w:val="none"/>
        </w:rPr>
        <w:t>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w:t>
      </w:r>
      <w:r>
        <w:rPr>
          <w:rFonts w:hint="eastAsia" w:ascii="宋体" w:hAnsi="宋体" w:cs="宋体"/>
          <w:color w:val="auto"/>
          <w:sz w:val="24"/>
          <w:highlight w:val="none"/>
          <w:lang w:eastAsia="zh-CN"/>
        </w:rPr>
        <w:t>账</w:t>
      </w:r>
      <w:r>
        <w:rPr>
          <w:rFonts w:hint="eastAsia" w:ascii="宋体" w:hAnsi="宋体" w:cs="宋体"/>
          <w:color w:val="auto"/>
          <w:sz w:val="24"/>
          <w:highlight w:val="none"/>
        </w:rPr>
        <w:t>出来的人工费转入承包人农民工工资支付专用账户，转入农民工工资支付专用账户环节必须有银行流水凭证。</w:t>
      </w:r>
    </w:p>
    <w:p w14:paraId="354D3E8D">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3）发包人依据工程进度，审核承包人申报的工程进度款，按照与承包人约定的人工费支付比例</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%（房建项目不少于20%，市政项目不少于15%），将人工费及时足额拨付至承包人的农民工工资专用账户，其余工程进度款项由发包人支付到承包人的单位基本户。</w:t>
      </w:r>
    </w:p>
    <w:p w14:paraId="4A5D682D">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 xml:space="preserve">4）工程建设领域总包单位对农民工工资支付负总责，推行分包单位农民工工资委托总包单位代发制度（以下简称总包代发制度）。工程建设项目施行总包代发制度的，总包单位与分包单位签订委托工资支付协议。 </w:t>
      </w:r>
    </w:p>
    <w:p w14:paraId="0ECC5EAC">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5）凡未向付款单位提供农民工工资专用账户的，或者请款单位在申请工程进度款时未将人工费单列的，付款单位有权拒绝支付工程进度款。</w:t>
      </w:r>
    </w:p>
    <w:p w14:paraId="37DCB487">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6）人工费使用要求：专款专用，除发放农民工工资外，不得用于其他用途。</w:t>
      </w:r>
    </w:p>
    <w:p w14:paraId="2D3EFEDC">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7）承包人将人工费支付情况定期报告发包人和监理单位，并提供相应的材料接受建设行政主管部门和劳动保障行政主管部门对此事项监管。</w:t>
      </w:r>
    </w:p>
    <w:p w14:paraId="7880BF43">
      <w:pPr>
        <w:spacing w:line="360" w:lineRule="auto"/>
        <w:ind w:firstLine="480"/>
        <w:jc w:val="left"/>
        <w:rPr>
          <w:rFonts w:hint="eastAsia" w:ascii="宋体" w:hAnsi="宋体" w:cs="宋体"/>
          <w:b/>
          <w:bCs/>
          <w:color w:val="auto"/>
          <w:sz w:val="24"/>
          <w:highlight w:val="none"/>
          <w:u w:val="single"/>
        </w:rPr>
      </w:pPr>
      <w:r>
        <w:rPr>
          <w:rFonts w:hint="eastAsia" w:ascii="宋体" w:hAnsi="宋体" w:cs="宋体"/>
          <w:color w:val="auto"/>
          <w:sz w:val="24"/>
          <w:highlight w:val="none"/>
        </w:rPr>
        <w:t>8）</w:t>
      </w:r>
      <w:r>
        <w:rPr>
          <w:rFonts w:hint="eastAsia" w:ascii="宋体" w:hAnsi="宋体" w:cs="宋体"/>
          <w:b/>
          <w:bCs/>
          <w:color w:val="auto"/>
          <w:sz w:val="24"/>
          <w:highlight w:val="none"/>
        </w:rPr>
        <w:t>人工费支付专用账户</w:t>
      </w:r>
      <w:r>
        <w:rPr>
          <w:rFonts w:hint="eastAsia" w:ascii="宋体" w:hAnsi="宋体" w:cs="宋体"/>
          <w:b/>
          <w:bCs/>
          <w:color w:val="auto"/>
          <w:spacing w:val="-6"/>
          <w:sz w:val="24"/>
          <w:highlight w:val="none"/>
        </w:rPr>
        <w:t>：</w:t>
      </w:r>
      <w:r>
        <w:rPr>
          <w:rFonts w:hint="eastAsia" w:ascii="宋体" w:hAnsi="宋体" w:cs="宋体"/>
          <w:b/>
          <w:bCs/>
          <w:color w:val="auto"/>
          <w:spacing w:val="-6"/>
          <w:sz w:val="24"/>
          <w:highlight w:val="none"/>
          <w:u w:val="single"/>
        </w:rPr>
        <w:t xml:space="preserve">      </w:t>
      </w:r>
      <w:r>
        <w:rPr>
          <w:rFonts w:hint="eastAsia" w:ascii="宋体" w:hAnsi="宋体" w:cs="宋体"/>
          <w:b/>
          <w:bCs/>
          <w:color w:val="auto"/>
          <w:spacing w:val="-6"/>
          <w:sz w:val="24"/>
          <w:highlight w:val="none"/>
        </w:rPr>
        <w:t>。</w:t>
      </w:r>
    </w:p>
    <w:p w14:paraId="5D1F769E">
      <w:pPr>
        <w:spacing w:line="360" w:lineRule="auto"/>
        <w:ind w:firstLine="723"/>
        <w:rPr>
          <w:rFonts w:hint="eastAsia" w:ascii="宋体" w:hAnsi="宋体" w:cs="宋体"/>
          <w:b/>
          <w:bCs/>
          <w:color w:val="auto"/>
          <w:sz w:val="24"/>
          <w:highlight w:val="none"/>
        </w:rPr>
      </w:pPr>
      <w:r>
        <w:rPr>
          <w:rFonts w:hint="eastAsia" w:ascii="宋体" w:hAnsi="宋体" w:cs="宋体"/>
          <w:b/>
          <w:bCs/>
          <w:color w:val="auto"/>
          <w:sz w:val="24"/>
          <w:highlight w:val="none"/>
        </w:rPr>
        <w:t>账号：</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14:paraId="3179B331">
      <w:pPr>
        <w:pStyle w:val="374"/>
        <w:spacing w:line="360" w:lineRule="auto"/>
        <w:ind w:firstLine="723"/>
        <w:rPr>
          <w:rFonts w:hint="eastAsia" w:ascii="宋体" w:hAnsi="宋体" w:cs="宋体"/>
          <w:color w:val="auto"/>
          <w:sz w:val="24"/>
          <w:szCs w:val="24"/>
          <w:highlight w:val="none"/>
        </w:rPr>
      </w:pPr>
      <w:r>
        <w:rPr>
          <w:rFonts w:hint="eastAsia" w:ascii="宋体" w:hAnsi="宋体" w:cs="宋体"/>
          <w:b/>
          <w:bCs/>
          <w:color w:val="auto"/>
          <w:sz w:val="24"/>
          <w:szCs w:val="24"/>
          <w:highlight w:val="none"/>
        </w:rPr>
        <w:t>开户银行：</w:t>
      </w:r>
      <w:r>
        <w:rPr>
          <w:rFonts w:hint="eastAsia" w:ascii="宋体" w:hAnsi="宋体" w:cs="宋体"/>
          <w:b/>
          <w:bCs/>
          <w:color w:val="auto"/>
          <w:sz w:val="24"/>
          <w:szCs w:val="24"/>
          <w:highlight w:val="none"/>
          <w:u w:val="single"/>
        </w:rPr>
        <w:t xml:space="preserve">      </w:t>
      </w:r>
      <w:r>
        <w:rPr>
          <w:rFonts w:hint="eastAsia" w:ascii="宋体" w:hAnsi="宋体" w:cs="宋体"/>
          <w:b/>
          <w:bCs/>
          <w:color w:val="auto"/>
          <w:sz w:val="24"/>
          <w:szCs w:val="24"/>
          <w:highlight w:val="none"/>
        </w:rPr>
        <w:t>。</w:t>
      </w:r>
    </w:p>
    <w:p w14:paraId="02FC0655">
      <w:pPr>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（4）农民工工资保证金：</w:t>
      </w:r>
    </w:p>
    <w:p w14:paraId="6CA87CD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eastAsia="zh-CN"/>
        </w:rPr>
        <w:t>农民工工资</w:t>
      </w:r>
      <w:r>
        <w:rPr>
          <w:rFonts w:hint="eastAsia" w:ascii="宋体" w:hAnsi="宋体" w:cs="宋体"/>
          <w:color w:val="auto"/>
          <w:sz w:val="24"/>
          <w:highlight w:val="none"/>
        </w:rPr>
        <w:t>保证金的方式、金额及期限:</w:t>
      </w:r>
    </w:p>
    <w:p w14:paraId="7D588C2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根据《工程建设领域农民工工资保证金规定》第二章工资保证金存储、第六条规定“施工总承包单位应当在工程所在地的银行存储工资保证金或申请开立银行保函”，</w:t>
      </w:r>
      <w:r>
        <w:rPr>
          <w:rFonts w:hint="eastAsia" w:ascii="宋体" w:hAnsi="宋体" w:cs="宋体"/>
          <w:color w:val="auto"/>
          <w:sz w:val="24"/>
          <w:highlight w:val="none"/>
          <w:lang w:eastAsia="zh-CN"/>
        </w:rPr>
        <w:t>农民工工资</w:t>
      </w:r>
      <w:r>
        <w:rPr>
          <w:rFonts w:hint="eastAsia" w:ascii="宋体" w:hAnsi="宋体" w:cs="宋体"/>
          <w:color w:val="auto"/>
          <w:sz w:val="24"/>
          <w:highlight w:val="none"/>
        </w:rPr>
        <w:t>保证金的提交形式为银行保函、现金、工程担保或保证保险等形式，金额为合同价的1.5% 。</w:t>
      </w:r>
      <w:r>
        <w:rPr>
          <w:rFonts w:hint="eastAsia" w:ascii="宋体" w:hAnsi="宋体" w:cs="宋体"/>
          <w:color w:val="auto"/>
          <w:sz w:val="24"/>
          <w:highlight w:val="none"/>
          <w:lang w:eastAsia="zh-CN"/>
        </w:rPr>
        <w:t>成交</w:t>
      </w:r>
      <w:r>
        <w:rPr>
          <w:rFonts w:hint="eastAsia" w:ascii="宋体" w:hAnsi="宋体" w:cs="宋体"/>
          <w:color w:val="auto"/>
          <w:sz w:val="24"/>
          <w:highlight w:val="none"/>
        </w:rPr>
        <w:t>后30日内向发包人提交</w:t>
      </w:r>
      <w:r>
        <w:rPr>
          <w:rFonts w:hint="eastAsia" w:ascii="宋体" w:hAnsi="宋体" w:cs="宋体"/>
          <w:color w:val="auto"/>
          <w:sz w:val="24"/>
          <w:highlight w:val="none"/>
          <w:lang w:eastAsia="zh-CN"/>
        </w:rPr>
        <w:t>农民工工资</w:t>
      </w:r>
      <w:r>
        <w:rPr>
          <w:rFonts w:hint="eastAsia" w:ascii="宋体" w:hAnsi="宋体" w:cs="宋体"/>
          <w:color w:val="auto"/>
          <w:sz w:val="24"/>
          <w:highlight w:val="none"/>
        </w:rPr>
        <w:t>保证金，</w:t>
      </w:r>
      <w:r>
        <w:rPr>
          <w:rFonts w:hint="eastAsia" w:ascii="宋体" w:hAnsi="宋体" w:cs="宋体"/>
          <w:color w:val="auto"/>
          <w:sz w:val="24"/>
          <w:highlight w:val="none"/>
          <w:lang w:eastAsia="zh-CN"/>
        </w:rPr>
        <w:t>农民工工资</w:t>
      </w:r>
      <w:r>
        <w:rPr>
          <w:rFonts w:hint="eastAsia" w:ascii="宋体" w:hAnsi="宋体" w:cs="宋体"/>
          <w:color w:val="auto"/>
          <w:sz w:val="24"/>
          <w:highlight w:val="none"/>
        </w:rPr>
        <w:t>保证金的有效期必须涵盖工程竣工验收合格并对验收发现的问题完成整改后且承包人向发包人完成竣工资料手续时间内。</w:t>
      </w:r>
    </w:p>
    <w:p w14:paraId="08760927">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工程竣工验收合格并对验收发现的问题完成整改且承包人向发包人完成竣工资料移交手续后，经发包人同意，承包人可申请退还</w:t>
      </w:r>
      <w:r>
        <w:rPr>
          <w:rFonts w:hint="eastAsia" w:ascii="宋体" w:hAnsi="宋体" w:cs="宋体"/>
          <w:color w:val="auto"/>
          <w:sz w:val="24"/>
          <w:highlight w:val="none"/>
          <w:lang w:eastAsia="zh-CN"/>
        </w:rPr>
        <w:t>农民工工资</w:t>
      </w:r>
      <w:r>
        <w:rPr>
          <w:rFonts w:hint="eastAsia" w:ascii="宋体" w:hAnsi="宋体" w:cs="宋体"/>
          <w:color w:val="auto"/>
          <w:sz w:val="24"/>
          <w:highlight w:val="none"/>
        </w:rPr>
        <w:t>保证金，发包人在收到承包人的申请之日起28个日历天内将农民工工资保证金退还给承包人（无息）。</w:t>
      </w:r>
    </w:p>
    <w:p w14:paraId="3900B017">
      <w:pPr>
        <w:spacing w:line="360" w:lineRule="auto"/>
        <w:ind w:firstLine="600"/>
        <w:jc w:val="left"/>
        <w:rPr>
          <w:rFonts w:hint="eastAsia" w:ascii="宋体" w:hAnsi="宋体" w:cs="宋体"/>
          <w:color w:val="auto"/>
          <w:sz w:val="24"/>
          <w:highlight w:val="none"/>
        </w:rPr>
      </w:pPr>
      <w:r>
        <w:rPr>
          <w:rFonts w:hint="eastAsia" w:ascii="宋体" w:hAnsi="宋体" w:cs="宋体"/>
          <w:color w:val="auto"/>
          <w:sz w:val="24"/>
          <w:highlight w:val="none"/>
        </w:rPr>
        <w:t>12.4.6 支付分解表的编制</w:t>
      </w:r>
    </w:p>
    <w:p w14:paraId="309E949D">
      <w:pPr>
        <w:spacing w:line="360" w:lineRule="auto"/>
        <w:ind w:firstLine="600"/>
        <w:jc w:val="left"/>
        <w:rPr>
          <w:rFonts w:hint="eastAsia" w:ascii="宋体" w:hAnsi="宋体" w:cs="宋体"/>
          <w:color w:val="auto"/>
          <w:sz w:val="24"/>
          <w:highlight w:val="none"/>
          <w:u w:val="single"/>
        </w:rPr>
      </w:pPr>
      <w:r>
        <w:rPr>
          <w:rFonts w:hint="eastAsia" w:ascii="宋体" w:hAnsi="宋体" w:cs="宋体"/>
          <w:color w:val="auto"/>
          <w:sz w:val="24"/>
          <w:highlight w:val="none"/>
        </w:rPr>
        <w:t>（1） 总价合同支付分解表的编制与审批：</w:t>
      </w:r>
      <w:r>
        <w:rPr>
          <w:rFonts w:hint="eastAsia" w:ascii="宋体" w:hAnsi="宋体" w:cs="宋体"/>
          <w:color w:val="auto"/>
          <w:sz w:val="24"/>
          <w:highlight w:val="none"/>
          <w:u w:val="single"/>
        </w:rPr>
        <w:t xml:space="preserve"> 总价合同支付分解表在招标完成后由发包人和承包人共同编制，发包人审批，并作为本合同内容，具体详见合同附件14。</w:t>
      </w:r>
    </w:p>
    <w:p w14:paraId="5434EA85">
      <w:pPr>
        <w:spacing w:line="360" w:lineRule="auto"/>
        <w:ind w:firstLine="600"/>
        <w:jc w:val="left"/>
        <w:rPr>
          <w:rFonts w:hint="eastAsia" w:ascii="宋体" w:hAnsi="宋体" w:cs="宋体"/>
          <w:color w:val="auto"/>
          <w:sz w:val="24"/>
          <w:highlight w:val="none"/>
          <w:u w:val="single"/>
        </w:rPr>
      </w:pPr>
      <w:r>
        <w:rPr>
          <w:rFonts w:hint="eastAsia" w:ascii="宋体" w:hAnsi="宋体" w:cs="宋体"/>
          <w:color w:val="auto"/>
          <w:sz w:val="24"/>
          <w:highlight w:val="none"/>
        </w:rPr>
        <w:t>（2）单价合同的总价项目支付分解表的编制与审批：总价项目不采用支付分解表的方式计算，而按《建设工程工程量清单计价规范（</w:t>
      </w:r>
      <w:r>
        <w:rPr>
          <w:rFonts w:hint="eastAsia" w:ascii="宋体" w:hAnsi="宋体" w:cs="宋体"/>
          <w:color w:val="auto"/>
          <w:sz w:val="24"/>
          <w:highlight w:val="none"/>
          <w:lang w:eastAsia="zh-CN"/>
        </w:rPr>
        <w:t>GB/T 50500-2024</w:t>
      </w:r>
      <w:r>
        <w:rPr>
          <w:rFonts w:hint="eastAsia" w:ascii="宋体" w:hAnsi="宋体" w:cs="宋体"/>
          <w:color w:val="auto"/>
          <w:sz w:val="24"/>
          <w:highlight w:val="none"/>
        </w:rPr>
        <w:t>）广西壮族自治区实施细则》的规定执行。</w:t>
      </w:r>
    </w:p>
    <w:p w14:paraId="167AD3DD">
      <w:pPr>
        <w:pStyle w:val="4"/>
        <w:spacing w:line="360" w:lineRule="auto"/>
        <w:rPr>
          <w:rFonts w:hint="eastAsia" w:ascii="宋体" w:hAnsi="宋体" w:cs="宋体"/>
          <w:color w:val="auto"/>
          <w:sz w:val="24"/>
          <w:szCs w:val="24"/>
          <w:highlight w:val="none"/>
        </w:rPr>
      </w:pPr>
      <w:bookmarkStart w:id="346" w:name="_Toc4780"/>
      <w:r>
        <w:rPr>
          <w:rFonts w:hint="eastAsia" w:ascii="宋体" w:hAnsi="宋体" w:cs="宋体"/>
          <w:color w:val="auto"/>
          <w:sz w:val="24"/>
          <w:szCs w:val="24"/>
          <w:highlight w:val="none"/>
        </w:rPr>
        <w:t>13. 验收和工程试车</w:t>
      </w:r>
      <w:bookmarkEnd w:id="346"/>
    </w:p>
    <w:p w14:paraId="61EF7810">
      <w:pPr>
        <w:pStyle w:val="5"/>
        <w:spacing w:line="360" w:lineRule="auto"/>
        <w:rPr>
          <w:rFonts w:hint="eastAsia" w:ascii="宋体" w:hAnsi="宋体" w:cs="宋体"/>
          <w:color w:val="auto"/>
          <w:sz w:val="24"/>
          <w:szCs w:val="24"/>
          <w:highlight w:val="none"/>
        </w:rPr>
      </w:pPr>
      <w:bookmarkStart w:id="347" w:name="_Toc27659"/>
      <w:r>
        <w:rPr>
          <w:rFonts w:hint="eastAsia" w:ascii="宋体" w:hAnsi="宋体" w:cs="宋体"/>
          <w:color w:val="auto"/>
          <w:sz w:val="24"/>
          <w:szCs w:val="24"/>
          <w:highlight w:val="none"/>
        </w:rPr>
        <w:t>13.1 分部分项工程验收</w:t>
      </w:r>
      <w:bookmarkEnd w:id="347"/>
    </w:p>
    <w:p w14:paraId="5A1A733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13.1.2监理人不能按时进行验收时，应提前</w:t>
      </w:r>
      <w:r>
        <w:rPr>
          <w:rFonts w:hint="eastAsia" w:ascii="宋体" w:hAnsi="宋体" w:cs="宋体"/>
          <w:color w:val="auto"/>
          <w:sz w:val="24"/>
          <w:highlight w:val="none"/>
          <w:u w:val="single"/>
        </w:rPr>
        <w:t xml:space="preserve">  24  </w:t>
      </w:r>
      <w:r>
        <w:rPr>
          <w:rFonts w:hint="eastAsia" w:ascii="宋体" w:hAnsi="宋体" w:cs="宋体"/>
          <w:color w:val="auto"/>
          <w:sz w:val="24"/>
          <w:highlight w:val="none"/>
        </w:rPr>
        <w:t>小时提交书面延期要求。</w:t>
      </w:r>
    </w:p>
    <w:p w14:paraId="387C693F">
      <w:pPr>
        <w:spacing w:line="360" w:lineRule="auto"/>
        <w:ind w:firstLine="480"/>
        <w:jc w:val="left"/>
        <w:rPr>
          <w:rFonts w:hint="eastAsia" w:ascii="宋体" w:hAnsi="宋体" w:cs="宋体"/>
          <w:b/>
          <w:bCs/>
          <w:color w:val="auto"/>
          <w:sz w:val="24"/>
          <w:highlight w:val="none"/>
        </w:rPr>
      </w:pPr>
      <w:r>
        <w:rPr>
          <w:rFonts w:hint="eastAsia" w:ascii="宋体" w:hAnsi="宋体" w:cs="宋体"/>
          <w:color w:val="auto"/>
          <w:sz w:val="24"/>
          <w:highlight w:val="none"/>
        </w:rPr>
        <w:t>关于延期最长不得超过：</w:t>
      </w:r>
      <w:r>
        <w:rPr>
          <w:rFonts w:hint="eastAsia" w:ascii="宋体" w:hAnsi="宋体" w:cs="宋体"/>
          <w:color w:val="auto"/>
          <w:sz w:val="24"/>
          <w:highlight w:val="none"/>
          <w:u w:val="single"/>
        </w:rPr>
        <w:t xml:space="preserve">   48   </w:t>
      </w:r>
      <w:r>
        <w:rPr>
          <w:rFonts w:hint="eastAsia" w:ascii="宋体" w:hAnsi="宋体" w:cs="宋体"/>
          <w:color w:val="auto"/>
          <w:sz w:val="24"/>
          <w:highlight w:val="none"/>
        </w:rPr>
        <w:t>小时。</w:t>
      </w:r>
    </w:p>
    <w:p w14:paraId="74AD23E2">
      <w:pPr>
        <w:pStyle w:val="5"/>
        <w:spacing w:line="360" w:lineRule="auto"/>
        <w:rPr>
          <w:rFonts w:hint="eastAsia" w:ascii="宋体" w:hAnsi="宋体" w:cs="宋体"/>
          <w:color w:val="auto"/>
          <w:sz w:val="24"/>
          <w:szCs w:val="24"/>
          <w:highlight w:val="none"/>
        </w:rPr>
      </w:pPr>
      <w:bookmarkStart w:id="348" w:name="_Toc17207"/>
      <w:r>
        <w:rPr>
          <w:rFonts w:hint="eastAsia" w:ascii="宋体" w:hAnsi="宋体" w:cs="宋体"/>
          <w:color w:val="auto"/>
          <w:sz w:val="24"/>
          <w:szCs w:val="24"/>
          <w:highlight w:val="none"/>
        </w:rPr>
        <w:t>13.2 竣工验收</w:t>
      </w:r>
      <w:bookmarkEnd w:id="348"/>
    </w:p>
    <w:p w14:paraId="40E4253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13.2.1竣工验收条件</w:t>
      </w:r>
    </w:p>
    <w:p w14:paraId="606E282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（3）承包人负责整理和提交的竣工验收资料应当符合工程所在地建设行政主管部门和(或)城市建设档案管理机构有关施工资料的要求，具体内容包括：</w:t>
      </w:r>
      <w:r>
        <w:rPr>
          <w:rFonts w:hint="eastAsia" w:ascii="宋体" w:hAnsi="宋体" w:cs="宋体"/>
          <w:color w:val="auto"/>
          <w:sz w:val="24"/>
          <w:highlight w:val="none"/>
          <w:u w:val="single"/>
        </w:rPr>
        <w:t xml:space="preserve"> 工程竣工报验单、施工单位工程竣工报告、建设工程竣工验收报告、监理单位工程竣工质量评价报告、市政基础设施工程质量保修书、竣工图等工程所在地建设行政主管部门和城市建设档案管理机构要求提交竣工验收资料  </w:t>
      </w:r>
      <w:r>
        <w:rPr>
          <w:rFonts w:hint="eastAsia" w:ascii="宋体" w:hAnsi="宋体" w:cs="宋体"/>
          <w:color w:val="auto"/>
          <w:sz w:val="24"/>
          <w:highlight w:val="none"/>
        </w:rPr>
        <w:t>。</w:t>
      </w:r>
    </w:p>
    <w:p w14:paraId="1523FD5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竣工验收资料的份数：</w:t>
      </w:r>
      <w:r>
        <w:rPr>
          <w:rFonts w:hint="eastAsia" w:ascii="宋体" w:hAnsi="宋体" w:cs="宋体"/>
          <w:color w:val="auto"/>
          <w:sz w:val="24"/>
          <w:highlight w:val="none"/>
          <w:u w:val="single"/>
        </w:rPr>
        <w:t xml:space="preserve"> 一式陆份及电子版贰份 </w:t>
      </w:r>
      <w:r>
        <w:rPr>
          <w:rFonts w:hint="eastAsia" w:ascii="宋体" w:hAnsi="宋体" w:cs="宋体"/>
          <w:color w:val="auto"/>
          <w:sz w:val="24"/>
          <w:highlight w:val="none"/>
        </w:rPr>
        <w:t>。</w:t>
      </w:r>
    </w:p>
    <w:p w14:paraId="607212A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承包人提供竣工图的约定：</w:t>
      </w:r>
      <w:r>
        <w:rPr>
          <w:rFonts w:hint="eastAsia" w:ascii="宋体" w:hAnsi="宋体" w:cs="宋体"/>
          <w:color w:val="auto"/>
          <w:sz w:val="24"/>
          <w:highlight w:val="none"/>
          <w:u w:val="single"/>
        </w:rPr>
        <w:t>竣工验收正式通过后5天（工程造价在500万元以下含500万元）、10天（工程造价在500万元至1000万元之间含1000万元）、15天（工程造价在1000万元以上），提供竣工图的数量分别为2套、4套、6套。</w:t>
      </w:r>
    </w:p>
    <w:p w14:paraId="175AB92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13.2.2竣工验收程序</w:t>
      </w:r>
    </w:p>
    <w:p w14:paraId="084BB281">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关于竣工验收程序的约定：</w:t>
      </w:r>
      <w:r>
        <w:rPr>
          <w:rFonts w:hint="eastAsia" w:ascii="宋体" w:hAnsi="宋体" w:cs="宋体"/>
          <w:color w:val="auto"/>
          <w:sz w:val="24"/>
          <w:szCs w:val="24"/>
          <w:highlight w:val="none"/>
          <w:u w:val="single"/>
        </w:rPr>
        <w:t>按工程所在地建设行政主管部门和城市建设档案管理机构有关验收程序的要求进行</w:t>
      </w:r>
      <w:r>
        <w:rPr>
          <w:rFonts w:hint="eastAsia" w:ascii="宋体" w:hAnsi="宋体" w:cs="宋体"/>
          <w:color w:val="auto"/>
          <w:sz w:val="24"/>
          <w:szCs w:val="24"/>
          <w:highlight w:val="none"/>
        </w:rPr>
        <w:t>。</w:t>
      </w:r>
    </w:p>
    <w:p w14:paraId="5A683EA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发包人不按照本项约定组织竣工验收、颁发工程接收证书的违约金的计算方法：</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4E53D52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13.2.5移交、接收全部与部分工程</w:t>
      </w:r>
    </w:p>
    <w:p w14:paraId="6E44C57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承包人向发包人移交工程的期限：</w:t>
      </w:r>
      <w:r>
        <w:rPr>
          <w:rFonts w:hint="eastAsia" w:ascii="宋体" w:hAnsi="宋体" w:cs="宋体"/>
          <w:color w:val="auto"/>
          <w:sz w:val="24"/>
          <w:highlight w:val="none"/>
          <w:u w:val="single"/>
        </w:rPr>
        <w:t xml:space="preserve"> 颁发工程接收证书后 14 天内完成工程的移交 </w:t>
      </w:r>
      <w:r>
        <w:rPr>
          <w:rFonts w:hint="eastAsia" w:ascii="宋体" w:hAnsi="宋体" w:cs="宋体"/>
          <w:color w:val="auto"/>
          <w:sz w:val="24"/>
          <w:highlight w:val="none"/>
        </w:rPr>
        <w:t>。</w:t>
      </w:r>
    </w:p>
    <w:p w14:paraId="52CDE5C6">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发包人未按本合同约定接收全部或部分工程的，违约金的计算方法为：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p w14:paraId="53E07A92">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承包人未按时移交工程的，违约金的计算方法为：</w:t>
      </w:r>
      <w:r>
        <w:rPr>
          <w:rFonts w:hint="eastAsia" w:ascii="宋体" w:hAnsi="宋体" w:cs="宋体"/>
          <w:color w:val="auto"/>
          <w:sz w:val="24"/>
          <w:szCs w:val="24"/>
          <w:highlight w:val="none"/>
          <w:u w:val="single"/>
        </w:rPr>
        <w:t xml:space="preserve">    因承包人原因未按时移交工程的，承包人应采取措施确保相关工程的正常使用，承包人应承担工程照管、成品保护、保管等与工程有关的各项费用，且每延误一天，扣除 150 元/天的质保金</w:t>
      </w:r>
      <w:r>
        <w:rPr>
          <w:rFonts w:hint="eastAsia" w:ascii="宋体" w:hAnsi="宋体" w:cs="宋体"/>
          <w:color w:val="auto"/>
          <w:sz w:val="24"/>
          <w:szCs w:val="24"/>
          <w:highlight w:val="none"/>
        </w:rPr>
        <w:t>。</w:t>
      </w:r>
    </w:p>
    <w:p w14:paraId="4E144E51">
      <w:pPr>
        <w:pStyle w:val="5"/>
        <w:spacing w:line="360" w:lineRule="auto"/>
        <w:rPr>
          <w:rFonts w:hint="eastAsia" w:ascii="宋体" w:hAnsi="宋体" w:cs="宋体"/>
          <w:color w:val="auto"/>
          <w:sz w:val="24"/>
          <w:szCs w:val="24"/>
          <w:highlight w:val="none"/>
        </w:rPr>
      </w:pPr>
      <w:bookmarkStart w:id="349" w:name="_Toc11274"/>
      <w:r>
        <w:rPr>
          <w:rFonts w:hint="eastAsia" w:ascii="宋体" w:hAnsi="宋体" w:cs="宋体"/>
          <w:color w:val="auto"/>
          <w:sz w:val="24"/>
          <w:szCs w:val="24"/>
          <w:highlight w:val="none"/>
        </w:rPr>
        <w:t>13.3 工程试车</w:t>
      </w:r>
      <w:bookmarkEnd w:id="349"/>
    </w:p>
    <w:p w14:paraId="527786E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13.3.1 试车程序</w:t>
      </w:r>
    </w:p>
    <w:p w14:paraId="0989094B">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工程试车内容：</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5D54383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（1）单机无负荷试车费用由</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承担；</w:t>
      </w:r>
    </w:p>
    <w:p w14:paraId="27F1CF9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（2）无负荷联动试车费用由</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承担。</w:t>
      </w:r>
    </w:p>
    <w:p w14:paraId="0C0EDE8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13.3.3 投料试车</w:t>
      </w:r>
    </w:p>
    <w:p w14:paraId="2CB323D0">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关于投料试车相关事项的约定：</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21A85AF8">
      <w:pPr>
        <w:pStyle w:val="5"/>
        <w:spacing w:line="360" w:lineRule="auto"/>
        <w:rPr>
          <w:rFonts w:hint="eastAsia" w:ascii="宋体" w:hAnsi="宋体" w:cs="宋体"/>
          <w:color w:val="auto"/>
          <w:sz w:val="24"/>
          <w:szCs w:val="24"/>
          <w:highlight w:val="none"/>
        </w:rPr>
      </w:pPr>
      <w:bookmarkStart w:id="350" w:name="_Toc7676"/>
      <w:r>
        <w:rPr>
          <w:rFonts w:hint="eastAsia" w:ascii="宋体" w:hAnsi="宋体" w:cs="宋体"/>
          <w:color w:val="auto"/>
          <w:sz w:val="24"/>
          <w:szCs w:val="24"/>
          <w:highlight w:val="none"/>
        </w:rPr>
        <w:t>13.6 竣工退场</w:t>
      </w:r>
      <w:bookmarkEnd w:id="350"/>
    </w:p>
    <w:p w14:paraId="533EF6DE">
      <w:pPr>
        <w:spacing w:line="360" w:lineRule="auto"/>
        <w:ind w:firstLine="480"/>
        <w:jc w:val="left"/>
        <w:outlineLvl w:val="0"/>
        <w:rPr>
          <w:rFonts w:hint="eastAsia" w:ascii="宋体" w:hAnsi="宋体" w:cs="宋体"/>
          <w:color w:val="auto"/>
          <w:sz w:val="24"/>
          <w:highlight w:val="none"/>
        </w:rPr>
      </w:pPr>
      <w:bookmarkStart w:id="351" w:name="_Toc7318"/>
      <w:r>
        <w:rPr>
          <w:rFonts w:hint="eastAsia" w:ascii="宋体" w:hAnsi="宋体" w:cs="宋体"/>
          <w:color w:val="auto"/>
          <w:sz w:val="24"/>
          <w:highlight w:val="none"/>
        </w:rPr>
        <w:t>13.6.1 竣工退场</w:t>
      </w:r>
      <w:bookmarkEnd w:id="351"/>
    </w:p>
    <w:p w14:paraId="2333F26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承包人完成竣工退场的期限：</w:t>
      </w:r>
      <w:r>
        <w:rPr>
          <w:rFonts w:hint="eastAsia" w:ascii="宋体" w:hAnsi="宋体" w:cs="宋体"/>
          <w:color w:val="auto"/>
          <w:sz w:val="24"/>
          <w:highlight w:val="none"/>
          <w:u w:val="single"/>
        </w:rPr>
        <w:t xml:space="preserve">   颁发工程接收证书后 7 天内完成工程的移交   </w:t>
      </w:r>
      <w:r>
        <w:rPr>
          <w:rFonts w:hint="eastAsia" w:ascii="宋体" w:hAnsi="宋体" w:cs="宋体"/>
          <w:color w:val="auto"/>
          <w:sz w:val="24"/>
          <w:highlight w:val="none"/>
        </w:rPr>
        <w:t>。</w:t>
      </w:r>
    </w:p>
    <w:p w14:paraId="271A6C27">
      <w:pPr>
        <w:pStyle w:val="4"/>
        <w:spacing w:line="360" w:lineRule="auto"/>
        <w:rPr>
          <w:rFonts w:hint="eastAsia" w:ascii="宋体" w:hAnsi="宋体" w:cs="宋体"/>
          <w:color w:val="auto"/>
          <w:sz w:val="24"/>
          <w:szCs w:val="24"/>
          <w:highlight w:val="none"/>
        </w:rPr>
      </w:pPr>
      <w:bookmarkStart w:id="352" w:name="_Toc22120"/>
      <w:r>
        <w:rPr>
          <w:rFonts w:hint="eastAsia" w:ascii="宋体" w:hAnsi="宋体" w:cs="宋体"/>
          <w:color w:val="auto"/>
          <w:sz w:val="24"/>
          <w:szCs w:val="24"/>
          <w:highlight w:val="none"/>
        </w:rPr>
        <w:t>14. 竣工结算</w:t>
      </w:r>
      <w:bookmarkEnd w:id="352"/>
    </w:p>
    <w:p w14:paraId="1783AD08">
      <w:pPr>
        <w:pStyle w:val="5"/>
        <w:spacing w:line="360" w:lineRule="auto"/>
        <w:rPr>
          <w:rFonts w:hint="eastAsia" w:ascii="宋体" w:hAnsi="宋体" w:cs="宋体"/>
          <w:color w:val="auto"/>
          <w:sz w:val="24"/>
          <w:szCs w:val="24"/>
          <w:highlight w:val="none"/>
        </w:rPr>
      </w:pPr>
      <w:bookmarkStart w:id="353" w:name="_Toc12097"/>
      <w:r>
        <w:rPr>
          <w:rFonts w:hint="eastAsia" w:ascii="宋体" w:hAnsi="宋体" w:cs="宋体"/>
          <w:color w:val="auto"/>
          <w:sz w:val="24"/>
          <w:szCs w:val="24"/>
          <w:highlight w:val="none"/>
        </w:rPr>
        <w:t>14.1 竣工付款申请</w:t>
      </w:r>
      <w:bookmarkEnd w:id="353"/>
    </w:p>
    <w:p w14:paraId="0C6060A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承包人提交竣工付款申请单的期限：</w:t>
      </w:r>
      <w:r>
        <w:rPr>
          <w:rFonts w:hint="eastAsia" w:ascii="宋体" w:hAnsi="宋体" w:cs="宋体"/>
          <w:color w:val="auto"/>
          <w:sz w:val="24"/>
          <w:highlight w:val="none"/>
          <w:u w:val="single"/>
        </w:rPr>
        <w:t xml:space="preserve">竣工结算按照港市人民政府文件贵政办通〔2018〕70号规定执行，在工程竣工验收合格后 28 天内向发包人和监理人提交竣工结算申请单及相关材料。 无正当理由延期或经发包人催促 14 天内仍未提供或明确答复的，发包人有权根据已有资料进行结算审核，责任由承包人自负。承包人应及时提供竣工结算过程中所需补充的资料  </w:t>
      </w:r>
      <w:r>
        <w:rPr>
          <w:rFonts w:hint="eastAsia" w:ascii="宋体" w:hAnsi="宋体" w:cs="宋体"/>
          <w:color w:val="auto"/>
          <w:sz w:val="24"/>
          <w:highlight w:val="none"/>
        </w:rPr>
        <w:t>。</w:t>
      </w:r>
    </w:p>
    <w:p w14:paraId="366C896D">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竣工付款申请单应包括的内容：</w:t>
      </w:r>
      <w:r>
        <w:rPr>
          <w:rFonts w:hint="eastAsia" w:ascii="宋体" w:hAnsi="宋体" w:cs="宋体"/>
          <w:color w:val="auto"/>
          <w:sz w:val="24"/>
          <w:highlight w:val="none"/>
          <w:u w:val="single"/>
        </w:rPr>
        <w:t xml:space="preserve"> 竣工付款申请单须符合贵港市人民政府相关文件规定，竣工付款申请单编制内容按发包人工程款支付管理规定执行，其它按《通用合同条款》</w:t>
      </w:r>
      <w:r>
        <w:rPr>
          <w:rFonts w:hint="eastAsia"/>
          <w:color w:val="auto"/>
          <w:highlight w:val="none"/>
          <w:u w:val="single"/>
          <w:lang w:val="en-US" w:eastAsia="zh-CN"/>
        </w:rPr>
        <w:t>第</w:t>
      </w:r>
      <w:r>
        <w:rPr>
          <w:rFonts w:hint="eastAsia" w:ascii="宋体" w:hAnsi="宋体" w:cs="宋体"/>
          <w:color w:val="auto"/>
          <w:sz w:val="24"/>
          <w:highlight w:val="none"/>
          <w:u w:val="single"/>
        </w:rPr>
        <w:t xml:space="preserve">14.1 条执行  </w:t>
      </w:r>
      <w:r>
        <w:rPr>
          <w:rFonts w:hint="eastAsia" w:ascii="宋体" w:hAnsi="宋体" w:cs="宋体"/>
          <w:color w:val="auto"/>
          <w:sz w:val="24"/>
          <w:highlight w:val="none"/>
        </w:rPr>
        <w:t>。竣工结算款支付申请（核准）表见合同附件12。</w:t>
      </w:r>
    </w:p>
    <w:p w14:paraId="78E64AC7">
      <w:pPr>
        <w:pStyle w:val="5"/>
        <w:spacing w:line="360" w:lineRule="auto"/>
        <w:rPr>
          <w:rFonts w:hint="eastAsia" w:ascii="宋体" w:hAnsi="宋体" w:cs="宋体"/>
          <w:color w:val="auto"/>
          <w:sz w:val="24"/>
          <w:szCs w:val="24"/>
          <w:highlight w:val="none"/>
        </w:rPr>
      </w:pPr>
      <w:bookmarkStart w:id="354" w:name="_Toc23606"/>
      <w:r>
        <w:rPr>
          <w:rFonts w:hint="eastAsia" w:ascii="宋体" w:hAnsi="宋体" w:cs="宋体"/>
          <w:color w:val="auto"/>
          <w:sz w:val="24"/>
          <w:szCs w:val="24"/>
          <w:highlight w:val="none"/>
        </w:rPr>
        <w:t>14.2 竣工结算审核</w:t>
      </w:r>
      <w:bookmarkEnd w:id="354"/>
    </w:p>
    <w:p w14:paraId="5C87F63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发包人审批竣工付款申请单的期限：</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47AC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6B7E090">
            <w:pPr>
              <w:spacing w:line="360" w:lineRule="auto"/>
              <w:rPr>
                <w:rFonts w:hint="eastAsia" w:ascii="宋体" w:hAnsi="宋体" w:cs="宋体"/>
                <w:color w:val="auto"/>
                <w:sz w:val="24"/>
                <w:highlight w:val="none"/>
              </w:rPr>
            </w:pPr>
          </w:p>
        </w:tc>
        <w:tc>
          <w:tcPr>
            <w:tcW w:w="2466" w:type="dxa"/>
            <w:noWrap w:val="0"/>
            <w:vAlign w:val="center"/>
          </w:tcPr>
          <w:p w14:paraId="7AB87235">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工程竣工结算报告金额</w:t>
            </w:r>
          </w:p>
        </w:tc>
        <w:tc>
          <w:tcPr>
            <w:tcW w:w="5967" w:type="dxa"/>
            <w:noWrap w:val="0"/>
            <w:vAlign w:val="center"/>
          </w:tcPr>
          <w:p w14:paraId="4E16E406">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发包人审查时间</w:t>
            </w:r>
          </w:p>
        </w:tc>
      </w:tr>
      <w:tr w14:paraId="72EF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27F79C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466" w:type="dxa"/>
            <w:noWrap w:val="0"/>
            <w:vAlign w:val="center"/>
          </w:tcPr>
          <w:p w14:paraId="7C3FEC0B">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500万元以下</w:t>
            </w:r>
          </w:p>
        </w:tc>
        <w:tc>
          <w:tcPr>
            <w:tcW w:w="5967" w:type="dxa"/>
            <w:noWrap w:val="0"/>
            <w:vAlign w:val="center"/>
          </w:tcPr>
          <w:p w14:paraId="6DCE9FE7">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从接到竣工结算报告和完整的竣工结算资料之日起20天</w:t>
            </w:r>
          </w:p>
        </w:tc>
      </w:tr>
      <w:tr w14:paraId="5014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691ECE4">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466" w:type="dxa"/>
            <w:noWrap w:val="0"/>
            <w:vAlign w:val="center"/>
          </w:tcPr>
          <w:p w14:paraId="3A7E0AEA">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500万元-2000万元</w:t>
            </w:r>
          </w:p>
        </w:tc>
        <w:tc>
          <w:tcPr>
            <w:tcW w:w="5967" w:type="dxa"/>
            <w:noWrap w:val="0"/>
            <w:vAlign w:val="center"/>
          </w:tcPr>
          <w:p w14:paraId="07745436">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从接到竣工结算报告和完整的竣工结算资料之日起30天</w:t>
            </w:r>
          </w:p>
        </w:tc>
      </w:tr>
      <w:tr w14:paraId="20FB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CE6CB4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466" w:type="dxa"/>
            <w:noWrap w:val="0"/>
            <w:vAlign w:val="center"/>
          </w:tcPr>
          <w:p w14:paraId="24984673">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2000万元-5000万元</w:t>
            </w:r>
          </w:p>
        </w:tc>
        <w:tc>
          <w:tcPr>
            <w:tcW w:w="5967" w:type="dxa"/>
            <w:noWrap w:val="0"/>
            <w:vAlign w:val="center"/>
          </w:tcPr>
          <w:p w14:paraId="3B4B2135">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从接到竣工结算报告和完整的竣工结算资料之日起45天</w:t>
            </w:r>
          </w:p>
        </w:tc>
      </w:tr>
      <w:tr w14:paraId="6007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8D8D29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4</w:t>
            </w:r>
          </w:p>
        </w:tc>
        <w:tc>
          <w:tcPr>
            <w:tcW w:w="2466" w:type="dxa"/>
            <w:noWrap w:val="0"/>
            <w:vAlign w:val="center"/>
          </w:tcPr>
          <w:p w14:paraId="62598177">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5000万元以上</w:t>
            </w:r>
          </w:p>
        </w:tc>
        <w:tc>
          <w:tcPr>
            <w:tcW w:w="5967" w:type="dxa"/>
            <w:noWrap w:val="0"/>
            <w:vAlign w:val="center"/>
          </w:tcPr>
          <w:p w14:paraId="7C5E2A45">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从接到竣工结算报告和完整的竣工结算资料之日起60天</w:t>
            </w:r>
          </w:p>
        </w:tc>
      </w:tr>
      <w:tr w14:paraId="6C8D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03388F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5</w:t>
            </w:r>
          </w:p>
        </w:tc>
        <w:tc>
          <w:tcPr>
            <w:tcW w:w="2466" w:type="dxa"/>
            <w:noWrap w:val="0"/>
            <w:vAlign w:val="center"/>
          </w:tcPr>
          <w:p w14:paraId="4C10B849">
            <w:pPr>
              <w:spacing w:line="360" w:lineRule="auto"/>
              <w:ind w:firstLine="31"/>
              <w:jc w:val="center"/>
              <w:rPr>
                <w:rFonts w:hint="eastAsia" w:ascii="宋体" w:hAnsi="宋体" w:cs="宋体"/>
                <w:color w:val="auto"/>
                <w:sz w:val="24"/>
                <w:highlight w:val="none"/>
              </w:rPr>
            </w:pPr>
            <w:r>
              <w:rPr>
                <w:rFonts w:hint="eastAsia" w:ascii="宋体" w:hAnsi="宋体" w:cs="宋体"/>
                <w:color w:val="auto"/>
                <w:sz w:val="24"/>
                <w:highlight w:val="none"/>
              </w:rPr>
              <w:t>5000万以上每增加0.5亿(不足0.5亿不增加)</w:t>
            </w:r>
          </w:p>
        </w:tc>
        <w:tc>
          <w:tcPr>
            <w:tcW w:w="5967" w:type="dxa"/>
            <w:noWrap w:val="0"/>
            <w:vAlign w:val="center"/>
          </w:tcPr>
          <w:p w14:paraId="221AD781">
            <w:pPr>
              <w:spacing w:line="360" w:lineRule="auto"/>
              <w:ind w:firstLine="504"/>
              <w:jc w:val="center"/>
              <w:rPr>
                <w:rFonts w:hint="eastAsia" w:ascii="宋体" w:hAnsi="宋体" w:cs="宋体"/>
                <w:color w:val="auto"/>
                <w:sz w:val="24"/>
                <w:highlight w:val="none"/>
              </w:rPr>
            </w:pPr>
            <w:r>
              <w:rPr>
                <w:rFonts w:hint="eastAsia" w:ascii="宋体" w:hAnsi="宋体" w:cs="宋体"/>
                <w:color w:val="auto"/>
                <w:sz w:val="24"/>
                <w:highlight w:val="none"/>
              </w:rPr>
              <w:t>增加10天</w:t>
            </w:r>
          </w:p>
        </w:tc>
      </w:tr>
    </w:tbl>
    <w:p w14:paraId="125A511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因承包人提供的结算资料 不完整而需要补充或承包人不按时对账耽误时间时，审查时间应相应顺延。</w:t>
      </w:r>
    </w:p>
    <w:p w14:paraId="001119A5">
      <w:pPr>
        <w:spacing w:line="360" w:lineRule="auto"/>
        <w:ind w:firstLine="470"/>
        <w:rPr>
          <w:rFonts w:hint="eastAsia" w:ascii="宋体" w:hAnsi="宋体" w:cs="宋体"/>
          <w:color w:val="auto"/>
          <w:sz w:val="24"/>
          <w:highlight w:val="none"/>
        </w:rPr>
      </w:pPr>
      <w:r>
        <w:rPr>
          <w:rFonts w:hint="eastAsia" w:ascii="宋体" w:hAnsi="宋体" w:cs="宋体"/>
          <w:color w:val="auto"/>
          <w:sz w:val="24"/>
          <w:highlight w:val="none"/>
        </w:rPr>
        <w:t>竣工结算审核约定：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05FB1346">
      <w:pPr>
        <w:spacing w:line="360" w:lineRule="auto"/>
        <w:ind w:firstLine="470"/>
        <w:rPr>
          <w:rFonts w:hint="eastAsia" w:ascii="宋体" w:hAnsi="宋体" w:cs="宋体"/>
          <w:color w:val="auto"/>
          <w:sz w:val="24"/>
          <w:highlight w:val="none"/>
        </w:rPr>
      </w:pPr>
      <w:r>
        <w:rPr>
          <w:rFonts w:hint="eastAsia" w:ascii="宋体" w:hAnsi="宋体" w:cs="宋体"/>
          <w:color w:val="auto"/>
          <w:sz w:val="24"/>
          <w:highlight w:val="none"/>
          <w:lang w:bidi="ar"/>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2F767E27">
      <w:pPr>
        <w:spacing w:line="360" w:lineRule="auto"/>
        <w:ind w:firstLine="470"/>
        <w:rPr>
          <w:rFonts w:hint="eastAsia" w:ascii="宋体" w:hAnsi="宋体" w:cs="宋体"/>
          <w:color w:val="auto"/>
          <w:sz w:val="24"/>
          <w:highlight w:val="none"/>
          <w:u w:val="single"/>
        </w:rPr>
      </w:pPr>
      <w:r>
        <w:rPr>
          <w:rFonts w:hint="eastAsia" w:ascii="宋体" w:hAnsi="宋体" w:cs="宋体"/>
          <w:color w:val="auto"/>
          <w:sz w:val="24"/>
          <w:highlight w:val="none"/>
          <w:u w:val="single"/>
        </w:rPr>
        <w:t>1、工程竣工验收报告经发包人认可后 14  天内，承包人向发包人递交竣工验收合格资料及完整的结算资料和报告，双方按照本工程合同约定的价格形式及价款调整办法进行工程竣工结算。2、发包人收到承包人递交的竣工结算报告及结算资料之日起 21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天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30天内，发包人按审定后的竣工结算价款，通知经办银行向承包人支付结算价款。</w:t>
      </w:r>
    </w:p>
    <w:p w14:paraId="3C96AE3E">
      <w:pPr>
        <w:pStyle w:val="5"/>
        <w:spacing w:line="360" w:lineRule="auto"/>
        <w:rPr>
          <w:rFonts w:hint="eastAsia" w:ascii="宋体" w:hAnsi="宋体" w:cs="宋体"/>
          <w:color w:val="auto"/>
          <w:sz w:val="24"/>
          <w:szCs w:val="24"/>
          <w:highlight w:val="none"/>
        </w:rPr>
      </w:pPr>
      <w:bookmarkStart w:id="355" w:name="_Toc3974"/>
      <w:r>
        <w:rPr>
          <w:rFonts w:hint="eastAsia" w:ascii="宋体" w:hAnsi="宋体" w:cs="宋体"/>
          <w:color w:val="auto"/>
          <w:sz w:val="24"/>
          <w:szCs w:val="24"/>
          <w:highlight w:val="none"/>
        </w:rPr>
        <w:t>14.4 最终结清</w:t>
      </w:r>
      <w:bookmarkEnd w:id="355"/>
    </w:p>
    <w:p w14:paraId="5D29DAF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14.4.1 最终结清申请单</w:t>
      </w:r>
    </w:p>
    <w:p w14:paraId="7BAD9C7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承包人提交最终结清申请单的份数：</w:t>
      </w:r>
      <w:r>
        <w:rPr>
          <w:rFonts w:hint="eastAsia" w:ascii="宋体" w:hAnsi="宋体" w:cs="宋体"/>
          <w:color w:val="auto"/>
          <w:sz w:val="24"/>
          <w:highlight w:val="none"/>
          <w:u w:val="single"/>
        </w:rPr>
        <w:t xml:space="preserve">最终结清申请单须符合工程所在地相关文件规定，提交份数按发包人工程款支付管理规定执行  </w:t>
      </w:r>
      <w:r>
        <w:rPr>
          <w:rFonts w:hint="eastAsia" w:ascii="宋体" w:hAnsi="宋体" w:cs="宋体"/>
          <w:color w:val="auto"/>
          <w:sz w:val="24"/>
          <w:highlight w:val="none"/>
        </w:rPr>
        <w:t>。</w:t>
      </w:r>
    </w:p>
    <w:p w14:paraId="452F165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承包人提交最终结算申请单的期限：</w:t>
      </w:r>
      <w:r>
        <w:rPr>
          <w:rFonts w:hint="eastAsia" w:ascii="宋体" w:hAnsi="宋体" w:cs="宋体"/>
          <w:color w:val="auto"/>
          <w:sz w:val="24"/>
          <w:highlight w:val="none"/>
          <w:u w:val="single"/>
        </w:rPr>
        <w:t xml:space="preserve">    缺陷责任期终止证书颁发后 7 天内   </w:t>
      </w:r>
      <w:r>
        <w:rPr>
          <w:rFonts w:hint="eastAsia" w:ascii="宋体" w:hAnsi="宋体" w:cs="宋体"/>
          <w:color w:val="auto"/>
          <w:sz w:val="24"/>
          <w:highlight w:val="none"/>
        </w:rPr>
        <w:t xml:space="preserve">。 </w:t>
      </w:r>
    </w:p>
    <w:p w14:paraId="2D3975B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最终结算款支付申请（核准）表见合同附件13。</w:t>
      </w:r>
    </w:p>
    <w:p w14:paraId="45AA795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14.4.2 最终结清证书和支付</w:t>
      </w:r>
    </w:p>
    <w:p w14:paraId="03E7BE0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（1）发包人完成最终结清申请单的审批并颁发最终结清证书的期限：</w:t>
      </w:r>
      <w:r>
        <w:rPr>
          <w:rFonts w:hint="eastAsia" w:ascii="宋体" w:hAnsi="宋体" w:cs="宋体"/>
          <w:color w:val="auto"/>
          <w:sz w:val="24"/>
          <w:highlight w:val="none"/>
          <w:u w:val="single"/>
        </w:rPr>
        <w:t xml:space="preserve"> 收到承包人提交的最终结清申请单和完整的证明材料后 30 天内 </w:t>
      </w:r>
      <w:r>
        <w:rPr>
          <w:rFonts w:hint="eastAsia" w:ascii="宋体" w:hAnsi="宋体" w:cs="宋体"/>
          <w:color w:val="auto"/>
          <w:sz w:val="24"/>
          <w:highlight w:val="none"/>
        </w:rPr>
        <w:t>。</w:t>
      </w:r>
    </w:p>
    <w:p w14:paraId="5007284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（2）发包人完成支付的期限：</w:t>
      </w:r>
      <w:r>
        <w:rPr>
          <w:rFonts w:hint="eastAsia" w:ascii="宋体" w:hAnsi="宋体" w:cs="宋体"/>
          <w:color w:val="auto"/>
          <w:sz w:val="24"/>
          <w:highlight w:val="none"/>
          <w:u w:val="single"/>
        </w:rPr>
        <w:t xml:space="preserve">    发包人签发颁发最终结清证书后 30 天内 </w:t>
      </w:r>
      <w:r>
        <w:rPr>
          <w:rFonts w:hint="eastAsia" w:ascii="宋体" w:hAnsi="宋体" w:cs="宋体"/>
          <w:color w:val="auto"/>
          <w:sz w:val="24"/>
          <w:highlight w:val="none"/>
        </w:rPr>
        <w:t>。</w:t>
      </w:r>
    </w:p>
    <w:p w14:paraId="33E6B65C">
      <w:pPr>
        <w:pStyle w:val="4"/>
        <w:spacing w:line="360" w:lineRule="auto"/>
        <w:rPr>
          <w:rFonts w:hint="eastAsia" w:ascii="宋体" w:hAnsi="宋体" w:cs="宋体"/>
          <w:color w:val="auto"/>
          <w:sz w:val="24"/>
          <w:szCs w:val="24"/>
          <w:highlight w:val="none"/>
        </w:rPr>
      </w:pPr>
      <w:bookmarkStart w:id="356" w:name="_Toc25850"/>
      <w:r>
        <w:rPr>
          <w:rFonts w:hint="eastAsia" w:ascii="宋体" w:hAnsi="宋体" w:cs="宋体"/>
          <w:color w:val="auto"/>
          <w:sz w:val="24"/>
          <w:szCs w:val="24"/>
          <w:highlight w:val="none"/>
        </w:rPr>
        <w:t>15. 缺陷责任期与保修</w:t>
      </w:r>
      <w:bookmarkEnd w:id="356"/>
    </w:p>
    <w:p w14:paraId="773CA7D6">
      <w:pPr>
        <w:pStyle w:val="5"/>
        <w:spacing w:line="360" w:lineRule="auto"/>
        <w:rPr>
          <w:rFonts w:hint="eastAsia" w:ascii="宋体" w:hAnsi="宋体" w:cs="宋体"/>
          <w:color w:val="auto"/>
          <w:sz w:val="24"/>
          <w:szCs w:val="24"/>
          <w:highlight w:val="none"/>
        </w:rPr>
      </w:pPr>
      <w:bookmarkStart w:id="357" w:name="_Toc31908"/>
      <w:r>
        <w:rPr>
          <w:rFonts w:hint="eastAsia" w:ascii="宋体" w:hAnsi="宋体" w:cs="宋体"/>
          <w:color w:val="auto"/>
          <w:sz w:val="24"/>
          <w:szCs w:val="24"/>
          <w:highlight w:val="none"/>
        </w:rPr>
        <w:t>15.2 缺陷责任期</w:t>
      </w:r>
      <w:bookmarkEnd w:id="357"/>
    </w:p>
    <w:p w14:paraId="70E272F6">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缺陷责任期的具体期限：</w:t>
      </w:r>
      <w:r>
        <w:rPr>
          <w:rFonts w:hint="eastAsia" w:ascii="宋体" w:hAnsi="宋体" w:cs="宋体"/>
          <w:color w:val="auto"/>
          <w:sz w:val="24"/>
          <w:highlight w:val="none"/>
          <w:u w:val="single"/>
        </w:rPr>
        <w:t xml:space="preserve"> 本工程缺陷责任期为24个月，以竣工验收合格之日起计算 </w:t>
      </w:r>
      <w:r>
        <w:rPr>
          <w:rFonts w:hint="eastAsia" w:ascii="宋体" w:hAnsi="宋体" w:cs="宋体"/>
          <w:color w:val="auto"/>
          <w:sz w:val="24"/>
          <w:highlight w:val="none"/>
        </w:rPr>
        <w:t>。</w:t>
      </w:r>
    </w:p>
    <w:p w14:paraId="2005FF52">
      <w:pPr>
        <w:pStyle w:val="5"/>
        <w:spacing w:line="360" w:lineRule="auto"/>
        <w:rPr>
          <w:rFonts w:hint="eastAsia" w:ascii="宋体" w:hAnsi="宋体" w:cs="宋体"/>
          <w:color w:val="auto"/>
          <w:sz w:val="24"/>
          <w:szCs w:val="24"/>
          <w:highlight w:val="none"/>
        </w:rPr>
      </w:pPr>
      <w:bookmarkStart w:id="358" w:name="_Toc31497"/>
      <w:r>
        <w:rPr>
          <w:rFonts w:hint="eastAsia" w:ascii="宋体" w:hAnsi="宋体" w:cs="宋体"/>
          <w:color w:val="auto"/>
          <w:sz w:val="24"/>
          <w:szCs w:val="24"/>
          <w:highlight w:val="none"/>
        </w:rPr>
        <w:t>15.3 质量保证金</w:t>
      </w:r>
      <w:bookmarkEnd w:id="358"/>
    </w:p>
    <w:p w14:paraId="6B6FCFA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关于是否扣留质量保证金的约定：</w:t>
      </w:r>
      <w:r>
        <w:rPr>
          <w:rFonts w:hint="eastAsia" w:ascii="宋体" w:hAnsi="宋体" w:cs="宋体"/>
          <w:color w:val="auto"/>
          <w:sz w:val="24"/>
          <w:highlight w:val="none"/>
          <w:u w:val="none"/>
        </w:rPr>
        <w:t>金额为工程价款结算总额的3%，提交形式为</w:t>
      </w:r>
      <w:r>
        <w:rPr>
          <w:rFonts w:hint="eastAsia" w:ascii="宋体" w:hAnsi="宋体" w:cs="宋体"/>
          <w:color w:val="auto"/>
          <w:sz w:val="24"/>
          <w:highlight w:val="none"/>
        </w:rPr>
        <w:t>银行转账、电汇或网上支付、保函（银行保函、电子保函、保证保险保函、工程担保保函）</w:t>
      </w:r>
      <w:r>
        <w:rPr>
          <w:rFonts w:hint="eastAsia" w:ascii="宋体" w:hAnsi="宋体" w:cs="宋体"/>
          <w:color w:val="auto"/>
          <w:sz w:val="24"/>
          <w:highlight w:val="none"/>
          <w:u w:val="none"/>
        </w:rPr>
        <w:t>，</w:t>
      </w:r>
      <w:r>
        <w:rPr>
          <w:rFonts w:hint="eastAsia" w:ascii="宋体" w:hAnsi="宋体" w:cs="宋体"/>
          <w:color w:val="auto"/>
          <w:sz w:val="24"/>
          <w:highlight w:val="none"/>
          <w:u w:val="single"/>
        </w:rPr>
        <w:t xml:space="preserve">结算审定后15日内向发包人提交担保，担保有效期必须与工程质量保修期一致。质量保证金待工程缺陷责任期满后中标人无违约行为发生的情况下，由承包人提出申请，发包人在 7 个工作日内无息返还  </w:t>
      </w:r>
      <w:r>
        <w:rPr>
          <w:rFonts w:hint="eastAsia" w:ascii="宋体" w:hAnsi="宋体" w:cs="宋体"/>
          <w:color w:val="auto"/>
          <w:sz w:val="24"/>
          <w:highlight w:val="none"/>
        </w:rPr>
        <w:t>。</w:t>
      </w:r>
    </w:p>
    <w:p w14:paraId="166B2FE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在工程项目竣工前，承包人按专用合同条款第3.7条提供履约担保的，发包人不得同时预留工程质量保证金。</w:t>
      </w:r>
    </w:p>
    <w:p w14:paraId="13DCE07F">
      <w:pPr>
        <w:spacing w:line="360" w:lineRule="auto"/>
        <w:ind w:firstLine="480"/>
        <w:jc w:val="left"/>
        <w:outlineLvl w:val="0"/>
        <w:rPr>
          <w:rFonts w:hint="eastAsia" w:ascii="宋体" w:hAnsi="宋体" w:cs="宋体"/>
          <w:color w:val="auto"/>
          <w:sz w:val="24"/>
          <w:highlight w:val="none"/>
        </w:rPr>
      </w:pPr>
      <w:bookmarkStart w:id="359" w:name="_Toc18275"/>
      <w:r>
        <w:rPr>
          <w:rFonts w:hint="eastAsia" w:ascii="宋体" w:hAnsi="宋体" w:cs="宋体"/>
          <w:color w:val="auto"/>
          <w:sz w:val="24"/>
          <w:highlight w:val="none"/>
        </w:rPr>
        <w:t>15.3.1 承包人提供质量保证金的方式</w:t>
      </w:r>
      <w:bookmarkEnd w:id="359"/>
    </w:p>
    <w:p w14:paraId="4C93EE1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质量保证金采用以下第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和（</w:t>
      </w:r>
      <w:r>
        <w:rPr>
          <w:rFonts w:hint="eastAsia" w:ascii="宋体" w:hAnsi="宋体" w:cs="宋体"/>
          <w:color w:val="auto"/>
          <w:sz w:val="24"/>
          <w:highlight w:val="none"/>
          <w:u w:val="single"/>
          <w:lang w:val="en-US" w:eastAsia="zh-CN"/>
        </w:rPr>
        <w:t>3</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种方式：</w:t>
      </w:r>
    </w:p>
    <w:p w14:paraId="6527084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（1）质量保证金保函（银行保函、电子保函、保证保险保函、工程担保保函，工程担保保证人应将出具的保函相关信息录入“广西建筑市场监管云”平台，以实现保函查询及验真功能。），保证金额为：</w:t>
      </w:r>
      <w:r>
        <w:rPr>
          <w:rFonts w:hint="eastAsia" w:ascii="宋体" w:hAnsi="宋体" w:cs="宋体"/>
          <w:color w:val="auto"/>
          <w:sz w:val="24"/>
          <w:highlight w:val="none"/>
          <w:u w:val="single"/>
        </w:rPr>
        <w:t>工程价款结算总额的3</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rPr>
        <w:t>；</w:t>
      </w:r>
    </w:p>
    <w:p w14:paraId="2CE0503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（2）发包人按工程价款结算总额的</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%（不得超过3%）预留工程质量保证金，待缺陷责任期满后返还，是否付息及利息计算方式为：</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0995A86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（3）其他方式：银行转账、电汇或网上支付等形式。</w:t>
      </w:r>
    </w:p>
    <w:p w14:paraId="33D527F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15.3.2 质量保证金的扣留</w:t>
      </w:r>
    </w:p>
    <w:p w14:paraId="62D4E45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质量保证金的扣留采取以下第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3</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种方式：</w:t>
      </w:r>
    </w:p>
    <w:p w14:paraId="740F5EE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（1）在不缴纳</w:t>
      </w:r>
      <w:r>
        <w:rPr>
          <w:rFonts w:hint="eastAsia" w:ascii="宋体" w:hAnsi="宋体" w:cs="宋体"/>
          <w:color w:val="auto"/>
          <w:sz w:val="24"/>
          <w:highlight w:val="none"/>
          <w:lang w:eastAsia="zh-CN"/>
        </w:rPr>
        <w:t>履约</w:t>
      </w:r>
      <w:r>
        <w:rPr>
          <w:rFonts w:hint="eastAsia" w:ascii="宋体" w:hAnsi="宋体" w:cs="宋体"/>
          <w:color w:val="auto"/>
          <w:sz w:val="24"/>
          <w:highlight w:val="none"/>
        </w:rPr>
        <w:t>保证金情况下，按支付工程进度款时逐次扣留，质量保证金的计算基数不包括预付款的支付、扣回以及价格调整的金额；</w:t>
      </w:r>
    </w:p>
    <w:p w14:paraId="7FEFAFB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（2）工程竣工结算时，一次性扣留质量保证金，由承包人以银行保函、保证保险替代预留质量保证金，保函金额不得高于工程价款结算总额的3%；</w:t>
      </w:r>
    </w:p>
    <w:p w14:paraId="6C0BC91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（3）其他扣留方式:银行转账、电汇或网上支付、保函（银行保函、电子保函、保证保险保函、工程担保保函）等形式。</w:t>
      </w:r>
    </w:p>
    <w:p w14:paraId="3C13A2B2">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关于质量保证金的补充约定：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329D27E8">
      <w:pPr>
        <w:pStyle w:val="5"/>
        <w:spacing w:line="360" w:lineRule="auto"/>
        <w:rPr>
          <w:rFonts w:hint="eastAsia" w:ascii="宋体" w:hAnsi="宋体" w:cs="宋体"/>
          <w:color w:val="auto"/>
          <w:sz w:val="24"/>
          <w:szCs w:val="24"/>
          <w:highlight w:val="none"/>
        </w:rPr>
      </w:pPr>
      <w:bookmarkStart w:id="360" w:name="_Toc1191"/>
      <w:r>
        <w:rPr>
          <w:rFonts w:hint="eastAsia" w:ascii="宋体" w:hAnsi="宋体" w:cs="宋体"/>
          <w:color w:val="auto"/>
          <w:sz w:val="24"/>
          <w:szCs w:val="24"/>
          <w:highlight w:val="none"/>
        </w:rPr>
        <w:t>15.4 保修</w:t>
      </w:r>
      <w:bookmarkEnd w:id="360"/>
    </w:p>
    <w:p w14:paraId="6DF74119">
      <w:pPr>
        <w:spacing w:line="360" w:lineRule="auto"/>
        <w:ind w:firstLine="468"/>
        <w:jc w:val="left"/>
        <w:outlineLvl w:val="0"/>
        <w:rPr>
          <w:rFonts w:hint="eastAsia" w:ascii="宋体" w:hAnsi="宋体" w:cs="宋体"/>
          <w:color w:val="auto"/>
          <w:sz w:val="24"/>
          <w:highlight w:val="none"/>
        </w:rPr>
      </w:pPr>
      <w:bookmarkStart w:id="361" w:name="_Toc15121"/>
      <w:r>
        <w:rPr>
          <w:rFonts w:hint="eastAsia" w:ascii="宋体" w:hAnsi="宋体" w:cs="宋体"/>
          <w:color w:val="auto"/>
          <w:sz w:val="24"/>
          <w:highlight w:val="none"/>
        </w:rPr>
        <w:t>15.4.1 保修责任</w:t>
      </w:r>
      <w:bookmarkEnd w:id="361"/>
    </w:p>
    <w:p w14:paraId="3BC9B5E5">
      <w:pPr>
        <w:spacing w:line="360" w:lineRule="auto"/>
        <w:ind w:firstLine="468"/>
        <w:jc w:val="left"/>
        <w:rPr>
          <w:rFonts w:hint="eastAsia" w:ascii="宋体" w:hAnsi="宋体" w:cs="宋体"/>
          <w:color w:val="auto"/>
          <w:sz w:val="24"/>
          <w:highlight w:val="none"/>
        </w:rPr>
      </w:pPr>
      <w:r>
        <w:rPr>
          <w:rFonts w:hint="eastAsia" w:ascii="宋体" w:hAnsi="宋体" w:cs="宋体"/>
          <w:color w:val="auto"/>
          <w:sz w:val="24"/>
          <w:highlight w:val="none"/>
        </w:rPr>
        <w:t>工程保修期为：</w:t>
      </w:r>
      <w:r>
        <w:rPr>
          <w:rFonts w:hint="eastAsia" w:ascii="宋体" w:hAnsi="宋体" w:cs="宋体"/>
          <w:color w:val="auto"/>
          <w:sz w:val="24"/>
          <w:highlight w:val="none"/>
          <w:u w:val="single"/>
        </w:rPr>
        <w:t>按工程质量保修书及现行规范、标准、规程及法律法规规定的期限执行</w:t>
      </w:r>
      <w:r>
        <w:rPr>
          <w:rFonts w:hint="eastAsia" w:ascii="宋体" w:hAnsi="宋体" w:cs="宋体"/>
          <w:color w:val="auto"/>
          <w:sz w:val="24"/>
          <w:highlight w:val="none"/>
        </w:rPr>
        <w:t>。</w:t>
      </w:r>
    </w:p>
    <w:p w14:paraId="0017019C">
      <w:pPr>
        <w:spacing w:line="360" w:lineRule="auto"/>
        <w:ind w:firstLine="468"/>
        <w:jc w:val="left"/>
        <w:rPr>
          <w:rFonts w:hint="eastAsia" w:ascii="宋体" w:hAnsi="宋体" w:cs="宋体"/>
          <w:color w:val="auto"/>
          <w:sz w:val="24"/>
          <w:highlight w:val="none"/>
          <w:u w:val="single"/>
        </w:rPr>
      </w:pPr>
      <w:r>
        <w:rPr>
          <w:rFonts w:hint="eastAsia" w:ascii="宋体" w:hAnsi="宋体" w:cs="宋体"/>
          <w:color w:val="auto"/>
          <w:sz w:val="24"/>
          <w:highlight w:val="none"/>
        </w:rPr>
        <w:t>工程保修书具体内容见合同附件2。</w:t>
      </w:r>
    </w:p>
    <w:p w14:paraId="1BAC56A7">
      <w:pPr>
        <w:spacing w:line="360" w:lineRule="auto"/>
        <w:ind w:firstLine="468"/>
        <w:jc w:val="left"/>
        <w:rPr>
          <w:rFonts w:hint="eastAsia" w:ascii="宋体" w:hAnsi="宋体" w:cs="宋体"/>
          <w:color w:val="auto"/>
          <w:sz w:val="24"/>
          <w:highlight w:val="none"/>
        </w:rPr>
      </w:pPr>
      <w:r>
        <w:rPr>
          <w:rFonts w:hint="eastAsia" w:ascii="宋体" w:hAnsi="宋体" w:cs="宋体"/>
          <w:color w:val="auto"/>
          <w:sz w:val="24"/>
          <w:highlight w:val="none"/>
        </w:rPr>
        <w:t>15.4.3 修复通知</w:t>
      </w:r>
    </w:p>
    <w:p w14:paraId="739E29B2">
      <w:pPr>
        <w:spacing w:line="360" w:lineRule="auto"/>
        <w:ind w:firstLine="468"/>
        <w:jc w:val="left"/>
        <w:rPr>
          <w:rFonts w:hint="eastAsia" w:ascii="宋体" w:hAnsi="宋体" w:cs="宋体"/>
          <w:color w:val="auto"/>
          <w:sz w:val="24"/>
          <w:highlight w:val="none"/>
          <w:u w:val="single"/>
        </w:rPr>
      </w:pPr>
      <w:r>
        <w:rPr>
          <w:rFonts w:hint="eastAsia" w:ascii="宋体" w:hAnsi="宋体" w:cs="宋体"/>
          <w:color w:val="auto"/>
          <w:sz w:val="24"/>
          <w:highlight w:val="none"/>
        </w:rPr>
        <w:t>承包人收到保修通知并到达工程现场的合理时间：</w:t>
      </w:r>
      <w:r>
        <w:rPr>
          <w:rFonts w:hint="eastAsia" w:ascii="宋体" w:hAnsi="宋体" w:cs="宋体"/>
          <w:color w:val="auto"/>
          <w:sz w:val="24"/>
          <w:highlight w:val="none"/>
          <w:u w:val="single"/>
          <w:lang w:val="en-US" w:eastAsia="zh-CN"/>
        </w:rPr>
        <w:t>2天</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DC59431">
      <w:pPr>
        <w:pStyle w:val="4"/>
        <w:spacing w:line="360" w:lineRule="auto"/>
        <w:rPr>
          <w:rFonts w:hint="eastAsia" w:ascii="宋体" w:hAnsi="宋体" w:cs="宋体"/>
          <w:color w:val="auto"/>
          <w:sz w:val="24"/>
          <w:szCs w:val="24"/>
          <w:highlight w:val="none"/>
        </w:rPr>
      </w:pPr>
      <w:bookmarkStart w:id="362" w:name="_Toc3492"/>
      <w:r>
        <w:rPr>
          <w:rFonts w:hint="eastAsia" w:ascii="宋体" w:hAnsi="宋体" w:cs="宋体"/>
          <w:color w:val="auto"/>
          <w:sz w:val="24"/>
          <w:szCs w:val="24"/>
          <w:highlight w:val="none"/>
        </w:rPr>
        <w:t>16. 违约</w:t>
      </w:r>
      <w:bookmarkEnd w:id="362"/>
    </w:p>
    <w:p w14:paraId="39A3F8C0">
      <w:pPr>
        <w:pStyle w:val="5"/>
        <w:spacing w:line="360" w:lineRule="auto"/>
        <w:rPr>
          <w:rFonts w:hint="eastAsia" w:ascii="宋体" w:hAnsi="宋体" w:cs="宋体"/>
          <w:color w:val="auto"/>
          <w:sz w:val="24"/>
          <w:szCs w:val="24"/>
          <w:highlight w:val="none"/>
        </w:rPr>
      </w:pPr>
      <w:bookmarkStart w:id="363" w:name="_Toc13098"/>
      <w:r>
        <w:rPr>
          <w:rFonts w:hint="eastAsia" w:ascii="宋体" w:hAnsi="宋体" w:cs="宋体"/>
          <w:color w:val="auto"/>
          <w:sz w:val="24"/>
          <w:szCs w:val="24"/>
          <w:highlight w:val="none"/>
        </w:rPr>
        <w:t>16.1 发包人违约</w:t>
      </w:r>
      <w:bookmarkEnd w:id="363"/>
    </w:p>
    <w:p w14:paraId="17E24D3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16.1.1发包人违约的情形</w:t>
      </w:r>
    </w:p>
    <w:p w14:paraId="1CFBE9D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发包人违约的其他情形：</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1BE3BB22">
      <w:pPr>
        <w:spacing w:line="360" w:lineRule="auto"/>
        <w:ind w:firstLine="480"/>
        <w:jc w:val="left"/>
        <w:outlineLvl w:val="0"/>
        <w:rPr>
          <w:rFonts w:hint="eastAsia" w:ascii="宋体" w:hAnsi="宋体" w:cs="宋体"/>
          <w:color w:val="auto"/>
          <w:sz w:val="24"/>
          <w:highlight w:val="none"/>
        </w:rPr>
      </w:pPr>
      <w:bookmarkStart w:id="364" w:name="_Toc11976"/>
      <w:r>
        <w:rPr>
          <w:rFonts w:hint="eastAsia" w:ascii="宋体" w:hAnsi="宋体" w:cs="宋体"/>
          <w:color w:val="auto"/>
          <w:sz w:val="24"/>
          <w:highlight w:val="none"/>
        </w:rPr>
        <w:t>16.1.2 发包人违约的责任</w:t>
      </w:r>
      <w:bookmarkEnd w:id="364"/>
    </w:p>
    <w:p w14:paraId="03A7CC0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发包人违约责任的承担方式和计算方法：</w:t>
      </w:r>
    </w:p>
    <w:p w14:paraId="220A607C">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（1）因发包人原因未能在计划开工日期前7天内下达开工通知的违约责任：</w:t>
      </w:r>
      <w:r>
        <w:rPr>
          <w:rFonts w:hint="eastAsia" w:ascii="宋体" w:hAnsi="宋体" w:cs="宋体"/>
          <w:color w:val="auto"/>
          <w:sz w:val="24"/>
          <w:szCs w:val="24"/>
          <w:highlight w:val="none"/>
          <w:u w:val="single"/>
        </w:rPr>
        <w:t xml:space="preserve"> 承包人可以要求顺延工程日期 </w:t>
      </w:r>
      <w:r>
        <w:rPr>
          <w:rFonts w:hint="eastAsia" w:ascii="宋体" w:hAnsi="宋体" w:cs="宋体"/>
          <w:color w:val="auto"/>
          <w:sz w:val="24"/>
          <w:szCs w:val="24"/>
          <w:highlight w:val="none"/>
        </w:rPr>
        <w:t>。</w:t>
      </w:r>
    </w:p>
    <w:p w14:paraId="61361D47">
      <w:pPr>
        <w:pStyle w:val="374"/>
        <w:spacing w:line="360" w:lineRule="auto"/>
        <w:ind w:firstLine="48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（2）因发包人原因未能按合同约定支付合同价款的违约责任：</w:t>
      </w:r>
      <w:r>
        <w:rPr>
          <w:rFonts w:hint="eastAsia" w:ascii="宋体" w:hAnsi="宋体" w:cs="宋体"/>
          <w:color w:val="auto"/>
          <w:sz w:val="24"/>
          <w:szCs w:val="24"/>
          <w:highlight w:val="none"/>
          <w:u w:val="single"/>
        </w:rPr>
        <w:t xml:space="preserve"> 如发包人进度款支付延期，承包人应予以理解，承包人可以要求顺延工程日期    </w:t>
      </w:r>
      <w:r>
        <w:rPr>
          <w:rFonts w:hint="eastAsia" w:ascii="宋体" w:hAnsi="宋体" w:cs="宋体"/>
          <w:color w:val="auto"/>
          <w:sz w:val="24"/>
          <w:szCs w:val="24"/>
          <w:highlight w:val="none"/>
        </w:rPr>
        <w:t>。</w:t>
      </w:r>
    </w:p>
    <w:p w14:paraId="005E5B4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（3）发包人违反第10.1款〔变更的范围〕第（2）项约定，自行实施被取消的工作或转由他人实施的违约责任：</w:t>
      </w:r>
      <w:r>
        <w:rPr>
          <w:rFonts w:hint="eastAsia" w:ascii="宋体" w:hAnsi="宋体" w:cs="宋体"/>
          <w:color w:val="auto"/>
          <w:sz w:val="24"/>
          <w:highlight w:val="none"/>
          <w:u w:val="single"/>
        </w:rPr>
        <w:t xml:space="preserve"> 发包人自行实施的工作或转由他人实施的工作不符合国家合格质量标准的，由发包人承担因此造成的经济损失 </w:t>
      </w:r>
      <w:r>
        <w:rPr>
          <w:rFonts w:hint="eastAsia" w:ascii="宋体" w:hAnsi="宋体" w:cs="宋体"/>
          <w:color w:val="auto"/>
          <w:sz w:val="24"/>
          <w:highlight w:val="none"/>
        </w:rPr>
        <w:t>。</w:t>
      </w:r>
    </w:p>
    <w:p w14:paraId="3AFAC37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sz w:val="24"/>
          <w:highlight w:val="none"/>
          <w:u w:val="single"/>
        </w:rPr>
        <w:t xml:space="preserve"> 承包人可以顺延工程日期 </w:t>
      </w:r>
      <w:r>
        <w:rPr>
          <w:rFonts w:hint="eastAsia" w:ascii="宋体" w:hAnsi="宋体" w:cs="宋体"/>
          <w:color w:val="auto"/>
          <w:sz w:val="24"/>
          <w:highlight w:val="none"/>
        </w:rPr>
        <w:t>。</w:t>
      </w:r>
    </w:p>
    <w:p w14:paraId="72F73A32">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（5）因发包人违反合同约定造成暂停施工的违约责任：</w:t>
      </w:r>
      <w:r>
        <w:rPr>
          <w:rFonts w:hint="eastAsia" w:ascii="宋体" w:hAnsi="宋体" w:cs="宋体"/>
          <w:color w:val="auto"/>
          <w:sz w:val="24"/>
          <w:highlight w:val="none"/>
          <w:u w:val="single"/>
        </w:rPr>
        <w:t xml:space="preserve"> 发包人应当采取措施弥补或者减少损失 </w:t>
      </w:r>
      <w:r>
        <w:rPr>
          <w:rFonts w:hint="eastAsia" w:ascii="宋体" w:hAnsi="宋体" w:cs="宋体"/>
          <w:color w:val="auto"/>
          <w:sz w:val="24"/>
          <w:highlight w:val="none"/>
        </w:rPr>
        <w:t>。</w:t>
      </w:r>
    </w:p>
    <w:p w14:paraId="1FDD034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（6）发包人无正当理由没有在约定期限内发出复工指示，导致承包人无法复工的违约责任：</w:t>
      </w:r>
      <w:r>
        <w:rPr>
          <w:rFonts w:hint="eastAsia" w:ascii="宋体" w:hAnsi="宋体" w:cs="宋体"/>
          <w:color w:val="auto"/>
          <w:sz w:val="24"/>
          <w:highlight w:val="none"/>
          <w:u w:val="single"/>
        </w:rPr>
        <w:t xml:space="preserve">     承包人可以顺延工程日期    </w:t>
      </w:r>
      <w:r>
        <w:rPr>
          <w:rFonts w:hint="eastAsia" w:ascii="宋体" w:hAnsi="宋体" w:cs="宋体"/>
          <w:color w:val="auto"/>
          <w:sz w:val="24"/>
          <w:highlight w:val="none"/>
        </w:rPr>
        <w:t>。</w:t>
      </w:r>
    </w:p>
    <w:p w14:paraId="0AD30CAF">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（7）其他：</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6117C0A0">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16.1.3 因发包人违约解除合同</w:t>
      </w:r>
    </w:p>
    <w:p w14:paraId="7BD837B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承包人按16.1.1项〔发包人违约的情形〕约定暂停施工满</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天后发包人仍不纠正其违约行为并致使合同目的不能实现的，承包人有权解除合同。</w:t>
      </w:r>
    </w:p>
    <w:p w14:paraId="4AFC2194">
      <w:pPr>
        <w:pStyle w:val="5"/>
        <w:spacing w:line="360" w:lineRule="auto"/>
        <w:rPr>
          <w:rFonts w:hint="eastAsia" w:ascii="宋体" w:hAnsi="宋体" w:cs="宋体"/>
          <w:color w:val="auto"/>
          <w:sz w:val="24"/>
          <w:szCs w:val="24"/>
          <w:highlight w:val="none"/>
        </w:rPr>
      </w:pPr>
      <w:bookmarkStart w:id="365" w:name="_Toc27536"/>
      <w:r>
        <w:rPr>
          <w:rFonts w:hint="eastAsia" w:ascii="宋体" w:hAnsi="宋体" w:cs="宋体"/>
          <w:color w:val="auto"/>
          <w:sz w:val="24"/>
          <w:szCs w:val="24"/>
          <w:highlight w:val="none"/>
        </w:rPr>
        <w:t>16.2 承包人违约</w:t>
      </w:r>
      <w:bookmarkEnd w:id="365"/>
    </w:p>
    <w:p w14:paraId="2DC5ED2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16.2.1 承包人违约的情形</w:t>
      </w:r>
    </w:p>
    <w:p w14:paraId="2E910D4A">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承包人违约的其他情形：</w:t>
      </w:r>
      <w:r>
        <w:rPr>
          <w:rFonts w:hint="eastAsia" w:ascii="宋体" w:hAnsi="宋体" w:cs="宋体"/>
          <w:color w:val="auto"/>
          <w:sz w:val="24"/>
          <w:highlight w:val="none"/>
          <w:u w:val="single"/>
        </w:rPr>
        <w:t xml:space="preserve">   按《通用合同条款》执行      </w:t>
      </w:r>
      <w:r>
        <w:rPr>
          <w:rFonts w:hint="eastAsia" w:ascii="宋体" w:hAnsi="宋体" w:cs="宋体"/>
          <w:color w:val="auto"/>
          <w:sz w:val="24"/>
          <w:highlight w:val="none"/>
        </w:rPr>
        <w:t>。</w:t>
      </w:r>
    </w:p>
    <w:p w14:paraId="7615AC76">
      <w:pPr>
        <w:spacing w:line="360" w:lineRule="auto"/>
        <w:ind w:firstLine="480"/>
        <w:jc w:val="left"/>
        <w:outlineLvl w:val="0"/>
        <w:rPr>
          <w:rFonts w:hint="eastAsia" w:ascii="宋体" w:hAnsi="宋体" w:cs="宋体"/>
          <w:color w:val="auto"/>
          <w:sz w:val="24"/>
          <w:highlight w:val="none"/>
        </w:rPr>
      </w:pPr>
      <w:bookmarkStart w:id="366" w:name="_Toc2497"/>
      <w:r>
        <w:rPr>
          <w:rFonts w:hint="eastAsia" w:ascii="宋体" w:hAnsi="宋体" w:cs="宋体"/>
          <w:color w:val="auto"/>
          <w:sz w:val="24"/>
          <w:highlight w:val="none"/>
        </w:rPr>
        <w:t>16.2.2承包人违约的责任</w:t>
      </w:r>
      <w:bookmarkEnd w:id="366"/>
    </w:p>
    <w:p w14:paraId="6AF7EC19">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承包人违约责任的承担方式和计算方法：</w:t>
      </w:r>
    </w:p>
    <w:p w14:paraId="23F9B30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6864281A">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（2）承包人有本合同通用条款第16.2.1（6）条情形的，或经监理人检验认为修复质量不合格而承包人拒绝再进行修补的，发包人将扣除承包人全部质量保证金。</w:t>
      </w:r>
    </w:p>
    <w:p w14:paraId="517DC0C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2814220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16.2.3 因承包人违约解除合同</w:t>
      </w:r>
    </w:p>
    <w:p w14:paraId="53C560C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关于承包人违约解除合同的特别约定：</w:t>
      </w:r>
      <w:r>
        <w:rPr>
          <w:rFonts w:hint="eastAsia" w:ascii="宋体" w:hAnsi="宋体" w:cs="宋体"/>
          <w:color w:val="auto"/>
          <w:sz w:val="24"/>
          <w:highlight w:val="none"/>
          <w:u w:val="single"/>
        </w:rPr>
        <w:t>承包人有违反以下情况之一的，发包人有权解除合同，并没收其全部履约保证金</w:t>
      </w:r>
      <w:r>
        <w:rPr>
          <w:rFonts w:hint="eastAsia" w:ascii="宋体" w:hAnsi="宋体" w:cs="宋体"/>
          <w:color w:val="auto"/>
          <w:sz w:val="24"/>
          <w:highlight w:val="none"/>
        </w:rPr>
        <w:t>。</w:t>
      </w:r>
    </w:p>
    <w:p w14:paraId="77566F2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(1)承包人无正当理由不按开工通知的要求及时进场组织施工和不按签订协议书时商定的进度计划有效地开展施工准备，造成工期延误的；</w:t>
      </w:r>
    </w:p>
    <w:p w14:paraId="1E44DEE1">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(2)承包人违反本合同通用条款第3.5条规定私自将合同或合同的任何部分或任何权利转让给其他人，或私自将工程或工程的一部分分包出去的；</w:t>
      </w:r>
    </w:p>
    <w:p w14:paraId="474CE735">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(3)未经监理人批准，承包人私自将已按投标文件承诺进入工地的工程设备、施工设备、临时工程或材料撤离工地的；</w:t>
      </w:r>
    </w:p>
    <w:p w14:paraId="284AE83E">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(4)由于承包人原因拒绝按合同进度计划及时完成合同规定的工程，而又未采取有效措施赶上进度，造成工期严重延误的；</w:t>
      </w:r>
    </w:p>
    <w:p w14:paraId="7C2B205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(5)承包人否认合同有效或拒绝履行合同规定的承包人义务，或由于法律、财务等原因导致承包人无法继续履行或实质上已停止履行合同的义务的；</w:t>
      </w:r>
    </w:p>
    <w:p w14:paraId="52C81BA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发包人继续使用承包人在施工现场的材料、设备、临时工程、承包人文件和由承包人或以其名义编制的其他文件的费用承担方式：</w:t>
      </w:r>
      <w:r>
        <w:rPr>
          <w:rFonts w:hint="eastAsia" w:ascii="宋体" w:hAnsi="宋体" w:cs="宋体"/>
          <w:color w:val="auto"/>
          <w:sz w:val="24"/>
          <w:highlight w:val="none"/>
          <w:u w:val="single"/>
        </w:rPr>
        <w:t xml:space="preserve">     由承包人承担相应费用    </w:t>
      </w:r>
      <w:r>
        <w:rPr>
          <w:rFonts w:hint="eastAsia" w:ascii="宋体" w:hAnsi="宋体" w:cs="宋体"/>
          <w:color w:val="auto"/>
          <w:sz w:val="24"/>
          <w:highlight w:val="none"/>
        </w:rPr>
        <w:t>。</w:t>
      </w:r>
    </w:p>
    <w:p w14:paraId="73673487">
      <w:pPr>
        <w:pStyle w:val="4"/>
        <w:spacing w:line="360" w:lineRule="auto"/>
        <w:rPr>
          <w:rFonts w:hint="eastAsia" w:ascii="宋体" w:hAnsi="宋体" w:cs="宋体"/>
          <w:color w:val="auto"/>
          <w:sz w:val="24"/>
          <w:szCs w:val="24"/>
          <w:highlight w:val="none"/>
        </w:rPr>
      </w:pPr>
      <w:bookmarkStart w:id="367" w:name="_Toc18242"/>
      <w:r>
        <w:rPr>
          <w:rFonts w:hint="eastAsia" w:ascii="宋体" w:hAnsi="宋体" w:cs="宋体"/>
          <w:color w:val="auto"/>
          <w:sz w:val="24"/>
          <w:szCs w:val="24"/>
          <w:highlight w:val="none"/>
        </w:rPr>
        <w:t>17. 不可抗力</w:t>
      </w:r>
      <w:bookmarkEnd w:id="367"/>
      <w:r>
        <w:rPr>
          <w:rFonts w:hint="eastAsia" w:ascii="宋体" w:hAnsi="宋体" w:cs="宋体"/>
          <w:color w:val="auto"/>
          <w:sz w:val="24"/>
          <w:szCs w:val="24"/>
          <w:highlight w:val="none"/>
        </w:rPr>
        <w:t xml:space="preserve"> </w:t>
      </w:r>
    </w:p>
    <w:p w14:paraId="58E7201D">
      <w:pPr>
        <w:pStyle w:val="5"/>
        <w:spacing w:line="360" w:lineRule="auto"/>
        <w:rPr>
          <w:rFonts w:hint="eastAsia" w:ascii="宋体" w:hAnsi="宋体" w:cs="宋体"/>
          <w:color w:val="auto"/>
          <w:sz w:val="24"/>
          <w:szCs w:val="24"/>
          <w:highlight w:val="none"/>
        </w:rPr>
      </w:pPr>
      <w:bookmarkStart w:id="368" w:name="_Toc17781"/>
      <w:r>
        <w:rPr>
          <w:rFonts w:hint="eastAsia" w:ascii="宋体" w:hAnsi="宋体" w:cs="宋体"/>
          <w:color w:val="auto"/>
          <w:sz w:val="24"/>
          <w:szCs w:val="24"/>
          <w:highlight w:val="none"/>
        </w:rPr>
        <w:t>17.1 不可抗力的确认</w:t>
      </w:r>
      <w:bookmarkEnd w:id="368"/>
    </w:p>
    <w:p w14:paraId="19BD2A17">
      <w:pPr>
        <w:pStyle w:val="374"/>
        <w:spacing w:line="360" w:lineRule="auto"/>
        <w:ind w:firstLine="480"/>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除通用合同条款约定的不可抗力事件之外，视为不可抗力的其他情形：</w:t>
      </w:r>
      <w:r>
        <w:rPr>
          <w:rFonts w:hint="eastAsia" w:ascii="宋体" w:hAnsi="宋体" w:cs="宋体"/>
          <w:color w:val="auto"/>
          <w:sz w:val="24"/>
          <w:szCs w:val="24"/>
          <w:highlight w:val="none"/>
          <w:u w:val="single"/>
        </w:rPr>
        <w:t xml:space="preserve">按《通用合同条款》执行 </w:t>
      </w:r>
      <w:r>
        <w:rPr>
          <w:rFonts w:hint="eastAsia" w:ascii="宋体" w:hAnsi="宋体" w:cs="宋体"/>
          <w:color w:val="auto"/>
          <w:sz w:val="24"/>
          <w:szCs w:val="24"/>
          <w:highlight w:val="none"/>
        </w:rPr>
        <w:t>。</w:t>
      </w:r>
    </w:p>
    <w:p w14:paraId="036D059B">
      <w:pPr>
        <w:pStyle w:val="5"/>
        <w:spacing w:line="360" w:lineRule="auto"/>
        <w:rPr>
          <w:rFonts w:hint="eastAsia" w:ascii="宋体" w:hAnsi="宋体" w:cs="宋体"/>
          <w:color w:val="auto"/>
          <w:sz w:val="24"/>
          <w:szCs w:val="24"/>
          <w:highlight w:val="none"/>
        </w:rPr>
      </w:pPr>
      <w:bookmarkStart w:id="369" w:name="_Toc27110"/>
      <w:r>
        <w:rPr>
          <w:rFonts w:hint="eastAsia" w:ascii="宋体" w:hAnsi="宋体" w:cs="宋体"/>
          <w:color w:val="auto"/>
          <w:sz w:val="24"/>
          <w:szCs w:val="24"/>
          <w:highlight w:val="none"/>
        </w:rPr>
        <w:t>17.4 因不可抗力解除合同</w:t>
      </w:r>
      <w:bookmarkEnd w:id="369"/>
    </w:p>
    <w:p w14:paraId="09DFA52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合同解除后，发包人应在商定或确定发包人应支付款项后</w:t>
      </w:r>
      <w:r>
        <w:rPr>
          <w:rFonts w:hint="eastAsia" w:ascii="宋体" w:hAnsi="宋体" w:cs="宋体"/>
          <w:color w:val="auto"/>
          <w:sz w:val="24"/>
          <w:highlight w:val="none"/>
          <w:u w:val="single"/>
        </w:rPr>
        <w:t xml:space="preserve"> 28   </w:t>
      </w:r>
      <w:r>
        <w:rPr>
          <w:rFonts w:hint="eastAsia" w:ascii="宋体" w:hAnsi="宋体" w:cs="宋体"/>
          <w:color w:val="auto"/>
          <w:sz w:val="24"/>
          <w:highlight w:val="none"/>
        </w:rPr>
        <w:t>天内完成款项的支付。</w:t>
      </w:r>
    </w:p>
    <w:p w14:paraId="5D80950C">
      <w:pPr>
        <w:pStyle w:val="4"/>
        <w:spacing w:line="360" w:lineRule="auto"/>
        <w:rPr>
          <w:rFonts w:hint="eastAsia" w:ascii="宋体" w:hAnsi="宋体" w:cs="宋体"/>
          <w:color w:val="auto"/>
          <w:sz w:val="24"/>
          <w:szCs w:val="24"/>
          <w:highlight w:val="none"/>
        </w:rPr>
      </w:pPr>
      <w:bookmarkStart w:id="370" w:name="_Toc5602"/>
      <w:r>
        <w:rPr>
          <w:rFonts w:hint="eastAsia" w:ascii="宋体" w:hAnsi="宋体" w:cs="宋体"/>
          <w:color w:val="auto"/>
          <w:sz w:val="24"/>
          <w:szCs w:val="24"/>
          <w:highlight w:val="none"/>
        </w:rPr>
        <w:t>18. 保险</w:t>
      </w:r>
      <w:bookmarkEnd w:id="370"/>
    </w:p>
    <w:p w14:paraId="1448EED1">
      <w:pPr>
        <w:pStyle w:val="5"/>
        <w:spacing w:line="360" w:lineRule="auto"/>
        <w:rPr>
          <w:rFonts w:hint="eastAsia" w:ascii="宋体" w:hAnsi="宋体" w:cs="宋体"/>
          <w:color w:val="auto"/>
          <w:sz w:val="24"/>
          <w:szCs w:val="24"/>
          <w:highlight w:val="none"/>
        </w:rPr>
      </w:pPr>
      <w:bookmarkStart w:id="371" w:name="_Toc8881"/>
      <w:r>
        <w:rPr>
          <w:rFonts w:hint="eastAsia" w:ascii="宋体" w:hAnsi="宋体" w:cs="宋体"/>
          <w:color w:val="auto"/>
          <w:sz w:val="24"/>
          <w:szCs w:val="24"/>
          <w:highlight w:val="none"/>
        </w:rPr>
        <w:t>18.1 工程保险</w:t>
      </w:r>
      <w:bookmarkEnd w:id="371"/>
    </w:p>
    <w:p w14:paraId="51F80D79">
      <w:pPr>
        <w:pStyle w:val="374"/>
        <w:spacing w:line="360" w:lineRule="auto"/>
        <w:ind w:firstLine="480"/>
        <w:jc w:val="left"/>
        <w:rPr>
          <w:rFonts w:hint="default" w:ascii="宋体" w:hAnsi="宋体" w:cs="宋体"/>
          <w:color w:val="auto"/>
          <w:sz w:val="24"/>
          <w:highlight w:val="none"/>
          <w:lang w:val="en-US" w:eastAsia="zh-CN"/>
        </w:rPr>
      </w:pPr>
      <w:r>
        <w:rPr>
          <w:rFonts w:hint="eastAsia" w:ascii="宋体" w:hAnsi="宋体" w:cs="宋体"/>
          <w:color w:val="auto"/>
          <w:sz w:val="24"/>
          <w:szCs w:val="24"/>
          <w:highlight w:val="none"/>
        </w:rPr>
        <w:t>关于工程保险的特别约定：</w:t>
      </w:r>
      <w:r>
        <w:rPr>
          <w:rFonts w:hint="eastAsia" w:ascii="宋体" w:hAnsi="宋体" w:cs="宋体"/>
          <w:color w:val="auto"/>
          <w:sz w:val="24"/>
          <w:szCs w:val="24"/>
          <w:highlight w:val="none"/>
          <w:u w:val="single"/>
        </w:rPr>
        <w:t>由承包人投保建筑工程一切险及安装工程一切险并承担相应费用，保险金不足以补偿损失的，应由承包人负责补偿</w:t>
      </w:r>
      <w:r>
        <w:rPr>
          <w:rFonts w:hint="eastAsia" w:ascii="宋体" w:hAnsi="宋体" w:cs="宋体"/>
          <w:color w:val="auto"/>
          <w:sz w:val="24"/>
          <w:szCs w:val="24"/>
          <w:highlight w:val="none"/>
        </w:rPr>
        <w:t>。安全生产责任保险费按《自治区住房和城乡建设厅关于印发广西壮族自治区房屋建筑和市政基础设施工程安全生产责任保险计价规定的通知》(桂建发(2023)6号)计算，工程结算时，由发承包双方根据工程实际情况确认的安全生产责任保险费进行结算。</w:t>
      </w:r>
      <w:r>
        <w:rPr>
          <w:rFonts w:hint="eastAsia" w:ascii="宋体" w:hAnsi="宋体" w:cs="宋体"/>
          <w:color w:val="auto"/>
          <w:sz w:val="24"/>
          <w:szCs w:val="24"/>
          <w:highlight w:val="none"/>
          <w:lang w:eastAsia="zh-CN"/>
        </w:rPr>
        <w:t>按</w:t>
      </w:r>
      <w:r>
        <w:rPr>
          <w:rFonts w:hint="eastAsia" w:ascii="宋体" w:hAnsi="宋体" w:cs="宋体"/>
          <w:color w:val="auto"/>
          <w:sz w:val="24"/>
          <w:szCs w:val="24"/>
          <w:highlight w:val="none"/>
        </w:rPr>
        <w:t>桂建价〔2024〕2号</w:t>
      </w:r>
      <w:r>
        <w:rPr>
          <w:rFonts w:hint="eastAsia" w:ascii="宋体" w:hAnsi="宋体" w:cs="宋体"/>
          <w:color w:val="auto"/>
          <w:sz w:val="24"/>
          <w:szCs w:val="24"/>
          <w:highlight w:val="none"/>
          <w:lang w:eastAsia="zh-CN"/>
        </w:rPr>
        <w:t>计算</w:t>
      </w:r>
      <w:r>
        <w:rPr>
          <w:rFonts w:hint="eastAsia" w:ascii="宋体" w:hAnsi="宋体" w:cs="宋体"/>
          <w:color w:val="auto"/>
          <w:sz w:val="24"/>
          <w:szCs w:val="24"/>
          <w:highlight w:val="none"/>
        </w:rPr>
        <w:t>安全生产责任保险费</w:t>
      </w:r>
      <w:r>
        <w:rPr>
          <w:rFonts w:hint="default" w:ascii="宋体" w:hAnsi="宋体" w:cs="宋体"/>
          <w:color w:val="auto"/>
          <w:sz w:val="24"/>
          <w:highlight w:val="none"/>
          <w:lang w:val="en-US" w:eastAsia="zh-CN"/>
        </w:rPr>
        <w:t>暂估价的具体金额=[招标控制价的分部分项工程费+招标控制价的措施项目费（含单价及总价措施项目费）]×0.2%</w:t>
      </w:r>
      <w:r>
        <w:rPr>
          <w:rFonts w:hint="eastAsia" w:ascii="宋体" w:hAnsi="宋体" w:cs="宋体"/>
          <w:color w:val="auto"/>
          <w:sz w:val="24"/>
          <w:highlight w:val="none"/>
          <w:lang w:val="en-US" w:eastAsia="zh-CN"/>
        </w:rPr>
        <w:t>。</w:t>
      </w:r>
    </w:p>
    <w:p w14:paraId="5F0B993D">
      <w:pPr>
        <w:pStyle w:val="5"/>
        <w:spacing w:line="360" w:lineRule="auto"/>
        <w:rPr>
          <w:rFonts w:hint="eastAsia" w:ascii="宋体" w:hAnsi="宋体" w:cs="宋体"/>
          <w:color w:val="auto"/>
          <w:sz w:val="24"/>
          <w:szCs w:val="24"/>
          <w:highlight w:val="none"/>
        </w:rPr>
      </w:pPr>
      <w:bookmarkStart w:id="372" w:name="_Toc29678"/>
      <w:r>
        <w:rPr>
          <w:rFonts w:hint="eastAsia" w:ascii="宋体" w:hAnsi="宋体" w:cs="宋体"/>
          <w:color w:val="auto"/>
          <w:sz w:val="24"/>
          <w:szCs w:val="24"/>
          <w:highlight w:val="none"/>
        </w:rPr>
        <w:t>18.3 其他保险</w:t>
      </w:r>
      <w:bookmarkEnd w:id="372"/>
    </w:p>
    <w:p w14:paraId="28D8AF04">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关于其他保险的约定：</w:t>
      </w:r>
      <w:r>
        <w:rPr>
          <w:rFonts w:hint="eastAsia" w:ascii="宋体" w:hAnsi="宋体" w:cs="宋体"/>
          <w:color w:val="auto"/>
          <w:sz w:val="24"/>
          <w:highlight w:val="none"/>
          <w:u w:val="single"/>
        </w:rPr>
        <w:t xml:space="preserve">发包人和承包人各自为其施工现场的全部人员办理意外伤害保险并支付保险费，包括其员工及为履行合同聘请的第三方的人员   </w:t>
      </w:r>
      <w:r>
        <w:rPr>
          <w:rFonts w:hint="eastAsia" w:ascii="宋体" w:hAnsi="宋体" w:cs="宋体"/>
          <w:color w:val="auto"/>
          <w:sz w:val="24"/>
          <w:highlight w:val="none"/>
        </w:rPr>
        <w:t>。</w:t>
      </w:r>
    </w:p>
    <w:p w14:paraId="48EB0390">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承包人是否应为其施工设备等办理财产保险：</w:t>
      </w:r>
      <w:r>
        <w:rPr>
          <w:rFonts w:hint="eastAsia" w:ascii="宋体" w:hAnsi="宋体" w:cs="宋体"/>
          <w:color w:val="auto"/>
          <w:sz w:val="24"/>
          <w:highlight w:val="none"/>
          <w:u w:val="single"/>
        </w:rPr>
        <w:t xml:space="preserve">根据需要自行办理，保险费由承包人自行承担 </w:t>
      </w:r>
      <w:r>
        <w:rPr>
          <w:rFonts w:hint="eastAsia" w:ascii="宋体" w:hAnsi="宋体" w:cs="宋体"/>
          <w:color w:val="auto"/>
          <w:sz w:val="24"/>
          <w:highlight w:val="none"/>
        </w:rPr>
        <w:t>。</w:t>
      </w:r>
    </w:p>
    <w:p w14:paraId="464F85D8">
      <w:pPr>
        <w:pStyle w:val="5"/>
        <w:spacing w:line="360" w:lineRule="auto"/>
        <w:rPr>
          <w:rFonts w:hint="eastAsia" w:ascii="宋体" w:hAnsi="宋体" w:cs="宋体"/>
          <w:color w:val="auto"/>
          <w:sz w:val="24"/>
          <w:szCs w:val="24"/>
          <w:highlight w:val="none"/>
        </w:rPr>
      </w:pPr>
      <w:bookmarkStart w:id="373" w:name="_Toc23400"/>
      <w:r>
        <w:rPr>
          <w:rFonts w:hint="eastAsia" w:ascii="宋体" w:hAnsi="宋体" w:cs="宋体"/>
          <w:color w:val="auto"/>
          <w:sz w:val="24"/>
          <w:szCs w:val="24"/>
          <w:highlight w:val="none"/>
        </w:rPr>
        <w:t>18.7 通知义务</w:t>
      </w:r>
      <w:bookmarkEnd w:id="373"/>
    </w:p>
    <w:p w14:paraId="42DA0181">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关于变更保险合同时的通知义务的约定：</w:t>
      </w:r>
      <w:r>
        <w:rPr>
          <w:rFonts w:hint="eastAsia" w:ascii="宋体" w:hAnsi="宋体" w:cs="宋体"/>
          <w:color w:val="auto"/>
          <w:sz w:val="24"/>
          <w:highlight w:val="none"/>
          <w:u w:val="single"/>
        </w:rPr>
        <w:t xml:space="preserve">     由承包人通知发包人和监理人     </w:t>
      </w:r>
      <w:r>
        <w:rPr>
          <w:rFonts w:hint="eastAsia" w:ascii="宋体" w:hAnsi="宋体" w:cs="宋体"/>
          <w:color w:val="auto"/>
          <w:sz w:val="24"/>
          <w:highlight w:val="none"/>
        </w:rPr>
        <w:t>。</w:t>
      </w:r>
    </w:p>
    <w:p w14:paraId="32F96075">
      <w:pPr>
        <w:pStyle w:val="4"/>
        <w:spacing w:line="360" w:lineRule="auto"/>
        <w:rPr>
          <w:rFonts w:hint="eastAsia" w:ascii="宋体" w:hAnsi="宋体" w:cs="宋体"/>
          <w:color w:val="auto"/>
          <w:sz w:val="24"/>
          <w:szCs w:val="24"/>
          <w:highlight w:val="none"/>
        </w:rPr>
      </w:pPr>
      <w:bookmarkStart w:id="374" w:name="_Toc3290"/>
      <w:r>
        <w:rPr>
          <w:rFonts w:hint="eastAsia" w:ascii="宋体" w:hAnsi="宋体" w:cs="宋体"/>
          <w:color w:val="auto"/>
          <w:sz w:val="24"/>
          <w:szCs w:val="24"/>
          <w:highlight w:val="none"/>
        </w:rPr>
        <w:t>20. 争议解决</w:t>
      </w:r>
      <w:bookmarkEnd w:id="374"/>
    </w:p>
    <w:p w14:paraId="7F8EFB99">
      <w:pPr>
        <w:pStyle w:val="5"/>
        <w:spacing w:line="360" w:lineRule="auto"/>
        <w:rPr>
          <w:rFonts w:hint="eastAsia" w:ascii="宋体" w:hAnsi="宋体" w:cs="宋体"/>
          <w:color w:val="auto"/>
          <w:sz w:val="24"/>
          <w:szCs w:val="24"/>
          <w:highlight w:val="none"/>
        </w:rPr>
      </w:pPr>
      <w:bookmarkStart w:id="375" w:name="_Toc5264"/>
      <w:r>
        <w:rPr>
          <w:rFonts w:hint="eastAsia" w:ascii="宋体" w:hAnsi="宋体" w:cs="宋体"/>
          <w:color w:val="auto"/>
          <w:sz w:val="24"/>
          <w:szCs w:val="24"/>
          <w:highlight w:val="none"/>
        </w:rPr>
        <w:t>20.3 争议评审</w:t>
      </w:r>
      <w:bookmarkEnd w:id="375"/>
    </w:p>
    <w:p w14:paraId="27B82F4E">
      <w:pPr>
        <w:spacing w:line="360" w:lineRule="auto"/>
        <w:ind w:left="149" w:firstLine="360"/>
        <w:jc w:val="left"/>
        <w:rPr>
          <w:rFonts w:hint="eastAsia" w:ascii="宋体" w:hAnsi="宋体" w:cs="宋体"/>
          <w:color w:val="auto"/>
          <w:sz w:val="24"/>
          <w:highlight w:val="none"/>
          <w:u w:val="single"/>
        </w:rPr>
      </w:pPr>
      <w:r>
        <w:rPr>
          <w:rFonts w:hint="eastAsia" w:ascii="宋体" w:hAnsi="宋体" w:cs="宋体"/>
          <w:color w:val="auto"/>
          <w:sz w:val="24"/>
          <w:highlight w:val="none"/>
        </w:rPr>
        <w:t>合同当事人是否同意将工程争议提交争议评审小组决定：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6DFE5FE">
      <w:pPr>
        <w:spacing w:line="360" w:lineRule="auto"/>
        <w:ind w:firstLine="480"/>
        <w:jc w:val="left"/>
        <w:outlineLvl w:val="0"/>
        <w:rPr>
          <w:rFonts w:hint="eastAsia" w:ascii="宋体" w:hAnsi="宋体" w:cs="宋体"/>
          <w:color w:val="auto"/>
          <w:sz w:val="24"/>
          <w:highlight w:val="none"/>
        </w:rPr>
      </w:pPr>
      <w:bookmarkStart w:id="376" w:name="_Toc28217"/>
      <w:r>
        <w:rPr>
          <w:rFonts w:hint="eastAsia" w:ascii="宋体" w:hAnsi="宋体" w:cs="宋体"/>
          <w:color w:val="auto"/>
          <w:sz w:val="24"/>
          <w:highlight w:val="none"/>
        </w:rPr>
        <w:t>20.3.1 争议评审小组的确定</w:t>
      </w:r>
      <w:bookmarkEnd w:id="376"/>
    </w:p>
    <w:p w14:paraId="411D88E9">
      <w:pPr>
        <w:spacing w:line="360" w:lineRule="auto"/>
        <w:ind w:firstLine="480"/>
        <w:jc w:val="left"/>
        <w:rPr>
          <w:rFonts w:hint="eastAsia" w:ascii="宋体" w:hAnsi="宋体" w:cs="宋体"/>
          <w:color w:val="auto"/>
          <w:sz w:val="24"/>
          <w:highlight w:val="none"/>
          <w:u w:val="single"/>
        </w:rPr>
      </w:pPr>
      <w:r>
        <w:rPr>
          <w:rFonts w:hint="eastAsia" w:ascii="宋体" w:hAnsi="宋体" w:cs="宋体"/>
          <w:color w:val="auto"/>
          <w:sz w:val="24"/>
          <w:highlight w:val="none"/>
        </w:rPr>
        <w:t>争议评审小组成员的确定：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11CD75D">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选定争议评审员的期限：</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AD38EE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争议评审小组成员的报酬承担方式：</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BD95D5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其他事项的约定：</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E9D4372">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20.3.2 争议评审小组的决定</w:t>
      </w:r>
    </w:p>
    <w:p w14:paraId="5918702C">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合同当事人关于本项的约定：</w:t>
      </w:r>
      <w:r>
        <w:rPr>
          <w:rFonts w:hint="eastAsia" w:ascii="宋体" w:hAnsi="宋体" w:cs="宋体"/>
          <w:color w:val="auto"/>
          <w:sz w:val="24"/>
          <w:highlight w:val="none"/>
          <w:u w:val="single"/>
        </w:rPr>
        <w:t xml:space="preserve">  / 。</w:t>
      </w:r>
    </w:p>
    <w:p w14:paraId="03976756">
      <w:pPr>
        <w:pStyle w:val="5"/>
        <w:spacing w:line="360" w:lineRule="auto"/>
        <w:rPr>
          <w:rFonts w:hint="eastAsia" w:ascii="宋体" w:hAnsi="宋体" w:cs="宋体"/>
          <w:color w:val="auto"/>
          <w:sz w:val="24"/>
          <w:szCs w:val="24"/>
          <w:highlight w:val="none"/>
        </w:rPr>
      </w:pPr>
      <w:bookmarkStart w:id="377" w:name="_Toc14"/>
      <w:r>
        <w:rPr>
          <w:rFonts w:hint="eastAsia" w:ascii="宋体" w:hAnsi="宋体" w:cs="宋体"/>
          <w:color w:val="auto"/>
          <w:sz w:val="24"/>
          <w:szCs w:val="24"/>
          <w:highlight w:val="none"/>
        </w:rPr>
        <w:t>20.4 仲裁或诉讼</w:t>
      </w:r>
      <w:bookmarkEnd w:id="377"/>
    </w:p>
    <w:p w14:paraId="6E86EC6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因合同及合同有关事项发生的争议，按下列第</w:t>
      </w:r>
      <w:r>
        <w:rPr>
          <w:rFonts w:hint="eastAsia" w:ascii="宋体" w:hAnsi="宋体" w:cs="宋体"/>
          <w:color w:val="auto"/>
          <w:sz w:val="24"/>
          <w:highlight w:val="none"/>
          <w:u w:val="single"/>
        </w:rPr>
        <w:t xml:space="preserve">  2   </w:t>
      </w:r>
      <w:r>
        <w:rPr>
          <w:rFonts w:hint="eastAsia" w:ascii="宋体" w:hAnsi="宋体" w:cs="宋体"/>
          <w:color w:val="auto"/>
          <w:sz w:val="24"/>
          <w:highlight w:val="none"/>
        </w:rPr>
        <w:t>种方式解决：</w:t>
      </w:r>
    </w:p>
    <w:p w14:paraId="7658C376">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（1）提请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仲裁委员会按照该会仲裁规则进行仲裁，仲裁裁决是终局的，对合同双方均有约束力。</w:t>
      </w:r>
    </w:p>
    <w:p w14:paraId="6A0796A7">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（2）向</w:t>
      </w:r>
      <w:r>
        <w:rPr>
          <w:rFonts w:hint="eastAsia" w:ascii="宋体" w:hAnsi="宋体" w:cs="宋体"/>
          <w:color w:val="auto"/>
          <w:sz w:val="24"/>
          <w:highlight w:val="none"/>
          <w:u w:val="single"/>
        </w:rPr>
        <w:t xml:space="preserve">   项目所在地    </w:t>
      </w:r>
      <w:r>
        <w:rPr>
          <w:rFonts w:hint="eastAsia" w:ascii="宋体" w:hAnsi="宋体" w:cs="宋体"/>
          <w:color w:val="auto"/>
          <w:sz w:val="24"/>
          <w:highlight w:val="none"/>
        </w:rPr>
        <w:t>人民法院起诉。</w:t>
      </w:r>
    </w:p>
    <w:p w14:paraId="1428694D">
      <w:pPr>
        <w:widowControl/>
        <w:ind w:firstLine="420"/>
        <w:jc w:val="left"/>
        <w:rPr>
          <w:rFonts w:hint="eastAsia" w:hAnsi="宋体" w:cs="宋体"/>
          <w:color w:val="auto"/>
          <w:highlight w:val="none"/>
        </w:rPr>
      </w:pPr>
    </w:p>
    <w:p w14:paraId="2917531A">
      <w:pPr>
        <w:spacing w:line="440" w:lineRule="exact"/>
        <w:rPr>
          <w:color w:val="auto"/>
          <w:sz w:val="30"/>
          <w:szCs w:val="30"/>
          <w:highlight w:val="none"/>
        </w:rPr>
      </w:pPr>
      <w:r>
        <w:rPr>
          <w:rFonts w:hAnsi="宋体" w:cs="宋体"/>
          <w:color w:val="auto"/>
          <w:highlight w:val="none"/>
        </w:rPr>
        <w:br w:type="page" w:clear="all"/>
      </w:r>
      <w:r>
        <w:rPr>
          <w:rFonts w:hint="eastAsia" w:hAnsi="宋体" w:cs="宋体"/>
          <w:color w:val="auto"/>
          <w:sz w:val="30"/>
          <w:szCs w:val="30"/>
          <w:highlight w:val="none"/>
        </w:rPr>
        <w:t>附件1：</w:t>
      </w:r>
    </w:p>
    <w:p w14:paraId="0D91F3B3">
      <w:pPr>
        <w:spacing w:before="156" w:after="156" w:line="44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工程质量保修书</w:t>
      </w:r>
    </w:p>
    <w:p w14:paraId="37BD7534">
      <w:pPr>
        <w:spacing w:line="440" w:lineRule="exact"/>
        <w:ind w:firstLine="420"/>
        <w:rPr>
          <w:rFonts w:hint="eastAsia" w:ascii="宋体" w:hAnsi="宋体" w:cs="宋体"/>
          <w:color w:val="auto"/>
          <w:highlight w:val="none"/>
          <w:u w:val="none"/>
        </w:rPr>
      </w:pPr>
      <w:r>
        <w:rPr>
          <w:rFonts w:hint="eastAsia" w:ascii="宋体" w:hAnsi="宋体" w:cs="宋体"/>
          <w:color w:val="auto"/>
          <w:highlight w:val="none"/>
        </w:rPr>
        <w:t>发包人（全称）：</w:t>
      </w:r>
      <w:r>
        <w:rPr>
          <w:rFonts w:hint="eastAsia" w:ascii="宋体" w:hAnsi="宋体" w:cs="宋体"/>
          <w:color w:val="auto"/>
          <w:highlight w:val="none"/>
          <w:u w:val="single"/>
        </w:rPr>
        <w:t xml:space="preserve">  </w:t>
      </w:r>
      <w:r>
        <w:rPr>
          <w:rFonts w:hint="eastAsia" w:ascii="宋体" w:hAnsi="宋体" w:cs="宋体"/>
          <w:color w:val="auto"/>
          <w:highlight w:val="none"/>
          <w:u w:val="single"/>
          <w:lang w:eastAsia="zh-CN"/>
        </w:rPr>
        <w:t>贵港市覃塘区人民医院</w:t>
      </w:r>
      <w:r>
        <w:rPr>
          <w:rFonts w:hint="eastAsia" w:ascii="宋体" w:hAnsi="宋体" w:cs="宋体"/>
          <w:color w:val="auto"/>
          <w:highlight w:val="none"/>
          <w:u w:val="single"/>
        </w:rPr>
        <w:t xml:space="preserve">          </w:t>
      </w:r>
      <w:r>
        <w:rPr>
          <w:rFonts w:hint="eastAsia" w:ascii="宋体" w:hAnsi="宋体" w:cs="宋体"/>
          <w:color w:val="auto"/>
          <w:highlight w:val="none"/>
          <w:u w:val="none"/>
        </w:rPr>
        <w:t xml:space="preserve">                     </w:t>
      </w:r>
    </w:p>
    <w:p w14:paraId="69B2E7FC">
      <w:pPr>
        <w:spacing w:line="440" w:lineRule="exact"/>
        <w:ind w:firstLine="420"/>
        <w:rPr>
          <w:rFonts w:hint="eastAsia" w:ascii="宋体" w:hAnsi="宋体" w:cs="宋体"/>
          <w:color w:val="auto"/>
          <w:highlight w:val="none"/>
        </w:rPr>
      </w:pPr>
      <w:r>
        <w:rPr>
          <w:rFonts w:hint="eastAsia" w:ascii="宋体" w:hAnsi="宋体" w:cs="宋体"/>
          <w:color w:val="auto"/>
          <w:highlight w:val="none"/>
        </w:rPr>
        <w:t>承包人（全称）：</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297D4668">
      <w:pPr>
        <w:spacing w:line="440" w:lineRule="exact"/>
        <w:rPr>
          <w:rFonts w:hint="eastAsia" w:ascii="宋体" w:hAnsi="宋体" w:cs="宋体"/>
          <w:color w:val="auto"/>
          <w:highlight w:val="none"/>
        </w:rPr>
      </w:pPr>
    </w:p>
    <w:p w14:paraId="4A6EFB6F">
      <w:pPr>
        <w:spacing w:line="360" w:lineRule="auto"/>
        <w:ind w:firstLine="420"/>
        <w:rPr>
          <w:rFonts w:hint="eastAsia" w:ascii="宋体" w:hAnsi="宋体" w:cs="宋体"/>
          <w:color w:val="auto"/>
          <w:highlight w:val="none"/>
        </w:rPr>
      </w:pPr>
      <w:r>
        <w:rPr>
          <w:rFonts w:hint="eastAsia" w:ascii="宋体" w:hAnsi="宋体" w:cs="宋体"/>
          <w:color w:val="auto"/>
          <w:highlight w:val="none"/>
        </w:rPr>
        <w:t>发包人和承包人根据《中华人民共和国建筑法》和《建设工程质量管理条例》，经协商一致就</w:t>
      </w:r>
      <w:bookmarkStart w:id="378" w:name="REVIEW_AI_BM_AI_11989_1961_41_80"/>
      <w:r>
        <w:rPr>
          <w:rFonts w:hint="eastAsia" w:ascii="宋体" w:hAnsi="宋体" w:cs="宋体"/>
          <w:color w:val="auto"/>
          <w:highlight w:val="none"/>
          <w:shd w:val="clear" w:color="FFFFFF" w:fill="FFFFFF"/>
        </w:rPr>
        <w:t>贵港市覃塘区人民医院门急诊综合楼消防安全评估整改项目</w:t>
      </w:r>
      <w:bookmarkEnd w:id="378"/>
      <w:r>
        <w:rPr>
          <w:rFonts w:hint="eastAsia" w:ascii="宋体" w:hAnsi="宋体" w:cs="宋体"/>
          <w:color w:val="auto"/>
          <w:sz w:val="21"/>
          <w:szCs w:val="21"/>
          <w:highlight w:val="none"/>
          <w:u w:val="single"/>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（工程全称）签订工程质量保修书。</w:t>
      </w:r>
    </w:p>
    <w:p w14:paraId="7E7EB7A0">
      <w:pPr>
        <w:spacing w:line="360" w:lineRule="auto"/>
        <w:ind w:firstLine="420"/>
        <w:rPr>
          <w:rFonts w:hint="eastAsia" w:ascii="宋体" w:hAnsi="宋体" w:cs="宋体"/>
          <w:color w:val="auto"/>
          <w:highlight w:val="none"/>
        </w:rPr>
      </w:pPr>
      <w:r>
        <w:rPr>
          <w:rFonts w:hint="eastAsia" w:ascii="宋体" w:hAnsi="宋体" w:cs="宋体"/>
          <w:color w:val="auto"/>
          <w:highlight w:val="none"/>
        </w:rPr>
        <w:t>一、工程质量保修范围和内容</w:t>
      </w:r>
    </w:p>
    <w:p w14:paraId="09C185F0">
      <w:pPr>
        <w:spacing w:line="360" w:lineRule="auto"/>
        <w:ind w:firstLine="420"/>
        <w:rPr>
          <w:rFonts w:hint="eastAsia" w:ascii="宋体" w:hAnsi="宋体" w:cs="宋体"/>
          <w:color w:val="auto"/>
          <w:highlight w:val="none"/>
        </w:rPr>
      </w:pPr>
      <w:r>
        <w:rPr>
          <w:rFonts w:hint="eastAsia" w:ascii="宋体" w:hAnsi="宋体" w:cs="宋体"/>
          <w:color w:val="auto"/>
          <w:highlight w:val="none"/>
        </w:rPr>
        <w:t>承包人在质量保修期内，按照有关法律规定和合同约定，承担工程质量保修责任。</w:t>
      </w:r>
    </w:p>
    <w:p w14:paraId="25922812">
      <w:pPr>
        <w:spacing w:line="360" w:lineRule="auto"/>
        <w:ind w:firstLine="420"/>
        <w:rPr>
          <w:rFonts w:hint="eastAsia" w:ascii="宋体" w:hAnsi="宋体" w:cs="宋体"/>
          <w:color w:val="auto"/>
          <w:highlight w:val="none"/>
        </w:rPr>
      </w:pPr>
      <w:r>
        <w:rPr>
          <w:rFonts w:hint="eastAsia" w:ascii="宋体"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83E259B">
      <w:pPr>
        <w:spacing w:line="360" w:lineRule="auto"/>
        <w:ind w:firstLine="420"/>
        <w:rPr>
          <w:rFonts w:hint="eastAsia"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A26880B">
      <w:pPr>
        <w:spacing w:line="360" w:lineRule="auto"/>
        <w:ind w:firstLine="420"/>
        <w:rPr>
          <w:rFonts w:hint="eastAsia" w:ascii="宋体" w:hAnsi="宋体" w:cs="宋体"/>
          <w:color w:val="auto"/>
          <w:highlight w:val="none"/>
        </w:rPr>
      </w:pPr>
      <w:r>
        <w:rPr>
          <w:rFonts w:hint="eastAsia" w:ascii="宋体" w:hAnsi="宋体" w:cs="宋体"/>
          <w:color w:val="auto"/>
          <w:highlight w:val="none"/>
        </w:rPr>
        <w:t>二、质量保修期</w:t>
      </w:r>
    </w:p>
    <w:p w14:paraId="0A51C3F0">
      <w:pPr>
        <w:spacing w:line="360" w:lineRule="auto"/>
        <w:ind w:firstLine="420"/>
        <w:rPr>
          <w:rFonts w:hint="eastAsia" w:ascii="宋体" w:hAnsi="宋体" w:cs="宋体"/>
          <w:color w:val="auto"/>
          <w:highlight w:val="none"/>
        </w:rPr>
      </w:pPr>
      <w:r>
        <w:rPr>
          <w:rFonts w:hint="eastAsia" w:ascii="宋体" w:hAnsi="宋体" w:cs="宋体"/>
          <w:color w:val="auto"/>
          <w:highlight w:val="none"/>
        </w:rPr>
        <w:t>根据《建设工程质量管理条例》及有关规定，工程的质量保修期如下：</w:t>
      </w:r>
    </w:p>
    <w:p w14:paraId="57333D1C">
      <w:pPr>
        <w:spacing w:line="360" w:lineRule="auto"/>
        <w:ind w:firstLine="420"/>
        <w:rPr>
          <w:rFonts w:ascii="宋体" w:hAnsi="宋体" w:cs="宋体"/>
          <w:color w:val="auto"/>
          <w:highlight w:val="none"/>
        </w:rPr>
      </w:pPr>
      <w:r>
        <w:rPr>
          <w:rFonts w:hint="eastAsia" w:ascii="宋体" w:hAnsi="宋体" w:cs="宋体"/>
          <w:color w:val="auto"/>
          <w:highlight w:val="none"/>
        </w:rPr>
        <w:t>1．地基基础工程和主体结构工程为设计文件规定的工程合理使用年限；</w:t>
      </w:r>
    </w:p>
    <w:p w14:paraId="15273E56">
      <w:pPr>
        <w:spacing w:line="360" w:lineRule="auto"/>
        <w:ind w:firstLine="420"/>
        <w:rPr>
          <w:rFonts w:ascii="宋体" w:hAnsi="宋体" w:cs="宋体"/>
          <w:color w:val="auto"/>
          <w:highlight w:val="none"/>
        </w:rPr>
      </w:pPr>
      <w:r>
        <w:rPr>
          <w:rFonts w:hint="eastAsia" w:ascii="宋体" w:hAnsi="宋体" w:cs="宋体"/>
          <w:color w:val="auto"/>
          <w:highlight w:val="none"/>
        </w:rPr>
        <w:t>2．屋面防水工程、有防水要求的卫生间、房间和外墙面的防渗为</w:t>
      </w:r>
      <w:r>
        <w:rPr>
          <w:rFonts w:hint="eastAsia" w:ascii="宋体" w:hAnsi="宋体" w:cs="宋体"/>
          <w:color w:val="auto"/>
          <w:highlight w:val="none"/>
          <w:u w:val="single"/>
        </w:rPr>
        <w:t xml:space="preserve">  5 </w:t>
      </w:r>
      <w:r>
        <w:rPr>
          <w:rFonts w:hint="eastAsia" w:ascii="宋体" w:hAnsi="宋体" w:cs="宋体"/>
          <w:color w:val="auto"/>
          <w:highlight w:val="none"/>
        </w:rPr>
        <w:t>年；</w:t>
      </w:r>
    </w:p>
    <w:p w14:paraId="530F362D">
      <w:pPr>
        <w:spacing w:line="360" w:lineRule="auto"/>
        <w:ind w:firstLine="420"/>
        <w:rPr>
          <w:rFonts w:ascii="宋体" w:hAnsi="宋体" w:cs="宋体"/>
          <w:color w:val="auto"/>
          <w:highlight w:val="none"/>
        </w:rPr>
      </w:pPr>
      <w:r>
        <w:rPr>
          <w:rFonts w:hint="eastAsia" w:ascii="宋体" w:hAnsi="宋体" w:cs="宋体"/>
          <w:color w:val="auto"/>
          <w:highlight w:val="none"/>
        </w:rPr>
        <w:t>3．装修工程为</w:t>
      </w:r>
      <w:r>
        <w:rPr>
          <w:rFonts w:hint="eastAsia" w:ascii="宋体" w:hAnsi="宋体" w:cs="宋体"/>
          <w:color w:val="auto"/>
          <w:highlight w:val="none"/>
          <w:u w:val="single"/>
        </w:rPr>
        <w:t xml:space="preserve">  2  </w:t>
      </w:r>
      <w:r>
        <w:rPr>
          <w:rFonts w:hint="eastAsia" w:ascii="宋体" w:hAnsi="宋体" w:cs="宋体"/>
          <w:color w:val="auto"/>
          <w:highlight w:val="none"/>
        </w:rPr>
        <w:t>年；</w:t>
      </w:r>
    </w:p>
    <w:p w14:paraId="3506FD3C">
      <w:pPr>
        <w:spacing w:line="360" w:lineRule="auto"/>
        <w:ind w:firstLine="420"/>
        <w:rPr>
          <w:rFonts w:ascii="宋体" w:hAnsi="宋体" w:cs="宋体"/>
          <w:color w:val="auto"/>
          <w:highlight w:val="none"/>
        </w:rPr>
      </w:pPr>
      <w:r>
        <w:rPr>
          <w:rFonts w:hint="eastAsia" w:ascii="宋体" w:hAnsi="宋体" w:cs="宋体"/>
          <w:color w:val="auto"/>
          <w:highlight w:val="none"/>
        </w:rPr>
        <w:t>4．电气管线、给排水管道、设备安装工程为</w:t>
      </w:r>
      <w:r>
        <w:rPr>
          <w:rFonts w:hint="eastAsia" w:ascii="宋体" w:hAnsi="宋体" w:cs="宋体"/>
          <w:color w:val="auto"/>
          <w:highlight w:val="none"/>
          <w:u w:val="single"/>
        </w:rPr>
        <w:t xml:space="preserve">  2 </w:t>
      </w:r>
      <w:r>
        <w:rPr>
          <w:rFonts w:hint="eastAsia" w:ascii="宋体" w:hAnsi="宋体" w:cs="宋体"/>
          <w:color w:val="auto"/>
          <w:highlight w:val="none"/>
        </w:rPr>
        <w:t>年；</w:t>
      </w:r>
    </w:p>
    <w:p w14:paraId="3EE68277">
      <w:pPr>
        <w:spacing w:line="360" w:lineRule="auto"/>
        <w:ind w:firstLine="426"/>
        <w:rPr>
          <w:color w:val="auto"/>
          <w:highlight w:val="none"/>
        </w:rPr>
      </w:pPr>
      <w:r>
        <w:rPr>
          <w:rFonts w:hint="eastAsia" w:ascii="宋体" w:hAnsi="宋体" w:cs="宋体"/>
          <w:color w:val="auto"/>
          <w:highlight w:val="none"/>
        </w:rPr>
        <w:t>5．</w:t>
      </w:r>
      <w:r>
        <w:rPr>
          <w:rFonts w:hint="eastAsia" w:cs="宋体"/>
          <w:color w:val="auto"/>
          <w:highlight w:val="none"/>
        </w:rPr>
        <w:t>排水（雨水）工程为</w:t>
      </w:r>
      <w:r>
        <w:rPr>
          <w:color w:val="auto"/>
          <w:highlight w:val="none"/>
          <w:u w:val="single"/>
        </w:rPr>
        <w:t xml:space="preserve"> </w:t>
      </w:r>
      <w:r>
        <w:rPr>
          <w:rFonts w:hint="eastAsia"/>
          <w:color w:val="auto"/>
          <w:highlight w:val="none"/>
          <w:u w:val="single"/>
        </w:rPr>
        <w:t>3</w:t>
      </w:r>
      <w:r>
        <w:rPr>
          <w:color w:val="auto"/>
          <w:highlight w:val="none"/>
          <w:u w:val="single"/>
        </w:rPr>
        <w:t xml:space="preserve"> </w:t>
      </w:r>
      <w:r>
        <w:rPr>
          <w:rFonts w:hint="eastAsia" w:cs="宋体"/>
          <w:color w:val="auto"/>
          <w:highlight w:val="none"/>
        </w:rPr>
        <w:t>年（建议道路工程中的排水工程为</w:t>
      </w:r>
      <w:r>
        <w:rPr>
          <w:color w:val="auto"/>
          <w:highlight w:val="none"/>
        </w:rPr>
        <w:t>3</w:t>
      </w:r>
      <w:r>
        <w:rPr>
          <w:rFonts w:hint="eastAsia" w:cs="宋体"/>
          <w:color w:val="auto"/>
          <w:highlight w:val="none"/>
        </w:rPr>
        <w:t>年）；</w:t>
      </w:r>
    </w:p>
    <w:p w14:paraId="27D3A52F">
      <w:pPr>
        <w:spacing w:line="360" w:lineRule="auto"/>
        <w:ind w:firstLine="426"/>
        <w:rPr>
          <w:color w:val="auto"/>
          <w:highlight w:val="none"/>
        </w:rPr>
      </w:pPr>
      <w:r>
        <w:rPr>
          <w:rFonts w:hint="eastAsia"/>
          <w:color w:val="auto"/>
          <w:highlight w:val="none"/>
        </w:rPr>
        <w:t>6</w:t>
      </w:r>
      <w:r>
        <w:rPr>
          <w:rFonts w:hint="eastAsia" w:ascii="宋体" w:hAnsi="宋体" w:cs="宋体"/>
          <w:color w:val="auto"/>
          <w:highlight w:val="none"/>
        </w:rPr>
        <w:t>．</w:t>
      </w:r>
      <w:r>
        <w:rPr>
          <w:rFonts w:hint="eastAsia" w:cs="宋体"/>
          <w:color w:val="auto"/>
          <w:highlight w:val="none"/>
        </w:rPr>
        <w:t>绿化工程为</w:t>
      </w:r>
      <w:r>
        <w:rPr>
          <w:color w:val="auto"/>
          <w:highlight w:val="none"/>
        </w:rPr>
        <w:t xml:space="preserve"> </w:t>
      </w:r>
      <w:r>
        <w:rPr>
          <w:rFonts w:hint="eastAsia" w:cs="宋体"/>
          <w:color w:val="auto"/>
          <w:highlight w:val="none"/>
          <w:u w:val="single"/>
        </w:rPr>
        <w:t>单位工程竣工验收合格后</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cs="宋体"/>
          <w:color w:val="auto"/>
          <w:highlight w:val="none"/>
          <w:u w:val="single"/>
        </w:rPr>
        <w:t>年</w:t>
      </w:r>
      <w:r>
        <w:rPr>
          <w:rFonts w:hint="eastAsia" w:cs="宋体"/>
          <w:color w:val="auto"/>
          <w:highlight w:val="none"/>
        </w:rPr>
        <w:t>；</w:t>
      </w:r>
    </w:p>
    <w:p w14:paraId="08F5FF24">
      <w:pPr>
        <w:spacing w:line="360" w:lineRule="auto"/>
        <w:ind w:firstLine="426"/>
        <w:rPr>
          <w:rFonts w:hint="eastAsia" w:ascii="宋体" w:hAnsi="宋体" w:cs="宋体"/>
          <w:color w:val="auto"/>
          <w:highlight w:val="none"/>
        </w:rPr>
      </w:pPr>
      <w:r>
        <w:rPr>
          <w:rFonts w:hint="eastAsia" w:ascii="宋体" w:hAnsi="宋体" w:cs="宋体"/>
          <w:color w:val="auto"/>
          <w:highlight w:val="none"/>
        </w:rPr>
        <w:t>7．其他项目保修期限约定如下：</w:t>
      </w:r>
    </w:p>
    <w:p w14:paraId="7B636A98">
      <w:pPr>
        <w:spacing w:line="360" w:lineRule="auto"/>
        <w:ind w:firstLine="420"/>
        <w:rPr>
          <w:rFonts w:ascii="宋体"/>
          <w:color w:val="auto"/>
          <w:highlight w:val="none"/>
        </w:rPr>
      </w:pPr>
      <w:r>
        <w:rPr>
          <w:rFonts w:hint="eastAsia" w:ascii="宋体" w:hAnsi="宋体" w:cs="宋体"/>
          <w:color w:val="auto"/>
          <w:highlight w:val="none"/>
          <w:u w:val="single"/>
          <w:lang w:bidi="ar"/>
        </w:rPr>
        <w:t>按现行国家规定及施工图纸设计要求</w:t>
      </w:r>
      <w:r>
        <w:rPr>
          <w:rFonts w:ascii="宋体" w:hAnsi="宋体" w:cs="宋体"/>
          <w:color w:val="auto"/>
          <w:highlight w:val="none"/>
          <w:u w:val="single"/>
        </w:rPr>
        <w:t xml:space="preserve"> </w:t>
      </w:r>
      <w:r>
        <w:rPr>
          <w:rFonts w:hint="eastAsia" w:ascii="宋体" w:hAnsi="宋体" w:cs="宋体"/>
          <w:color w:val="auto"/>
          <w:highlight w:val="none"/>
        </w:rPr>
        <w:t>。</w:t>
      </w:r>
    </w:p>
    <w:p w14:paraId="2B6C8E6A">
      <w:pPr>
        <w:spacing w:line="360" w:lineRule="auto"/>
        <w:ind w:firstLine="420"/>
        <w:rPr>
          <w:rFonts w:ascii="宋体"/>
          <w:color w:val="auto"/>
          <w:highlight w:val="none"/>
        </w:rPr>
      </w:pPr>
      <w:r>
        <w:rPr>
          <w:rFonts w:hint="eastAsia" w:ascii="宋体" w:hAnsi="宋体" w:cs="宋体"/>
          <w:color w:val="auto"/>
          <w:highlight w:val="none"/>
        </w:rPr>
        <w:t>质量保修期自工程竣工验收合格之日起计算。</w:t>
      </w:r>
    </w:p>
    <w:p w14:paraId="0803174F">
      <w:pPr>
        <w:spacing w:line="360" w:lineRule="auto"/>
        <w:ind w:firstLine="420"/>
        <w:rPr>
          <w:rFonts w:hint="eastAsia" w:ascii="宋体" w:hAnsi="宋体" w:cs="宋体"/>
          <w:color w:val="auto"/>
          <w:highlight w:val="none"/>
        </w:rPr>
      </w:pPr>
      <w:r>
        <w:rPr>
          <w:rFonts w:hint="eastAsia" w:ascii="宋体" w:hAnsi="宋体" w:cs="宋体"/>
          <w:color w:val="auto"/>
          <w:highlight w:val="none"/>
        </w:rPr>
        <w:t>三、缺陷责任期</w:t>
      </w:r>
    </w:p>
    <w:p w14:paraId="29400925">
      <w:pPr>
        <w:spacing w:line="360" w:lineRule="auto"/>
        <w:ind w:firstLine="420"/>
        <w:rPr>
          <w:rFonts w:hint="eastAsia" w:ascii="宋体" w:hAnsi="宋体" w:cs="宋体"/>
          <w:color w:val="auto"/>
          <w:highlight w:val="none"/>
        </w:rPr>
      </w:pPr>
      <w:r>
        <w:rPr>
          <w:rFonts w:hint="eastAsia" w:ascii="宋体" w:hAnsi="宋体" w:cs="宋体"/>
          <w:color w:val="auto"/>
          <w:highlight w:val="none"/>
        </w:rPr>
        <w:t>工程缺陷责任期为</w:t>
      </w:r>
      <w:r>
        <w:rPr>
          <w:rFonts w:hint="eastAsia" w:ascii="宋体" w:hAnsi="宋体" w:cs="宋体"/>
          <w:color w:val="auto"/>
          <w:highlight w:val="none"/>
          <w:u w:val="single"/>
        </w:rPr>
        <w:t xml:space="preserve">  24 </w:t>
      </w:r>
      <w:r>
        <w:rPr>
          <w:rFonts w:hint="eastAsia" w:ascii="宋体" w:hAnsi="宋体" w:cs="宋体"/>
          <w:color w:val="auto"/>
          <w:highlight w:val="none"/>
        </w:rPr>
        <w:t>个月（最长不超过24个月），缺陷责任期自工程竣工验收合格之日起计算。单位工程先于全部工程进行验收，单位工程缺陷责任期自单位工程验收合格之日起算。</w:t>
      </w:r>
    </w:p>
    <w:p w14:paraId="6A909E7B">
      <w:pPr>
        <w:spacing w:line="360" w:lineRule="auto"/>
        <w:ind w:firstLine="420"/>
        <w:rPr>
          <w:rFonts w:hint="eastAsia" w:ascii="宋体" w:hAnsi="宋体" w:cs="宋体"/>
          <w:color w:val="auto"/>
          <w:highlight w:val="none"/>
        </w:rPr>
      </w:pPr>
      <w:r>
        <w:rPr>
          <w:rFonts w:hint="eastAsia" w:ascii="宋体" w:hAnsi="宋体" w:cs="宋体"/>
          <w:color w:val="auto"/>
          <w:highlight w:val="none"/>
        </w:rPr>
        <w:t>缺陷责任期</w:t>
      </w:r>
      <w:r>
        <w:rPr>
          <w:rFonts w:hint="eastAsia" w:ascii="宋体" w:hAnsi="宋体" w:cs="宋体"/>
          <w:color w:val="auto"/>
          <w:highlight w:val="none"/>
          <w:u w:val="single"/>
        </w:rPr>
        <w:t>满</w:t>
      </w:r>
      <w:r>
        <w:rPr>
          <w:rFonts w:hint="eastAsia" w:ascii="宋体" w:hAnsi="宋体" w:cs="宋体"/>
          <w:color w:val="auto"/>
          <w:highlight w:val="none"/>
        </w:rPr>
        <w:t>之日起</w:t>
      </w:r>
      <w:r>
        <w:rPr>
          <w:rFonts w:hint="eastAsia" w:ascii="宋体" w:hAnsi="宋体" w:cs="宋体"/>
          <w:color w:val="auto"/>
          <w:highlight w:val="none"/>
          <w:u w:val="single"/>
        </w:rPr>
        <w:t xml:space="preserve">    </w:t>
      </w:r>
      <w:r>
        <w:rPr>
          <w:rFonts w:hint="eastAsia" w:ascii="宋体" w:hAnsi="宋体" w:cs="宋体"/>
          <w:color w:val="auto"/>
          <w:highlight w:val="none"/>
        </w:rPr>
        <w:t>天</w:t>
      </w:r>
      <w:r>
        <w:rPr>
          <w:rFonts w:hint="eastAsia" w:ascii="宋体" w:hAnsi="宋体" w:cs="宋体"/>
          <w:color w:val="auto"/>
          <w:highlight w:val="none"/>
          <w:u w:val="single"/>
        </w:rPr>
        <w:t>（按合同约定期限），</w:t>
      </w:r>
      <w:r>
        <w:rPr>
          <w:rFonts w:hint="eastAsia" w:ascii="宋体" w:hAnsi="宋体" w:cs="宋体"/>
          <w:color w:val="auto"/>
          <w:highlight w:val="none"/>
        </w:rPr>
        <w:t>发包人应退还剩余的质量保证金。</w:t>
      </w:r>
    </w:p>
    <w:p w14:paraId="65BAF981">
      <w:pPr>
        <w:spacing w:line="360" w:lineRule="auto"/>
        <w:ind w:firstLine="420"/>
        <w:rPr>
          <w:rFonts w:hint="eastAsia" w:ascii="宋体" w:hAnsi="宋体" w:cs="宋体"/>
          <w:color w:val="auto"/>
          <w:highlight w:val="none"/>
        </w:rPr>
      </w:pPr>
      <w:r>
        <w:rPr>
          <w:rFonts w:hint="eastAsia" w:ascii="宋体" w:hAnsi="宋体" w:cs="宋体"/>
          <w:color w:val="auto"/>
          <w:highlight w:val="none"/>
        </w:rPr>
        <w:t>四、质量保修责任</w:t>
      </w:r>
    </w:p>
    <w:p w14:paraId="4B5F0833">
      <w:pPr>
        <w:spacing w:line="360" w:lineRule="auto"/>
        <w:ind w:left="105" w:firstLine="430"/>
        <w:rPr>
          <w:rFonts w:hint="eastAsia" w:ascii="宋体" w:hAnsi="宋体" w:cs="宋体"/>
          <w:color w:val="auto"/>
          <w:highlight w:val="none"/>
        </w:rPr>
      </w:pPr>
      <w:r>
        <w:rPr>
          <w:rFonts w:hint="eastAsia" w:ascii="宋体" w:hAnsi="宋体" w:cs="宋体"/>
          <w:color w:val="auto"/>
          <w:highlight w:val="none"/>
        </w:rPr>
        <w:t>1．属于保修范围、内容的项目，承包人应当在接到保修通知之日起</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 xml:space="preserve">2 </w:t>
      </w:r>
      <w:r>
        <w:rPr>
          <w:rFonts w:ascii="宋体" w:hAnsi="宋体" w:cs="宋体"/>
          <w:color w:val="auto"/>
          <w:szCs w:val="21"/>
          <w:highlight w:val="none"/>
        </w:rPr>
        <w:t>天</w:t>
      </w:r>
      <w:r>
        <w:rPr>
          <w:rFonts w:hint="eastAsia" w:ascii="宋体" w:hAnsi="宋体" w:cs="宋体"/>
          <w:color w:val="auto"/>
          <w:highlight w:val="none"/>
        </w:rPr>
        <w:t>内派人保修。承包人不在约定期限内派人保修的，发包人可以委托他人修理，修理费用从质量保证金内扣除。</w:t>
      </w:r>
    </w:p>
    <w:p w14:paraId="6B32023F">
      <w:pPr>
        <w:spacing w:line="360" w:lineRule="auto"/>
        <w:ind w:firstLine="420"/>
        <w:rPr>
          <w:rFonts w:hint="eastAsia" w:ascii="宋体" w:hAnsi="宋体" w:cs="宋体"/>
          <w:color w:val="auto"/>
          <w:highlight w:val="none"/>
        </w:rPr>
      </w:pPr>
      <w:r>
        <w:rPr>
          <w:rFonts w:hint="eastAsia" w:ascii="宋体" w:hAnsi="宋体" w:cs="宋体"/>
          <w:color w:val="auto"/>
          <w:highlight w:val="none"/>
        </w:rPr>
        <w:t>2．发生紧急事故需抢修的，承包人在接到事故通知后，应当立即到达事故现场抢修。</w:t>
      </w:r>
    </w:p>
    <w:p w14:paraId="52EAA3D1">
      <w:pPr>
        <w:spacing w:line="360" w:lineRule="auto"/>
        <w:ind w:firstLine="420"/>
        <w:rPr>
          <w:rFonts w:hint="eastAsia" w:ascii="宋体" w:hAnsi="宋体" w:cs="宋体"/>
          <w:color w:val="auto"/>
          <w:highlight w:val="none"/>
        </w:rPr>
      </w:pPr>
      <w:r>
        <w:rPr>
          <w:rFonts w:hint="eastAsia" w:ascii="宋体" w:hAnsi="宋体" w:cs="宋体"/>
          <w:color w:val="auto"/>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8F52CCD">
      <w:pPr>
        <w:spacing w:line="360" w:lineRule="auto"/>
        <w:ind w:firstLine="420"/>
        <w:rPr>
          <w:rFonts w:hint="eastAsia" w:ascii="宋体" w:hAnsi="宋体" w:cs="宋体"/>
          <w:color w:val="auto"/>
          <w:highlight w:val="none"/>
        </w:rPr>
      </w:pPr>
      <w:r>
        <w:rPr>
          <w:rFonts w:hint="eastAsia" w:ascii="宋体" w:hAnsi="宋体" w:cs="宋体"/>
          <w:color w:val="auto"/>
          <w:highlight w:val="none"/>
        </w:rPr>
        <w:t>4．质量保修完成后，由发包人组织验收。</w:t>
      </w:r>
    </w:p>
    <w:p w14:paraId="2D99BB71">
      <w:pPr>
        <w:spacing w:line="360" w:lineRule="auto"/>
        <w:ind w:firstLine="420"/>
        <w:rPr>
          <w:rFonts w:hint="eastAsia" w:ascii="宋体" w:hAnsi="宋体" w:cs="宋体"/>
          <w:color w:val="auto"/>
          <w:highlight w:val="none"/>
        </w:rPr>
      </w:pPr>
      <w:r>
        <w:rPr>
          <w:rFonts w:hint="eastAsia" w:ascii="宋体" w:hAnsi="宋体" w:cs="宋体"/>
          <w:color w:val="auto"/>
          <w:highlight w:val="none"/>
        </w:rPr>
        <w:t>五、保修费用</w:t>
      </w:r>
    </w:p>
    <w:p w14:paraId="13B35895">
      <w:pPr>
        <w:tabs>
          <w:tab w:val="left" w:pos="7380"/>
        </w:tabs>
        <w:spacing w:line="360" w:lineRule="auto"/>
        <w:ind w:firstLine="420"/>
        <w:rPr>
          <w:rFonts w:hint="eastAsia" w:ascii="宋体" w:hAnsi="宋体" w:cs="宋体"/>
          <w:color w:val="auto"/>
          <w:highlight w:val="none"/>
        </w:rPr>
      </w:pPr>
      <w:r>
        <w:rPr>
          <w:rFonts w:hint="eastAsia" w:ascii="宋体" w:hAnsi="宋体" w:cs="宋体"/>
          <w:color w:val="auto"/>
          <w:highlight w:val="none"/>
        </w:rPr>
        <w:t>保修费用由造成质量缺陷的责任方承担。</w:t>
      </w:r>
    </w:p>
    <w:p w14:paraId="1F87C25B">
      <w:pPr>
        <w:spacing w:line="360" w:lineRule="auto"/>
        <w:ind w:firstLine="420"/>
        <w:rPr>
          <w:rFonts w:hint="eastAsia" w:ascii="宋体" w:hAnsi="宋体" w:cs="宋体"/>
          <w:color w:val="auto"/>
          <w:highlight w:val="none"/>
        </w:rPr>
      </w:pPr>
      <w:r>
        <w:rPr>
          <w:rFonts w:hint="eastAsia" w:ascii="宋体" w:hAnsi="宋体" w:cs="宋体"/>
          <w:color w:val="auto"/>
          <w:highlight w:val="none"/>
        </w:rPr>
        <w:t xml:space="preserve">六、双方约定的其他工程质量保修事项： </w:t>
      </w:r>
    </w:p>
    <w:p w14:paraId="7530B810">
      <w:pPr>
        <w:spacing w:line="360" w:lineRule="auto"/>
        <w:ind w:firstLine="399"/>
        <w:rPr>
          <w:rFonts w:hint="eastAsia" w:ascii="宋体" w:hAnsi="宋体" w:cs="宋体"/>
          <w:color w:val="auto"/>
          <w:szCs w:val="21"/>
          <w:highlight w:val="none"/>
        </w:rPr>
      </w:pPr>
      <w:r>
        <w:rPr>
          <w:rFonts w:hint="eastAsia" w:ascii="宋体" w:hAnsi="宋体" w:cs="宋体"/>
          <w:color w:val="auto"/>
          <w:szCs w:val="21"/>
          <w:highlight w:val="none"/>
          <w:u w:val="single"/>
        </w:rPr>
        <w:t>承包人不在约定期限内派人保修的，发包人可以委托他人修理，修理费用从质量保</w:t>
      </w:r>
      <w:r>
        <w:rPr>
          <w:rFonts w:hint="eastAsia" w:ascii="宋体" w:hAnsi="宋体" w:cs="宋体"/>
          <w:color w:val="auto"/>
          <w:szCs w:val="21"/>
          <w:highlight w:val="none"/>
          <w:u w:val="single"/>
          <w:lang w:eastAsia="zh-Hans"/>
        </w:rPr>
        <w:t>证</w:t>
      </w:r>
      <w:r>
        <w:rPr>
          <w:rFonts w:hint="eastAsia" w:ascii="宋体" w:hAnsi="宋体" w:cs="宋体"/>
          <w:color w:val="auto"/>
          <w:szCs w:val="21"/>
          <w:highlight w:val="none"/>
          <w:u w:val="single"/>
        </w:rPr>
        <w:t>金内扣除，超出保</w:t>
      </w:r>
      <w:r>
        <w:rPr>
          <w:rFonts w:hint="eastAsia" w:ascii="宋体" w:hAnsi="宋体" w:cs="宋体"/>
          <w:color w:val="auto"/>
          <w:szCs w:val="21"/>
          <w:highlight w:val="none"/>
          <w:u w:val="single"/>
          <w:lang w:eastAsia="zh-Hans"/>
        </w:rPr>
        <w:t>证</w:t>
      </w:r>
      <w:r>
        <w:rPr>
          <w:rFonts w:hint="eastAsia" w:ascii="宋体" w:hAnsi="宋体" w:cs="宋体"/>
          <w:color w:val="auto"/>
          <w:szCs w:val="21"/>
          <w:highlight w:val="none"/>
          <w:u w:val="single"/>
        </w:rPr>
        <w:t>金额部分，向承包人发出缴费通知书，承包人在收到缴费通知书之日起7天内付清，否则按应缴款额的3%计罚，在工程竣工保修期满后，发包人将剩余的</w:t>
      </w:r>
      <w:r>
        <w:rPr>
          <w:rFonts w:hint="eastAsia" w:ascii="宋体" w:hAnsi="宋体" w:cs="宋体"/>
          <w:color w:val="auto"/>
          <w:szCs w:val="21"/>
          <w:highlight w:val="none"/>
          <w:u w:val="single"/>
          <w:lang w:eastAsia="zh-Hans"/>
        </w:rPr>
        <w:t>质量</w:t>
      </w:r>
      <w:r>
        <w:rPr>
          <w:rFonts w:hint="eastAsia" w:ascii="宋体" w:hAnsi="宋体" w:cs="宋体"/>
          <w:color w:val="auto"/>
          <w:szCs w:val="21"/>
          <w:highlight w:val="none"/>
          <w:u w:val="single"/>
        </w:rPr>
        <w:t>保</w:t>
      </w:r>
      <w:r>
        <w:rPr>
          <w:rFonts w:hint="eastAsia" w:ascii="宋体" w:hAnsi="宋体" w:cs="宋体"/>
          <w:color w:val="auto"/>
          <w:szCs w:val="21"/>
          <w:highlight w:val="none"/>
          <w:u w:val="single"/>
          <w:lang w:eastAsia="zh-Hans"/>
        </w:rPr>
        <w:t>证</w:t>
      </w:r>
      <w:r>
        <w:rPr>
          <w:rFonts w:hint="eastAsia" w:ascii="宋体" w:hAnsi="宋体" w:cs="宋体"/>
          <w:color w:val="auto"/>
          <w:szCs w:val="21"/>
          <w:highlight w:val="none"/>
          <w:u w:val="single"/>
        </w:rPr>
        <w:t>金退还给承包人</w:t>
      </w:r>
      <w:r>
        <w:rPr>
          <w:rFonts w:hint="eastAsia" w:ascii="宋体" w:hAnsi="宋体" w:cs="宋体"/>
          <w:color w:val="auto"/>
          <w:szCs w:val="21"/>
          <w:highlight w:val="none"/>
        </w:rPr>
        <w:t>。</w:t>
      </w:r>
    </w:p>
    <w:p w14:paraId="3272B8AB">
      <w:pPr>
        <w:spacing w:line="360" w:lineRule="auto"/>
        <w:ind w:firstLine="399"/>
        <w:rPr>
          <w:rFonts w:hint="eastAsia" w:ascii="宋体" w:hAnsi="宋体" w:cs="宋体"/>
          <w:color w:val="auto"/>
          <w:highlight w:val="none"/>
        </w:rPr>
      </w:pPr>
      <w:r>
        <w:rPr>
          <w:rFonts w:hint="eastAsia" w:ascii="宋体" w:hAnsi="宋体" w:cs="宋体"/>
          <w:color w:val="auto"/>
          <w:highlight w:val="none"/>
        </w:rPr>
        <w:t>工程质量保修书由发包人、承包人在工程竣工验收前共同签署，作为施工合同附件，其有效期限至保修期满。</w:t>
      </w:r>
    </w:p>
    <w:p w14:paraId="2BE6F4C3">
      <w:pPr>
        <w:spacing w:line="360" w:lineRule="auto"/>
        <w:ind w:firstLine="420"/>
        <w:rPr>
          <w:rFonts w:hint="eastAsia" w:ascii="宋体" w:hAnsi="宋体" w:cs="宋体"/>
          <w:color w:val="auto"/>
          <w:highlight w:val="none"/>
        </w:rPr>
      </w:pPr>
    </w:p>
    <w:p w14:paraId="08F36256">
      <w:pPr>
        <w:spacing w:line="360" w:lineRule="auto"/>
        <w:rPr>
          <w:color w:val="auto"/>
          <w:highlight w:val="none"/>
        </w:rPr>
      </w:pPr>
      <w:r>
        <w:rPr>
          <w:rFonts w:hint="eastAsia" w:hAnsi="宋体" w:cs="宋体"/>
          <w:color w:val="auto"/>
          <w:highlight w:val="none"/>
        </w:rPr>
        <w:t>发包人：</w:t>
      </w:r>
      <w:r>
        <w:rPr>
          <w:rFonts w:hint="eastAsia" w:hAnsi="宋体" w:cs="宋体"/>
          <w:color w:val="auto"/>
          <w:highlight w:val="none"/>
          <w:lang w:eastAsia="zh-CN"/>
        </w:rPr>
        <w:t>贵港市覃塘区人民医院</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hAnsi="宋体" w:cs="宋体"/>
          <w:color w:val="auto"/>
          <w:highlight w:val="none"/>
        </w:rPr>
        <w:t>承包人：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p>
    <w:p w14:paraId="1E7D3B8C">
      <w:pPr>
        <w:spacing w:line="360" w:lineRule="auto"/>
        <w:rPr>
          <w:color w:val="auto"/>
          <w:highlight w:val="none"/>
          <w:u w:val="single"/>
        </w:rPr>
      </w:pPr>
      <w:r>
        <w:rPr>
          <w:color w:val="auto"/>
          <w:highlight w:val="none"/>
        </w:rPr>
        <w:t xml:space="preserve">                                 </w:t>
      </w:r>
    </w:p>
    <w:p w14:paraId="0DF5EEB5">
      <w:pPr>
        <w:spacing w:line="360" w:lineRule="auto"/>
        <w:rPr>
          <w:color w:val="auto"/>
          <w:highlight w:val="none"/>
        </w:rPr>
      </w:pPr>
      <w:r>
        <w:rPr>
          <w:rFonts w:hint="eastAsia" w:hAnsi="宋体" w:cs="宋体"/>
          <w:color w:val="auto"/>
          <w:highlight w:val="none"/>
        </w:rPr>
        <w:t>法定代表人或其委托代理人：</w:t>
      </w:r>
      <w:r>
        <w:rPr>
          <w:color w:val="auto"/>
          <w:highlight w:val="none"/>
        </w:rPr>
        <w:t xml:space="preserve">                    </w:t>
      </w:r>
      <w:r>
        <w:rPr>
          <w:rFonts w:hint="eastAsia" w:hAnsi="宋体" w:cs="宋体"/>
          <w:color w:val="auto"/>
          <w:highlight w:val="none"/>
        </w:rPr>
        <w:t>法定代表人或其委托代理人：</w:t>
      </w:r>
    </w:p>
    <w:p w14:paraId="3EA042C6">
      <w:pPr>
        <w:spacing w:line="360" w:lineRule="auto"/>
        <w:rPr>
          <w:color w:val="auto"/>
          <w:highlight w:val="none"/>
        </w:rPr>
      </w:pPr>
      <w:r>
        <w:rPr>
          <w:rFonts w:hint="eastAsia" w:hAnsi="宋体" w:cs="宋体"/>
          <w:color w:val="auto"/>
          <w:highlight w:val="none"/>
        </w:rPr>
        <w:t>（签字）</w:t>
      </w:r>
      <w:r>
        <w:rPr>
          <w:color w:val="auto"/>
          <w:highlight w:val="none"/>
        </w:rPr>
        <w:t xml:space="preserve">                                     </w:t>
      </w:r>
      <w:r>
        <w:rPr>
          <w:rFonts w:hint="eastAsia" w:hAnsi="宋体" w:cs="宋体"/>
          <w:color w:val="auto"/>
          <w:highlight w:val="none"/>
        </w:rPr>
        <w:t>（签字）</w:t>
      </w:r>
    </w:p>
    <w:p w14:paraId="05F7CC17">
      <w:pPr>
        <w:spacing w:line="360" w:lineRule="auto"/>
        <w:rPr>
          <w:color w:val="auto"/>
          <w:highlight w:val="none"/>
          <w:u w:val="single"/>
        </w:rPr>
      </w:pPr>
    </w:p>
    <w:p w14:paraId="307536B2">
      <w:pPr>
        <w:tabs>
          <w:tab w:val="left" w:pos="4410"/>
        </w:tabs>
        <w:spacing w:line="360" w:lineRule="auto"/>
        <w:rPr>
          <w:color w:val="auto"/>
          <w:highlight w:val="none"/>
        </w:rPr>
      </w:pPr>
      <w:r>
        <w:rPr>
          <w:rFonts w:hint="eastAsia" w:hAnsi="宋体" w:cs="宋体"/>
          <w:color w:val="auto"/>
          <w:highlight w:val="none"/>
        </w:rPr>
        <w:t>统一社会信用代码：</w:t>
      </w:r>
      <w:r>
        <w:rPr>
          <w:color w:val="auto"/>
          <w:highlight w:val="none"/>
          <w:u w:val="single"/>
        </w:rPr>
        <w:t xml:space="preserve"> </w:t>
      </w:r>
      <w:r>
        <w:rPr>
          <w:rFonts w:ascii="宋体" w:hAnsi="宋体" w:eastAsia="宋体" w:cs="宋体"/>
          <w:color w:val="auto"/>
          <w:sz w:val="24"/>
          <w:szCs w:val="24"/>
          <w:highlight w:val="none"/>
          <w:u w:val="single"/>
        </w:rPr>
        <w:t>124508014993733665</w:t>
      </w:r>
      <w:r>
        <w:rPr>
          <w:color w:val="auto"/>
          <w:highlight w:val="none"/>
          <w:u w:val="single"/>
        </w:rPr>
        <w:t xml:space="preserve"> </w:t>
      </w:r>
      <w:r>
        <w:rPr>
          <w:color w:val="auto"/>
          <w:highlight w:val="none"/>
          <w:u w:val="none"/>
        </w:rPr>
        <w:t xml:space="preserve">     </w:t>
      </w:r>
      <w:r>
        <w:rPr>
          <w:rFonts w:hint="eastAsia" w:cs="宋体"/>
          <w:color w:val="auto"/>
          <w:highlight w:val="none"/>
        </w:rPr>
        <w:t>统一</w:t>
      </w:r>
      <w:r>
        <w:rPr>
          <w:rFonts w:hint="eastAsia" w:hAnsi="宋体" w:cs="宋体"/>
          <w:color w:val="auto"/>
          <w:highlight w:val="none"/>
        </w:rPr>
        <w:t>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p>
    <w:p w14:paraId="12DE564A">
      <w:pPr>
        <w:spacing w:line="360" w:lineRule="auto"/>
        <w:rPr>
          <w:color w:val="auto"/>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贵港市覃塘区覃塘街道中山大道</w:t>
      </w:r>
      <w:r>
        <w:rPr>
          <w:rFonts w:hint="eastAsia" w:ascii="宋体" w:hAnsi="宋体" w:eastAsia="宋体" w:cs="宋体"/>
          <w:color w:val="auto"/>
          <w:sz w:val="21"/>
          <w:szCs w:val="21"/>
          <w:highlight w:val="none"/>
          <w:u w:val="single"/>
          <w:lang w:val="en-US" w:eastAsia="zh-CN"/>
        </w:rPr>
        <w:t>638号</w:t>
      </w: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w:t>
      </w:r>
      <w:r>
        <w:rPr>
          <w:rFonts w:hint="eastAsia"/>
          <w:color w:val="auto"/>
          <w:highlight w:val="none"/>
          <w:u w:val="single"/>
        </w:rPr>
        <w:t xml:space="preserve">                  </w:t>
      </w:r>
    </w:p>
    <w:p w14:paraId="558DDA19">
      <w:pPr>
        <w:spacing w:line="360" w:lineRule="auto"/>
        <w:rPr>
          <w:color w:val="auto"/>
          <w:highlight w:val="none"/>
        </w:rPr>
      </w:pPr>
      <w:r>
        <w:rPr>
          <w:rFonts w:hint="eastAsia" w:hAnsi="宋体" w:cs="宋体"/>
          <w:color w:val="auto"/>
          <w:highlight w:val="none"/>
        </w:rPr>
        <w:t>邮政编码：</w:t>
      </w:r>
      <w:r>
        <w:rPr>
          <w:rFonts w:hint="eastAsia" w:hAnsi="宋体" w:cs="宋体"/>
          <w:color w:val="auto"/>
          <w:highlight w:val="none"/>
          <w:u w:val="single"/>
          <w:lang w:val="en-US" w:eastAsia="zh-CN"/>
        </w:rPr>
        <w:t>537121</w:t>
      </w:r>
      <w:r>
        <w:rPr>
          <w:color w:val="auto"/>
          <w:highlight w:val="none"/>
          <w:u w:val="single"/>
        </w:rPr>
        <w:t xml:space="preserve">  </w:t>
      </w:r>
      <w:r>
        <w:rPr>
          <w:rFonts w:hint="eastAsia"/>
          <w:color w:val="auto"/>
          <w:highlight w:val="none"/>
          <w:u w:val="single"/>
          <w:lang w:val="en-US" w:eastAsia="zh-CN"/>
        </w:rPr>
        <w:t xml:space="preserve">                         </w:t>
      </w:r>
      <w:r>
        <w:rPr>
          <w:color w:val="auto"/>
          <w:highlight w:val="none"/>
        </w:rPr>
        <w:t xml:space="preserve">   </w:t>
      </w: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775DE37C">
      <w:pPr>
        <w:spacing w:line="360" w:lineRule="auto"/>
        <w:rPr>
          <w:color w:val="auto"/>
          <w:highlight w:val="none"/>
        </w:rPr>
      </w:pP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03F37917">
      <w:pPr>
        <w:spacing w:line="360" w:lineRule="auto"/>
        <w:rPr>
          <w:color w:val="auto"/>
          <w:highlight w:val="none"/>
        </w:rPr>
      </w:pP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07BBB95D">
      <w:pPr>
        <w:spacing w:line="360" w:lineRule="auto"/>
        <w:rPr>
          <w:color w:val="auto"/>
          <w:highlight w:val="none"/>
        </w:rPr>
      </w:pP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0775-4721022</w:t>
      </w:r>
      <w:r>
        <w:rPr>
          <w:rFonts w:hint="eastAsia"/>
          <w:color w:val="auto"/>
          <w:sz w:val="21"/>
          <w:szCs w:val="21"/>
          <w:highlight w:val="none"/>
          <w:u w:val="single"/>
        </w:rPr>
        <w:t xml:space="preserve">   </w:t>
      </w:r>
      <w:r>
        <w:rPr>
          <w:rFonts w:hint="eastAsia"/>
          <w:color w:val="auto"/>
          <w:sz w:val="21"/>
          <w:szCs w:val="21"/>
          <w:highlight w:val="none"/>
          <w:u w:val="none"/>
        </w:rPr>
        <w:t xml:space="preserve">               </w:t>
      </w:r>
      <w:r>
        <w:rPr>
          <w:color w:val="auto"/>
          <w:sz w:val="21"/>
          <w:szCs w:val="21"/>
          <w:highlight w:val="none"/>
          <w:u w:val="none"/>
        </w:rPr>
        <w:t xml:space="preserve"> </w:t>
      </w:r>
      <w:r>
        <w:rPr>
          <w:color w:val="auto"/>
          <w:highlight w:val="none"/>
          <w:u w:val="none"/>
        </w:rPr>
        <w:t xml:space="preserve">  </w:t>
      </w:r>
      <w:r>
        <w:rPr>
          <w:color w:val="auto"/>
          <w:highlight w:val="none"/>
        </w:rPr>
        <w:t xml:space="preserve">   </w:t>
      </w: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6E12E89F">
      <w:pPr>
        <w:spacing w:line="360" w:lineRule="auto"/>
        <w:rPr>
          <w:color w:val="auto"/>
          <w:highlight w:val="none"/>
        </w:rPr>
      </w:pPr>
      <w:r>
        <w:rPr>
          <w:rFonts w:hint="eastAsia" w:hAnsi="宋体" w:cs="宋体"/>
          <w:color w:val="auto"/>
          <w:highlight w:val="none"/>
        </w:rPr>
        <w:t>电子信箱：</w:t>
      </w:r>
      <w:r>
        <w:rPr>
          <w:rFonts w:ascii="宋体" w:hAnsi="宋体" w:eastAsia="宋体" w:cs="宋体"/>
          <w:color w:val="auto"/>
          <w:sz w:val="24"/>
          <w:szCs w:val="24"/>
          <w:highlight w:val="none"/>
          <w:u w:val="single"/>
        </w:rPr>
        <w:t xml:space="preserve">qtqyy888@163.com </w:t>
      </w:r>
      <w:r>
        <w:rPr>
          <w:color w:val="auto"/>
          <w:highlight w:val="none"/>
          <w:u w:val="single"/>
        </w:rPr>
        <w:t xml:space="preserve">  </w:t>
      </w: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p>
    <w:p w14:paraId="252600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lang w:val="en-US" w:eastAsia="zh-CN" w:bidi="ar"/>
        </w:rPr>
        <w:t>贵港市荷城农村商业银行覃塘支行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14:paraId="53AA0C63">
      <w:pP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bidi="ar"/>
        </w:rPr>
        <w:t>904412010103098452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w:t>
      </w:r>
    </w:p>
    <w:p w14:paraId="51E35ECE">
      <w:pPr>
        <w:tabs>
          <w:tab w:val="left" w:pos="7200"/>
          <w:tab w:val="left" w:pos="7380"/>
          <w:tab w:val="left" w:pos="7560"/>
        </w:tabs>
        <w:spacing w:line="360" w:lineRule="auto"/>
        <w:rPr>
          <w:rFonts w:hint="eastAsia" w:hAnsi="宋体" w:cs="宋体"/>
          <w:color w:val="auto"/>
          <w:sz w:val="30"/>
          <w:szCs w:val="30"/>
          <w:highlight w:val="none"/>
        </w:rPr>
      </w:pPr>
      <w:r>
        <w:rPr>
          <w:rFonts w:hint="eastAsia" w:ascii="宋体" w:hAnsi="宋体" w:eastAsia="宋体" w:cs="宋体"/>
          <w:color w:val="auto"/>
          <w:sz w:val="21"/>
          <w:szCs w:val="21"/>
          <w:highlight w:val="none"/>
        </w:rPr>
        <w:br w:type="page" w:clear="all"/>
      </w:r>
      <w:r>
        <w:rPr>
          <w:rFonts w:hint="eastAsia" w:hAnsi="宋体" w:cs="宋体"/>
          <w:color w:val="auto"/>
          <w:sz w:val="30"/>
          <w:szCs w:val="30"/>
          <w:highlight w:val="none"/>
        </w:rPr>
        <w:t>附件2：</w:t>
      </w:r>
    </w:p>
    <w:p w14:paraId="58BCEFFF">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6283FEDF">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（独立保函）</w:t>
      </w:r>
    </w:p>
    <w:p w14:paraId="79A34336">
      <w:pPr>
        <w:spacing w:line="360" w:lineRule="auto"/>
        <w:jc w:val="right"/>
        <w:rPr>
          <w:rFonts w:hint="eastAsia" w:ascii="宋体" w:hAnsi="宋体"/>
          <w:color w:val="auto"/>
          <w:szCs w:val="21"/>
          <w:highlight w:val="none"/>
        </w:rPr>
      </w:pPr>
      <w:r>
        <w:rPr>
          <w:rFonts w:hint="eastAsia" w:ascii="宋体" w:hAnsi="宋体"/>
          <w:color w:val="auto"/>
          <w:highlight w:val="none"/>
        </w:rPr>
        <w:t xml:space="preserve">编号：           </w:t>
      </w:r>
    </w:p>
    <w:p w14:paraId="35E6D284">
      <w:pPr>
        <w:spacing w:line="360" w:lineRule="auto"/>
        <w:rPr>
          <w:rFonts w:hint="eastAsia" w:ascii="宋体" w:hAnsi="宋体"/>
          <w:color w:val="auto"/>
          <w:sz w:val="24"/>
          <w:highlight w:val="none"/>
        </w:rPr>
      </w:pPr>
      <w:r>
        <w:rPr>
          <w:rFonts w:hint="eastAsia" w:ascii="宋体" w:hAnsi="宋体"/>
          <w:color w:val="auto"/>
          <w:sz w:val="24"/>
          <w:highlight w:val="none"/>
        </w:rPr>
        <w:t>申请人：</w:t>
      </w:r>
    </w:p>
    <w:p w14:paraId="17D209BF">
      <w:pPr>
        <w:spacing w:line="360" w:lineRule="auto"/>
        <w:rPr>
          <w:rFonts w:hint="eastAsia" w:ascii="宋体" w:hAnsi="宋体"/>
          <w:color w:val="auto"/>
          <w:sz w:val="24"/>
          <w:highlight w:val="none"/>
        </w:rPr>
      </w:pPr>
      <w:r>
        <w:rPr>
          <w:rFonts w:hint="eastAsia" w:ascii="宋体" w:hAnsi="宋体"/>
          <w:color w:val="auto"/>
          <w:sz w:val="24"/>
          <w:highlight w:val="none"/>
        </w:rPr>
        <w:t xml:space="preserve">  地址：</w:t>
      </w:r>
    </w:p>
    <w:p w14:paraId="18643309">
      <w:pPr>
        <w:spacing w:line="360" w:lineRule="auto"/>
        <w:rPr>
          <w:rFonts w:hint="eastAsia" w:ascii="宋体" w:hAnsi="宋体"/>
          <w:color w:val="auto"/>
          <w:sz w:val="24"/>
          <w:highlight w:val="none"/>
        </w:rPr>
      </w:pPr>
      <w:r>
        <w:rPr>
          <w:rFonts w:hint="eastAsia" w:ascii="宋体" w:hAnsi="宋体"/>
          <w:color w:val="auto"/>
          <w:sz w:val="24"/>
          <w:highlight w:val="none"/>
        </w:rPr>
        <w:t>受益人：</w:t>
      </w:r>
    </w:p>
    <w:p w14:paraId="3EA79220">
      <w:pPr>
        <w:spacing w:line="360" w:lineRule="auto"/>
        <w:rPr>
          <w:rFonts w:hint="eastAsia" w:ascii="宋体" w:hAnsi="宋体"/>
          <w:color w:val="auto"/>
          <w:sz w:val="24"/>
          <w:highlight w:val="none"/>
        </w:rPr>
      </w:pPr>
      <w:r>
        <w:rPr>
          <w:rFonts w:hint="eastAsia" w:ascii="宋体" w:hAnsi="宋体"/>
          <w:color w:val="auto"/>
          <w:sz w:val="24"/>
          <w:highlight w:val="none"/>
        </w:rPr>
        <w:t xml:space="preserve">  地址：</w:t>
      </w:r>
    </w:p>
    <w:p w14:paraId="64952832">
      <w:pPr>
        <w:spacing w:line="360" w:lineRule="auto"/>
        <w:rPr>
          <w:rFonts w:hint="eastAsia" w:ascii="宋体" w:hAnsi="宋体"/>
          <w:color w:val="auto"/>
          <w:sz w:val="24"/>
          <w:highlight w:val="none"/>
        </w:rPr>
      </w:pPr>
      <w:r>
        <w:rPr>
          <w:rFonts w:hint="eastAsia" w:ascii="宋体" w:hAnsi="宋体"/>
          <w:color w:val="auto"/>
          <w:sz w:val="24"/>
          <w:highlight w:val="none"/>
        </w:rPr>
        <w:t>开立人：</w:t>
      </w:r>
    </w:p>
    <w:p w14:paraId="330625D8">
      <w:pPr>
        <w:spacing w:line="360" w:lineRule="auto"/>
        <w:rPr>
          <w:rFonts w:hint="eastAsia" w:ascii="宋体" w:hAnsi="宋体"/>
          <w:color w:val="auto"/>
          <w:sz w:val="24"/>
          <w:highlight w:val="none"/>
        </w:rPr>
      </w:pPr>
      <w:r>
        <w:rPr>
          <w:rFonts w:hint="eastAsia" w:ascii="宋体" w:hAnsi="宋体"/>
          <w:color w:val="auto"/>
          <w:sz w:val="24"/>
          <w:highlight w:val="none"/>
        </w:rPr>
        <w:t xml:space="preserve">  地址：</w:t>
      </w:r>
    </w:p>
    <w:p w14:paraId="3DCDC948">
      <w:pPr>
        <w:spacing w:line="360" w:lineRule="auto"/>
        <w:rPr>
          <w:rFonts w:hint="eastAsia" w:ascii="宋体" w:hAnsi="宋体"/>
          <w:color w:val="auto"/>
          <w:sz w:val="24"/>
          <w:highlight w:val="none"/>
        </w:rPr>
      </w:pPr>
      <w:r>
        <w:rPr>
          <w:rFonts w:hint="eastAsia" w:ascii="宋体" w:hAnsi="宋体"/>
          <w:color w:val="auto"/>
          <w:sz w:val="24"/>
          <w:highlight w:val="none"/>
        </w:rPr>
        <w:t xml:space="preserve"> </w:t>
      </w:r>
    </w:p>
    <w:p w14:paraId="7A45F237">
      <w:pPr>
        <w:spacing w:line="360" w:lineRule="auto"/>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 xml:space="preserve">（受益人名称）： </w:t>
      </w:r>
    </w:p>
    <w:p w14:paraId="3D65FB18">
      <w:pPr>
        <w:spacing w:line="360" w:lineRule="auto"/>
        <w:ind w:firstLine="480"/>
        <w:rPr>
          <w:rFonts w:hint="eastAsia" w:ascii="宋体" w:hAnsi="宋体"/>
          <w:color w:val="auto"/>
          <w:sz w:val="24"/>
          <w:highlight w:val="none"/>
        </w:rPr>
      </w:pPr>
      <w:r>
        <w:rPr>
          <w:rFonts w:hint="eastAsia" w:ascii="宋体" w:hAnsi="宋体"/>
          <w:color w:val="auto"/>
          <w:sz w:val="24"/>
          <w:highlight w:val="none"/>
        </w:rPr>
        <w:t>鉴于</w:t>
      </w:r>
      <w:r>
        <w:rPr>
          <w:rFonts w:hint="eastAsia" w:ascii="宋体" w:hAnsi="宋体"/>
          <w:color w:val="auto"/>
          <w:sz w:val="24"/>
          <w:highlight w:val="none"/>
          <w:u w:val="single"/>
        </w:rPr>
        <w:t xml:space="preserve">        </w:t>
      </w:r>
      <w:r>
        <w:rPr>
          <w:rFonts w:hint="eastAsia" w:ascii="宋体" w:hAnsi="宋体"/>
          <w:color w:val="auto"/>
          <w:sz w:val="24"/>
          <w:highlight w:val="none"/>
        </w:rPr>
        <w:t>（以下简称“受益人”）与</w:t>
      </w:r>
      <w:r>
        <w:rPr>
          <w:rFonts w:hint="eastAsia" w:ascii="宋体" w:hAnsi="宋体"/>
          <w:color w:val="auto"/>
          <w:sz w:val="24"/>
          <w:highlight w:val="none"/>
          <w:u w:val="single"/>
        </w:rPr>
        <w:t xml:space="preserve">         </w:t>
      </w:r>
      <w:r>
        <w:rPr>
          <w:rFonts w:hint="eastAsia" w:ascii="宋体" w:hAnsi="宋体"/>
          <w:color w:val="auto"/>
          <w:sz w:val="24"/>
          <w:highlight w:val="none"/>
        </w:rPr>
        <w:t>（以下简称“申请人”）于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日就</w:t>
      </w:r>
      <w:r>
        <w:rPr>
          <w:rFonts w:hint="eastAsia" w:ascii="宋体" w:hAnsi="宋体"/>
          <w:color w:val="auto"/>
          <w:sz w:val="24"/>
          <w:highlight w:val="none"/>
          <w:u w:val="single"/>
        </w:rPr>
        <w:t xml:space="preserve">           </w:t>
      </w:r>
      <w:r>
        <w:rPr>
          <w:rFonts w:hint="eastAsia" w:ascii="宋体" w:hAnsi="宋体"/>
          <w:color w:val="auto"/>
          <w:sz w:val="24"/>
          <w:highlight w:val="none"/>
        </w:rPr>
        <w:t>工程（以下简称“本工程”）施工和有关事项协商一致共同签订</w:t>
      </w:r>
      <w:r>
        <w:rPr>
          <w:rFonts w:hint="eastAsia" w:ascii="宋体" w:hAnsi="宋体"/>
          <w:color w:val="auto"/>
          <w:sz w:val="24"/>
          <w:highlight w:val="none"/>
          <w:u w:val="single"/>
        </w:rPr>
        <w:t>《        》</w:t>
      </w:r>
      <w:r>
        <w:rPr>
          <w:rFonts w:hint="eastAsia" w:ascii="宋体" w:hAnsi="宋体"/>
          <w:color w:val="auto"/>
          <w:sz w:val="24"/>
          <w:highlight w:val="none"/>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368BF693">
      <w:pPr>
        <w:spacing w:line="360" w:lineRule="auto"/>
        <w:ind w:firstLine="480"/>
        <w:rPr>
          <w:rFonts w:hint="eastAsia" w:ascii="宋体" w:hAnsi="宋体"/>
          <w:color w:val="auto"/>
          <w:sz w:val="24"/>
          <w:highlight w:val="none"/>
        </w:rPr>
      </w:pPr>
      <w:r>
        <w:rPr>
          <w:rFonts w:hint="eastAsia" w:ascii="宋体" w:hAnsi="宋体"/>
          <w:color w:val="auto"/>
          <w:sz w:val="24"/>
          <w:highlight w:val="none"/>
        </w:rPr>
        <w:t>一、本保函担保范围：承包人未按照基础合同的约定履行义务，应当向贵方承担的违约责任和赔偿因此造成的损失、利息、律师费、诉讼费用等实现债权的费用。</w:t>
      </w:r>
    </w:p>
    <w:p w14:paraId="42FA32AD">
      <w:pPr>
        <w:spacing w:line="360" w:lineRule="auto"/>
        <w:ind w:firstLine="480"/>
        <w:rPr>
          <w:rFonts w:hint="eastAsia" w:ascii="宋体" w:hAnsi="宋体"/>
          <w:color w:val="auto"/>
          <w:sz w:val="24"/>
          <w:highlight w:val="none"/>
        </w:rPr>
      </w:pPr>
      <w:r>
        <w:rPr>
          <w:rFonts w:hint="eastAsia" w:ascii="宋体" w:hAnsi="宋体"/>
          <w:color w:val="auto"/>
          <w:sz w:val="24"/>
          <w:highlight w:val="none"/>
        </w:rPr>
        <w:t>二、本保函担保金额最高不超过人民币（大写）</w:t>
      </w:r>
      <w:r>
        <w:rPr>
          <w:rFonts w:hint="eastAsia" w:ascii="宋体" w:hAnsi="宋体"/>
          <w:color w:val="auto"/>
          <w:sz w:val="24"/>
          <w:highlight w:val="none"/>
          <w:u w:val="single"/>
        </w:rPr>
        <w:t xml:space="preserve">          </w:t>
      </w:r>
      <w:r>
        <w:rPr>
          <w:rFonts w:hint="eastAsia" w:ascii="宋体" w:hAnsi="宋体"/>
          <w:color w:val="auto"/>
          <w:sz w:val="24"/>
          <w:highlight w:val="none"/>
        </w:rPr>
        <w:t>元（¥</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588A2A9C">
      <w:pPr>
        <w:spacing w:line="360" w:lineRule="auto"/>
        <w:ind w:firstLine="480"/>
        <w:rPr>
          <w:rFonts w:hint="eastAsia" w:ascii="宋体" w:hAnsi="宋体"/>
          <w:color w:val="auto"/>
          <w:sz w:val="24"/>
          <w:highlight w:val="none"/>
        </w:rPr>
      </w:pPr>
      <w:r>
        <w:rPr>
          <w:rFonts w:hint="eastAsia" w:ascii="宋体" w:hAnsi="宋体"/>
          <w:color w:val="auto"/>
          <w:sz w:val="24"/>
          <w:highlight w:val="none"/>
        </w:rPr>
        <w:t>三、本保函有效期自开立之日起至基础合同约定的缺陷责任期后</w:t>
      </w:r>
      <w:r>
        <w:rPr>
          <w:rFonts w:hint="eastAsia" w:ascii="宋体" w:hAnsi="宋体"/>
          <w:color w:val="auto"/>
          <w:sz w:val="24"/>
          <w:highlight w:val="none"/>
          <w:u w:val="single"/>
        </w:rPr>
        <w:t xml:space="preserve">   </w:t>
      </w:r>
      <w:r>
        <w:rPr>
          <w:rFonts w:hint="eastAsia" w:ascii="宋体" w:hAnsi="宋体"/>
          <w:color w:val="auto"/>
          <w:sz w:val="24"/>
          <w:highlight w:val="none"/>
        </w:rPr>
        <w:t>日止，最迟不超过</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 </w:t>
      </w:r>
    </w:p>
    <w:p w14:paraId="49D08ADC">
      <w:pPr>
        <w:spacing w:line="360" w:lineRule="auto"/>
        <w:ind w:firstLine="480"/>
        <w:rPr>
          <w:rFonts w:hint="eastAsia" w:ascii="宋体" w:hAnsi="宋体"/>
          <w:color w:val="auto"/>
          <w:sz w:val="24"/>
          <w:highlight w:val="none"/>
        </w:rPr>
      </w:pPr>
      <w:r>
        <w:rPr>
          <w:rFonts w:hint="eastAsia" w:ascii="宋体" w:hAnsi="宋体"/>
          <w:color w:val="auto"/>
          <w:sz w:val="24"/>
          <w:highlight w:val="none"/>
        </w:rPr>
        <w:t>四、我方承诺，在收到受益人发来的书面付款通知后的</w:t>
      </w:r>
      <w:r>
        <w:rPr>
          <w:rFonts w:hint="eastAsia" w:ascii="宋体" w:hAnsi="宋体"/>
          <w:color w:val="auto"/>
          <w:sz w:val="24"/>
          <w:highlight w:val="none"/>
          <w:u w:val="single"/>
        </w:rPr>
        <w:t xml:space="preserve">    </w:t>
      </w:r>
      <w:r>
        <w:rPr>
          <w:rFonts w:hint="eastAsia" w:ascii="宋体" w:hAnsi="宋体"/>
          <w:color w:val="auto"/>
          <w:sz w:val="24"/>
          <w:highlight w:val="none"/>
        </w:rPr>
        <w:t>日内无条件支付，前述书面付款通知即为付款要求之单据，且应满足以下要求：</w:t>
      </w:r>
    </w:p>
    <w:p w14:paraId="7823E0BA">
      <w:pPr>
        <w:spacing w:line="360" w:lineRule="auto"/>
        <w:ind w:firstLine="480"/>
        <w:rPr>
          <w:rFonts w:hint="eastAsia" w:ascii="宋体" w:hAnsi="宋体"/>
          <w:color w:val="auto"/>
          <w:sz w:val="24"/>
          <w:highlight w:val="none"/>
        </w:rPr>
      </w:pPr>
      <w:r>
        <w:rPr>
          <w:rFonts w:hint="eastAsia" w:ascii="宋体" w:hAnsi="宋体"/>
          <w:color w:val="auto"/>
          <w:sz w:val="24"/>
          <w:highlight w:val="none"/>
        </w:rPr>
        <w:t>（1）付款通知到达的日期在本保函的有效期内；</w:t>
      </w:r>
    </w:p>
    <w:p w14:paraId="4790262E">
      <w:pPr>
        <w:spacing w:line="360" w:lineRule="auto"/>
        <w:ind w:firstLine="480"/>
        <w:rPr>
          <w:rFonts w:hint="eastAsia" w:ascii="宋体" w:hAnsi="宋体"/>
          <w:color w:val="auto"/>
          <w:sz w:val="24"/>
          <w:highlight w:val="none"/>
        </w:rPr>
      </w:pPr>
      <w:r>
        <w:rPr>
          <w:rFonts w:hint="eastAsia" w:ascii="宋体" w:hAnsi="宋体"/>
          <w:color w:val="auto"/>
          <w:sz w:val="24"/>
          <w:highlight w:val="none"/>
        </w:rPr>
        <w:t>（2）载明要求支付的金额；</w:t>
      </w:r>
    </w:p>
    <w:p w14:paraId="63D52BD4">
      <w:pPr>
        <w:spacing w:line="360" w:lineRule="auto"/>
        <w:ind w:firstLine="480"/>
        <w:rPr>
          <w:rFonts w:hint="eastAsia" w:ascii="宋体" w:hAnsi="宋体"/>
          <w:color w:val="auto"/>
          <w:sz w:val="24"/>
          <w:highlight w:val="none"/>
        </w:rPr>
      </w:pPr>
      <w:r>
        <w:rPr>
          <w:rFonts w:hint="eastAsia" w:ascii="宋体" w:hAnsi="宋体"/>
          <w:color w:val="auto"/>
          <w:sz w:val="24"/>
          <w:highlight w:val="none"/>
        </w:rPr>
        <w:t>（3）载明申请人违反合同义务的条款和内容；</w:t>
      </w:r>
    </w:p>
    <w:p w14:paraId="52801F60">
      <w:pPr>
        <w:spacing w:line="360" w:lineRule="auto"/>
        <w:ind w:firstLine="480"/>
        <w:rPr>
          <w:rFonts w:hint="eastAsia" w:ascii="宋体" w:hAnsi="宋体"/>
          <w:color w:val="auto"/>
          <w:sz w:val="24"/>
          <w:highlight w:val="none"/>
        </w:rPr>
      </w:pPr>
      <w:r>
        <w:rPr>
          <w:rFonts w:hint="eastAsia" w:ascii="宋体" w:hAnsi="宋体"/>
          <w:color w:val="auto"/>
          <w:sz w:val="24"/>
          <w:highlight w:val="none"/>
        </w:rPr>
        <w:t>（4）声明不存在合同文件约定或我国法律规定免除申请人或开立人支付责任的情形；</w:t>
      </w:r>
    </w:p>
    <w:p w14:paraId="68DC4616">
      <w:pPr>
        <w:spacing w:line="360" w:lineRule="auto"/>
        <w:ind w:firstLine="480"/>
        <w:rPr>
          <w:rFonts w:hint="eastAsia" w:ascii="宋体" w:hAnsi="宋体"/>
          <w:color w:val="auto"/>
          <w:sz w:val="24"/>
          <w:highlight w:val="none"/>
        </w:rPr>
      </w:pPr>
      <w:r>
        <w:rPr>
          <w:rFonts w:hint="eastAsia" w:ascii="宋体" w:hAnsi="宋体"/>
          <w:color w:val="auto"/>
          <w:sz w:val="24"/>
          <w:highlight w:val="none"/>
        </w:rPr>
        <w:t>（5）付款通知应在本保函有效期内到达的地址是：</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2933CE6D">
      <w:pPr>
        <w:spacing w:line="360" w:lineRule="auto"/>
        <w:ind w:firstLine="480"/>
        <w:rPr>
          <w:rFonts w:hint="eastAsia" w:ascii="宋体" w:hAnsi="宋体"/>
          <w:color w:val="auto"/>
          <w:sz w:val="24"/>
          <w:highlight w:val="none"/>
        </w:rPr>
      </w:pPr>
      <w:r>
        <w:rPr>
          <w:rFonts w:hint="eastAsia" w:ascii="宋体" w:hAnsi="宋体"/>
          <w:color w:val="auto"/>
          <w:sz w:val="24"/>
          <w:highlight w:val="none"/>
        </w:rPr>
        <w:t>受益人发出的书面付款通知应由其为鉴明受益人法定代表人（负责人）或授权代理人签字并加盖公章。</w:t>
      </w:r>
    </w:p>
    <w:p w14:paraId="1F396000">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五、本保函项下的权利不得转让，不得设定担保。贵方未经我方书面同意转 让本保函或其项下任何权利，对我方不发生法律效力。 </w:t>
      </w:r>
    </w:p>
    <w:p w14:paraId="13DCA1CE">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六、与本保函有关的基础合同不成立、不生效、无效、被撤销、被解除，不影响本保函的独立有效。 </w:t>
      </w:r>
    </w:p>
    <w:p w14:paraId="68C52CB7">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5425006A">
      <w:pPr>
        <w:spacing w:line="360" w:lineRule="auto"/>
        <w:ind w:firstLine="480"/>
        <w:rPr>
          <w:rFonts w:hint="eastAsia" w:ascii="宋体" w:hAnsi="宋体"/>
          <w:color w:val="auto"/>
          <w:sz w:val="24"/>
          <w:highlight w:val="none"/>
        </w:rPr>
      </w:pPr>
      <w:r>
        <w:rPr>
          <w:rFonts w:hint="eastAsia" w:ascii="宋体" w:hAnsi="宋体"/>
          <w:color w:val="auto"/>
          <w:sz w:val="24"/>
          <w:highlight w:val="none"/>
        </w:rPr>
        <w:t>八、本保函适用的法律为中华人民共和国法律，争议裁判管辖地为中华人民共和国</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22D8BCC8">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九、本保函自我方法定代表人或授权代表签字并加盖公章之日起生效。 </w:t>
      </w:r>
    </w:p>
    <w:p w14:paraId="269447C7">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开 立 人：                              （公章） </w:t>
      </w:r>
    </w:p>
    <w:p w14:paraId="4F9D83FE">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法定代表人（或授权代表）：               （签字） </w:t>
      </w:r>
    </w:p>
    <w:p w14:paraId="11E67061">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地    址：                                       </w:t>
      </w:r>
    </w:p>
    <w:p w14:paraId="387403D6">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邮政编码：                 </w:t>
      </w:r>
    </w:p>
    <w:p w14:paraId="6FEA0AFC">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电    话：                 </w:t>
      </w:r>
    </w:p>
    <w:p w14:paraId="74423AA2">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传    真：                 </w:t>
      </w:r>
    </w:p>
    <w:p w14:paraId="26B7C8AD">
      <w:pPr>
        <w:spacing w:line="360" w:lineRule="auto"/>
        <w:ind w:firstLine="480"/>
        <w:rPr>
          <w:rFonts w:hint="eastAsia"/>
          <w:color w:val="auto"/>
          <w:szCs w:val="21"/>
          <w:highlight w:val="none"/>
        </w:rPr>
      </w:pPr>
      <w:r>
        <w:rPr>
          <w:rFonts w:hint="eastAsia" w:ascii="宋体" w:hAnsi="宋体"/>
          <w:color w:val="auto"/>
          <w:sz w:val="24"/>
          <w:highlight w:val="none"/>
        </w:rPr>
        <w:t xml:space="preserve">开立时间：      年      月    </w:t>
      </w:r>
    </w:p>
    <w:p w14:paraId="68764582">
      <w:pPr>
        <w:spacing w:line="360" w:lineRule="auto"/>
        <w:jc w:val="left"/>
        <w:rPr>
          <w:rFonts w:eastAsia="仿宋_GB2312"/>
          <w:color w:val="auto"/>
          <w:sz w:val="30"/>
          <w:szCs w:val="30"/>
          <w:highlight w:val="none"/>
        </w:rPr>
      </w:pPr>
    </w:p>
    <w:p w14:paraId="7E5D1A25">
      <w:pPr>
        <w:spacing w:line="360" w:lineRule="auto"/>
        <w:rPr>
          <w:rFonts w:hint="eastAsia" w:ascii="宋体" w:hAnsi="宋体"/>
          <w:b/>
          <w:bCs/>
          <w:color w:val="auto"/>
          <w:sz w:val="32"/>
          <w:szCs w:val="32"/>
          <w:highlight w:val="none"/>
        </w:rPr>
      </w:pPr>
    </w:p>
    <w:p w14:paraId="097911A6">
      <w:pPr>
        <w:spacing w:line="360" w:lineRule="auto"/>
        <w:jc w:val="center"/>
        <w:rPr>
          <w:rFonts w:hint="eastAsia" w:ascii="宋体" w:hAnsi="宋体"/>
          <w:b/>
          <w:bCs/>
          <w:color w:val="auto"/>
          <w:sz w:val="32"/>
          <w:szCs w:val="32"/>
          <w:highlight w:val="none"/>
        </w:rPr>
      </w:pPr>
      <w:r>
        <w:rPr>
          <w:rFonts w:ascii="宋体" w:hAnsi="宋体"/>
          <w:b/>
          <w:bCs/>
          <w:color w:val="auto"/>
          <w:sz w:val="32"/>
          <w:szCs w:val="32"/>
          <w:highlight w:val="none"/>
        </w:rPr>
        <w:br w:type="page" w:clear="all"/>
      </w:r>
      <w:r>
        <w:rPr>
          <w:rFonts w:hint="eastAsia" w:ascii="宋体" w:hAnsi="宋体"/>
          <w:b/>
          <w:bCs/>
          <w:color w:val="auto"/>
          <w:sz w:val="32"/>
          <w:szCs w:val="32"/>
          <w:highlight w:val="none"/>
        </w:rPr>
        <w:t>履约保函示范文本</w:t>
      </w:r>
    </w:p>
    <w:p w14:paraId="40D3514A">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（非独立保函）</w:t>
      </w:r>
    </w:p>
    <w:p w14:paraId="221294E4">
      <w:pPr>
        <w:spacing w:line="360" w:lineRule="auto"/>
        <w:jc w:val="center"/>
        <w:rPr>
          <w:rFonts w:hint="eastAsia" w:ascii="宋体" w:hAnsi="宋体"/>
          <w:b/>
          <w:bCs/>
          <w:color w:val="auto"/>
          <w:sz w:val="32"/>
          <w:szCs w:val="32"/>
          <w:highlight w:val="none"/>
        </w:rPr>
      </w:pPr>
    </w:p>
    <w:p w14:paraId="6F7805A2">
      <w:pPr>
        <w:spacing w:line="360" w:lineRule="auto"/>
        <w:jc w:val="right"/>
        <w:rPr>
          <w:rFonts w:hint="eastAsia" w:ascii="宋体" w:hAnsi="宋体"/>
          <w:color w:val="auto"/>
          <w:szCs w:val="21"/>
          <w:highlight w:val="none"/>
        </w:rPr>
      </w:pPr>
      <w:r>
        <w:rPr>
          <w:rFonts w:hint="eastAsia" w:ascii="宋体" w:hAnsi="宋体"/>
          <w:color w:val="auto"/>
          <w:highlight w:val="none"/>
        </w:rPr>
        <w:t xml:space="preserve">编号：           </w:t>
      </w:r>
    </w:p>
    <w:p w14:paraId="6A4F4344">
      <w:pPr>
        <w:spacing w:line="360" w:lineRule="auto"/>
        <w:rPr>
          <w:rFonts w:hint="eastAsia" w:ascii="宋体" w:hAnsi="宋体"/>
          <w:color w:val="auto"/>
          <w:sz w:val="24"/>
          <w:highlight w:val="none"/>
        </w:rPr>
      </w:pPr>
      <w:r>
        <w:rPr>
          <w:rFonts w:hint="eastAsia" w:ascii="宋体" w:hAnsi="宋体"/>
          <w:color w:val="auto"/>
          <w:sz w:val="24"/>
          <w:highlight w:val="none"/>
        </w:rPr>
        <w:t>承包人：</w:t>
      </w:r>
    </w:p>
    <w:p w14:paraId="3079119A">
      <w:pPr>
        <w:spacing w:line="360" w:lineRule="auto"/>
        <w:rPr>
          <w:rFonts w:hint="eastAsia" w:ascii="宋体" w:hAnsi="宋体"/>
          <w:color w:val="auto"/>
          <w:sz w:val="24"/>
          <w:highlight w:val="none"/>
        </w:rPr>
      </w:pPr>
      <w:r>
        <w:rPr>
          <w:rFonts w:hint="eastAsia" w:ascii="宋体" w:hAnsi="宋体"/>
          <w:color w:val="auto"/>
          <w:sz w:val="24"/>
          <w:highlight w:val="none"/>
        </w:rPr>
        <w:t>地址：</w:t>
      </w:r>
    </w:p>
    <w:p w14:paraId="3EB5A141">
      <w:pPr>
        <w:spacing w:line="360" w:lineRule="auto"/>
        <w:rPr>
          <w:rFonts w:hint="eastAsia" w:ascii="宋体" w:hAnsi="宋体"/>
          <w:color w:val="auto"/>
          <w:sz w:val="24"/>
          <w:highlight w:val="none"/>
        </w:rPr>
      </w:pPr>
      <w:r>
        <w:rPr>
          <w:rFonts w:hint="eastAsia" w:ascii="宋体" w:hAnsi="宋体"/>
          <w:color w:val="auto"/>
          <w:sz w:val="24"/>
          <w:highlight w:val="none"/>
        </w:rPr>
        <w:t xml:space="preserve">担保权人/发包人： </w:t>
      </w:r>
    </w:p>
    <w:p w14:paraId="3E786CE8">
      <w:pPr>
        <w:spacing w:line="360" w:lineRule="auto"/>
        <w:rPr>
          <w:rFonts w:hint="eastAsia" w:ascii="宋体" w:hAnsi="宋体"/>
          <w:color w:val="auto"/>
          <w:sz w:val="24"/>
          <w:highlight w:val="none"/>
        </w:rPr>
      </w:pPr>
      <w:r>
        <w:rPr>
          <w:rFonts w:hint="eastAsia" w:ascii="宋体" w:hAnsi="宋体"/>
          <w:color w:val="auto"/>
          <w:sz w:val="24"/>
          <w:highlight w:val="none"/>
        </w:rPr>
        <w:t>地址：</w:t>
      </w:r>
    </w:p>
    <w:p w14:paraId="0D3C7B3D">
      <w:pPr>
        <w:spacing w:line="360" w:lineRule="auto"/>
        <w:rPr>
          <w:rFonts w:hint="eastAsia" w:ascii="宋体" w:hAnsi="宋体"/>
          <w:color w:val="auto"/>
          <w:sz w:val="24"/>
          <w:highlight w:val="none"/>
        </w:rPr>
      </w:pPr>
      <w:r>
        <w:rPr>
          <w:rFonts w:hint="eastAsia" w:ascii="宋体" w:hAnsi="宋体"/>
          <w:color w:val="auto"/>
          <w:sz w:val="24"/>
          <w:highlight w:val="none"/>
        </w:rPr>
        <w:t>保证人：</w:t>
      </w:r>
    </w:p>
    <w:p w14:paraId="458095F4">
      <w:pPr>
        <w:spacing w:line="360" w:lineRule="auto"/>
        <w:rPr>
          <w:rFonts w:hint="eastAsia" w:ascii="宋体" w:hAnsi="宋体"/>
          <w:color w:val="auto"/>
          <w:sz w:val="24"/>
          <w:highlight w:val="none"/>
        </w:rPr>
      </w:pPr>
      <w:r>
        <w:rPr>
          <w:rFonts w:hint="eastAsia" w:ascii="宋体" w:hAnsi="宋体"/>
          <w:color w:val="auto"/>
          <w:sz w:val="24"/>
          <w:highlight w:val="none"/>
        </w:rPr>
        <w:t>地址：</w:t>
      </w:r>
    </w:p>
    <w:p w14:paraId="72801D6E">
      <w:pPr>
        <w:spacing w:line="360" w:lineRule="auto"/>
        <w:rPr>
          <w:rFonts w:hint="eastAsia" w:ascii="宋体" w:hAnsi="宋体"/>
          <w:color w:val="auto"/>
          <w:sz w:val="24"/>
          <w:highlight w:val="none"/>
        </w:rPr>
      </w:pPr>
    </w:p>
    <w:p w14:paraId="40CA48D2">
      <w:pPr>
        <w:spacing w:line="360" w:lineRule="auto"/>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 xml:space="preserve">（发包人名称）： </w:t>
      </w:r>
    </w:p>
    <w:p w14:paraId="7674F683">
      <w:pPr>
        <w:spacing w:line="360" w:lineRule="auto"/>
        <w:ind w:firstLine="480"/>
        <w:rPr>
          <w:rFonts w:hint="eastAsia" w:ascii="宋体" w:hAnsi="宋体"/>
          <w:color w:val="auto"/>
          <w:sz w:val="24"/>
          <w:highlight w:val="none"/>
        </w:rPr>
      </w:pPr>
      <w:r>
        <w:rPr>
          <w:rFonts w:hint="eastAsia" w:ascii="宋体" w:hAnsi="宋体"/>
          <w:color w:val="auto"/>
          <w:sz w:val="24"/>
          <w:highlight w:val="none"/>
        </w:rPr>
        <w:t>鉴于</w:t>
      </w:r>
      <w:r>
        <w:rPr>
          <w:rFonts w:hint="eastAsia" w:ascii="宋体" w:hAnsi="宋体"/>
          <w:color w:val="auto"/>
          <w:sz w:val="24"/>
          <w:highlight w:val="none"/>
          <w:u w:val="single"/>
        </w:rPr>
        <w:t xml:space="preserve">        </w:t>
      </w:r>
      <w:r>
        <w:rPr>
          <w:rFonts w:hint="eastAsia" w:ascii="宋体" w:hAnsi="宋体"/>
          <w:color w:val="auto"/>
          <w:sz w:val="24"/>
          <w:highlight w:val="none"/>
        </w:rPr>
        <w:t>（以下简称“发包人”）与</w:t>
      </w:r>
      <w:r>
        <w:rPr>
          <w:rFonts w:hint="eastAsia" w:ascii="宋体" w:hAnsi="宋体"/>
          <w:color w:val="auto"/>
          <w:sz w:val="24"/>
          <w:highlight w:val="none"/>
          <w:u w:val="single"/>
        </w:rPr>
        <w:t xml:space="preserve">         </w:t>
      </w:r>
      <w:r>
        <w:rPr>
          <w:rFonts w:hint="eastAsia" w:ascii="宋体" w:hAnsi="宋体"/>
          <w:color w:val="auto"/>
          <w:sz w:val="24"/>
          <w:highlight w:val="none"/>
        </w:rPr>
        <w:t>（以下简称“承包人”）于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日就</w:t>
      </w:r>
      <w:r>
        <w:rPr>
          <w:rFonts w:hint="eastAsia" w:ascii="宋体" w:hAnsi="宋体"/>
          <w:color w:val="auto"/>
          <w:sz w:val="24"/>
          <w:highlight w:val="none"/>
          <w:u w:val="single"/>
        </w:rPr>
        <w:t xml:space="preserve">           </w:t>
      </w:r>
      <w:r>
        <w:rPr>
          <w:rFonts w:hint="eastAsia" w:ascii="宋体" w:hAnsi="宋体"/>
          <w:color w:val="auto"/>
          <w:sz w:val="24"/>
          <w:highlight w:val="none"/>
        </w:rPr>
        <w:t>工程（以下简称“本工程”）施工和有关事项协商一致共同签订</w:t>
      </w:r>
      <w:r>
        <w:rPr>
          <w:rFonts w:hint="eastAsia" w:ascii="宋体" w:hAnsi="宋体"/>
          <w:color w:val="auto"/>
          <w:sz w:val="24"/>
          <w:highlight w:val="none"/>
          <w:u w:val="single"/>
        </w:rPr>
        <w:t>《        》</w:t>
      </w:r>
      <w:r>
        <w:rPr>
          <w:rFonts w:hint="eastAsia" w:ascii="宋体" w:hAnsi="宋体"/>
          <w:color w:val="auto"/>
          <w:sz w:val="24"/>
          <w:highlight w:val="none"/>
        </w:rPr>
        <w:t xml:space="preserve">（以下简称“主合同”），我方即保证人基于承包人的请求，同意就承包人履行与贵方签订的主合同项下的义务，向贵方提供如下保证担保（以下简称“本保证担保”）。 </w:t>
      </w:r>
    </w:p>
    <w:p w14:paraId="38382B0A">
      <w:pPr>
        <w:spacing w:line="360" w:lineRule="auto"/>
        <w:rPr>
          <w:rFonts w:hint="eastAsia" w:ascii="宋体" w:hAnsi="宋体"/>
          <w:b/>
          <w:bCs/>
          <w:color w:val="auto"/>
          <w:sz w:val="24"/>
          <w:highlight w:val="none"/>
        </w:rPr>
      </w:pPr>
      <w:r>
        <w:rPr>
          <w:rFonts w:hint="eastAsia" w:ascii="宋体" w:hAnsi="宋体"/>
          <w:color w:val="auto"/>
          <w:sz w:val="24"/>
          <w:highlight w:val="none"/>
        </w:rPr>
        <w:t xml:space="preserve">    </w:t>
      </w:r>
      <w:r>
        <w:rPr>
          <w:rFonts w:hint="eastAsia" w:ascii="宋体" w:hAnsi="宋体"/>
          <w:b/>
          <w:bCs/>
          <w:color w:val="auto"/>
          <w:sz w:val="24"/>
          <w:highlight w:val="none"/>
        </w:rPr>
        <w:t>一、保证担保的范围及保证担保金额</w:t>
      </w:r>
    </w:p>
    <w:p w14:paraId="57228089">
      <w:pPr>
        <w:spacing w:line="360" w:lineRule="auto"/>
        <w:ind w:firstLine="480"/>
        <w:rPr>
          <w:rFonts w:hint="eastAsia" w:ascii="宋体" w:hAnsi="宋体"/>
          <w:color w:val="auto"/>
          <w:sz w:val="24"/>
          <w:highlight w:val="none"/>
        </w:rPr>
      </w:pPr>
      <w:r>
        <w:rPr>
          <w:rFonts w:hint="eastAsia" w:ascii="宋体" w:hAnsi="宋体"/>
          <w:color w:val="auto"/>
          <w:sz w:val="24"/>
          <w:highlight w:val="none"/>
        </w:rPr>
        <w:t>1.保证担保范围：承包人未按照主合同的约定履行义务，应当向贵方承担的违约责任和赔偿因此造成的损失、利息、律师费、诉讼费用等实现债权的费用。</w:t>
      </w:r>
    </w:p>
    <w:p w14:paraId="6FAD543D">
      <w:pPr>
        <w:spacing w:line="360" w:lineRule="auto"/>
        <w:ind w:firstLine="480"/>
        <w:rPr>
          <w:rFonts w:hint="eastAsia" w:ascii="宋体" w:hAnsi="宋体"/>
          <w:color w:val="auto"/>
          <w:sz w:val="24"/>
          <w:highlight w:val="none"/>
        </w:rPr>
      </w:pPr>
      <w:r>
        <w:rPr>
          <w:rFonts w:hint="eastAsia" w:ascii="宋体" w:hAnsi="宋体"/>
          <w:color w:val="auto"/>
          <w:sz w:val="24"/>
          <w:highlight w:val="none"/>
        </w:rPr>
        <w:t>2.保证担保金额最高不超过人民币（大写）</w:t>
      </w:r>
      <w:r>
        <w:rPr>
          <w:rFonts w:hint="eastAsia" w:ascii="宋体" w:hAnsi="宋体"/>
          <w:color w:val="auto"/>
          <w:sz w:val="24"/>
          <w:highlight w:val="none"/>
          <w:u w:val="single"/>
        </w:rPr>
        <w:t xml:space="preserve">          </w:t>
      </w:r>
      <w:r>
        <w:rPr>
          <w:rFonts w:hint="eastAsia" w:ascii="宋体" w:hAnsi="宋体"/>
          <w:color w:val="auto"/>
          <w:sz w:val="24"/>
          <w:highlight w:val="none"/>
        </w:rPr>
        <w:t>元（¥</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5E6BD31A">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 xml:space="preserve">二、保证担保的方式及保证期间 </w:t>
      </w:r>
    </w:p>
    <w:p w14:paraId="4DD13775">
      <w:pPr>
        <w:spacing w:line="360" w:lineRule="auto"/>
        <w:ind w:firstLine="480"/>
        <w:rPr>
          <w:rFonts w:hint="eastAsia" w:ascii="宋体" w:hAnsi="宋体"/>
          <w:color w:val="auto"/>
          <w:sz w:val="24"/>
          <w:highlight w:val="none"/>
        </w:rPr>
      </w:pPr>
      <w:r>
        <w:rPr>
          <w:rFonts w:hint="eastAsia" w:ascii="宋体" w:hAnsi="宋体"/>
          <w:color w:val="auto"/>
          <w:sz w:val="24"/>
          <w:highlight w:val="none"/>
        </w:rPr>
        <w:t>1.保证担保方式：连带责任保证。</w:t>
      </w:r>
    </w:p>
    <w:p w14:paraId="2F1F3AE0">
      <w:pPr>
        <w:spacing w:line="360" w:lineRule="auto"/>
        <w:ind w:firstLine="480"/>
        <w:rPr>
          <w:rFonts w:hint="eastAsia" w:ascii="宋体" w:hAnsi="宋体"/>
          <w:color w:val="auto"/>
          <w:sz w:val="24"/>
          <w:highlight w:val="none"/>
        </w:rPr>
      </w:pPr>
      <w:r>
        <w:rPr>
          <w:rFonts w:hint="eastAsia" w:ascii="宋体" w:hAnsi="宋体"/>
          <w:color w:val="auto"/>
          <w:sz w:val="24"/>
          <w:highlight w:val="none"/>
        </w:rPr>
        <w:t>2.保证期间：自出具之日起至主合同约定的缺陷责任期后</w:t>
      </w:r>
      <w:r>
        <w:rPr>
          <w:rFonts w:hint="eastAsia" w:ascii="宋体" w:hAnsi="宋体"/>
          <w:color w:val="auto"/>
          <w:sz w:val="24"/>
          <w:highlight w:val="none"/>
          <w:u w:val="single"/>
        </w:rPr>
        <w:t xml:space="preserve">   </w:t>
      </w:r>
      <w:r>
        <w:rPr>
          <w:rFonts w:hint="eastAsia" w:ascii="宋体" w:hAnsi="宋体"/>
          <w:color w:val="auto"/>
          <w:sz w:val="24"/>
          <w:highlight w:val="none"/>
        </w:rPr>
        <w:t>日止，最迟不超过</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 </w:t>
      </w:r>
    </w:p>
    <w:p w14:paraId="60C1EC23">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三、承担保证担保责任的形式</w:t>
      </w:r>
    </w:p>
    <w:p w14:paraId="11FC5BBC">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我方按照贵方的要求以下列方式之一承担保证担保责任： </w:t>
      </w:r>
    </w:p>
    <w:p w14:paraId="6420C017">
      <w:pPr>
        <w:spacing w:line="360" w:lineRule="auto"/>
        <w:ind w:firstLine="480"/>
        <w:rPr>
          <w:rFonts w:hint="eastAsia" w:ascii="宋体" w:hAnsi="宋体"/>
          <w:color w:val="auto"/>
          <w:sz w:val="24"/>
          <w:highlight w:val="none"/>
        </w:rPr>
      </w:pPr>
      <w:r>
        <w:rPr>
          <w:rFonts w:hint="eastAsia" w:ascii="宋体" w:hAnsi="宋体"/>
          <w:color w:val="auto"/>
          <w:sz w:val="24"/>
          <w:highlight w:val="none"/>
        </w:rPr>
        <w:t>1.向承包人资金、设备或者技术援助，使其能继续履行合同义务；</w:t>
      </w:r>
    </w:p>
    <w:p w14:paraId="1686FED7">
      <w:pPr>
        <w:spacing w:line="360" w:lineRule="auto"/>
        <w:ind w:firstLine="480"/>
        <w:rPr>
          <w:rFonts w:hint="eastAsia" w:ascii="宋体" w:hAnsi="宋体"/>
          <w:color w:val="auto"/>
          <w:sz w:val="24"/>
          <w:highlight w:val="none"/>
        </w:rPr>
      </w:pPr>
      <w:r>
        <w:rPr>
          <w:rFonts w:hint="eastAsia" w:ascii="宋体" w:hAnsi="宋体"/>
          <w:color w:val="auto"/>
          <w:sz w:val="24"/>
          <w:highlight w:val="none"/>
        </w:rPr>
        <w:t>2.直接接管该项工程或者委托经贵方同意的其他承包商，继续履行合同义务；</w:t>
      </w:r>
    </w:p>
    <w:p w14:paraId="7A5A47E5">
      <w:pPr>
        <w:spacing w:line="360" w:lineRule="auto"/>
        <w:ind w:firstLine="480"/>
        <w:rPr>
          <w:rFonts w:hint="eastAsia" w:ascii="宋体" w:hAnsi="宋体"/>
          <w:color w:val="auto"/>
          <w:sz w:val="24"/>
          <w:highlight w:val="none"/>
        </w:rPr>
      </w:pPr>
      <w:r>
        <w:rPr>
          <w:rFonts w:hint="eastAsia" w:ascii="宋体" w:hAnsi="宋体"/>
          <w:color w:val="auto"/>
          <w:sz w:val="24"/>
          <w:highlight w:val="none"/>
        </w:rPr>
        <w:t>3.在保证担保金额最高限额内，按照合同约定，向贵方承担违约责任和赔偿因此造成的损失，以及利息和律师费、诉讼费用等实现债权的费用。</w:t>
      </w:r>
    </w:p>
    <w:p w14:paraId="6F3CDE58">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 xml:space="preserve">四、代偿的安排 </w:t>
      </w:r>
    </w:p>
    <w:p w14:paraId="76586732">
      <w:pPr>
        <w:spacing w:line="360" w:lineRule="auto"/>
        <w:ind w:firstLine="480"/>
        <w:rPr>
          <w:rFonts w:hint="eastAsia" w:ascii="宋体" w:hAnsi="宋体"/>
          <w:color w:val="auto"/>
          <w:sz w:val="24"/>
          <w:highlight w:val="none"/>
        </w:rPr>
      </w:pPr>
      <w:r>
        <w:rPr>
          <w:rFonts w:hint="eastAsia" w:ascii="宋体" w:hAnsi="宋体"/>
          <w:color w:val="auto"/>
          <w:sz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highlight w:val="none"/>
          <w:lang w:eastAsia="zh-CN"/>
        </w:rPr>
        <w:t>账</w:t>
      </w:r>
      <w:r>
        <w:rPr>
          <w:rFonts w:hint="eastAsia" w:ascii="宋体" w:hAnsi="宋体"/>
          <w:color w:val="auto"/>
          <w:sz w:val="24"/>
          <w:highlight w:val="none"/>
        </w:rPr>
        <w:t>号，并附有说明承包人违反主合同造成贵方损失情况的证明材料。</w:t>
      </w:r>
    </w:p>
    <w:p w14:paraId="7D3886CF">
      <w:pPr>
        <w:spacing w:line="360" w:lineRule="auto"/>
        <w:ind w:firstLine="480"/>
        <w:rPr>
          <w:rFonts w:hint="eastAsia" w:ascii="宋体" w:hAnsi="宋体"/>
          <w:color w:val="auto"/>
          <w:sz w:val="24"/>
          <w:highlight w:val="none"/>
        </w:rPr>
      </w:pPr>
      <w:r>
        <w:rPr>
          <w:rFonts w:hint="eastAsia" w:ascii="宋体" w:hAnsi="宋体"/>
          <w:color w:val="auto"/>
          <w:sz w:val="24"/>
          <w:highlight w:val="none"/>
        </w:rPr>
        <w:t>2.贵方以工程质量不符合主合同约定标准为由，向我方提出违约索赔的，还需同时提供符合相应条件要求的工程质量检测部门出具的质量说明材料。</w:t>
      </w:r>
    </w:p>
    <w:p w14:paraId="7645BA03">
      <w:pPr>
        <w:spacing w:line="360" w:lineRule="auto"/>
        <w:ind w:firstLine="480"/>
        <w:rPr>
          <w:rFonts w:hint="eastAsia" w:ascii="宋体" w:hAnsi="宋体"/>
          <w:color w:val="auto"/>
          <w:sz w:val="24"/>
          <w:highlight w:val="none"/>
        </w:rPr>
      </w:pPr>
      <w:r>
        <w:rPr>
          <w:rFonts w:hint="eastAsia" w:ascii="宋体" w:hAnsi="宋体"/>
          <w:color w:val="auto"/>
          <w:sz w:val="24"/>
          <w:highlight w:val="none"/>
        </w:rPr>
        <w:t>3.我方收到贵方的书面索赔通知及相应证明材料后，在</w:t>
      </w:r>
      <w:r>
        <w:rPr>
          <w:rFonts w:hint="eastAsia" w:ascii="宋体" w:hAnsi="宋体"/>
          <w:color w:val="auto"/>
          <w:sz w:val="24"/>
          <w:highlight w:val="none"/>
          <w:u w:val="single"/>
        </w:rPr>
        <w:t xml:space="preserve">   </w:t>
      </w:r>
      <w:r>
        <w:rPr>
          <w:rFonts w:hint="eastAsia" w:ascii="宋体" w:hAnsi="宋体"/>
          <w:color w:val="auto"/>
          <w:sz w:val="24"/>
          <w:highlight w:val="none"/>
        </w:rPr>
        <w:t>工作日内进行核定后按照本保函的承诺承担保证责任。</w:t>
      </w:r>
    </w:p>
    <w:p w14:paraId="40394468">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 xml:space="preserve">五、保证担保责任的解除 </w:t>
      </w:r>
    </w:p>
    <w:p w14:paraId="5CFFB2A9">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1.保证期间届满贵方未向我方书面主张保证责任的，自保证期间届满次日起，我方解除保证责任。 </w:t>
      </w:r>
    </w:p>
    <w:p w14:paraId="0B073E6E">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2.我方按照本保证担保向贵方履行了保证担保责任后，自我方向贵方支付的金额达到最高保证担保金额之日起，保证担保责任解除。 </w:t>
      </w:r>
    </w:p>
    <w:p w14:paraId="42604044">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3.按照法律法规的规定应解除我方保证担保责任的其它情形的，我方在本保证担保项下的保证担保责任亦解除。 </w:t>
      </w:r>
    </w:p>
    <w:p w14:paraId="65FF2297">
      <w:pPr>
        <w:spacing w:line="360" w:lineRule="auto"/>
        <w:ind w:firstLine="480"/>
        <w:rPr>
          <w:rFonts w:hint="eastAsia" w:ascii="宋体" w:hAnsi="宋体"/>
          <w:color w:val="auto"/>
          <w:sz w:val="24"/>
          <w:highlight w:val="none"/>
        </w:rPr>
      </w:pPr>
      <w:r>
        <w:rPr>
          <w:rFonts w:hint="eastAsia" w:ascii="宋体" w:hAnsi="宋体"/>
          <w:color w:val="auto"/>
          <w:sz w:val="24"/>
          <w:highlight w:val="none"/>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436711BA">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 xml:space="preserve">六、免责条款 </w:t>
      </w:r>
    </w:p>
    <w:p w14:paraId="1EE6F116">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1.因贵方原因致使承包人未按照主合同约定履行义务的，我方不承担保证担保责任。 </w:t>
      </w:r>
    </w:p>
    <w:p w14:paraId="5642358F">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2.依照法律规定或贵方与发包人的另行约定，免除承包人部分或全部义务的，我方亦免除其相应的保证担保责任。 </w:t>
      </w:r>
    </w:p>
    <w:p w14:paraId="3C5005E8">
      <w:pPr>
        <w:spacing w:line="360" w:lineRule="auto"/>
        <w:ind w:firstLine="480"/>
        <w:rPr>
          <w:rFonts w:hint="eastAsia" w:ascii="宋体" w:hAnsi="宋体"/>
          <w:color w:val="auto"/>
          <w:sz w:val="24"/>
          <w:highlight w:val="none"/>
        </w:rPr>
      </w:pPr>
      <w:r>
        <w:rPr>
          <w:rFonts w:hint="eastAsia" w:ascii="宋体" w:hAnsi="宋体"/>
          <w:color w:val="auto"/>
          <w:sz w:val="24"/>
          <w:highlight w:val="none"/>
        </w:rPr>
        <w:t>3.因不可抗力造成承包人未按照主合同约定履行义务的，我方不承担保证担保责任。</w:t>
      </w:r>
    </w:p>
    <w:p w14:paraId="60F31DF0">
      <w:pPr>
        <w:spacing w:line="360" w:lineRule="auto"/>
        <w:ind w:firstLine="482"/>
        <w:rPr>
          <w:rFonts w:hint="eastAsia" w:ascii="宋体" w:hAnsi="宋体"/>
          <w:b/>
          <w:bCs/>
          <w:color w:val="auto"/>
          <w:sz w:val="24"/>
          <w:highlight w:val="none"/>
        </w:rPr>
      </w:pPr>
      <w:r>
        <w:rPr>
          <w:rFonts w:hint="eastAsia" w:ascii="宋体" w:hAnsi="宋体"/>
          <w:b/>
          <w:bCs/>
          <w:color w:val="auto"/>
          <w:sz w:val="24"/>
          <w:highlight w:val="none"/>
        </w:rPr>
        <w:t>七、其他</w:t>
      </w:r>
    </w:p>
    <w:p w14:paraId="2CF409FB">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1.本保证担保项下的权利不得转让，不得设定担保。贵方未经我方书面同意转让本保证担保或其项下任何权利，对我方不发生法律效力。 </w:t>
      </w:r>
    </w:p>
    <w:p w14:paraId="24DBB23D">
      <w:pPr>
        <w:spacing w:line="360" w:lineRule="auto"/>
        <w:ind w:firstLine="480"/>
        <w:rPr>
          <w:rFonts w:hint="eastAsia" w:ascii="宋体" w:hAnsi="宋体"/>
          <w:color w:val="auto"/>
          <w:sz w:val="24"/>
          <w:highlight w:val="none"/>
        </w:rPr>
      </w:pPr>
      <w:r>
        <w:rPr>
          <w:rFonts w:hint="eastAsia" w:ascii="宋体" w:hAnsi="宋体"/>
          <w:color w:val="auto"/>
          <w:sz w:val="24"/>
          <w:highlight w:val="none"/>
        </w:rPr>
        <w:t>2.本保证担保适用的法律为中华人民共和国法律，争议裁判管辖地为中华人民共和国</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1045D285">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3.本保证担保自我方法定代表人或授权代表签字并加盖公章之日起生效。 </w:t>
      </w:r>
    </w:p>
    <w:p w14:paraId="7D655C12">
      <w:pPr>
        <w:spacing w:line="360" w:lineRule="auto"/>
        <w:ind w:firstLine="480"/>
        <w:rPr>
          <w:rFonts w:hint="eastAsia" w:ascii="宋体" w:hAnsi="宋体"/>
          <w:color w:val="auto"/>
          <w:sz w:val="24"/>
          <w:highlight w:val="none"/>
        </w:rPr>
      </w:pPr>
    </w:p>
    <w:p w14:paraId="6A1E8ACD">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保 证 人：                              （公章） </w:t>
      </w:r>
    </w:p>
    <w:p w14:paraId="1A676561">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法定代表人（或授权代表）：               （签字） </w:t>
      </w:r>
    </w:p>
    <w:p w14:paraId="72326C53">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地    址：                                       </w:t>
      </w:r>
    </w:p>
    <w:p w14:paraId="3D19FA5E">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邮政编码：                 </w:t>
      </w:r>
    </w:p>
    <w:p w14:paraId="4C83C150">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电    话：                 </w:t>
      </w:r>
    </w:p>
    <w:p w14:paraId="61A83524">
      <w:pPr>
        <w:spacing w:line="360" w:lineRule="auto"/>
        <w:ind w:firstLine="480"/>
        <w:rPr>
          <w:rFonts w:hint="eastAsia" w:ascii="宋体" w:hAnsi="宋体"/>
          <w:color w:val="auto"/>
          <w:sz w:val="24"/>
          <w:highlight w:val="none"/>
        </w:rPr>
      </w:pPr>
      <w:r>
        <w:rPr>
          <w:rFonts w:hint="eastAsia" w:ascii="宋体" w:hAnsi="宋体"/>
          <w:color w:val="auto"/>
          <w:sz w:val="24"/>
          <w:highlight w:val="none"/>
        </w:rPr>
        <w:t xml:space="preserve">传    真：                 </w:t>
      </w:r>
    </w:p>
    <w:p w14:paraId="1CB70967">
      <w:pPr>
        <w:spacing w:before="156" w:after="156" w:line="440" w:lineRule="exact"/>
        <w:jc w:val="center"/>
        <w:rPr>
          <w:rFonts w:ascii="黑体" w:hAnsi="宋体" w:eastAsia="黑体"/>
          <w:color w:val="auto"/>
          <w:sz w:val="32"/>
          <w:szCs w:val="32"/>
          <w:highlight w:val="none"/>
        </w:rPr>
      </w:pPr>
      <w:r>
        <w:rPr>
          <w:rFonts w:hint="eastAsia" w:ascii="宋体" w:hAnsi="宋体"/>
          <w:color w:val="auto"/>
          <w:sz w:val="24"/>
          <w:highlight w:val="none"/>
        </w:rPr>
        <w:t>时    间：      年      月        日</w:t>
      </w:r>
    </w:p>
    <w:p w14:paraId="14131E79">
      <w:pPr>
        <w:widowControl/>
        <w:rPr>
          <w:color w:val="auto"/>
          <w:highlight w:val="none"/>
        </w:rPr>
      </w:pPr>
    </w:p>
    <w:sectPr>
      <w:footerReference r:id="rId26" w:type="first"/>
      <w:footerReference r:id="rId25" w:type="default"/>
      <w:pgSz w:w="11907" w:h="16840"/>
      <w:pgMar w:top="1440" w:right="1440" w:bottom="1440" w:left="1797" w:header="851" w:footer="85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2B839FE-BEE3-4598-B0DB-DF0111931930}"/>
  </w:font>
  <w:font w:name="黑体">
    <w:panose1 w:val="02010609060101010101"/>
    <w:charset w:val="86"/>
    <w:family w:val="auto"/>
    <w:pitch w:val="default"/>
    <w:sig w:usb0="800002BF" w:usb1="38CF7CFA" w:usb2="00000016" w:usb3="00000000" w:csb0="00040001" w:csb1="00000000"/>
    <w:embedRegular r:id="rId2" w:fontKey="{5929C741-1B1B-4CEE-9C1A-47F27C688B87}"/>
  </w:font>
  <w:font w:name="Courier New">
    <w:panose1 w:val="02070309020205020404"/>
    <w:charset w:val="01"/>
    <w:family w:val="modern"/>
    <w:pitch w:val="default"/>
    <w:sig w:usb0="E0002AFF" w:usb1="C0007843" w:usb2="00000009" w:usb3="00000000" w:csb0="400001FF" w:csb1="FFFF0000"/>
    <w:embedRegular r:id="rId3" w:fontKey="{7DF74415-A7B5-44A3-B890-1D15284E0F4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0EC40C5C-96AF-4B66-988E-7B7489B875BE}"/>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00"/>
    <w:family w:val="auto"/>
    <w:pitch w:val="default"/>
    <w:sig w:usb0="00000000" w:usb1="00000000" w:usb2="00000000" w:usb3="00000000" w:csb0="00000000" w:csb1="00000000"/>
    <w:embedRegular r:id="rId5" w:fontKey="{91A5B081-DD36-4439-85B8-279A78D0DB02}"/>
  </w:font>
  <w:font w:name="仿宋">
    <w:panose1 w:val="02010609060101010101"/>
    <w:charset w:val="86"/>
    <w:family w:val="auto"/>
    <w:pitch w:val="default"/>
    <w:sig w:usb0="800002BF" w:usb1="38CF7CFA" w:usb2="00000016" w:usb3="00000000" w:csb0="00040001"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w:altName w:val="Times New Roman"/>
    <w:panose1 w:val="02020603050405020304"/>
    <w:charset w:val="00"/>
    <w:family w:val="auto"/>
    <w:pitch w:val="default"/>
    <w:sig w:usb0="00000000" w:usb1="00000000" w:usb2="00000000" w:usb3="00000000" w:csb0="00000000" w:csb1="00000000"/>
  </w:font>
  <w:font w:name="宋体正文">
    <w:altName w:val="宋体"/>
    <w:panose1 w:val="02010600030101010101"/>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方正小标宋简体">
    <w:panose1 w:val="02000000000000000000"/>
    <w:charset w:val="86"/>
    <w:family w:val="auto"/>
    <w:pitch w:val="default"/>
    <w:sig w:usb0="00000001" w:usb1="08000000" w:usb2="00000000" w:usb3="00000000" w:csb0="00040000" w:csb1="00000000"/>
    <w:embedRegular r:id="rId6" w:fontKey="{7903E6ED-0FED-4E93-861E-226938E1833B}"/>
  </w:font>
  <w:font w:name="华文新魏">
    <w:panose1 w:val="02010800040101010101"/>
    <w:charset w:val="86"/>
    <w:family w:val="auto"/>
    <w:pitch w:val="default"/>
    <w:sig w:usb0="00000001" w:usb1="080F0000" w:usb2="00000000" w:usb3="00000000" w:csb0="00040000" w:csb1="00000000"/>
    <w:embedRegular r:id="rId7" w:fontKey="{C50C106F-4B38-4C09-9028-5E45498055E4}"/>
  </w:font>
  <w:font w:name="ˎ̥">
    <w:altName w:val="Segoe Print"/>
    <w:panose1 w:val="020B0603030804020204"/>
    <w:charset w:val="00"/>
    <w:family w:val="auto"/>
    <w:pitch w:val="default"/>
    <w:sig w:usb0="00000000" w:usb1="00000000" w:usb2="00000000" w:usb3="00000000" w:csb0="00000000" w:csb1="00000000"/>
    <w:embedRegular r:id="rId8" w:fontKey="{9A454C56-3025-4FB4-B83D-ECB777293CDF}"/>
  </w:font>
  <w:font w:name="楷体_GB2312">
    <w:altName w:val="楷体"/>
    <w:panose1 w:val="02010609030101010101"/>
    <w:charset w:val="00"/>
    <w:family w:val="auto"/>
    <w:pitch w:val="default"/>
    <w:sig w:usb0="00000000" w:usb1="00000000" w:usb2="00000000" w:usb3="00000000" w:csb0="00000000" w:csb1="00000000"/>
    <w:embedRegular r:id="rId9" w:fontKey="{EAACCA4D-257C-40BD-97CB-ED30CFC38276}"/>
  </w:font>
  <w:font w:name="楷体">
    <w:panose1 w:val="02010609060101010101"/>
    <w:charset w:val="86"/>
    <w:family w:val="auto"/>
    <w:pitch w:val="default"/>
    <w:sig w:usb0="800002BF" w:usb1="38CF7CFA" w:usb2="00000016" w:usb3="00000000" w:csb0="00040001" w:csb1="00000000"/>
  </w:font>
  <w:font w:name="WPSEMBED15">
    <w:panose1 w:val="02000000000000000000"/>
    <w:charset w:val="86"/>
    <w:family w:val="auto"/>
    <w:pitch w:val="default"/>
    <w:sig w:usb0="00000001" w:usb1="08000000" w:usb2="00000000" w:usb3="00000000" w:csb0="00040000" w:csb1="00000000"/>
  </w:font>
  <w:font w:name="WPSEMBED16">
    <w:panose1 w:val="02010800040101010101"/>
    <w:charset w:val="86"/>
    <w:family w:val="auto"/>
    <w:pitch w:val="default"/>
    <w:sig w:usb0="00000001" w:usb1="080F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E9A0">
    <w:pPr>
      <w:pStyle w:val="2"/>
      <w:tabs>
        <w:tab w:val="center" w:pos="4439"/>
        <w:tab w:val="clear" w:pos="4153"/>
      </w:tabs>
      <w:jc w:val="both"/>
    </w:pPr>
  </w:p>
  <w:p w14:paraId="43086E6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3D252">
    <w:pPr>
      <w:pStyle w:val="2"/>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B6665A6"/>
                      </w:txbxContent>
                    </wps:txbx>
                    <wps:bodyPr wrap="none" lIns="0" tIns="0" rIns="0" bIns="0" upright="1">
                      <a:spAutoFit/>
                    </wps:bodyPr>
                  </wps:wsp>
                </a:graphicData>
              </a:graphic>
            </wp:anchor>
          </w:drawing>
        </mc:Choice>
        <mc:Fallback>
          <w:pict>
            <v:shape id="文本框 307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&#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dJhPB9YBAACqAwAADgAAAAAAAAABACAAAAAe&#10;AQAAZHJzL2Uyb0RvYy54bWxQSwUGAAAAAAYABgBZAQAAZgUAAAAA&#10;">
              <v:fill on="f" focussize="0,0"/>
              <v:stroke on="f"/>
              <v:imagedata o:title=""/>
              <o:lock v:ext="edit" aspectratio="f"/>
              <v:textbox inset="0mm,0mm,0mm,0mm" style="mso-fit-shape-to-text:t;">
                <w:txbxContent>
                  <w:p w14:paraId="7B6665A6"/>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4B296">
    <w:pPr>
      <w:pStyle w:val="2"/>
      <w:tabs>
        <w:tab w:val="center" w:pos="4439"/>
        <w:tab w:val="clear" w:pos="4153"/>
      </w:tabs>
      <w:jc w:val="both"/>
    </w:pPr>
  </w:p>
  <w:p w14:paraId="29D41483">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44E1F">
    <w:pPr>
      <w:pStyle w:val="2"/>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07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00763BA"/>
                      </w:txbxContent>
                    </wps:txbx>
                    <wps:bodyPr wrap="none" lIns="0" tIns="0" rIns="0" bIns="0" upright="1">
                      <a:spAutoFit/>
                    </wps:bodyPr>
                  </wps:wsp>
                </a:graphicData>
              </a:graphic>
            </wp:anchor>
          </w:drawing>
        </mc:Choice>
        <mc:Fallback>
          <w:pict>
            <v:shape id="文本框 307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frTlyNYBAACqAwAADgAAAAAAAAABACAAAAAe&#10;AQAAZHJzL2Uyb0RvYy54bWxQSwUGAAAAAAYABgBZAQAAZgUAAAAA&#10;">
              <v:fill on="f" focussize="0,0"/>
              <v:stroke on="f"/>
              <v:imagedata o:title=""/>
              <o:lock v:ext="edit" aspectratio="f"/>
              <v:textbox inset="0mm,0mm,0mm,0mm" style="mso-fit-shape-to-text:t;">
                <w:txbxContent>
                  <w:p w14:paraId="700763BA"/>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DB42">
    <w:pPr>
      <w:spacing w:line="1" w:lineRule="exact"/>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C9583">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w7gDEPQIAAHAEAAAOAAAAAAAAAAEAIAAAAB8BAABkcnMvZTJv&#10;RG9jLnhtbFBLBQYAAAAABgAGAFkBAADOBQAAAAA=&#10;">
              <v:fill on="f" focussize="0,0"/>
              <v:stroke on="f" weight="0.5pt"/>
              <v:imagedata o:title=""/>
              <o:lock v:ext="edit" aspectratio="f"/>
              <v:textbox inset="0mm,0mm,0mm,0mm" style="mso-fit-shape-to-text:t;">
                <w:txbxContent>
                  <w:p w14:paraId="7F4C9583">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699E8">
    <w:pPr>
      <w:spacing w:line="1" w:lineRule="exac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ge">
                <wp:posOffset>9999345</wp:posOffset>
              </wp:positionV>
              <wp:extent cx="304800" cy="79375"/>
              <wp:effectExtent l="0" t="0" r="0" b="0"/>
              <wp:wrapNone/>
              <wp:docPr id="4" name="文本框 9"/>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6E59FC37">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9" o:spid="_x0000_s1026" o:spt="202" type="#_x0000_t202" style="position:absolute;left:0pt;margin-top:787.35pt;height:6.25pt;width:24pt;mso-position-horizontal:center;mso-position-horizontal-relative:margin;mso-position-vertical-relative:page;mso-wrap-style:none;z-index:251666432;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D9snN11gEAAKYDAAAOAAAAAAAAAAEA&#10;IAAAACMBAABkcnMvZTJvRG9jLnhtbFBLBQYAAAAABgAGAFkBAABrBQAAAAA=&#10;">
              <v:fill on="f" focussize="0,0"/>
              <v:stroke on="f"/>
              <v:imagedata o:title=""/>
              <o:lock v:ext="edit" aspectratio="f"/>
              <v:textbox inset="0mm,0mm,0mm,0mm" style="mso-fit-shape-to-text:t;">
                <w:txbxContent>
                  <w:p w14:paraId="6E59FC37">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FA1C2">
    <w:pPr>
      <w:spacing w:line="1" w:lineRule="exact"/>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F4ACD">
                          <w:pPr>
                            <w:pStyle w:val="2"/>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3RM6APQIAAHAEAAAOAAAAAAAAAAEAIAAAAB8BAABkcnMvZTJv&#10;RG9jLnhtbFBLBQYAAAAABgAGAFkBAADOBQAAAAA=&#10;">
              <v:fill on="f" focussize="0,0"/>
              <v:stroke on="f" weight="0.5pt"/>
              <v:imagedata o:title=""/>
              <o:lock v:ext="edit" aspectratio="f"/>
              <v:textbox inset="0mm,0mm,0mm,0mm" style="mso-fit-shape-to-text:t;">
                <w:txbxContent>
                  <w:p w14:paraId="573F4ACD">
                    <w:pPr>
                      <w:pStyle w:val="2"/>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BB02">
    <w:pPr>
      <w:spacing w:line="1" w:lineRule="exact"/>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ge">
                <wp:posOffset>9999345</wp:posOffset>
              </wp:positionV>
              <wp:extent cx="304800" cy="79375"/>
              <wp:effectExtent l="0" t="0" r="0" b="0"/>
              <wp:wrapNone/>
              <wp:docPr id="6" name="文本框 10"/>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2E14BB54">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10" o:spid="_x0000_s1026" o:spt="202" type="#_x0000_t202" style="position:absolute;left:0pt;margin-top:787.35pt;height:6.25pt;width:24pt;mso-position-horizontal:center;mso-position-horizontal-relative:margin;mso-position-vertical-relative:page;mso-wrap-style:none;z-index:251665408;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BOA6z41gEAAKcDAAAOAAAAAAAAAAEA&#10;IAAAACMBAABkcnMvZTJvRG9jLnhtbFBLBQYAAAAABgAGAFkBAABrBQAAAAA=&#10;">
              <v:fill on="f" focussize="0,0"/>
              <v:stroke on="f"/>
              <v:imagedata o:title=""/>
              <o:lock v:ext="edit" aspectratio="f"/>
              <v:textbox inset="0mm,0mm,0mm,0mm" style="mso-fit-shape-to-text:t;">
                <w:txbxContent>
                  <w:p w14:paraId="2E14BB54">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66C72">
    <w:pPr>
      <w:spacing w:line="1" w:lineRule="exact"/>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FA813">
                          <w:pPr>
                            <w:pStyle w:val="2"/>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895mXPQIAAHAEAAAOAAAAAAAAAAEAIAAAAB8BAABkcnMvZTJv&#10;RG9jLnhtbFBLBQYAAAAABgAGAFkBAADOBQAAAAA=&#10;">
              <v:fill on="f" focussize="0,0"/>
              <v:stroke on="f" weight="0.5pt"/>
              <v:imagedata o:title=""/>
              <o:lock v:ext="edit" aspectratio="f"/>
              <v:textbox inset="0mm,0mm,0mm,0mm" style="mso-fit-shape-to-text:t;">
                <w:txbxContent>
                  <w:p w14:paraId="4DCFA813">
                    <w:pPr>
                      <w:pStyle w:val="2"/>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ECA0D">
    <w:pPr>
      <w:spacing w:line="1" w:lineRule="exac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ge">
                <wp:posOffset>9999345</wp:posOffset>
              </wp:positionV>
              <wp:extent cx="304800" cy="79375"/>
              <wp:effectExtent l="0" t="0" r="0" b="0"/>
              <wp:wrapNone/>
              <wp:docPr id="8" name="文本框 14"/>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433508A8">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14" o:spid="_x0000_s1026" o:spt="202" type="#_x0000_t202" style="position:absolute;left:0pt;margin-top:787.35pt;height:6.25pt;width:24pt;mso-position-horizontal:center;mso-position-horizontal-relative:margin;mso-position-vertical-relative:page;mso-wrap-style:none;z-index:251664384;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a/Q3UAAAACQEAAA8AAAAAAAAAAQAgAAAA&#10;IgAAAGRycy9kb3ducmV2LnhtbFBLAQIUABQAAAAIAIdO4kA0GoW11gEAAKcDAAAOAAAAAAAAAAEA&#10;IAAAACMBAABkcnMvZTJvRG9jLnhtbFBLBQYAAAAABgAGAFkBAABrBQAAAAA=&#10;">
              <v:fill on="f" focussize="0,0"/>
              <v:stroke on="f"/>
              <v:imagedata o:title=""/>
              <o:lock v:ext="edit" aspectratio="f"/>
              <v:textbox inset="0mm,0mm,0mm,0mm" style="mso-fit-shape-to-text:t;">
                <w:txbxContent>
                  <w:p w14:paraId="433508A8">
                    <w:pPr>
                      <w:pStyle w:val="332"/>
                      <w:jc w:val="left"/>
                    </w:pPr>
                    <w:r>
                      <w:rPr>
                        <w:rFonts w:ascii="宋体" w:hAnsi="宋体" w:cs="宋体"/>
                      </w:rPr>
                      <w:t>・</w:t>
                    </w:r>
                    <w:r>
                      <w:fldChar w:fldCharType="begin"/>
                    </w:r>
                    <w:r>
                      <w:instrText xml:space="preserve"> PAGE \* MERGEFORMAT </w:instrText>
                    </w:r>
                    <w:r>
                      <w:fldChar w:fldCharType="separate"/>
                    </w:r>
                    <w:r>
                      <w:t>174</w:t>
                    </w:r>
                    <w:r>
                      <w:fldChar w:fldCharType="end"/>
                    </w:r>
                    <w:r>
                      <w:rPr>
                        <w:rFonts w:ascii="宋体" w:hAnsi="宋体" w:cs="宋体"/>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8FB17">
    <w:pPr>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CC317">
                          <w:pPr>
                            <w:pStyle w:val="2"/>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DQg/GPQIAAHAEAAAOAAAAAAAAAAEAIAAAAB8BAABkcnMvZTJv&#10;RG9jLnhtbFBLBQYAAAAABgAGAFkBAADOBQAAAAA=&#10;">
              <v:fill on="f" focussize="0,0"/>
              <v:stroke on="f" weight="0.5pt"/>
              <v:imagedata o:title=""/>
              <o:lock v:ext="edit" aspectratio="f"/>
              <v:textbox inset="0mm,0mm,0mm,0mm" style="mso-fit-shape-to-text:t;">
                <w:txbxContent>
                  <w:p w14:paraId="7A4CC317">
                    <w:pPr>
                      <w:pStyle w:val="2"/>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12DF7">
    <w:pPr>
      <w:spacing w:line="1" w:lineRule="exac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9999345</wp:posOffset>
              </wp:positionV>
              <wp:extent cx="304800" cy="79375"/>
              <wp:effectExtent l="0" t="0" r="0" b="0"/>
              <wp:wrapNone/>
              <wp:docPr id="10" name="文本框 381"/>
              <wp:cNvGraphicFramePr/>
              <a:graphic xmlns:a="http://schemas.openxmlformats.org/drawingml/2006/main">
                <a:graphicData uri="http://schemas.microsoft.com/office/word/2010/wordprocessingShape">
                  <wps:wsp>
                    <wps:cNvSpPr txBox="1"/>
                    <wps:spPr bwMode="auto">
                      <a:xfrm>
                        <a:off x="0" y="0"/>
                        <a:ext cx="304800" cy="79375"/>
                      </a:xfrm>
                      <a:prstGeom prst="rect">
                        <a:avLst/>
                      </a:prstGeom>
                      <a:noFill/>
                      <a:ln>
                        <a:noFill/>
                      </a:ln>
                      <a:effectLst/>
                    </wps:spPr>
                    <wps:txbx>
                      <w:txbxContent>
                        <w:p w14:paraId="3BBAD19A">
                          <w:pPr>
                            <w:pStyle w:val="33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wps:txbx>
                    <wps:bodyPr wrap="none" lIns="0" tIns="0" rIns="0" bIns="0">
                      <a:spAutoFit/>
                    </wps:bodyPr>
                  </wps:wsp>
                </a:graphicData>
              </a:graphic>
            </wp:anchor>
          </w:drawing>
        </mc:Choice>
        <mc:Fallback>
          <w:pict>
            <v:shape id="文本框 381" o:spid="_x0000_s1026" o:spt="202" type="#_x0000_t202" style="position:absolute;left:0pt;margin-top:787.35pt;height:6.25pt;width:24pt;mso-position-horizontal:center;mso-position-horizontal-relative:margin;mso-position-vertical-relative:page;mso-wrap-style:none;z-index:251663360;mso-width-relative:page;mso-height-relative:page;" filled="f" stroked="f" coordsize="21600,21600" o:gfxdata="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9r9DdQAAAAJAQAADwAAAAAAAAABACAA&#10;AAAiAAAAZHJzL2Rvd25yZXYueG1sUEsBAhQAFAAAAAgAh07iQGP0+5/YAQAAqQMAAA4AAAAAAAAA&#10;AQAgAAAAIwEAAGRycy9lMm9Eb2MueG1sUEsFBgAAAAAGAAYAWQEAAG0FAAAAAA==&#10;">
              <v:fill on="f" focussize="0,0"/>
              <v:stroke on="f"/>
              <v:imagedata o:title=""/>
              <o:lock v:ext="edit" aspectratio="f"/>
              <v:textbox inset="0mm,0mm,0mm,0mm" style="mso-fit-shape-to-text:t;">
                <w:txbxContent>
                  <w:p w14:paraId="3BBAD19A">
                    <w:pPr>
                      <w:pStyle w:val="332"/>
                      <w:jc w:val="left"/>
                    </w:pPr>
                    <w:r>
                      <w:rPr>
                        <w:rFonts w:ascii="宋体" w:hAnsi="宋体" w:cs="宋体"/>
                      </w:rPr>
                      <w:t>・</w:t>
                    </w:r>
                    <w:r>
                      <w:fldChar w:fldCharType="begin"/>
                    </w:r>
                    <w:r>
                      <w:instrText xml:space="preserve"> PAGE \* MERGEFORMAT </w:instrText>
                    </w:r>
                    <w:r>
                      <w:fldChar w:fldCharType="separate"/>
                    </w:r>
                    <w:r>
                      <w:t>178</w:t>
                    </w:r>
                    <w:r>
                      <w:fldChar w:fldCharType="end"/>
                    </w:r>
                    <w:r>
                      <w:rPr>
                        <w:rFonts w:ascii="宋体" w:hAnsi="宋体" w:cs="宋体"/>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07A85">
    <w:pPr>
      <w:pStyle w:val="2"/>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D79E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GLA3pPQIAAHEEAAAOAAAAAAAAAAEAIAAAAB8BAABkcnMvZTJv&#10;RG9jLnhtbFBLBQYAAAAABgAGAFkBAADOBQAAAAA=&#10;">
              <v:fill on="f" focussize="0,0"/>
              <v:stroke on="f" weight="0.5pt"/>
              <v:imagedata o:title=""/>
              <o:lock v:ext="edit" aspectratio="f"/>
              <v:textbox inset="0mm,0mm,0mm,0mm" style="mso-fit-shape-to-text:t;">
                <w:txbxContent>
                  <w:p w14:paraId="4C5D79E6">
                    <w:pPr>
                      <w:pStyle w:val="2"/>
                    </w:pPr>
                    <w:r>
                      <w:fldChar w:fldCharType="begin"/>
                    </w:r>
                    <w:r>
                      <w:instrText xml:space="preserve"> PAGE  \* MERGEFORMAT </w:instrText>
                    </w:r>
                    <w:r>
                      <w:fldChar w:fldCharType="separate"/>
                    </w:r>
                    <w:r>
                      <w:t>1</w:t>
                    </w:r>
                    <w:r>
                      <w:fldChar w:fldCharType="end"/>
                    </w:r>
                  </w:p>
                </w:txbxContent>
              </v:textbox>
            </v:shape>
          </w:pict>
        </mc:Fallback>
      </mc:AlternateContent>
    </w:r>
  </w:p>
  <w:p w14:paraId="7509095E">
    <w:pPr>
      <w:pStyle w:val="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4F6EC">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07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4F3DF00E">
                          <w:pPr>
                            <w:pStyle w:val="2"/>
                          </w:pPr>
                          <w:r>
                            <w:fldChar w:fldCharType="begin"/>
                          </w:r>
                          <w:r>
                            <w:instrText xml:space="preserve"> PAGE  \* MERGEFORMAT </w:instrText>
                          </w:r>
                          <w:r>
                            <w:fldChar w:fldCharType="separate"/>
                          </w:r>
                          <w:r>
                            <w:t>117</w:t>
                          </w:r>
                          <w:r>
                            <w:fldChar w:fldCharType="end"/>
                          </w:r>
                        </w:p>
                      </w:txbxContent>
                    </wps:txbx>
                    <wps:bodyPr wrap="none" lIns="0" tIns="0" rIns="0" bIns="0" upright="1">
                      <a:spAutoFit/>
                    </wps:bodyPr>
                  </wps:wsp>
                </a:graphicData>
              </a:graphic>
            </wp:anchor>
          </w:drawing>
        </mc:Choice>
        <mc:Fallback>
          <w:pict>
            <v:shape id="文本框 307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&#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9ZcPqNYBAACrAwAADgAAAAAAAAABACAAAAAe&#10;AQAAZHJzL2Uyb0RvYy54bWxQSwUGAAAAAAYABgBZAQAAZgUAAAAA&#10;">
              <v:fill on="f" focussize="0,0"/>
              <v:stroke on="f"/>
              <v:imagedata o:title=""/>
              <o:lock v:ext="edit" aspectratio="f"/>
              <v:textbox inset="0mm,0mm,0mm,0mm" style="mso-fit-shape-to-text:t;">
                <w:txbxContent>
                  <w:p w14:paraId="4F3DF00E">
                    <w:pPr>
                      <w:pStyle w:val="2"/>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3A4A1">
    <w:pPr>
      <w:pStyle w:val="3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A8F3A">
    <w:pPr>
      <w:pStyle w:val="31"/>
      <w:pBdr>
        <w:bottom w:val="none" w:color="000000"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F31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74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347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70C3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70E5"/>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CFA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82139"/>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B1E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499CC"/>
    <w:multiLevelType w:val="multilevel"/>
    <w:tmpl w:val="324499CC"/>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3C3F6902"/>
    <w:multiLevelType w:val="multilevel"/>
    <w:tmpl w:val="3C3F6902"/>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408860E8"/>
    <w:multiLevelType w:val="multi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position w:val="0"/>
        <w:sz w:val="20"/>
        <w:szCs w:val="20"/>
        <w:u w:val="none"/>
        <w:shd w:val="clear" w:color="auto" w:fill="auto"/>
        <w:lang w:val="en-US" w:eastAsia="en-US" w:bidi="en-US"/>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5498E193"/>
    <w:multiLevelType w:val="multilevel"/>
    <w:tmpl w:val="5498E193"/>
    <w:lvl w:ilvl="0" w:tentative="0">
      <w:start w:val="11"/>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51730"/>
    <w:rsid w:val="050B23F8"/>
    <w:rsid w:val="14FE77F3"/>
    <w:rsid w:val="161441AB"/>
    <w:rsid w:val="17620A24"/>
    <w:rsid w:val="1AEE6DAA"/>
    <w:rsid w:val="1C2B538B"/>
    <w:rsid w:val="1FB60DD2"/>
    <w:rsid w:val="247D23AD"/>
    <w:rsid w:val="2DF77BCA"/>
    <w:rsid w:val="32C03822"/>
    <w:rsid w:val="3809239F"/>
    <w:rsid w:val="3D1C6419"/>
    <w:rsid w:val="41572C26"/>
    <w:rsid w:val="46C806B9"/>
    <w:rsid w:val="488B21AD"/>
    <w:rsid w:val="48D83DF3"/>
    <w:rsid w:val="4EF75830"/>
    <w:rsid w:val="4F9B6CC6"/>
    <w:rsid w:val="525F0379"/>
    <w:rsid w:val="53EE77E7"/>
    <w:rsid w:val="5F0A1402"/>
    <w:rsid w:val="6B5B0E57"/>
    <w:rsid w:val="6DB24D6B"/>
    <w:rsid w:val="71662034"/>
    <w:rsid w:val="7F115666"/>
    <w:rsid w:val="7FC237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qFormat="1" w:uiPriority="99" w:semiHidden="0" w:name="table of figures"/>
    <w:lsdException w:uiPriority="99" w:name="envelope address"/>
    <w:lsdException w:uiPriority="99"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206"/>
    <w:qFormat/>
    <w:uiPriority w:val="99"/>
    <w:pPr>
      <w:keepNext/>
      <w:keepLines/>
      <w:spacing w:before="340" w:after="330" w:line="578" w:lineRule="auto"/>
      <w:outlineLvl w:val="0"/>
    </w:pPr>
    <w:rPr>
      <w:b/>
      <w:bCs/>
      <w:sz w:val="44"/>
      <w:szCs w:val="44"/>
    </w:rPr>
  </w:style>
  <w:style w:type="paragraph" w:styleId="4">
    <w:name w:val="heading 2"/>
    <w:basedOn w:val="1"/>
    <w:next w:val="1"/>
    <w:link w:val="207"/>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08"/>
    <w:qFormat/>
    <w:uiPriority w:val="99"/>
    <w:pPr>
      <w:keepNext/>
      <w:keepLines/>
      <w:spacing w:before="260" w:after="260" w:line="416" w:lineRule="auto"/>
      <w:outlineLvl w:val="2"/>
    </w:pPr>
    <w:rPr>
      <w:b/>
      <w:bCs/>
      <w:sz w:val="32"/>
      <w:szCs w:val="32"/>
    </w:rPr>
  </w:style>
  <w:style w:type="paragraph" w:styleId="6">
    <w:name w:val="heading 4"/>
    <w:basedOn w:val="1"/>
    <w:next w:val="1"/>
    <w:link w:val="209"/>
    <w:qFormat/>
    <w:uiPriority w:val="99"/>
    <w:pPr>
      <w:keepNext/>
      <w:keepLines/>
      <w:spacing w:line="360" w:lineRule="auto"/>
      <w:outlineLvl w:val="3"/>
    </w:pPr>
    <w:rPr>
      <w:rFonts w:ascii="Arial" w:hAnsi="Arial"/>
      <w:b/>
      <w:bCs/>
      <w:sz w:val="28"/>
      <w:szCs w:val="28"/>
    </w:rPr>
  </w:style>
  <w:style w:type="paragraph" w:styleId="7">
    <w:name w:val="heading 5"/>
    <w:basedOn w:val="1"/>
    <w:next w:val="8"/>
    <w:link w:val="210"/>
    <w:qFormat/>
    <w:uiPriority w:val="99"/>
    <w:pPr>
      <w:keepNext/>
      <w:keepLines/>
      <w:spacing w:before="280" w:after="290" w:line="376" w:lineRule="auto"/>
      <w:outlineLvl w:val="4"/>
    </w:pPr>
    <w:rPr>
      <w:b/>
      <w:bCs/>
      <w:sz w:val="28"/>
      <w:szCs w:val="28"/>
    </w:rPr>
  </w:style>
  <w:style w:type="paragraph" w:styleId="9">
    <w:name w:val="heading 6"/>
    <w:basedOn w:val="1"/>
    <w:next w:val="1"/>
    <w:link w:val="212"/>
    <w:qFormat/>
    <w:uiPriority w:val="9"/>
    <w:pPr>
      <w:keepNext/>
      <w:keepLines/>
      <w:spacing w:before="240" w:after="64" w:line="317" w:lineRule="auto"/>
      <w:outlineLvl w:val="5"/>
    </w:pPr>
    <w:rPr>
      <w:rFonts w:ascii="Cambria" w:hAnsi="Cambria"/>
      <w:b/>
      <w:bCs/>
      <w:sz w:val="24"/>
    </w:rPr>
  </w:style>
  <w:style w:type="paragraph" w:styleId="10">
    <w:name w:val="heading 7"/>
    <w:basedOn w:val="1"/>
    <w:next w:val="1"/>
    <w:link w:val="213"/>
    <w:qFormat/>
    <w:uiPriority w:val="9"/>
    <w:pPr>
      <w:keepNext/>
      <w:keepLines/>
      <w:spacing w:before="240" w:after="64" w:line="317" w:lineRule="auto"/>
      <w:outlineLvl w:val="6"/>
    </w:pPr>
    <w:rPr>
      <w:b/>
      <w:bCs/>
      <w:sz w:val="24"/>
    </w:rPr>
  </w:style>
  <w:style w:type="paragraph" w:styleId="11">
    <w:name w:val="heading 8"/>
    <w:basedOn w:val="1"/>
    <w:next w:val="1"/>
    <w:link w:val="214"/>
    <w:qFormat/>
    <w:uiPriority w:val="9"/>
    <w:pPr>
      <w:keepNext/>
      <w:keepLines/>
      <w:spacing w:before="240" w:after="64" w:line="320" w:lineRule="auto"/>
      <w:outlineLvl w:val="7"/>
    </w:pPr>
    <w:rPr>
      <w:rFonts w:ascii="等线 Light" w:hAnsi="等线 Light" w:eastAsia="等线 Light"/>
      <w:sz w:val="24"/>
    </w:rPr>
  </w:style>
  <w:style w:type="paragraph" w:styleId="12">
    <w:name w:val="heading 9"/>
    <w:basedOn w:val="1"/>
    <w:next w:val="1"/>
    <w:link w:val="215"/>
    <w:qFormat/>
    <w:uiPriority w:val="9"/>
    <w:pPr>
      <w:keepNext/>
      <w:keepLines/>
      <w:spacing w:before="240" w:after="64" w:line="317" w:lineRule="auto"/>
      <w:outlineLvl w:val="8"/>
    </w:pPr>
    <w:rPr>
      <w:rFonts w:ascii="Cambria" w:hAnsi="Cambria"/>
      <w:sz w:val="2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footer"/>
    <w:basedOn w:val="1"/>
    <w:link w:val="225"/>
    <w:unhideWhenUsed/>
    <w:qFormat/>
    <w:uiPriority w:val="99"/>
    <w:pPr>
      <w:tabs>
        <w:tab w:val="center" w:pos="4153"/>
        <w:tab w:val="right" w:pos="8306"/>
      </w:tabs>
      <w:jc w:val="left"/>
    </w:pPr>
    <w:rPr>
      <w:sz w:val="18"/>
      <w:szCs w:val="18"/>
    </w:rPr>
  </w:style>
  <w:style w:type="paragraph" w:styleId="8">
    <w:name w:val="Normal Indent"/>
    <w:basedOn w:val="1"/>
    <w:link w:val="211"/>
    <w:qFormat/>
    <w:uiPriority w:val="99"/>
    <w:pPr>
      <w:ind w:firstLine="420"/>
    </w:pPr>
    <w:rPr>
      <w:szCs w:val="20"/>
    </w:rPr>
  </w:style>
  <w:style w:type="paragraph" w:styleId="13">
    <w:name w:val="toc 7"/>
    <w:basedOn w:val="1"/>
    <w:next w:val="1"/>
    <w:qFormat/>
    <w:uiPriority w:val="39"/>
    <w:pPr>
      <w:ind w:left="2520"/>
    </w:pPr>
    <w:rPr>
      <w:rFonts w:ascii="Calibri" w:hAnsi="Calibri" w:cs="Calibri"/>
      <w:szCs w:val="21"/>
    </w:rPr>
  </w:style>
  <w:style w:type="paragraph" w:styleId="14">
    <w:name w:val="List Number"/>
    <w:basedOn w:val="1"/>
    <w:qFormat/>
    <w:uiPriority w:val="0"/>
    <w:pPr>
      <w:widowControl/>
      <w:tabs>
        <w:tab w:val="left" w:pos="454"/>
        <w:tab w:val="left" w:pos="720"/>
        <w:tab w:val="left" w:pos="840"/>
      </w:tabs>
      <w:ind w:left="454" w:hanging="284"/>
      <w:jc w:val="left"/>
    </w:pPr>
    <w:rPr>
      <w:sz w:val="24"/>
      <w:szCs w:val="20"/>
    </w:rPr>
  </w:style>
  <w:style w:type="paragraph" w:styleId="15">
    <w:name w:val="caption"/>
    <w:basedOn w:val="1"/>
    <w:next w:val="1"/>
    <w:qFormat/>
    <w:uiPriority w:val="99"/>
    <w:rPr>
      <w:rFonts w:ascii="Cambria" w:hAnsi="Cambria" w:eastAsia="黑体" w:cs="Cambria"/>
      <w:sz w:val="20"/>
      <w:szCs w:val="20"/>
    </w:rPr>
  </w:style>
  <w:style w:type="paragraph" w:styleId="16">
    <w:name w:val="Document Map"/>
    <w:basedOn w:val="1"/>
    <w:link w:val="216"/>
    <w:qFormat/>
    <w:uiPriority w:val="99"/>
    <w:pPr>
      <w:shd w:val="clear" w:color="auto" w:fill="000080"/>
    </w:pPr>
    <w:rPr>
      <w:sz w:val="24"/>
      <w:shd w:val="clear" w:color="auto" w:fill="000080"/>
    </w:rPr>
  </w:style>
  <w:style w:type="paragraph" w:styleId="17">
    <w:name w:val="annotation text"/>
    <w:basedOn w:val="1"/>
    <w:link w:val="217"/>
    <w:qFormat/>
    <w:uiPriority w:val="0"/>
    <w:pPr>
      <w:jc w:val="left"/>
    </w:pPr>
  </w:style>
  <w:style w:type="paragraph" w:styleId="18">
    <w:name w:val="Body Text 3"/>
    <w:basedOn w:val="1"/>
    <w:link w:val="218"/>
    <w:unhideWhenUsed/>
    <w:qFormat/>
    <w:uiPriority w:val="99"/>
    <w:pPr>
      <w:spacing w:after="120"/>
    </w:pPr>
    <w:rPr>
      <w:sz w:val="16"/>
      <w:szCs w:val="16"/>
    </w:rPr>
  </w:style>
  <w:style w:type="paragraph" w:styleId="19">
    <w:name w:val="Body Text"/>
    <w:basedOn w:val="1"/>
    <w:link w:val="219"/>
    <w:unhideWhenUsed/>
    <w:qFormat/>
    <w:uiPriority w:val="99"/>
    <w:pPr>
      <w:spacing w:after="120"/>
    </w:pPr>
  </w:style>
  <w:style w:type="paragraph" w:styleId="20">
    <w:name w:val="Body Text Indent"/>
    <w:basedOn w:val="1"/>
    <w:link w:val="220"/>
    <w:qFormat/>
    <w:uiPriority w:val="99"/>
    <w:pPr>
      <w:ind w:firstLine="830"/>
    </w:pPr>
    <w:rPr>
      <w:rFonts w:ascii="仿宋_GB2312" w:eastAsia="仿宋_GB2312"/>
      <w:sz w:val="32"/>
      <w:szCs w:val="20"/>
    </w:rPr>
  </w:style>
  <w:style w:type="paragraph" w:styleId="21">
    <w:name w:val="List 2"/>
    <w:basedOn w:val="1"/>
    <w:unhideWhenUsed/>
    <w:qFormat/>
    <w:uiPriority w:val="99"/>
    <w:pPr>
      <w:ind w:left="100" w:hanging="200"/>
      <w:contextualSpacing/>
    </w:pPr>
  </w:style>
  <w:style w:type="paragraph" w:styleId="22">
    <w:name w:val="index 4"/>
    <w:basedOn w:val="1"/>
    <w:next w:val="1"/>
    <w:semiHidden/>
    <w:qFormat/>
    <w:uiPriority w:val="99"/>
    <w:pPr>
      <w:ind w:left="600"/>
    </w:pPr>
    <w:rPr>
      <w:szCs w:val="21"/>
    </w:rPr>
  </w:style>
  <w:style w:type="paragraph" w:styleId="23">
    <w:name w:val="toc 5"/>
    <w:basedOn w:val="1"/>
    <w:next w:val="1"/>
    <w:qFormat/>
    <w:uiPriority w:val="39"/>
    <w:pPr>
      <w:ind w:left="1680"/>
    </w:pPr>
    <w:rPr>
      <w:rFonts w:ascii="Calibri" w:hAnsi="Calibri" w:cs="Calibri"/>
      <w:szCs w:val="21"/>
    </w:rPr>
  </w:style>
  <w:style w:type="paragraph" w:styleId="24">
    <w:name w:val="toc 3"/>
    <w:basedOn w:val="1"/>
    <w:next w:val="1"/>
    <w:qFormat/>
    <w:uiPriority w:val="39"/>
    <w:pPr>
      <w:ind w:left="840"/>
    </w:pPr>
    <w:rPr>
      <w:szCs w:val="21"/>
    </w:rPr>
  </w:style>
  <w:style w:type="paragraph" w:styleId="25">
    <w:name w:val="Plain Text"/>
    <w:basedOn w:val="1"/>
    <w:link w:val="221"/>
    <w:qFormat/>
    <w:uiPriority w:val="0"/>
    <w:rPr>
      <w:rFonts w:ascii="宋体" w:hAnsi="Courier New"/>
      <w:sz w:val="20"/>
      <w:szCs w:val="21"/>
    </w:rPr>
  </w:style>
  <w:style w:type="paragraph" w:styleId="26">
    <w:name w:val="toc 8"/>
    <w:basedOn w:val="1"/>
    <w:next w:val="1"/>
    <w:qFormat/>
    <w:uiPriority w:val="39"/>
    <w:pPr>
      <w:ind w:left="2940"/>
    </w:pPr>
    <w:rPr>
      <w:rFonts w:ascii="Calibri" w:hAnsi="Calibri" w:cs="Calibri"/>
      <w:szCs w:val="21"/>
    </w:rPr>
  </w:style>
  <w:style w:type="paragraph" w:styleId="27">
    <w:name w:val="Date"/>
    <w:basedOn w:val="1"/>
    <w:next w:val="1"/>
    <w:link w:val="222"/>
    <w:unhideWhenUsed/>
    <w:qFormat/>
    <w:uiPriority w:val="99"/>
    <w:pPr>
      <w:ind w:left="100"/>
    </w:pPr>
  </w:style>
  <w:style w:type="paragraph" w:styleId="28">
    <w:name w:val="Body Text Indent 2"/>
    <w:basedOn w:val="1"/>
    <w:link w:val="223"/>
    <w:qFormat/>
    <w:uiPriority w:val="99"/>
    <w:pPr>
      <w:spacing w:after="120" w:line="480" w:lineRule="auto"/>
      <w:ind w:left="420"/>
    </w:pPr>
    <w:rPr>
      <w:sz w:val="24"/>
    </w:rPr>
  </w:style>
  <w:style w:type="paragraph" w:styleId="29">
    <w:name w:val="endnote text"/>
    <w:basedOn w:val="1"/>
    <w:link w:val="203"/>
    <w:semiHidden/>
    <w:unhideWhenUsed/>
    <w:qFormat/>
    <w:uiPriority w:val="99"/>
    <w:pPr>
      <w:spacing w:after="0" w:line="240" w:lineRule="auto"/>
    </w:pPr>
    <w:rPr>
      <w:sz w:val="20"/>
      <w:szCs w:val="20"/>
    </w:rPr>
  </w:style>
  <w:style w:type="paragraph" w:styleId="30">
    <w:name w:val="Balloon Text"/>
    <w:basedOn w:val="1"/>
    <w:link w:val="224"/>
    <w:qFormat/>
    <w:uiPriority w:val="99"/>
    <w:rPr>
      <w:sz w:val="18"/>
      <w:szCs w:val="18"/>
    </w:rPr>
  </w:style>
  <w:style w:type="paragraph" w:styleId="31">
    <w:name w:val="header"/>
    <w:basedOn w:val="1"/>
    <w:link w:val="226"/>
    <w:unhideWhenUsed/>
    <w:qFormat/>
    <w:uiPriority w:val="99"/>
    <w:pPr>
      <w:pBdr>
        <w:bottom w:val="single" w:color="000000" w:sz="6" w:space="1"/>
      </w:pBdr>
      <w:tabs>
        <w:tab w:val="center" w:pos="4153"/>
        <w:tab w:val="right" w:pos="8306"/>
      </w:tabs>
      <w:jc w:val="center"/>
    </w:pPr>
    <w:rPr>
      <w:sz w:val="18"/>
      <w:szCs w:val="18"/>
    </w:rPr>
  </w:style>
  <w:style w:type="paragraph" w:styleId="32">
    <w:name w:val="toc 1"/>
    <w:basedOn w:val="1"/>
    <w:next w:val="1"/>
    <w:unhideWhenUsed/>
    <w:qFormat/>
    <w:uiPriority w:val="39"/>
  </w:style>
  <w:style w:type="paragraph" w:styleId="33">
    <w:name w:val="toc 4"/>
    <w:basedOn w:val="1"/>
    <w:next w:val="1"/>
    <w:qFormat/>
    <w:uiPriority w:val="39"/>
    <w:pPr>
      <w:ind w:left="1260"/>
    </w:pPr>
    <w:rPr>
      <w:rFonts w:ascii="Calibri" w:hAnsi="Calibri" w:cs="Calibri"/>
      <w:szCs w:val="21"/>
    </w:rPr>
  </w:style>
  <w:style w:type="paragraph" w:styleId="34">
    <w:name w:val="Subtitle"/>
    <w:basedOn w:val="1"/>
    <w:next w:val="1"/>
    <w:link w:val="227"/>
    <w:qFormat/>
    <w:uiPriority w:val="11"/>
    <w:pPr>
      <w:spacing w:before="240" w:after="60" w:line="312" w:lineRule="auto"/>
      <w:jc w:val="center"/>
      <w:outlineLvl w:val="1"/>
    </w:pPr>
    <w:rPr>
      <w:rFonts w:ascii="Cambria" w:hAnsi="Cambria"/>
      <w:b/>
      <w:bCs/>
      <w:sz w:val="32"/>
      <w:szCs w:val="32"/>
    </w:rPr>
  </w:style>
  <w:style w:type="paragraph" w:styleId="35">
    <w:name w:val="footnote text"/>
    <w:basedOn w:val="1"/>
    <w:link w:val="228"/>
    <w:qFormat/>
    <w:uiPriority w:val="99"/>
    <w:pPr>
      <w:spacing w:line="312" w:lineRule="atLeast"/>
      <w:jc w:val="left"/>
    </w:pPr>
    <w:rPr>
      <w:sz w:val="18"/>
      <w:szCs w:val="18"/>
    </w:rPr>
  </w:style>
  <w:style w:type="paragraph" w:styleId="36">
    <w:name w:val="toc 6"/>
    <w:basedOn w:val="1"/>
    <w:next w:val="1"/>
    <w:qFormat/>
    <w:uiPriority w:val="39"/>
    <w:pPr>
      <w:ind w:left="2100"/>
    </w:pPr>
    <w:rPr>
      <w:rFonts w:ascii="Calibri" w:hAnsi="Calibri" w:cs="Calibri"/>
      <w:szCs w:val="21"/>
    </w:rPr>
  </w:style>
  <w:style w:type="paragraph" w:styleId="37">
    <w:name w:val="table of figures"/>
    <w:basedOn w:val="1"/>
    <w:next w:val="1"/>
    <w:unhideWhenUsed/>
    <w:qFormat/>
    <w:uiPriority w:val="99"/>
    <w:pPr>
      <w:spacing w:after="0" w:afterAutospacing="0"/>
    </w:pPr>
  </w:style>
  <w:style w:type="paragraph" w:styleId="38">
    <w:name w:val="toc 2"/>
    <w:basedOn w:val="1"/>
    <w:next w:val="1"/>
    <w:unhideWhenUsed/>
    <w:qFormat/>
    <w:uiPriority w:val="39"/>
    <w:pPr>
      <w:tabs>
        <w:tab w:val="right" w:leader="dot" w:pos="8296"/>
      </w:tabs>
      <w:ind w:left="420"/>
    </w:pPr>
  </w:style>
  <w:style w:type="paragraph" w:styleId="39">
    <w:name w:val="toc 9"/>
    <w:basedOn w:val="1"/>
    <w:next w:val="1"/>
    <w:qFormat/>
    <w:uiPriority w:val="39"/>
    <w:pPr>
      <w:ind w:left="3360"/>
    </w:pPr>
    <w:rPr>
      <w:rFonts w:ascii="Calibri" w:hAnsi="Calibri" w:cs="Calibri"/>
      <w:szCs w:val="21"/>
    </w:rPr>
  </w:style>
  <w:style w:type="paragraph" w:styleId="40">
    <w:name w:val="Body Text 2"/>
    <w:basedOn w:val="1"/>
    <w:qFormat/>
    <w:uiPriority w:val="0"/>
    <w:pPr>
      <w:spacing w:after="120" w:line="480" w:lineRule="auto"/>
    </w:pPr>
    <w:rPr>
      <w:sz w:val="20"/>
    </w:rPr>
  </w:style>
  <w:style w:type="paragraph" w:styleId="41">
    <w:name w:val="HTML Preformatted"/>
    <w:basedOn w:val="1"/>
    <w:link w:val="229"/>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42">
    <w:name w:val="Normal (Web)"/>
    <w:basedOn w:val="1"/>
    <w:unhideWhenUsed/>
    <w:qFormat/>
    <w:uiPriority w:val="0"/>
    <w:rPr>
      <w:rFonts w:ascii="Calibri" w:hAnsi="Calibri"/>
      <w:sz w:val="24"/>
    </w:rPr>
  </w:style>
  <w:style w:type="paragraph" w:styleId="43">
    <w:name w:val="Title"/>
    <w:basedOn w:val="1"/>
    <w:next w:val="1"/>
    <w:link w:val="230"/>
    <w:qFormat/>
    <w:uiPriority w:val="99"/>
    <w:pPr>
      <w:spacing w:before="240" w:after="60"/>
      <w:jc w:val="center"/>
      <w:outlineLvl w:val="0"/>
    </w:pPr>
    <w:rPr>
      <w:rFonts w:ascii="Cambria" w:hAnsi="Cambria"/>
      <w:b/>
      <w:bCs/>
      <w:sz w:val="32"/>
      <w:szCs w:val="32"/>
    </w:rPr>
  </w:style>
  <w:style w:type="paragraph" w:styleId="44">
    <w:name w:val="annotation subject"/>
    <w:basedOn w:val="17"/>
    <w:next w:val="17"/>
    <w:link w:val="231"/>
    <w:qFormat/>
    <w:uiPriority w:val="99"/>
    <w:rPr>
      <w:b/>
      <w:bCs/>
    </w:rPr>
  </w:style>
  <w:style w:type="table" w:styleId="46">
    <w:name w:val="Table Grid"/>
    <w:basedOn w:val="4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48">
    <w:name w:val="Strong"/>
    <w:basedOn w:val="47"/>
    <w:qFormat/>
    <w:uiPriority w:val="22"/>
    <w:rPr>
      <w:b/>
      <w:bCs/>
    </w:rPr>
  </w:style>
  <w:style w:type="character" w:styleId="49">
    <w:name w:val="endnote reference"/>
    <w:unhideWhenUsed/>
    <w:qFormat/>
    <w:uiPriority w:val="99"/>
    <w:rPr>
      <w:vertAlign w:val="superscript"/>
    </w:rPr>
  </w:style>
  <w:style w:type="character" w:styleId="50">
    <w:name w:val="page number"/>
    <w:qFormat/>
    <w:uiPriority w:val="99"/>
  </w:style>
  <w:style w:type="character" w:styleId="51">
    <w:name w:val="FollowedHyperlink"/>
    <w:basedOn w:val="47"/>
    <w:semiHidden/>
    <w:unhideWhenUsed/>
    <w:qFormat/>
    <w:uiPriority w:val="99"/>
    <w:rPr>
      <w:color w:val="800080" w:themeColor="followedHyperlink"/>
      <w:u w:val="single"/>
      <w14:textFill>
        <w14:solidFill>
          <w14:schemeClr w14:val="folHlink"/>
        </w14:solidFill>
      </w14:textFill>
    </w:rPr>
  </w:style>
  <w:style w:type="character" w:styleId="52">
    <w:name w:val="Emphasis"/>
    <w:qFormat/>
    <w:uiPriority w:val="99"/>
    <w:rPr>
      <w:i/>
      <w:iCs/>
    </w:rPr>
  </w:style>
  <w:style w:type="character" w:styleId="53">
    <w:name w:val="HTML Definition"/>
    <w:basedOn w:val="47"/>
    <w:unhideWhenUsed/>
    <w:qFormat/>
    <w:uiPriority w:val="99"/>
  </w:style>
  <w:style w:type="character" w:styleId="54">
    <w:name w:val="HTML Typewriter"/>
    <w:basedOn w:val="47"/>
    <w:unhideWhenUsed/>
    <w:qFormat/>
    <w:uiPriority w:val="99"/>
    <w:rPr>
      <w:rFonts w:hint="default" w:ascii="monospace" w:hAnsi="monospace" w:eastAsia="monospace" w:cs="monospace"/>
      <w:sz w:val="20"/>
    </w:rPr>
  </w:style>
  <w:style w:type="character" w:styleId="55">
    <w:name w:val="HTML Acronym"/>
    <w:basedOn w:val="47"/>
    <w:unhideWhenUsed/>
    <w:qFormat/>
    <w:uiPriority w:val="99"/>
  </w:style>
  <w:style w:type="character" w:styleId="56">
    <w:name w:val="HTML Variable"/>
    <w:basedOn w:val="47"/>
    <w:unhideWhenUsed/>
    <w:qFormat/>
    <w:uiPriority w:val="99"/>
  </w:style>
  <w:style w:type="character" w:styleId="57">
    <w:name w:val="Hyperlink"/>
    <w:unhideWhenUsed/>
    <w:qFormat/>
    <w:uiPriority w:val="99"/>
    <w:rPr>
      <w:color w:val="0000FF"/>
      <w:u w:val="single"/>
    </w:rPr>
  </w:style>
  <w:style w:type="character" w:styleId="58">
    <w:name w:val="HTML Code"/>
    <w:basedOn w:val="47"/>
    <w:unhideWhenUsed/>
    <w:qFormat/>
    <w:uiPriority w:val="99"/>
    <w:rPr>
      <w:rFonts w:hint="default"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7"/>
    <w:unhideWhenUsed/>
    <w:qFormat/>
    <w:uiPriority w:val="99"/>
  </w:style>
  <w:style w:type="character" w:styleId="61">
    <w:name w:val="footnote reference"/>
    <w:unhideWhenUsed/>
    <w:qFormat/>
    <w:uiPriority w:val="0"/>
    <w:rPr>
      <w:vertAlign w:val="superscript"/>
    </w:rPr>
  </w:style>
  <w:style w:type="character" w:styleId="62">
    <w:name w:val="HTML Keyboard"/>
    <w:basedOn w:val="47"/>
    <w:unhideWhenUsed/>
    <w:qFormat/>
    <w:uiPriority w:val="99"/>
    <w:rPr>
      <w:rFonts w:hint="default" w:ascii="monospace" w:hAnsi="monospace" w:eastAsia="monospace" w:cs="monospace"/>
      <w:sz w:val="20"/>
    </w:rPr>
  </w:style>
  <w:style w:type="character" w:styleId="63">
    <w:name w:val="HTML Sample"/>
    <w:basedOn w:val="47"/>
    <w:unhideWhenUsed/>
    <w:qFormat/>
    <w:uiPriority w:val="99"/>
    <w:rPr>
      <w:rFonts w:ascii="monospace" w:hAnsi="monospace" w:eastAsia="monospace" w:cs="monospace"/>
    </w:rPr>
  </w:style>
  <w:style w:type="table" w:customStyle="1" w:styleId="64">
    <w:name w:val="Table Grid Light"/>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5">
    <w:name w:val="Plain Table 1"/>
    <w:basedOn w:val="4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6">
    <w:name w:val="Plain Table 2"/>
    <w:basedOn w:val="4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7">
    <w:name w:val="Plain Table 3"/>
    <w:basedOn w:val="4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8">
    <w:name w:val="Plain Table 4"/>
    <w:basedOn w:val="4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9">
    <w:name w:val="Plain Table 5"/>
    <w:basedOn w:val="4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70">
    <w:name w:val="Grid Table 1 Light"/>
    <w:basedOn w:val="4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71">
    <w:name w:val="Grid Table 1 Light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72">
    <w:name w:val="Grid Table 1 Light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73">
    <w:name w:val="Grid Table 1 Light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74">
    <w:name w:val="Grid Table 1 Light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75">
    <w:name w:val="Grid Table 1 Light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76">
    <w:name w:val="Grid Table 1 Light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77">
    <w:name w:val="Grid Table 2"/>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8">
    <w:name w:val="Grid Table 2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9">
    <w:name w:val="Grid Table 2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0">
    <w:name w:val="Grid Table 2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1">
    <w:name w:val="Grid Table 2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2">
    <w:name w:val="Grid Table 2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3">
    <w:name w:val="Grid Table 2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4">
    <w:name w:val="Grid Table 3"/>
    <w:basedOn w:val="4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5">
    <w:name w:val="Grid Table 3 - Accent 1"/>
    <w:basedOn w:val="4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86">
    <w:name w:val="Grid Table 3 - Accent 2"/>
    <w:basedOn w:val="4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7">
    <w:name w:val="Grid Table 3 - Accent 3"/>
    <w:basedOn w:val="4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8">
    <w:name w:val="Grid Table 3 - Accent 4"/>
    <w:basedOn w:val="4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9">
    <w:name w:val="Grid Table 3 - Accent 5"/>
    <w:basedOn w:val="4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0">
    <w:name w:val="Grid Table 3 - Accent 6"/>
    <w:basedOn w:val="4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1">
    <w:name w:val="Grid Table 4"/>
    <w:basedOn w:val="4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92">
    <w:name w:val="Grid Table 4 - Accent 1"/>
    <w:basedOn w:val="4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93">
    <w:name w:val="Grid Table 4 - Accent 2"/>
    <w:basedOn w:val="4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94">
    <w:name w:val="Grid Table 4 - Accent 3"/>
    <w:basedOn w:val="4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95">
    <w:name w:val="Grid Table 4 - Accent 4"/>
    <w:basedOn w:val="4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96">
    <w:name w:val="Grid Table 4 - Accent 5"/>
    <w:basedOn w:val="4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97">
    <w:name w:val="Grid Table 4 - Accent 6"/>
    <w:basedOn w:val="4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98">
    <w:name w:val="Grid Table 5 Dark"/>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9">
    <w:name w:val="Grid Table 5 Dark- Accent 1"/>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100">
    <w:name w:val="Grid Table 5 Dark - Accent 2"/>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101">
    <w:name w:val="Grid Table 5 Dark - Accent 3"/>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102">
    <w:name w:val="Grid Table 5 Dark- Accent 4"/>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103">
    <w:name w:val="Grid Table 5 Dark - Accent 5"/>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104">
    <w:name w:val="Grid Table 5 Dark - Accent 6"/>
    <w:basedOn w:val="4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105">
    <w:name w:val="Grid Table 6 Colorful"/>
    <w:basedOn w:val="4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6">
    <w:name w:val="Grid Table 6 Colorful - Accent 1"/>
    <w:basedOn w:val="4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7">
    <w:name w:val="Grid Table 6 Colorful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8">
    <w:name w:val="Grid Table 6 Colorful - Accent 3"/>
    <w:basedOn w:val="4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9">
    <w:name w:val="Grid Table 6 Colorful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0">
    <w:name w:val="Grid Table 6 Colorful - Accent 5"/>
    <w:basedOn w:val="4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1">
    <w:name w:val="Grid Table 6 Colorful - Accent 6"/>
    <w:basedOn w:val="4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2">
    <w:name w:val="Grid Table 7 Colorful"/>
    <w:basedOn w:val="4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13">
    <w:name w:val="Grid Table 7 Colorful - Accent 1"/>
    <w:basedOn w:val="4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14">
    <w:name w:val="Grid Table 7 Colorful - Accent 2"/>
    <w:basedOn w:val="4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5">
    <w:name w:val="Grid Table 7 Colorful - Accent 3"/>
    <w:basedOn w:val="4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6">
    <w:name w:val="Grid Table 7 Colorful - Accent 4"/>
    <w:basedOn w:val="4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7">
    <w:name w:val="Grid Table 7 Colorful - Accent 5"/>
    <w:basedOn w:val="4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18">
    <w:name w:val="Grid Table 7 Colorful - Accent 6"/>
    <w:basedOn w:val="4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9">
    <w:name w:val="List Table 1 Light"/>
    <w:basedOn w:val="4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0">
    <w:name w:val="List Table 1 Light - Accent 1"/>
    <w:basedOn w:val="45"/>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1">
    <w:name w:val="List Table 1 Light - Accent 2"/>
    <w:basedOn w:val="45"/>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2">
    <w:name w:val="List Table 1 Light - Accent 3"/>
    <w:basedOn w:val="45"/>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3">
    <w:name w:val="List Table 1 Light - Accent 4"/>
    <w:basedOn w:val="45"/>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4">
    <w:name w:val="List Table 1 Light - Accent 5"/>
    <w:basedOn w:val="4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5">
    <w:name w:val="List Table 1 Light - Accent 6"/>
    <w:basedOn w:val="45"/>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6">
    <w:name w:val="List Table 2"/>
    <w:basedOn w:val="4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7">
    <w:name w:val="List Table 2 - Accent 1"/>
    <w:basedOn w:val="4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8">
    <w:name w:val="List Table 2 - Accent 2"/>
    <w:basedOn w:val="4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9">
    <w:name w:val="List Table 2 - Accent 3"/>
    <w:basedOn w:val="4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0">
    <w:name w:val="List Table 2 - Accent 4"/>
    <w:basedOn w:val="4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1">
    <w:name w:val="List Table 2 - Accent 5"/>
    <w:basedOn w:val="4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2">
    <w:name w:val="List Table 2 - Accent 6"/>
    <w:basedOn w:val="4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3">
    <w:name w:val="List Table 3"/>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34">
    <w:name w:val="List Table 3 - Accent 1"/>
    <w:basedOn w:val="4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35">
    <w:name w:val="List Table 3 - Accent 2"/>
    <w:basedOn w:val="4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36">
    <w:name w:val="List Table 3 - Accent 3"/>
    <w:basedOn w:val="4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37">
    <w:name w:val="List Table 3 - Accent 4"/>
    <w:basedOn w:val="4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38">
    <w:name w:val="List Table 3 - Accent 5"/>
    <w:basedOn w:val="4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9">
    <w:name w:val="List Table 3 - Accent 6"/>
    <w:basedOn w:val="4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40">
    <w:name w:val="List Table 4"/>
    <w:basedOn w:val="4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41">
    <w:name w:val="List Table 4 - Accent 1"/>
    <w:basedOn w:val="4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42">
    <w:name w:val="List Table 4 - Accent 2"/>
    <w:basedOn w:val="4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43">
    <w:name w:val="List Table 4 - Accent 3"/>
    <w:basedOn w:val="4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44">
    <w:name w:val="List Table 4 - Accent 4"/>
    <w:basedOn w:val="4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45">
    <w:name w:val="List Table 4 - Accent 5"/>
    <w:basedOn w:val="4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46">
    <w:name w:val="List Table 4 - Accent 6"/>
    <w:basedOn w:val="4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47">
    <w:name w:val="List Table 5 Dark"/>
    <w:basedOn w:val="4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8">
    <w:name w:val="List Table 5 Dark - Accent 1"/>
    <w:basedOn w:val="4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9">
    <w:name w:val="List Table 5 Dark - Accent 2"/>
    <w:basedOn w:val="4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50">
    <w:name w:val="List Table 5 Dark - Accent 3"/>
    <w:basedOn w:val="4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51">
    <w:name w:val="List Table 5 Dark - Accent 4"/>
    <w:basedOn w:val="4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52">
    <w:name w:val="List Table 5 Dark - Accent 5"/>
    <w:basedOn w:val="4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53">
    <w:name w:val="List Table 5 Dark - Accent 6"/>
    <w:basedOn w:val="4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54">
    <w:name w:val="List Table 6 Colorful"/>
    <w:basedOn w:val="4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55">
    <w:name w:val="List Table 6 Colorful - Accent 1"/>
    <w:basedOn w:val="4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6">
    <w:name w:val="List Table 6 Colorful - Accent 2"/>
    <w:basedOn w:val="4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7">
    <w:name w:val="List Table 6 Colorful - Accent 3"/>
    <w:basedOn w:val="4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8">
    <w:name w:val="List Table 6 Colorful - Accent 4"/>
    <w:basedOn w:val="4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9">
    <w:name w:val="List Table 6 Colorful - Accent 5"/>
    <w:basedOn w:val="4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0">
    <w:name w:val="List Table 6 Colorful - Accent 6"/>
    <w:basedOn w:val="4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1">
    <w:name w:val="List Table 7 Colorful"/>
    <w:basedOn w:val="4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62">
    <w:name w:val="List Table 7 Colorful - Accent 1"/>
    <w:basedOn w:val="4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63">
    <w:name w:val="List Table 7 Colorful - Accent 2"/>
    <w:basedOn w:val="4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64">
    <w:name w:val="List Table 7 Colorful - Accent 3"/>
    <w:basedOn w:val="4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5">
    <w:name w:val="List Table 7 Colorful - Accent 4"/>
    <w:basedOn w:val="4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6">
    <w:name w:val="List Table 7 Colorful - Accent 5"/>
    <w:basedOn w:val="4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7">
    <w:name w:val="List Table 7 Colorful - Accent 6"/>
    <w:basedOn w:val="4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8">
    <w:name w:val="Lined - Accent"/>
    <w:basedOn w:val="4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9">
    <w:name w:val="Lined - Accent 1"/>
    <w:basedOn w:val="45"/>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0">
    <w:name w:val="Lined - Accent 2"/>
    <w:basedOn w:val="45"/>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1">
    <w:name w:val="Lined - Accent 3"/>
    <w:basedOn w:val="45"/>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2">
    <w:name w:val="Lined - Accent 4"/>
    <w:basedOn w:val="45"/>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3">
    <w:name w:val="Lined - Accent 5"/>
    <w:basedOn w:val="4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4">
    <w:name w:val="Lined - Accent 6"/>
    <w:basedOn w:val="45"/>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5">
    <w:name w:val="Bordered &amp; Lined - Accent"/>
    <w:basedOn w:val="4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6">
    <w:name w:val="Bordered &amp; Lined - Accent 1"/>
    <w:basedOn w:val="4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77">
    <w:name w:val="Bordered &amp; Lined - Accent 2"/>
    <w:basedOn w:val="4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78">
    <w:name w:val="Bordered &amp; Lined - Accent 3"/>
    <w:basedOn w:val="4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9">
    <w:name w:val="Bordered &amp; Lined - Accent 4"/>
    <w:basedOn w:val="4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80">
    <w:name w:val="Bordered &amp; Lined - Accent 5"/>
    <w:basedOn w:val="4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81">
    <w:name w:val="Bordered &amp; Lined - Accent 6"/>
    <w:basedOn w:val="4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82">
    <w:name w:val="Bordered"/>
    <w:basedOn w:val="4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83">
    <w:name w:val="Bordered - Accent 1"/>
    <w:basedOn w:val="4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84">
    <w:name w:val="Bordered - Accent 2"/>
    <w:basedOn w:val="4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85">
    <w:name w:val="Bordered - Accent 3"/>
    <w:basedOn w:val="4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86">
    <w:name w:val="Bordered - Accent 4"/>
    <w:basedOn w:val="4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87">
    <w:name w:val="Bordered - Accent 5"/>
    <w:basedOn w:val="4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88">
    <w:name w:val="Bordered - Accent 6"/>
    <w:basedOn w:val="4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9">
    <w:name w:val="Heading 6 Char"/>
    <w:basedOn w:val="4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90">
    <w:name w:val="Heading 7 Char"/>
    <w:basedOn w:val="47"/>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91">
    <w:name w:val="Heading 8 Char"/>
    <w:basedOn w:val="4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2">
    <w:name w:val="Heading 9 Char"/>
    <w:basedOn w:val="47"/>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93">
    <w:name w:val="Subtitle Char"/>
    <w:basedOn w:val="4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94">
    <w:name w:val="Quote"/>
    <w:basedOn w:val="1"/>
    <w:next w:val="1"/>
    <w:link w:val="19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95">
    <w:name w:val="Quote Char"/>
    <w:basedOn w:val="47"/>
    <w:link w:val="194"/>
    <w:qFormat/>
    <w:uiPriority w:val="29"/>
    <w:rPr>
      <w:i/>
      <w:iCs/>
      <w:color w:val="404040" w:themeColor="text1" w:themeTint="BF"/>
      <w14:textFill>
        <w14:solidFill>
          <w14:schemeClr w14:val="tx1">
            <w14:lumMod w14:val="75000"/>
            <w14:lumOff w14:val="25000"/>
          </w14:schemeClr>
        </w14:solidFill>
      </w14:textFill>
    </w:rPr>
  </w:style>
  <w:style w:type="character" w:customStyle="1" w:styleId="196">
    <w:name w:val="Intense Emphasis"/>
    <w:basedOn w:val="47"/>
    <w:qFormat/>
    <w:uiPriority w:val="21"/>
    <w:rPr>
      <w:i/>
      <w:iCs/>
      <w:color w:val="376092" w:themeColor="accent1" w:themeShade="BF"/>
    </w:rPr>
  </w:style>
  <w:style w:type="paragraph" w:styleId="197">
    <w:name w:val="Intense Quote"/>
    <w:basedOn w:val="1"/>
    <w:next w:val="1"/>
    <w:link w:val="198"/>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98">
    <w:name w:val="Intense Quote Char"/>
    <w:basedOn w:val="47"/>
    <w:link w:val="197"/>
    <w:qFormat/>
    <w:uiPriority w:val="30"/>
    <w:rPr>
      <w:i/>
      <w:iCs/>
      <w:color w:val="376092" w:themeColor="accent1" w:themeShade="BF"/>
    </w:rPr>
  </w:style>
  <w:style w:type="character" w:customStyle="1" w:styleId="199">
    <w:name w:val="Intense Reference"/>
    <w:basedOn w:val="47"/>
    <w:qFormat/>
    <w:uiPriority w:val="32"/>
    <w:rPr>
      <w:b/>
      <w:bCs/>
      <w:smallCaps/>
      <w:color w:val="376092" w:themeColor="accent1" w:themeShade="BF"/>
      <w:spacing w:val="5"/>
    </w:rPr>
  </w:style>
  <w:style w:type="character" w:customStyle="1" w:styleId="200">
    <w:name w:val="Subtle Emphasis"/>
    <w:basedOn w:val="47"/>
    <w:qFormat/>
    <w:uiPriority w:val="19"/>
    <w:rPr>
      <w:i/>
      <w:iCs/>
      <w:color w:val="404040" w:themeColor="text1" w:themeTint="BF"/>
      <w14:textFill>
        <w14:solidFill>
          <w14:schemeClr w14:val="tx1">
            <w14:lumMod w14:val="75000"/>
            <w14:lumOff w14:val="25000"/>
          </w14:schemeClr>
        </w14:solidFill>
      </w14:textFill>
    </w:rPr>
  </w:style>
  <w:style w:type="character" w:customStyle="1" w:styleId="201">
    <w:name w:val="Subtle Reference"/>
    <w:basedOn w:val="4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02">
    <w:name w:val="Book Title"/>
    <w:basedOn w:val="47"/>
    <w:qFormat/>
    <w:uiPriority w:val="33"/>
    <w:rPr>
      <w:b/>
      <w:bCs/>
      <w:i/>
      <w:iCs/>
      <w:spacing w:val="5"/>
    </w:rPr>
  </w:style>
  <w:style w:type="character" w:customStyle="1" w:styleId="203">
    <w:name w:val="Endnote Text Char"/>
    <w:basedOn w:val="47"/>
    <w:link w:val="29"/>
    <w:semiHidden/>
    <w:qFormat/>
    <w:uiPriority w:val="99"/>
    <w:rPr>
      <w:sz w:val="20"/>
      <w:szCs w:val="20"/>
    </w:rPr>
  </w:style>
  <w:style w:type="paragraph" w:customStyle="1" w:styleId="204">
    <w:name w:val="TOC Heading"/>
    <w:unhideWhenUsed/>
    <w:qFormat/>
    <w:uiPriority w:val="39"/>
    <w:rPr>
      <w:rFonts w:hint="default" w:ascii="Times New Roman" w:hAnsi="Times New Roman" w:eastAsia="宋体" w:cs="Times New Roman"/>
    </w:rPr>
  </w:style>
  <w:style w:type="paragraph" w:customStyle="1" w:styleId="205">
    <w:name w:val="正文1"/>
    <w:basedOn w:val="1"/>
    <w:qFormat/>
    <w:uiPriority w:val="0"/>
    <w:pPr>
      <w:spacing w:line="360" w:lineRule="auto"/>
      <w:ind w:firstLine="200"/>
      <w:jc w:val="left"/>
    </w:pPr>
    <w:rPr>
      <w:rFonts w:ascii="Times New Roman)" w:hAnsi="Times New Roman)" w:eastAsia="宋体正文"/>
      <w:color w:val="000000"/>
      <w:sz w:val="24"/>
      <w:lang w:eastAsia="en-US" w:bidi="en-US"/>
    </w:rPr>
  </w:style>
  <w:style w:type="character" w:customStyle="1" w:styleId="206">
    <w:name w:val="标题 1 字符"/>
    <w:link w:val="3"/>
    <w:qFormat/>
    <w:uiPriority w:val="99"/>
    <w:rPr>
      <w:b/>
      <w:bCs/>
      <w:sz w:val="44"/>
      <w:szCs w:val="44"/>
    </w:rPr>
  </w:style>
  <w:style w:type="character" w:customStyle="1" w:styleId="207">
    <w:name w:val="标题 2 字符"/>
    <w:link w:val="4"/>
    <w:qFormat/>
    <w:uiPriority w:val="9"/>
    <w:rPr>
      <w:rFonts w:ascii="Cambria" w:hAnsi="Cambria" w:eastAsia="宋体" w:cs="Times New Roman"/>
      <w:b/>
      <w:bCs/>
      <w:sz w:val="32"/>
      <w:szCs w:val="32"/>
    </w:rPr>
  </w:style>
  <w:style w:type="character" w:customStyle="1" w:styleId="208">
    <w:name w:val="标题 3 字符"/>
    <w:link w:val="5"/>
    <w:qFormat/>
    <w:uiPriority w:val="99"/>
    <w:rPr>
      <w:b/>
      <w:bCs/>
      <w:sz w:val="32"/>
      <w:szCs w:val="32"/>
    </w:rPr>
  </w:style>
  <w:style w:type="character" w:customStyle="1" w:styleId="209">
    <w:name w:val="标题 4 字符"/>
    <w:link w:val="6"/>
    <w:qFormat/>
    <w:uiPriority w:val="99"/>
    <w:rPr>
      <w:rFonts w:ascii="Arial" w:hAnsi="Arial"/>
      <w:b/>
      <w:bCs/>
      <w:sz w:val="28"/>
      <w:szCs w:val="28"/>
    </w:rPr>
  </w:style>
  <w:style w:type="character" w:customStyle="1" w:styleId="210">
    <w:name w:val="标题 5 字符"/>
    <w:link w:val="7"/>
    <w:qFormat/>
    <w:uiPriority w:val="99"/>
    <w:rPr>
      <w:rFonts w:ascii="Times New Roman" w:hAnsi="Times New Roman"/>
      <w:b/>
      <w:bCs/>
      <w:sz w:val="28"/>
      <w:szCs w:val="28"/>
    </w:rPr>
  </w:style>
  <w:style w:type="character" w:customStyle="1" w:styleId="211">
    <w:name w:val="正文缩进 字符"/>
    <w:link w:val="8"/>
    <w:qFormat/>
    <w:uiPriority w:val="99"/>
    <w:rPr>
      <w:sz w:val="21"/>
    </w:rPr>
  </w:style>
  <w:style w:type="character" w:customStyle="1" w:styleId="212">
    <w:name w:val="标题 6 字符"/>
    <w:link w:val="9"/>
    <w:qFormat/>
    <w:uiPriority w:val="9"/>
    <w:rPr>
      <w:rFonts w:ascii="Cambria" w:hAnsi="Cambria"/>
      <w:b/>
      <w:bCs/>
      <w:sz w:val="24"/>
      <w:szCs w:val="24"/>
    </w:rPr>
  </w:style>
  <w:style w:type="character" w:customStyle="1" w:styleId="213">
    <w:name w:val="标题 7 字符"/>
    <w:link w:val="10"/>
    <w:qFormat/>
    <w:uiPriority w:val="9"/>
    <w:rPr>
      <w:b/>
      <w:bCs/>
      <w:sz w:val="24"/>
      <w:szCs w:val="24"/>
    </w:rPr>
  </w:style>
  <w:style w:type="character" w:customStyle="1" w:styleId="214">
    <w:name w:val="标题 8 字符"/>
    <w:link w:val="11"/>
    <w:semiHidden/>
    <w:qFormat/>
    <w:uiPriority w:val="9"/>
    <w:rPr>
      <w:rFonts w:ascii="等线 Light" w:hAnsi="等线 Light" w:eastAsia="等线 Light" w:cs="Times New Roman"/>
      <w:sz w:val="24"/>
      <w:szCs w:val="24"/>
    </w:rPr>
  </w:style>
  <w:style w:type="character" w:customStyle="1" w:styleId="215">
    <w:name w:val="标题 9 字符"/>
    <w:link w:val="12"/>
    <w:qFormat/>
    <w:uiPriority w:val="9"/>
    <w:rPr>
      <w:rFonts w:ascii="Cambria" w:hAnsi="Cambria"/>
      <w:szCs w:val="21"/>
    </w:rPr>
  </w:style>
  <w:style w:type="character" w:customStyle="1" w:styleId="216">
    <w:name w:val="文档结构图 字符"/>
    <w:link w:val="16"/>
    <w:qFormat/>
    <w:uiPriority w:val="99"/>
    <w:rPr>
      <w:sz w:val="24"/>
      <w:szCs w:val="24"/>
      <w:shd w:val="clear" w:color="auto" w:fill="000080"/>
    </w:rPr>
  </w:style>
  <w:style w:type="character" w:customStyle="1" w:styleId="217">
    <w:name w:val="批注文字 字符2"/>
    <w:link w:val="17"/>
    <w:qFormat/>
    <w:uiPriority w:val="99"/>
    <w:rPr>
      <w:rFonts w:ascii="Times New Roman" w:hAnsi="Times New Roman"/>
      <w:sz w:val="21"/>
      <w:szCs w:val="24"/>
    </w:rPr>
  </w:style>
  <w:style w:type="character" w:customStyle="1" w:styleId="218">
    <w:name w:val="正文文本 3 字符"/>
    <w:link w:val="18"/>
    <w:semiHidden/>
    <w:qFormat/>
    <w:uiPriority w:val="99"/>
    <w:rPr>
      <w:sz w:val="16"/>
      <w:szCs w:val="16"/>
    </w:rPr>
  </w:style>
  <w:style w:type="character" w:customStyle="1" w:styleId="219">
    <w:name w:val="正文文本 字符1"/>
    <w:link w:val="19"/>
    <w:qFormat/>
    <w:uiPriority w:val="99"/>
    <w:rPr>
      <w:rFonts w:ascii="Times New Roman" w:hAnsi="Times New Roman"/>
      <w:sz w:val="21"/>
      <w:szCs w:val="24"/>
    </w:rPr>
  </w:style>
  <w:style w:type="character" w:customStyle="1" w:styleId="220">
    <w:name w:val="正文文本缩进 字符"/>
    <w:link w:val="20"/>
    <w:qFormat/>
    <w:uiPriority w:val="99"/>
    <w:rPr>
      <w:rFonts w:ascii="仿宋_GB2312" w:hAnsi="Times New Roman" w:eastAsia="仿宋_GB2312" w:cs="Times New Roman"/>
      <w:sz w:val="32"/>
      <w:szCs w:val="20"/>
    </w:rPr>
  </w:style>
  <w:style w:type="character" w:customStyle="1" w:styleId="221">
    <w:name w:val="纯文本 字符3"/>
    <w:link w:val="25"/>
    <w:qFormat/>
    <w:uiPriority w:val="99"/>
    <w:rPr>
      <w:rFonts w:ascii="宋体" w:hAnsi="Courier New" w:eastAsia="宋体" w:cs="Courier New"/>
      <w:szCs w:val="21"/>
    </w:rPr>
  </w:style>
  <w:style w:type="character" w:customStyle="1" w:styleId="222">
    <w:name w:val="日期 字符"/>
    <w:link w:val="27"/>
    <w:qFormat/>
    <w:uiPriority w:val="99"/>
    <w:rPr>
      <w:rFonts w:ascii="Times New Roman" w:hAnsi="Times New Roman"/>
      <w:sz w:val="21"/>
      <w:szCs w:val="24"/>
    </w:rPr>
  </w:style>
  <w:style w:type="character" w:customStyle="1" w:styleId="223">
    <w:name w:val="正文文本缩进 2 字符"/>
    <w:link w:val="28"/>
    <w:qFormat/>
    <w:uiPriority w:val="99"/>
    <w:rPr>
      <w:sz w:val="24"/>
      <w:szCs w:val="24"/>
    </w:rPr>
  </w:style>
  <w:style w:type="character" w:customStyle="1" w:styleId="224">
    <w:name w:val="批注框文本 字符"/>
    <w:link w:val="30"/>
    <w:qFormat/>
    <w:uiPriority w:val="99"/>
    <w:rPr>
      <w:sz w:val="18"/>
      <w:szCs w:val="18"/>
    </w:rPr>
  </w:style>
  <w:style w:type="character" w:customStyle="1" w:styleId="225">
    <w:name w:val="页脚 字符"/>
    <w:link w:val="2"/>
    <w:qFormat/>
    <w:uiPriority w:val="99"/>
    <w:rPr>
      <w:sz w:val="18"/>
      <w:szCs w:val="18"/>
    </w:rPr>
  </w:style>
  <w:style w:type="character" w:customStyle="1" w:styleId="226">
    <w:name w:val="页眉 字符"/>
    <w:link w:val="31"/>
    <w:qFormat/>
    <w:uiPriority w:val="99"/>
    <w:rPr>
      <w:sz w:val="18"/>
      <w:szCs w:val="18"/>
    </w:rPr>
  </w:style>
  <w:style w:type="character" w:customStyle="1" w:styleId="227">
    <w:name w:val="副标题 字符"/>
    <w:link w:val="34"/>
    <w:qFormat/>
    <w:uiPriority w:val="11"/>
    <w:rPr>
      <w:rFonts w:ascii="Cambria" w:hAnsi="Cambria"/>
      <w:b/>
      <w:bCs/>
      <w:sz w:val="32"/>
      <w:szCs w:val="32"/>
    </w:rPr>
  </w:style>
  <w:style w:type="character" w:customStyle="1" w:styleId="228">
    <w:name w:val="脚注文本 字符"/>
    <w:link w:val="35"/>
    <w:qFormat/>
    <w:uiPriority w:val="99"/>
    <w:rPr>
      <w:sz w:val="18"/>
      <w:szCs w:val="18"/>
    </w:rPr>
  </w:style>
  <w:style w:type="character" w:customStyle="1" w:styleId="229">
    <w:name w:val="HTML 预设格式 字符"/>
    <w:link w:val="41"/>
    <w:qFormat/>
    <w:uiPriority w:val="99"/>
    <w:rPr>
      <w:rFonts w:ascii="宋体" w:hAnsi="宋体"/>
      <w:sz w:val="24"/>
      <w:szCs w:val="24"/>
    </w:rPr>
  </w:style>
  <w:style w:type="character" w:customStyle="1" w:styleId="230">
    <w:name w:val="标题 字符"/>
    <w:link w:val="43"/>
    <w:qFormat/>
    <w:uiPriority w:val="99"/>
    <w:rPr>
      <w:rFonts w:ascii="Cambria" w:hAnsi="Cambria"/>
      <w:b/>
      <w:bCs/>
      <w:sz w:val="32"/>
      <w:szCs w:val="32"/>
    </w:rPr>
  </w:style>
  <w:style w:type="character" w:customStyle="1" w:styleId="231">
    <w:name w:val="批注主题 字符"/>
    <w:link w:val="44"/>
    <w:qFormat/>
    <w:uiPriority w:val="99"/>
    <w:rPr>
      <w:rFonts w:ascii="Times New Roman" w:hAnsi="Times New Roman"/>
      <w:b/>
      <w:bCs/>
      <w:sz w:val="21"/>
      <w:szCs w:val="24"/>
    </w:rPr>
  </w:style>
  <w:style w:type="character" w:customStyle="1" w:styleId="232">
    <w:name w:val="访问过的超链接1"/>
    <w:qFormat/>
    <w:uiPriority w:val="99"/>
    <w:rPr>
      <w:color w:val="800080"/>
      <w:u w:val="single"/>
    </w:rPr>
  </w:style>
  <w:style w:type="character" w:customStyle="1" w:styleId="233">
    <w:name w:val="书籍标题1"/>
    <w:qFormat/>
    <w:uiPriority w:val="99"/>
    <w:rPr>
      <w:b/>
      <w:bCs/>
      <w:smallCaps/>
      <w:spacing w:val="5"/>
    </w:rPr>
  </w:style>
  <w:style w:type="character" w:customStyle="1" w:styleId="234">
    <w:name w:val="Body text|5_"/>
    <w:link w:val="235"/>
    <w:qFormat/>
    <w:uiPriority w:val="0"/>
    <w:rPr>
      <w:rFonts w:ascii="宋体" w:hAnsi="宋体" w:cs="宋体"/>
      <w:sz w:val="52"/>
      <w:szCs w:val="52"/>
      <w:lang w:val="zh-CN" w:bidi="zh-CN"/>
    </w:rPr>
  </w:style>
  <w:style w:type="paragraph" w:customStyle="1" w:styleId="235">
    <w:name w:val="Body text|5"/>
    <w:basedOn w:val="1"/>
    <w:link w:val="234"/>
    <w:qFormat/>
    <w:uiPriority w:val="0"/>
    <w:pPr>
      <w:jc w:val="center"/>
    </w:pPr>
    <w:rPr>
      <w:rFonts w:ascii="宋体" w:hAnsi="宋体" w:cs="宋体"/>
      <w:sz w:val="52"/>
      <w:szCs w:val="52"/>
      <w:lang w:val="zh-CN" w:bidi="zh-CN"/>
    </w:rPr>
  </w:style>
  <w:style w:type="character" w:customStyle="1" w:styleId="236">
    <w:name w:val="Body text|1_"/>
    <w:link w:val="237"/>
    <w:qFormat/>
    <w:uiPriority w:val="0"/>
    <w:rPr>
      <w:rFonts w:ascii="宋体" w:hAnsi="宋体" w:cs="宋体"/>
      <w:sz w:val="21"/>
      <w:lang w:val="zh-CN" w:bidi="zh-CN"/>
    </w:rPr>
  </w:style>
  <w:style w:type="paragraph" w:customStyle="1" w:styleId="237">
    <w:name w:val="Body text|1"/>
    <w:basedOn w:val="1"/>
    <w:link w:val="236"/>
    <w:qFormat/>
    <w:uiPriority w:val="0"/>
    <w:pPr>
      <w:spacing w:line="360" w:lineRule="auto"/>
      <w:ind w:firstLine="400"/>
    </w:pPr>
    <w:rPr>
      <w:rFonts w:ascii="宋体" w:hAnsi="宋体" w:cs="宋体"/>
      <w:szCs w:val="20"/>
      <w:lang w:val="zh-CN" w:bidi="zh-CN"/>
    </w:rPr>
  </w:style>
  <w:style w:type="character" w:customStyle="1" w:styleId="238">
    <w:name w:val="Table caption|1_"/>
    <w:link w:val="239"/>
    <w:qFormat/>
    <w:uiPriority w:val="0"/>
    <w:rPr>
      <w:rFonts w:ascii="宋体" w:hAnsi="宋体" w:cs="宋体"/>
      <w:lang w:val="zh-CN" w:bidi="zh-CN"/>
    </w:rPr>
  </w:style>
  <w:style w:type="paragraph" w:customStyle="1" w:styleId="239">
    <w:name w:val="Table caption|1"/>
    <w:basedOn w:val="1"/>
    <w:link w:val="238"/>
    <w:qFormat/>
    <w:uiPriority w:val="0"/>
    <w:pPr>
      <w:jc w:val="left"/>
    </w:pPr>
    <w:rPr>
      <w:rFonts w:ascii="宋体" w:hAnsi="宋体" w:cs="宋体"/>
      <w:sz w:val="20"/>
      <w:szCs w:val="20"/>
      <w:lang w:val="zh-CN" w:bidi="zh-CN"/>
    </w:rPr>
  </w:style>
  <w:style w:type="character" w:customStyle="1" w:styleId="240">
    <w:name w:val="Heading #4|1_"/>
    <w:link w:val="241"/>
    <w:qFormat/>
    <w:uiPriority w:val="0"/>
    <w:rPr>
      <w:rFonts w:ascii="宋体" w:hAnsi="宋体" w:cs="宋体"/>
      <w:lang w:val="zh-CN" w:bidi="zh-CN"/>
    </w:rPr>
  </w:style>
  <w:style w:type="paragraph" w:customStyle="1" w:styleId="241">
    <w:name w:val="Heading #4|1"/>
    <w:basedOn w:val="1"/>
    <w:link w:val="240"/>
    <w:qFormat/>
    <w:uiPriority w:val="0"/>
    <w:pPr>
      <w:spacing w:after="120"/>
      <w:jc w:val="left"/>
      <w:outlineLvl w:val="3"/>
    </w:pPr>
    <w:rPr>
      <w:rFonts w:ascii="宋体" w:hAnsi="宋体" w:cs="宋体"/>
      <w:sz w:val="20"/>
      <w:szCs w:val="20"/>
      <w:lang w:val="zh-CN" w:bidi="zh-CN"/>
    </w:rPr>
  </w:style>
  <w:style w:type="character" w:customStyle="1" w:styleId="242">
    <w:name w:val="Body text|2_"/>
    <w:link w:val="243"/>
    <w:qFormat/>
    <w:uiPriority w:val="0"/>
    <w:rPr>
      <w:sz w:val="21"/>
    </w:rPr>
  </w:style>
  <w:style w:type="paragraph" w:customStyle="1" w:styleId="243">
    <w:name w:val="Body text|2"/>
    <w:basedOn w:val="1"/>
    <w:link w:val="242"/>
    <w:qFormat/>
    <w:uiPriority w:val="0"/>
    <w:pPr>
      <w:spacing w:after="30"/>
      <w:ind w:firstLine="420"/>
      <w:jc w:val="left"/>
    </w:pPr>
    <w:rPr>
      <w:szCs w:val="20"/>
    </w:rPr>
  </w:style>
  <w:style w:type="character" w:customStyle="1" w:styleId="244">
    <w:name w:val="Heading #1|1_"/>
    <w:link w:val="245"/>
    <w:qFormat/>
    <w:uiPriority w:val="0"/>
    <w:rPr>
      <w:rFonts w:ascii="宋体" w:hAnsi="宋体" w:cs="宋体"/>
      <w:sz w:val="38"/>
      <w:szCs w:val="38"/>
      <w:lang w:val="zh-CN" w:bidi="zh-CN"/>
    </w:rPr>
  </w:style>
  <w:style w:type="paragraph" w:customStyle="1" w:styleId="245">
    <w:name w:val="Heading #1|1"/>
    <w:basedOn w:val="1"/>
    <w:link w:val="244"/>
    <w:qFormat/>
    <w:uiPriority w:val="0"/>
    <w:pPr>
      <w:spacing w:after="440" w:line="564" w:lineRule="exact"/>
      <w:jc w:val="center"/>
      <w:outlineLvl w:val="0"/>
    </w:pPr>
    <w:rPr>
      <w:rFonts w:ascii="宋体" w:hAnsi="宋体" w:cs="宋体"/>
      <w:sz w:val="38"/>
      <w:szCs w:val="38"/>
      <w:lang w:val="zh-CN" w:bidi="zh-CN"/>
    </w:rPr>
  </w:style>
  <w:style w:type="character" w:customStyle="1" w:styleId="246">
    <w:name w:val="Header or footer|2_"/>
    <w:link w:val="247"/>
    <w:qFormat/>
    <w:uiPriority w:val="0"/>
    <w:rPr>
      <w:lang w:val="zh-CN" w:bidi="zh-CN"/>
    </w:rPr>
  </w:style>
  <w:style w:type="paragraph" w:customStyle="1" w:styleId="247">
    <w:name w:val="Header or footer|2"/>
    <w:basedOn w:val="1"/>
    <w:link w:val="246"/>
    <w:qFormat/>
    <w:uiPriority w:val="0"/>
    <w:pPr>
      <w:jc w:val="left"/>
    </w:pPr>
    <w:rPr>
      <w:sz w:val="20"/>
      <w:szCs w:val="20"/>
      <w:lang w:val="zh-CN" w:bidi="zh-CN"/>
    </w:rPr>
  </w:style>
  <w:style w:type="character" w:customStyle="1" w:styleId="248">
    <w:name w:val="Title Char"/>
    <w:qFormat/>
    <w:uiPriority w:val="99"/>
    <w:rPr>
      <w:rFonts w:ascii="Cambria" w:hAnsi="Cambria" w:cs="Cambria"/>
      <w:b/>
      <w:bCs/>
      <w:sz w:val="32"/>
      <w:szCs w:val="32"/>
    </w:rPr>
  </w:style>
  <w:style w:type="character" w:customStyle="1" w:styleId="249">
    <w:name w:val="Body text|3_"/>
    <w:link w:val="250"/>
    <w:qFormat/>
    <w:uiPriority w:val="0"/>
    <w:rPr>
      <w:rFonts w:ascii="宋体" w:hAnsi="宋体" w:cs="宋体"/>
      <w:lang w:val="zh-CN" w:bidi="zh-CN"/>
    </w:rPr>
  </w:style>
  <w:style w:type="paragraph" w:customStyle="1" w:styleId="250">
    <w:name w:val="Body text|3"/>
    <w:basedOn w:val="1"/>
    <w:link w:val="249"/>
    <w:qFormat/>
    <w:uiPriority w:val="0"/>
    <w:pPr>
      <w:spacing w:after="340"/>
      <w:jc w:val="left"/>
    </w:pPr>
    <w:rPr>
      <w:rFonts w:ascii="宋体" w:hAnsi="宋体" w:cs="宋体"/>
      <w:sz w:val="20"/>
      <w:szCs w:val="20"/>
      <w:lang w:val="zh-CN" w:bidi="zh-CN"/>
    </w:rPr>
  </w:style>
  <w:style w:type="character" w:customStyle="1" w:styleId="251">
    <w:name w:val="Table of contents|1_"/>
    <w:link w:val="252"/>
    <w:qFormat/>
    <w:uiPriority w:val="0"/>
    <w:rPr>
      <w:rFonts w:ascii="宋体" w:hAnsi="宋体" w:cs="宋体"/>
      <w:lang w:val="zh-CN" w:bidi="zh-CN"/>
    </w:rPr>
  </w:style>
  <w:style w:type="paragraph" w:customStyle="1" w:styleId="252">
    <w:name w:val="Table of contents|1"/>
    <w:basedOn w:val="1"/>
    <w:link w:val="251"/>
    <w:qFormat/>
    <w:uiPriority w:val="0"/>
    <w:pPr>
      <w:spacing w:after="100"/>
      <w:ind w:firstLine="600"/>
      <w:jc w:val="left"/>
    </w:pPr>
    <w:rPr>
      <w:rFonts w:ascii="宋体" w:hAnsi="宋体" w:cs="宋体"/>
      <w:sz w:val="20"/>
      <w:szCs w:val="20"/>
      <w:lang w:val="zh-CN" w:bidi="zh-CN"/>
    </w:rPr>
  </w:style>
  <w:style w:type="character" w:customStyle="1" w:styleId="253">
    <w:name w:val="Date Char"/>
    <w:qFormat/>
    <w:uiPriority w:val="99"/>
    <w:rPr>
      <w:rFonts w:eastAsia="宋体"/>
      <w:sz w:val="24"/>
      <w:szCs w:val="24"/>
      <w:lang w:val="en-US" w:eastAsia="zh-CN"/>
    </w:rPr>
  </w:style>
  <w:style w:type="character" w:customStyle="1" w:styleId="254">
    <w:name w:val="Char Char9"/>
    <w:qFormat/>
    <w:uiPriority w:val="99"/>
    <w:rPr>
      <w:rFonts w:eastAsia="宋体"/>
      <w:b/>
      <w:bCs/>
      <w:sz w:val="44"/>
      <w:szCs w:val="44"/>
      <w:lang w:val="en-US" w:eastAsia="zh-CN"/>
    </w:rPr>
  </w:style>
  <w:style w:type="character" w:customStyle="1" w:styleId="255">
    <w:name w:val="Document Map Char"/>
    <w:qFormat/>
    <w:uiPriority w:val="99"/>
    <w:rPr>
      <w:rFonts w:eastAsia="宋体"/>
      <w:sz w:val="24"/>
      <w:szCs w:val="24"/>
      <w:lang w:val="en-US" w:eastAsia="zh-CN"/>
    </w:rPr>
  </w:style>
  <w:style w:type="character" w:customStyle="1" w:styleId="256">
    <w:name w:val="Header Char"/>
    <w:qFormat/>
    <w:uiPriority w:val="99"/>
    <w:rPr>
      <w:rFonts w:eastAsia="宋体"/>
      <w:sz w:val="18"/>
      <w:szCs w:val="18"/>
      <w:lang w:val="en-US" w:eastAsia="zh-CN"/>
    </w:rPr>
  </w:style>
  <w:style w:type="character" w:customStyle="1" w:styleId="257">
    <w:name w:val="明显参考1"/>
    <w:qFormat/>
    <w:uiPriority w:val="99"/>
    <w:rPr>
      <w:b/>
      <w:bCs/>
      <w:smallCaps/>
      <w:color w:val="auto"/>
      <w:spacing w:val="5"/>
      <w:u w:val="single"/>
    </w:rPr>
  </w:style>
  <w:style w:type="character" w:customStyle="1" w:styleId="258">
    <w:name w:val="Heading 1 Char"/>
    <w:qFormat/>
    <w:uiPriority w:val="99"/>
    <w:rPr>
      <w:rFonts w:eastAsia="宋体"/>
      <w:b/>
      <w:bCs/>
      <w:sz w:val="44"/>
      <w:szCs w:val="44"/>
      <w:lang w:val="en-US" w:eastAsia="zh-CN"/>
    </w:rPr>
  </w:style>
  <w:style w:type="character" w:customStyle="1" w:styleId="259">
    <w:name w:val="Comment Text Char"/>
    <w:qFormat/>
    <w:uiPriority w:val="99"/>
    <w:rPr>
      <w:sz w:val="24"/>
      <w:szCs w:val="24"/>
    </w:rPr>
  </w:style>
  <w:style w:type="character" w:customStyle="1" w:styleId="260">
    <w:name w:val="Char Char23"/>
    <w:qFormat/>
    <w:uiPriority w:val="99"/>
    <w:rPr>
      <w:rFonts w:eastAsia="宋体"/>
      <w:b/>
      <w:bCs/>
      <w:sz w:val="44"/>
      <w:szCs w:val="44"/>
      <w:lang w:val="en-US" w:eastAsia="zh-CN"/>
    </w:rPr>
  </w:style>
  <w:style w:type="character" w:customStyle="1" w:styleId="261">
    <w:name w:val="Char Char181"/>
    <w:qFormat/>
    <w:uiPriority w:val="99"/>
    <w:rPr>
      <w:b/>
      <w:bCs/>
      <w:sz w:val="44"/>
      <w:szCs w:val="44"/>
    </w:rPr>
  </w:style>
  <w:style w:type="character" w:customStyle="1" w:styleId="262">
    <w:name w:val="Char Char22"/>
    <w:qFormat/>
    <w:uiPriority w:val="99"/>
    <w:rPr>
      <w:rFonts w:ascii="Times New Roman" w:hAnsi="Times New Roman" w:eastAsia="宋体" w:cs="Times New Roman"/>
      <w:b/>
      <w:bCs/>
      <w:sz w:val="44"/>
      <w:szCs w:val="44"/>
    </w:rPr>
  </w:style>
  <w:style w:type="character" w:customStyle="1" w:styleId="263">
    <w:name w:val="引用 Char1"/>
    <w:qFormat/>
    <w:uiPriority w:val="99"/>
    <w:rPr>
      <w:rFonts w:ascii="Times New Roman" w:hAnsi="Times New Roman" w:eastAsia="宋体" w:cs="Times New Roman"/>
      <w:i/>
      <w:iCs/>
      <w:color w:val="000000"/>
      <w:sz w:val="24"/>
      <w:szCs w:val="24"/>
    </w:rPr>
  </w:style>
  <w:style w:type="character" w:customStyle="1" w:styleId="264">
    <w:name w:val="Heading 3 Char1"/>
    <w:qFormat/>
    <w:uiPriority w:val="99"/>
    <w:rPr>
      <w:rFonts w:eastAsia="宋体"/>
      <w:b/>
      <w:bCs/>
      <w:sz w:val="32"/>
      <w:szCs w:val="32"/>
      <w:lang w:val="en-US" w:eastAsia="zh-CN"/>
    </w:rPr>
  </w:style>
  <w:style w:type="character" w:customStyle="1" w:styleId="265">
    <w:name w:val="明显强调1"/>
    <w:qFormat/>
    <w:uiPriority w:val="99"/>
    <w:rPr>
      <w:b/>
      <w:bCs/>
      <w:i/>
      <w:iCs/>
      <w:color w:val="4F81BD"/>
    </w:rPr>
  </w:style>
  <w:style w:type="character" w:customStyle="1" w:styleId="266">
    <w:name w:val="明显引用 Char1"/>
    <w:qFormat/>
    <w:uiPriority w:val="99"/>
    <w:rPr>
      <w:rFonts w:ascii="Times New Roman" w:hAnsi="Times New Roman" w:eastAsia="宋体" w:cs="Times New Roman"/>
      <w:b/>
      <w:bCs/>
      <w:i/>
      <w:iCs/>
      <w:color w:val="4F81BD"/>
      <w:sz w:val="24"/>
      <w:szCs w:val="24"/>
    </w:rPr>
  </w:style>
  <w:style w:type="character" w:customStyle="1" w:styleId="267">
    <w:name w:val="标题 Char2"/>
    <w:qFormat/>
    <w:uiPriority w:val="99"/>
    <w:rPr>
      <w:rFonts w:ascii="Cambria" w:hAnsi="Cambria" w:eastAsia="宋体" w:cs="Cambria"/>
      <w:b/>
      <w:bCs/>
      <w:sz w:val="32"/>
      <w:szCs w:val="32"/>
    </w:rPr>
  </w:style>
  <w:style w:type="character" w:customStyle="1" w:styleId="268">
    <w:name w:val="标题 Char1"/>
    <w:qFormat/>
    <w:uiPriority w:val="99"/>
    <w:rPr>
      <w:rFonts w:ascii="Cambria" w:hAnsi="Cambria" w:eastAsia="宋体" w:cs="Cambria"/>
      <w:b/>
      <w:bCs/>
      <w:sz w:val="32"/>
      <w:szCs w:val="32"/>
    </w:rPr>
  </w:style>
  <w:style w:type="character" w:customStyle="1" w:styleId="269">
    <w:name w:val="Heading 5 Char"/>
    <w:qFormat/>
    <w:uiPriority w:val="99"/>
    <w:rPr>
      <w:rFonts w:eastAsia="宋体"/>
      <w:b/>
      <w:bCs/>
      <w:sz w:val="28"/>
      <w:szCs w:val="28"/>
      <w:lang w:val="en-US" w:eastAsia="zh-CN"/>
    </w:rPr>
  </w:style>
  <w:style w:type="character" w:customStyle="1" w:styleId="270">
    <w:name w:val="标题 1 字符1"/>
    <w:qFormat/>
    <w:uiPriority w:val="0"/>
    <w:rPr>
      <w:b/>
      <w:bCs/>
      <w:sz w:val="44"/>
      <w:szCs w:val="44"/>
    </w:rPr>
  </w:style>
  <w:style w:type="character" w:customStyle="1" w:styleId="271">
    <w:name w:val="明显引用 Char"/>
    <w:link w:val="272"/>
    <w:qFormat/>
    <w:uiPriority w:val="99"/>
    <w:rPr>
      <w:b/>
      <w:bCs/>
      <w:i/>
      <w:iCs/>
      <w:color w:val="4F81BD"/>
    </w:rPr>
  </w:style>
  <w:style w:type="paragraph" w:customStyle="1" w:styleId="272">
    <w:name w:val="明显引用1"/>
    <w:basedOn w:val="1"/>
    <w:next w:val="1"/>
    <w:link w:val="271"/>
    <w:qFormat/>
    <w:uiPriority w:val="99"/>
    <w:pPr>
      <w:pBdr>
        <w:bottom w:val="single" w:color="4F81BD" w:sz="4" w:space="4"/>
      </w:pBdr>
      <w:spacing w:before="200" w:after="280"/>
      <w:ind w:left="936" w:right="936"/>
    </w:pPr>
    <w:rPr>
      <w:b/>
      <w:bCs/>
      <w:i/>
      <w:iCs/>
      <w:color w:val="4F81BD"/>
      <w:sz w:val="20"/>
      <w:szCs w:val="20"/>
    </w:rPr>
  </w:style>
  <w:style w:type="character" w:customStyle="1" w:styleId="273">
    <w:name w:val="textcontents"/>
    <w:qFormat/>
    <w:uiPriority w:val="99"/>
  </w:style>
  <w:style w:type="character" w:customStyle="1" w:styleId="274">
    <w:name w:val="Char Char19"/>
    <w:qFormat/>
    <w:uiPriority w:val="99"/>
    <w:rPr>
      <w:rFonts w:ascii="Arial" w:hAnsi="Arial" w:eastAsia="宋体" w:cs="Arial"/>
      <w:b/>
      <w:bCs/>
      <w:sz w:val="28"/>
      <w:szCs w:val="28"/>
    </w:rPr>
  </w:style>
  <w:style w:type="character" w:customStyle="1" w:styleId="275">
    <w:name w:val="批注文字 Char"/>
    <w:qFormat/>
    <w:uiPriority w:val="99"/>
    <w:rPr>
      <w:rFonts w:ascii="Times New Roman" w:hAnsi="Times New Roman"/>
      <w:sz w:val="21"/>
      <w:szCs w:val="24"/>
    </w:rPr>
  </w:style>
  <w:style w:type="character" w:customStyle="1" w:styleId="276">
    <w:name w:val="标题5 Char Char"/>
    <w:link w:val="277"/>
    <w:qFormat/>
    <w:uiPriority w:val="99"/>
    <w:rPr>
      <w:rFonts w:ascii="Arial" w:hAnsi="Arial" w:cs="Arial"/>
      <w:b/>
      <w:bCs/>
      <w:sz w:val="32"/>
      <w:szCs w:val="32"/>
    </w:rPr>
  </w:style>
  <w:style w:type="paragraph" w:customStyle="1" w:styleId="277">
    <w:name w:val="标题5"/>
    <w:basedOn w:val="5"/>
    <w:link w:val="276"/>
    <w:qFormat/>
    <w:uiPriority w:val="99"/>
    <w:pPr>
      <w:spacing w:line="413" w:lineRule="auto"/>
    </w:pPr>
    <w:rPr>
      <w:rFonts w:ascii="Arial" w:hAnsi="Arial"/>
    </w:rPr>
  </w:style>
  <w:style w:type="character" w:customStyle="1" w:styleId="278">
    <w:name w:val="纯文本 字符"/>
    <w:qFormat/>
    <w:uiPriority w:val="0"/>
    <w:rPr>
      <w:rFonts w:ascii="宋体" w:hAnsi="Courier New" w:eastAsia="宋体" w:cs="Courier New"/>
      <w:szCs w:val="21"/>
    </w:rPr>
  </w:style>
  <w:style w:type="character" w:customStyle="1" w:styleId="279">
    <w:name w:val="引用 Char"/>
    <w:link w:val="280"/>
    <w:qFormat/>
    <w:uiPriority w:val="99"/>
    <w:rPr>
      <w:i/>
      <w:iCs/>
      <w:color w:val="000000"/>
    </w:rPr>
  </w:style>
  <w:style w:type="paragraph" w:customStyle="1" w:styleId="280">
    <w:name w:val="引用1"/>
    <w:basedOn w:val="1"/>
    <w:next w:val="1"/>
    <w:link w:val="279"/>
    <w:qFormat/>
    <w:uiPriority w:val="99"/>
    <w:rPr>
      <w:i/>
      <w:iCs/>
      <w:color w:val="000000"/>
      <w:sz w:val="20"/>
      <w:szCs w:val="20"/>
    </w:rPr>
  </w:style>
  <w:style w:type="character" w:customStyle="1" w:styleId="281">
    <w:name w:val="纯文本 Char"/>
    <w:qFormat/>
    <w:uiPriority w:val="0"/>
    <w:rPr>
      <w:rFonts w:ascii="宋体" w:hAnsi="Courier New" w:eastAsia="宋体" w:cs="Courier New"/>
      <w:szCs w:val="21"/>
    </w:rPr>
  </w:style>
  <w:style w:type="character" w:customStyle="1" w:styleId="282">
    <w:name w:val="日期 Char1"/>
    <w:qFormat/>
    <w:uiPriority w:val="99"/>
    <w:rPr>
      <w:rFonts w:ascii="Times New Roman" w:hAnsi="Times New Roman" w:eastAsia="宋体" w:cs="Times New Roman"/>
      <w:sz w:val="24"/>
      <w:szCs w:val="24"/>
    </w:rPr>
  </w:style>
  <w:style w:type="character" w:customStyle="1" w:styleId="283">
    <w:name w:val="纯文本 字符2"/>
    <w:qFormat/>
    <w:uiPriority w:val="0"/>
    <w:rPr>
      <w:rFonts w:ascii="宋体" w:hAnsi="Courier New" w:eastAsia="宋体" w:cs="Courier New"/>
      <w:szCs w:val="21"/>
    </w:rPr>
  </w:style>
  <w:style w:type="character" w:customStyle="1" w:styleId="284">
    <w:name w:val="Char Char91"/>
    <w:qFormat/>
    <w:uiPriority w:val="99"/>
    <w:rPr>
      <w:rFonts w:eastAsia="宋体"/>
      <w:b/>
      <w:bCs/>
      <w:sz w:val="44"/>
      <w:szCs w:val="44"/>
      <w:lang w:val="en-US" w:eastAsia="zh-CN"/>
    </w:rPr>
  </w:style>
  <w:style w:type="character" w:customStyle="1" w:styleId="285">
    <w:name w:val="批注文字 字符1"/>
    <w:qFormat/>
    <w:uiPriority w:val="0"/>
    <w:rPr>
      <w:rFonts w:ascii="Times New Roman" w:hAnsi="Times New Roman"/>
      <w:sz w:val="21"/>
      <w:szCs w:val="24"/>
    </w:rPr>
  </w:style>
  <w:style w:type="character" w:customStyle="1" w:styleId="286">
    <w:name w:val="Char Char6"/>
    <w:qFormat/>
    <w:uiPriority w:val="99"/>
    <w:rPr>
      <w:rFonts w:eastAsia="宋体"/>
      <w:b/>
      <w:bCs/>
      <w:sz w:val="44"/>
      <w:szCs w:val="44"/>
      <w:lang w:val="en-US" w:eastAsia="zh-CN"/>
    </w:rPr>
  </w:style>
  <w:style w:type="character" w:customStyle="1" w:styleId="287">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88">
    <w:name w:val="Comment Text Char1"/>
    <w:qFormat/>
    <w:uiPriority w:val="99"/>
    <w:rPr>
      <w:sz w:val="24"/>
      <w:szCs w:val="24"/>
    </w:rPr>
  </w:style>
  <w:style w:type="character" w:customStyle="1" w:styleId="289">
    <w:name w:val="纯文本 字符1"/>
    <w:qFormat/>
    <w:uiPriority w:val="0"/>
    <w:rPr>
      <w:rFonts w:ascii="宋体" w:hAnsi="Courier New"/>
    </w:rPr>
  </w:style>
  <w:style w:type="character" w:customStyle="1" w:styleId="290">
    <w:name w:val="Footer Char"/>
    <w:qFormat/>
    <w:uiPriority w:val="99"/>
    <w:rPr>
      <w:rFonts w:eastAsia="宋体"/>
      <w:sz w:val="18"/>
      <w:szCs w:val="18"/>
      <w:lang w:val="en-US" w:eastAsia="zh-CN"/>
    </w:rPr>
  </w:style>
  <w:style w:type="character" w:customStyle="1" w:styleId="291">
    <w:name w:val="正文文本 Char"/>
    <w:qFormat/>
    <w:uiPriority w:val="99"/>
    <w:rPr>
      <w:rFonts w:ascii="Times New Roman" w:hAnsi="Times New Roman"/>
      <w:sz w:val="21"/>
      <w:szCs w:val="24"/>
    </w:rPr>
  </w:style>
  <w:style w:type="character" w:customStyle="1" w:styleId="292">
    <w:name w:val="Body Text Indent 2 Char"/>
    <w:qFormat/>
    <w:uiPriority w:val="99"/>
    <w:rPr>
      <w:rFonts w:eastAsia="宋体"/>
      <w:sz w:val="24"/>
      <w:szCs w:val="24"/>
      <w:lang w:val="en-US" w:eastAsia="zh-CN"/>
    </w:rPr>
  </w:style>
  <w:style w:type="character" w:customStyle="1" w:styleId="293">
    <w:name w:val="批注文字 字符"/>
    <w:qFormat/>
    <w:uiPriority w:val="0"/>
    <w:rPr>
      <w:rFonts w:ascii="Times New Roman" w:hAnsi="Times New Roman"/>
      <w:sz w:val="21"/>
      <w:szCs w:val="24"/>
    </w:rPr>
  </w:style>
  <w:style w:type="character" w:customStyle="1" w:styleId="294">
    <w:name w:val="标题 2 Char"/>
    <w:qFormat/>
    <w:uiPriority w:val="99"/>
    <w:rPr>
      <w:rFonts w:ascii="Cambria" w:hAnsi="Cambria" w:eastAsia="宋体" w:cs="Times New Roman"/>
      <w:b/>
      <w:bCs/>
      <w:sz w:val="32"/>
      <w:szCs w:val="32"/>
    </w:rPr>
  </w:style>
  <w:style w:type="character" w:customStyle="1" w:styleId="295">
    <w:name w:val="标题 8 Char"/>
    <w:qFormat/>
    <w:uiPriority w:val="9"/>
    <w:rPr>
      <w:rFonts w:ascii="Arial" w:hAnsi="Arial" w:eastAsia="黑体"/>
      <w:sz w:val="24"/>
      <w:szCs w:val="24"/>
    </w:rPr>
  </w:style>
  <w:style w:type="character" w:customStyle="1" w:styleId="296">
    <w:name w:val="apple-style-span"/>
    <w:qFormat/>
    <w:uiPriority w:val="0"/>
  </w:style>
  <w:style w:type="character" w:customStyle="1" w:styleId="297">
    <w:name w:val="正文文本 字符"/>
    <w:qFormat/>
    <w:uiPriority w:val="0"/>
    <w:rPr>
      <w:rFonts w:ascii="Times New Roman" w:hAnsi="Times New Roman"/>
      <w:sz w:val="21"/>
      <w:szCs w:val="24"/>
    </w:rPr>
  </w:style>
  <w:style w:type="character" w:customStyle="1" w:styleId="298">
    <w:name w:val="批注文字 Char2"/>
    <w:qFormat/>
    <w:uiPriority w:val="0"/>
    <w:rPr>
      <w:rFonts w:ascii="Times New Roman" w:hAnsi="Times New Roman"/>
      <w:sz w:val="21"/>
      <w:szCs w:val="24"/>
    </w:rPr>
  </w:style>
  <w:style w:type="character" w:customStyle="1" w:styleId="299">
    <w:name w:val="正文2 Char Char"/>
    <w:link w:val="300"/>
    <w:qFormat/>
    <w:uiPriority w:val="0"/>
    <w:rPr>
      <w:sz w:val="24"/>
    </w:rPr>
  </w:style>
  <w:style w:type="paragraph" w:customStyle="1" w:styleId="300">
    <w:name w:val="正文2"/>
    <w:basedOn w:val="1"/>
    <w:link w:val="299"/>
    <w:qFormat/>
    <w:uiPriority w:val="0"/>
    <w:pPr>
      <w:spacing w:before="156" w:line="360" w:lineRule="auto"/>
      <w:ind w:firstLine="510"/>
    </w:pPr>
    <w:rPr>
      <w:sz w:val="24"/>
      <w:szCs w:val="20"/>
    </w:rPr>
  </w:style>
  <w:style w:type="character" w:customStyle="1" w:styleId="301">
    <w:name w:val="不明显强调1"/>
    <w:qFormat/>
    <w:uiPriority w:val="99"/>
    <w:rPr>
      <w:i/>
      <w:iCs/>
      <w:color w:val="808080"/>
    </w:rPr>
  </w:style>
  <w:style w:type="character" w:customStyle="1" w:styleId="302">
    <w:name w:val="Body text|6_"/>
    <w:link w:val="303"/>
    <w:qFormat/>
    <w:uiPriority w:val="0"/>
    <w:rPr>
      <w:rFonts w:ascii="Arial" w:hAnsi="Arial" w:eastAsia="Arial" w:cs="Arial"/>
      <w:lang w:val="zh-CN"/>
    </w:rPr>
  </w:style>
  <w:style w:type="paragraph" w:customStyle="1" w:styleId="303">
    <w:name w:val="Body text|6"/>
    <w:basedOn w:val="1"/>
    <w:link w:val="302"/>
    <w:qFormat/>
    <w:uiPriority w:val="0"/>
    <w:pPr>
      <w:ind w:hanging="2220"/>
      <w:jc w:val="left"/>
    </w:pPr>
    <w:rPr>
      <w:rFonts w:ascii="Arial" w:hAnsi="Arial" w:eastAsia="Arial"/>
      <w:sz w:val="20"/>
      <w:szCs w:val="20"/>
      <w:lang w:val="zh-CN"/>
    </w:rPr>
  </w:style>
  <w:style w:type="character" w:customStyle="1" w:styleId="304">
    <w:name w:val="批注文字 Char Char"/>
    <w:qFormat/>
    <w:uiPriority w:val="99"/>
    <w:rPr>
      <w:rFonts w:ascii="宋体" w:hAnsi="Times New Roman" w:eastAsia="宋体" w:cs="宋体"/>
      <w:sz w:val="20"/>
      <w:szCs w:val="20"/>
    </w:rPr>
  </w:style>
  <w:style w:type="character" w:customStyle="1" w:styleId="305">
    <w:name w:val="Heading 3 Char"/>
    <w:qFormat/>
    <w:uiPriority w:val="99"/>
    <w:rPr>
      <w:b/>
      <w:bCs/>
      <w:sz w:val="32"/>
      <w:szCs w:val="32"/>
    </w:rPr>
  </w:style>
  <w:style w:type="character" w:customStyle="1" w:styleId="306">
    <w:name w:val="Heading 2 Char"/>
    <w:qFormat/>
    <w:uiPriority w:val="99"/>
    <w:rPr>
      <w:rFonts w:ascii="Arial" w:hAnsi="Arial" w:eastAsia="黑体" w:cs="Arial"/>
      <w:b/>
      <w:bCs/>
      <w:sz w:val="32"/>
      <w:szCs w:val="32"/>
      <w:lang w:val="en-US" w:eastAsia="zh-CN"/>
    </w:rPr>
  </w:style>
  <w:style w:type="character" w:customStyle="1" w:styleId="307">
    <w:name w:val="Balloon Text Char"/>
    <w:qFormat/>
    <w:uiPriority w:val="99"/>
    <w:rPr>
      <w:sz w:val="18"/>
      <w:szCs w:val="18"/>
    </w:rPr>
  </w:style>
  <w:style w:type="character" w:customStyle="1" w:styleId="308">
    <w:name w:val="文档结构图 Char1"/>
    <w:qFormat/>
    <w:uiPriority w:val="99"/>
    <w:rPr>
      <w:rFonts w:ascii="宋体" w:hAnsi="Times New Roman" w:eastAsia="宋体" w:cs="宋体"/>
      <w:sz w:val="18"/>
      <w:szCs w:val="18"/>
    </w:rPr>
  </w:style>
  <w:style w:type="character" w:customStyle="1" w:styleId="309">
    <w:name w:val="Footnote Text Char"/>
    <w:qFormat/>
    <w:uiPriority w:val="99"/>
    <w:rPr>
      <w:rFonts w:eastAsia="宋体"/>
      <w:sz w:val="18"/>
      <w:szCs w:val="18"/>
      <w:lang w:val="en-US" w:eastAsia="zh-CN"/>
    </w:rPr>
  </w:style>
  <w:style w:type="character" w:customStyle="1" w:styleId="310">
    <w:name w:val="Char Char21"/>
    <w:qFormat/>
    <w:uiPriority w:val="99"/>
    <w:rPr>
      <w:rFonts w:ascii="Arial" w:hAnsi="Arial" w:eastAsia="黑体" w:cs="Arial"/>
      <w:b/>
      <w:bCs/>
      <w:sz w:val="32"/>
      <w:szCs w:val="32"/>
    </w:rPr>
  </w:style>
  <w:style w:type="character" w:customStyle="1" w:styleId="311">
    <w:name w:val="Other|1_"/>
    <w:link w:val="312"/>
    <w:qFormat/>
    <w:uiPriority w:val="0"/>
    <w:rPr>
      <w:rFonts w:ascii="宋体" w:hAnsi="宋体" w:cs="宋体"/>
      <w:lang w:val="zh-CN" w:bidi="zh-CN"/>
    </w:rPr>
  </w:style>
  <w:style w:type="paragraph" w:customStyle="1" w:styleId="312">
    <w:name w:val="Other|1"/>
    <w:basedOn w:val="1"/>
    <w:link w:val="311"/>
    <w:qFormat/>
    <w:uiPriority w:val="0"/>
    <w:pPr>
      <w:spacing w:line="360" w:lineRule="auto"/>
      <w:ind w:firstLine="400"/>
      <w:jc w:val="left"/>
    </w:pPr>
    <w:rPr>
      <w:rFonts w:ascii="宋体" w:hAnsi="宋体" w:cs="宋体"/>
      <w:sz w:val="20"/>
      <w:szCs w:val="20"/>
      <w:lang w:val="zh-CN" w:bidi="zh-CN"/>
    </w:rPr>
  </w:style>
  <w:style w:type="character" w:customStyle="1" w:styleId="313">
    <w:name w:val="Body Text Indent Char"/>
    <w:qFormat/>
    <w:uiPriority w:val="99"/>
    <w:rPr>
      <w:rFonts w:ascii="宋体" w:hAnsi="宋体" w:eastAsia="宋体" w:cs="宋体"/>
      <w:sz w:val="21"/>
      <w:szCs w:val="21"/>
      <w:lang w:val="en-US" w:eastAsia="zh-CN"/>
    </w:rPr>
  </w:style>
  <w:style w:type="character" w:customStyle="1" w:styleId="314">
    <w:name w:val="不明显参考1"/>
    <w:qFormat/>
    <w:uiPriority w:val="99"/>
    <w:rPr>
      <w:smallCaps/>
      <w:color w:val="auto"/>
      <w:u w:val="single"/>
    </w:rPr>
  </w:style>
  <w:style w:type="character" w:customStyle="1" w:styleId="315">
    <w:name w:val="Heading 4 Char"/>
    <w:qFormat/>
    <w:uiPriority w:val="99"/>
    <w:rPr>
      <w:rFonts w:ascii="Arial" w:hAnsi="Arial" w:eastAsia="宋体" w:cs="Arial"/>
      <w:b/>
      <w:bCs/>
      <w:sz w:val="28"/>
      <w:szCs w:val="28"/>
      <w:lang w:val="en-US" w:eastAsia="zh-CN"/>
    </w:rPr>
  </w:style>
  <w:style w:type="character" w:customStyle="1" w:styleId="316">
    <w:name w:val="Body text|7_"/>
    <w:link w:val="317"/>
    <w:qFormat/>
    <w:uiPriority w:val="0"/>
    <w:rPr>
      <w:rFonts w:ascii="Courier New" w:hAnsi="Courier New" w:eastAsia="Courier New" w:cs="Courier New"/>
      <w:b/>
      <w:bCs/>
      <w:sz w:val="8"/>
      <w:szCs w:val="8"/>
      <w:lang w:val="zh-CN"/>
    </w:rPr>
  </w:style>
  <w:style w:type="paragraph" w:customStyle="1" w:styleId="317">
    <w:name w:val="Body text|7"/>
    <w:basedOn w:val="1"/>
    <w:link w:val="316"/>
    <w:qFormat/>
    <w:uiPriority w:val="0"/>
    <w:pPr>
      <w:ind w:hanging="1760"/>
      <w:jc w:val="left"/>
    </w:pPr>
    <w:rPr>
      <w:rFonts w:ascii="Courier New" w:hAnsi="Courier New" w:eastAsia="Courier New"/>
      <w:b/>
      <w:bCs/>
      <w:sz w:val="8"/>
      <w:szCs w:val="8"/>
      <w:lang w:val="zh-CN"/>
    </w:rPr>
  </w:style>
  <w:style w:type="character" w:customStyle="1" w:styleId="318">
    <w:name w:val="Char Char20"/>
    <w:qFormat/>
    <w:uiPriority w:val="99"/>
    <w:rPr>
      <w:rFonts w:ascii="Times New Roman" w:hAnsi="Times New Roman" w:eastAsia="宋体" w:cs="Times New Roman"/>
      <w:b/>
      <w:bCs/>
      <w:sz w:val="32"/>
      <w:szCs w:val="32"/>
    </w:rPr>
  </w:style>
  <w:style w:type="character" w:customStyle="1" w:styleId="319">
    <w:name w:val="Body text|4_"/>
    <w:link w:val="320"/>
    <w:qFormat/>
    <w:uiPriority w:val="0"/>
    <w:rPr>
      <w:rFonts w:ascii="宋体" w:hAnsi="宋体" w:cs="宋体"/>
      <w:b/>
      <w:bCs/>
      <w:sz w:val="17"/>
      <w:szCs w:val="17"/>
      <w:lang w:val="zh-CN" w:bidi="zh-CN"/>
    </w:rPr>
  </w:style>
  <w:style w:type="paragraph" w:customStyle="1" w:styleId="320">
    <w:name w:val="Body text|4"/>
    <w:basedOn w:val="1"/>
    <w:link w:val="319"/>
    <w:qFormat/>
    <w:uiPriority w:val="0"/>
    <w:pPr>
      <w:spacing w:line="281" w:lineRule="exact"/>
      <w:jc w:val="center"/>
    </w:pPr>
    <w:rPr>
      <w:rFonts w:ascii="宋体" w:hAnsi="宋体" w:cs="宋体"/>
      <w:b/>
      <w:bCs/>
      <w:sz w:val="17"/>
      <w:szCs w:val="17"/>
      <w:lang w:val="zh-CN" w:bidi="zh-CN"/>
    </w:rPr>
  </w:style>
  <w:style w:type="character" w:customStyle="1" w:styleId="321">
    <w:name w:val="Comment Subject Char"/>
    <w:qFormat/>
    <w:uiPriority w:val="99"/>
    <w:rPr>
      <w:b/>
      <w:bCs/>
      <w:sz w:val="24"/>
      <w:szCs w:val="24"/>
    </w:rPr>
  </w:style>
  <w:style w:type="character" w:customStyle="1" w:styleId="322">
    <w:name w:val="Heading #2|1_"/>
    <w:link w:val="323"/>
    <w:qFormat/>
    <w:uiPriority w:val="0"/>
    <w:rPr>
      <w:rFonts w:ascii="宋体" w:hAnsi="宋体" w:cs="宋体"/>
      <w:sz w:val="34"/>
      <w:szCs w:val="34"/>
      <w:lang w:val="zh-CN" w:bidi="zh-CN"/>
    </w:rPr>
  </w:style>
  <w:style w:type="paragraph" w:customStyle="1" w:styleId="323">
    <w:name w:val="Heading #2|1"/>
    <w:basedOn w:val="1"/>
    <w:link w:val="322"/>
    <w:qFormat/>
    <w:uiPriority w:val="0"/>
    <w:pPr>
      <w:spacing w:after="900"/>
      <w:jc w:val="center"/>
      <w:outlineLvl w:val="1"/>
    </w:pPr>
    <w:rPr>
      <w:rFonts w:ascii="宋体" w:hAnsi="宋体" w:cs="宋体"/>
      <w:sz w:val="34"/>
      <w:szCs w:val="34"/>
      <w:lang w:val="zh-CN" w:bidi="zh-CN"/>
    </w:rPr>
  </w:style>
  <w:style w:type="character" w:customStyle="1" w:styleId="324">
    <w:name w:val="批注框文本 Char1"/>
    <w:qFormat/>
    <w:uiPriority w:val="99"/>
    <w:rPr>
      <w:rFonts w:ascii="Times New Roman" w:hAnsi="Times New Roman" w:eastAsia="宋体" w:cs="Times New Roman"/>
      <w:sz w:val="18"/>
      <w:szCs w:val="18"/>
    </w:rPr>
  </w:style>
  <w:style w:type="character" w:customStyle="1" w:styleId="325">
    <w:name w:val="Char Char18"/>
    <w:qFormat/>
    <w:uiPriority w:val="99"/>
    <w:rPr>
      <w:rFonts w:ascii="Times New Roman" w:hAnsi="Times New Roman" w:eastAsia="宋体" w:cs="Times New Roman"/>
      <w:b/>
      <w:bCs/>
      <w:sz w:val="28"/>
      <w:szCs w:val="28"/>
    </w:rPr>
  </w:style>
  <w:style w:type="character" w:customStyle="1" w:styleId="326">
    <w:name w:val="批注主题 Char1"/>
    <w:qFormat/>
    <w:uiPriority w:val="99"/>
    <w:rPr>
      <w:rFonts w:ascii="Times New Roman" w:hAnsi="Times New Roman" w:eastAsia="宋体" w:cs="Times New Roman"/>
      <w:b/>
      <w:bCs/>
      <w:sz w:val="24"/>
      <w:szCs w:val="24"/>
    </w:rPr>
  </w:style>
  <w:style w:type="character" w:customStyle="1" w:styleId="327">
    <w:name w:val="Char Char24"/>
    <w:qFormat/>
    <w:uiPriority w:val="99"/>
    <w:rPr>
      <w:rFonts w:eastAsia="宋体"/>
      <w:b/>
      <w:bCs/>
      <w:sz w:val="44"/>
      <w:szCs w:val="44"/>
      <w:lang w:val="en-US" w:eastAsia="zh-CN"/>
    </w:rPr>
  </w:style>
  <w:style w:type="character" w:customStyle="1" w:styleId="328">
    <w:name w:val="标题4 Char Char"/>
    <w:link w:val="329"/>
    <w:qFormat/>
    <w:uiPriority w:val="99"/>
    <w:rPr>
      <w:rFonts w:ascii="Arial" w:hAnsi="Arial" w:cs="Arial"/>
      <w:b/>
      <w:bCs/>
      <w:sz w:val="32"/>
      <w:szCs w:val="32"/>
    </w:rPr>
  </w:style>
  <w:style w:type="paragraph" w:customStyle="1" w:styleId="329">
    <w:name w:val="标题4"/>
    <w:basedOn w:val="4"/>
    <w:next w:val="22"/>
    <w:link w:val="328"/>
    <w:qFormat/>
    <w:uiPriority w:val="99"/>
    <w:pPr>
      <w:spacing w:before="60" w:after="60" w:line="413" w:lineRule="auto"/>
    </w:pPr>
    <w:rPr>
      <w:rFonts w:ascii="Arial" w:hAnsi="Arial"/>
    </w:rPr>
  </w:style>
  <w:style w:type="character" w:customStyle="1" w:styleId="330">
    <w:name w:val="Plain Text Char"/>
    <w:qFormat/>
    <w:uiPriority w:val="99"/>
    <w:rPr>
      <w:rFonts w:ascii="宋体" w:hAnsi="Courier New" w:eastAsia="宋体" w:cs="宋体"/>
      <w:sz w:val="24"/>
      <w:szCs w:val="24"/>
    </w:rPr>
  </w:style>
  <w:style w:type="character" w:customStyle="1" w:styleId="331">
    <w:name w:val="Header or footer|1_"/>
    <w:link w:val="332"/>
    <w:qFormat/>
    <w:uiPriority w:val="0"/>
    <w:rPr>
      <w:sz w:val="17"/>
      <w:szCs w:val="17"/>
      <w:lang w:val="zh-CN" w:bidi="zh-CN"/>
    </w:rPr>
  </w:style>
  <w:style w:type="paragraph" w:customStyle="1" w:styleId="332">
    <w:name w:val="Header or footer|1"/>
    <w:basedOn w:val="1"/>
    <w:link w:val="331"/>
    <w:qFormat/>
    <w:uiPriority w:val="0"/>
    <w:pPr>
      <w:jc w:val="center"/>
    </w:pPr>
    <w:rPr>
      <w:sz w:val="17"/>
      <w:szCs w:val="17"/>
      <w:lang w:val="zh-CN" w:bidi="zh-CN"/>
    </w:rPr>
  </w:style>
  <w:style w:type="character" w:customStyle="1" w:styleId="333">
    <w:name w:val="Heading #3|1_"/>
    <w:link w:val="334"/>
    <w:qFormat/>
    <w:uiPriority w:val="0"/>
    <w:rPr>
      <w:rFonts w:ascii="宋体" w:hAnsi="宋体" w:cs="宋体"/>
      <w:sz w:val="28"/>
      <w:szCs w:val="28"/>
      <w:lang w:val="zh-CN" w:bidi="zh-CN"/>
    </w:rPr>
  </w:style>
  <w:style w:type="paragraph" w:customStyle="1" w:styleId="334">
    <w:name w:val="Heading #3|1"/>
    <w:basedOn w:val="1"/>
    <w:link w:val="333"/>
    <w:qFormat/>
    <w:uiPriority w:val="0"/>
    <w:pPr>
      <w:spacing w:after="570"/>
      <w:jc w:val="center"/>
      <w:outlineLvl w:val="2"/>
    </w:pPr>
    <w:rPr>
      <w:rFonts w:ascii="宋体" w:hAnsi="宋体" w:cs="宋体"/>
      <w:sz w:val="28"/>
      <w:szCs w:val="28"/>
      <w:lang w:val="zh-CN" w:bidi="zh-CN"/>
    </w:rPr>
  </w:style>
  <w:style w:type="character" w:styleId="335">
    <w:name w:val="Placeholder Text"/>
    <w:unhideWhenUsed/>
    <w:qFormat/>
    <w:uiPriority w:val="99"/>
    <w:rPr>
      <w:color w:val="808080"/>
    </w:rPr>
  </w:style>
  <w:style w:type="paragraph" w:customStyle="1" w:styleId="336">
    <w:name w:val="flNote"/>
    <w:basedOn w:val="1"/>
    <w:qFormat/>
    <w:uiPriority w:val="99"/>
    <w:pPr>
      <w:spacing w:before="320" w:after="160" w:line="360" w:lineRule="atLeast"/>
      <w:jc w:val="center"/>
    </w:pPr>
    <w:rPr>
      <w:rFonts w:ascii="Arial" w:eastAsia="黑体" w:cs="Arial"/>
      <w:sz w:val="30"/>
      <w:szCs w:val="30"/>
    </w:rPr>
  </w:style>
  <w:style w:type="paragraph" w:styleId="337">
    <w:name w:val="List Paragraph"/>
    <w:basedOn w:val="1"/>
    <w:qFormat/>
    <w:uiPriority w:val="34"/>
    <w:pPr>
      <w:ind w:firstLine="420"/>
    </w:pPr>
  </w:style>
  <w:style w:type="paragraph" w:customStyle="1" w:styleId="338">
    <w:name w:val="样式 标题 2 + Times New Roman 四号 非加粗 段前: 5 磅 段后: 0 磅 行距: 固定值 20..."/>
    <w:basedOn w:val="4"/>
    <w:qFormat/>
    <w:uiPriority w:val="99"/>
    <w:pPr>
      <w:spacing w:before="100" w:after="0" w:line="400" w:lineRule="exact"/>
    </w:pPr>
    <w:rPr>
      <w:rFonts w:ascii="Times New Roman" w:hAnsi="Times New Roman" w:eastAsia="黑体"/>
      <w:b w:val="0"/>
      <w:bCs w:val="0"/>
      <w:sz w:val="28"/>
      <w:szCs w:val="28"/>
      <w:lang w:val="zh-CN"/>
    </w:rPr>
  </w:style>
  <w:style w:type="paragraph" w:customStyle="1" w:styleId="339">
    <w:name w:val="无间隔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Char Char Char Char Char Char Char"/>
    <w:basedOn w:val="1"/>
    <w:qFormat/>
    <w:uiPriority w:val="99"/>
    <w:pPr>
      <w:widowControl/>
      <w:spacing w:after="160" w:line="240" w:lineRule="exact"/>
      <w:jc w:val="left"/>
    </w:pPr>
    <w:rPr>
      <w:szCs w:val="21"/>
    </w:rPr>
  </w:style>
  <w:style w:type="paragraph" w:customStyle="1" w:styleId="341">
    <w:name w:val="Char"/>
    <w:basedOn w:val="1"/>
    <w:qFormat/>
    <w:uiPriority w:val="99"/>
    <w:pPr>
      <w:widowControl/>
      <w:spacing w:after="160" w:line="240" w:lineRule="exact"/>
      <w:jc w:val="left"/>
    </w:pPr>
    <w:rPr>
      <w:szCs w:val="21"/>
    </w:rPr>
  </w:style>
  <w:style w:type="paragraph" w:customStyle="1" w:styleId="342">
    <w:name w:val="默认段落字体 Para Char Char Char Char Char Char Char Char Char1 Char Char Char Char"/>
    <w:basedOn w:val="1"/>
    <w:qFormat/>
    <w:uiPriority w:val="0"/>
    <w:rPr>
      <w:rFonts w:ascii="Tahoma" w:hAnsi="Tahoma"/>
      <w:sz w:val="24"/>
      <w:szCs w:val="20"/>
    </w:rPr>
  </w:style>
  <w:style w:type="paragraph" w:customStyle="1" w:styleId="343">
    <w:name w:val="Table Paragraph"/>
    <w:basedOn w:val="1"/>
    <w:qFormat/>
    <w:uiPriority w:val="1"/>
    <w:pPr>
      <w:jc w:val="left"/>
    </w:pPr>
    <w:rPr>
      <w:rFonts w:ascii="Calibri" w:hAnsi="Calibri"/>
      <w:sz w:val="22"/>
      <w:szCs w:val="22"/>
      <w:lang w:eastAsia="en-US"/>
    </w:rPr>
  </w:style>
  <w:style w:type="paragraph" w:customStyle="1" w:styleId="344">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45">
    <w:name w:val="样式1"/>
    <w:basedOn w:val="1"/>
    <w:next w:val="6"/>
    <w:qFormat/>
    <w:uiPriority w:val="99"/>
    <w:pPr>
      <w:spacing w:line="360" w:lineRule="auto"/>
      <w:ind w:firstLine="420"/>
    </w:pPr>
    <w:rPr>
      <w:rFonts w:ascii="宋体" w:hAnsi="宋体" w:cs="宋体"/>
      <w:szCs w:val="21"/>
    </w:rPr>
  </w:style>
  <w:style w:type="paragraph" w:customStyle="1" w:styleId="346">
    <w:name w:val="列出段落1"/>
    <w:basedOn w:val="1"/>
    <w:qFormat/>
    <w:uiPriority w:val="99"/>
    <w:pPr>
      <w:ind w:firstLine="420"/>
    </w:pPr>
    <w:rPr>
      <w:rFonts w:ascii="Calibri" w:hAnsi="Calibri" w:cs="Calibri"/>
      <w:szCs w:val="21"/>
    </w:rPr>
  </w:style>
  <w:style w:type="paragraph" w:customStyle="1" w:styleId="347">
    <w:name w:val="Default"/>
    <w:qFormat/>
    <w:uiPriority w:val="99"/>
    <w:pPr>
      <w:widowControl w:val="0"/>
    </w:pPr>
    <w:rPr>
      <w:rFonts w:hint="default" w:ascii="Times New Roman" w:hAnsi="Times New Roman" w:eastAsia="宋体" w:cs="Times New Roman"/>
      <w:color w:val="000000"/>
      <w:sz w:val="24"/>
      <w:szCs w:val="24"/>
      <w:lang w:val="en-US" w:eastAsia="zh-CN" w:bidi="ar-SA"/>
    </w:rPr>
  </w:style>
  <w:style w:type="paragraph" w:customStyle="1" w:styleId="348">
    <w:name w:val="正文_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49">
    <w:name w:val="TOC 标题1"/>
    <w:basedOn w:val="3"/>
    <w:next w:val="1"/>
    <w:qFormat/>
    <w:uiPriority w:val="99"/>
    <w:pPr>
      <w:spacing w:line="576" w:lineRule="auto"/>
      <w:outlineLvl w:val="9"/>
    </w:pPr>
    <w:rPr>
      <w:rFonts w:ascii="Calibri" w:hAnsi="Calibri" w:eastAsia="黑体" w:cs="Calibri"/>
      <w:lang w:val="zh-CN"/>
    </w:rPr>
  </w:style>
  <w:style w:type="paragraph" w:customStyle="1" w:styleId="350">
    <w:name w:val="空半行"/>
    <w:basedOn w:val="1"/>
    <w:qFormat/>
    <w:uiPriority w:val="99"/>
    <w:pPr>
      <w:spacing w:line="120" w:lineRule="exact"/>
    </w:pPr>
    <w:rPr>
      <w:rFonts w:eastAsia="仿宋_GB2312"/>
      <w:color w:val="FFFFFF"/>
      <w:sz w:val="30"/>
      <w:szCs w:val="30"/>
    </w:rPr>
  </w:style>
  <w:style w:type="paragraph" w:customStyle="1" w:styleId="351">
    <w:name w:val="p0"/>
    <w:basedOn w:val="1"/>
    <w:qFormat/>
    <w:uiPriority w:val="99"/>
    <w:pPr>
      <w:widowControl/>
    </w:pPr>
    <w:rPr>
      <w:rFonts w:ascii="Calibri" w:hAnsi="Calibri" w:cs="Calibri"/>
      <w:szCs w:val="21"/>
    </w:rPr>
  </w:style>
  <w:style w:type="paragraph" w:customStyle="1" w:styleId="352">
    <w:name w:val="1"/>
    <w:basedOn w:val="1"/>
    <w:next w:val="1"/>
    <w:qFormat/>
    <w:uiPriority w:val="99"/>
    <w:rPr>
      <w:szCs w:val="21"/>
    </w:rPr>
  </w:style>
  <w:style w:type="paragraph" w:customStyle="1" w:styleId="353">
    <w:name w:val="列出段落2"/>
    <w:basedOn w:val="1"/>
    <w:qFormat/>
    <w:uiPriority w:val="99"/>
    <w:pPr>
      <w:ind w:firstLine="420"/>
    </w:pPr>
    <w:rPr>
      <w:rFonts w:ascii="Calibri" w:hAnsi="Calibri" w:cs="Calibri"/>
      <w:szCs w:val="21"/>
    </w:rPr>
  </w:style>
  <w:style w:type="paragraph" w:customStyle="1" w:styleId="354">
    <w:name w:val="修订1"/>
    <w:qFormat/>
    <w:uiPriority w:val="99"/>
    <w:rPr>
      <w:rFonts w:hint="default" w:ascii="Times New Roman" w:hAnsi="Times New Roman" w:eastAsia="宋体" w:cs="Times New Roman"/>
      <w:sz w:val="21"/>
      <w:szCs w:val="21"/>
      <w:lang w:val="en-US" w:eastAsia="zh-CN" w:bidi="ar-SA"/>
    </w:rPr>
  </w:style>
  <w:style w:type="paragraph" w:customStyle="1" w:styleId="355">
    <w:name w:val="无间隔1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56">
    <w:name w:val="修订11"/>
    <w:qFormat/>
    <w:uiPriority w:val="99"/>
    <w:rPr>
      <w:rFonts w:hint="default" w:ascii="Times New Roman" w:hAnsi="Times New Roman" w:eastAsia="宋体" w:cs="Times New Roman"/>
      <w:sz w:val="21"/>
      <w:szCs w:val="21"/>
      <w:lang w:val="en-US" w:eastAsia="zh-CN" w:bidi="ar-SA"/>
    </w:rPr>
  </w:style>
  <w:style w:type="paragraph" w:customStyle="1" w:styleId="357">
    <w:name w:val="2-2ji"/>
    <w:basedOn w:val="4"/>
    <w:qFormat/>
    <w:uiPriority w:val="99"/>
    <w:pPr>
      <w:spacing w:before="0" w:after="0" w:line="360" w:lineRule="auto"/>
      <w:jc w:val="center"/>
    </w:pPr>
    <w:rPr>
      <w:rFonts w:ascii="宋体" w:hAnsi="宋体" w:cs="宋体"/>
      <w:sz w:val="36"/>
      <w:szCs w:val="36"/>
      <w:lang w:val="zh-CN"/>
    </w:rPr>
  </w:style>
  <w:style w:type="paragraph" w:customStyle="1" w:styleId="358">
    <w:name w:val="reader-word-layer"/>
    <w:basedOn w:val="1"/>
    <w:qFormat/>
    <w:uiPriority w:val="99"/>
    <w:pPr>
      <w:widowControl/>
      <w:spacing w:before="100" w:beforeAutospacing="1" w:after="100" w:afterAutospacing="1"/>
      <w:jc w:val="left"/>
    </w:pPr>
    <w:rPr>
      <w:rFonts w:ascii="宋体" w:hAnsi="宋体" w:cs="宋体"/>
      <w:sz w:val="24"/>
    </w:rPr>
  </w:style>
  <w:style w:type="paragraph" w:customStyle="1" w:styleId="359">
    <w:name w:val="Char Char Char Char"/>
    <w:basedOn w:val="1"/>
    <w:qFormat/>
    <w:uiPriority w:val="99"/>
    <w:pPr>
      <w:widowControl/>
      <w:spacing w:line="500" w:lineRule="exact"/>
      <w:outlineLvl w:val="2"/>
    </w:pPr>
    <w:rPr>
      <w:rFonts w:ascii="黑体" w:hAnsi="Verdana" w:eastAsia="黑体" w:cs="黑体"/>
      <w:sz w:val="28"/>
      <w:szCs w:val="28"/>
      <w:lang w:eastAsia="en-US"/>
    </w:rPr>
  </w:style>
  <w:style w:type="paragraph" w:customStyle="1" w:styleId="360">
    <w:name w:val="Char1"/>
    <w:basedOn w:val="1"/>
    <w:qFormat/>
    <w:uiPriority w:val="99"/>
    <w:pPr>
      <w:widowControl/>
      <w:spacing w:after="160" w:line="240" w:lineRule="exact"/>
      <w:jc w:val="left"/>
    </w:pPr>
    <w:rPr>
      <w:szCs w:val="21"/>
    </w:rPr>
  </w:style>
  <w:style w:type="paragraph" w:customStyle="1" w:styleId="361">
    <w:name w:val="_Style 37"/>
    <w:basedOn w:val="1"/>
    <w:next w:val="1"/>
    <w:qFormat/>
    <w:uiPriority w:val="99"/>
    <w:rPr>
      <w:szCs w:val="21"/>
    </w:rPr>
  </w:style>
  <w:style w:type="paragraph" w:customStyle="1" w:styleId="362">
    <w:name w:val="样式 标题 3 + (中文) 黑体 小四 非加粗 段前: 7.8 磅 段后: 0 磅 行距: 固定值 20 磅"/>
    <w:basedOn w:val="5"/>
    <w:qFormat/>
    <w:uiPriority w:val="99"/>
    <w:pPr>
      <w:spacing w:before="0" w:after="0" w:line="400" w:lineRule="exact"/>
    </w:pPr>
    <w:rPr>
      <w:rFonts w:eastAsia="黑体"/>
      <w:b w:val="0"/>
      <w:bCs w:val="0"/>
      <w:lang w:val="zh-CN"/>
    </w:rPr>
  </w:style>
  <w:style w:type="paragraph" w:styleId="363">
    <w:name w:val="No Spacing"/>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4">
    <w:name w:val="正正正正"/>
    <w:basedOn w:val="19"/>
    <w:qFormat/>
    <w:uiPriority w:val="1"/>
    <w:pPr>
      <w:tabs>
        <w:tab w:val="left" w:pos="2812"/>
        <w:tab w:val="left" w:pos="3986"/>
      </w:tabs>
      <w:spacing w:after="0" w:line="360" w:lineRule="exact"/>
      <w:ind w:firstLine="200"/>
    </w:pPr>
    <w:rPr>
      <w:rFonts w:ascii="Calibri" w:hAnsi="Calibri"/>
      <w:sz w:val="20"/>
      <w:szCs w:val="21"/>
      <w:lang w:eastAsia="en-US"/>
    </w:rPr>
  </w:style>
  <w:style w:type="paragraph" w:customStyle="1" w:styleId="365">
    <w:name w:val="_Style 1"/>
    <w:basedOn w:val="1"/>
    <w:qFormat/>
    <w:uiPriority w:val="99"/>
    <w:pPr>
      <w:ind w:firstLine="420"/>
      <w:jc w:val="left"/>
    </w:pPr>
    <w:rPr>
      <w:rFonts w:ascii="Times New Roman)" w:hAnsi="Times New Roman)" w:eastAsia="宋体正文"/>
      <w:color w:val="000000"/>
      <w:lang w:eastAsia="en-US" w:bidi="en-US"/>
    </w:rPr>
  </w:style>
  <w:style w:type="character" w:customStyle="1" w:styleId="366">
    <w:name w:val="bookmark-item"/>
    <w:qFormat/>
    <w:uiPriority w:val="0"/>
  </w:style>
  <w:style w:type="character" w:customStyle="1" w:styleId="367">
    <w:name w:val="纯文本 Char2"/>
    <w:qFormat/>
    <w:uiPriority w:val="0"/>
    <w:rPr>
      <w:rFonts w:ascii="宋体" w:hAnsi="Courier New" w:eastAsia="宋体" w:cs="Courier New"/>
      <w:szCs w:val="21"/>
    </w:rPr>
  </w:style>
  <w:style w:type="character" w:customStyle="1" w:styleId="368">
    <w:name w:val="页脚 Char1"/>
    <w:qFormat/>
    <w:uiPriority w:val="99"/>
    <w:rPr>
      <w:rFonts w:ascii="Times New Roman" w:hAnsi="Times New Roman" w:eastAsia="宋体" w:cs="Times New Roman"/>
      <w:sz w:val="18"/>
      <w:szCs w:val="18"/>
    </w:rPr>
  </w:style>
  <w:style w:type="paragraph" w:customStyle="1" w:styleId="369">
    <w:name w:val="正文_3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0">
    <w:name w:val="正文_3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1">
    <w:name w:val="正文_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2">
    <w:name w:val="正文_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3">
    <w:name w:val="标题 4_1"/>
    <w:basedOn w:val="372"/>
    <w:next w:val="374"/>
    <w:qFormat/>
    <w:uiPriority w:val="0"/>
    <w:pPr>
      <w:keepNext/>
      <w:keepLines/>
      <w:spacing w:before="280" w:after="290" w:line="372" w:lineRule="auto"/>
      <w:outlineLvl w:val="3"/>
    </w:pPr>
    <w:rPr>
      <w:rFonts w:ascii="Cambria" w:hAnsi="Cambria"/>
      <w:b/>
      <w:bCs/>
      <w:sz w:val="28"/>
      <w:szCs w:val="28"/>
    </w:rPr>
  </w:style>
  <w:style w:type="paragraph" w:customStyle="1" w:styleId="374">
    <w:name w:val="正文_2"/>
    <w:next w:val="37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75">
    <w:name w:val="正文_3_0"/>
    <w:qFormat/>
    <w:uiPriority w:val="0"/>
    <w:pPr>
      <w:widowControl w:val="0"/>
      <w:jc w:val="both"/>
    </w:pPr>
    <w:rPr>
      <w:rFonts w:hint="default" w:ascii="Calibri" w:hAnsi="Calibri" w:eastAsia="宋体" w:cs="Times New Roman"/>
      <w:sz w:val="21"/>
      <w:szCs w:val="22"/>
      <w:lang w:val="en-US" w:eastAsia="zh-CN" w:bidi="ar-SA"/>
    </w:rPr>
  </w:style>
  <w:style w:type="character" w:customStyle="1" w:styleId="376">
    <w:name w:val="first-child"/>
    <w:basedOn w:val="47"/>
    <w:qFormat/>
    <w:uiPriority w:val="0"/>
  </w:style>
  <w:style w:type="character" w:customStyle="1" w:styleId="377">
    <w:name w:val="NormalCharacter"/>
    <w:qFormat/>
    <w:uiPriority w:val="0"/>
  </w:style>
  <w:style w:type="character" w:customStyle="1" w:styleId="378">
    <w:name w:val="layui-layer-tabnow"/>
    <w:basedOn w:val="47"/>
    <w:qFormat/>
    <w:uiPriority w:val="0"/>
    <w:rPr>
      <w:shd w:val="clear" w:color="auto" w:fill="FFFFFF"/>
    </w:rPr>
  </w:style>
  <w:style w:type="paragraph" w:customStyle="1" w:styleId="379">
    <w:name w:val="Normal_0"/>
    <w:qFormat/>
    <w:uiPriority w:val="0"/>
    <w:rPr>
      <w:rFonts w:hint="default" w:ascii="Times New Roman" w:hAnsi="Times New Roman" w:eastAsia="Times New Roman" w:cs="Times New Roman"/>
      <w:sz w:val="24"/>
      <w:szCs w:val="24"/>
      <w:lang w:val="en-US" w:eastAsia="zh-CN" w:bidi="ar-SA"/>
    </w:rPr>
  </w:style>
  <w:style w:type="paragraph" w:customStyle="1" w:styleId="380">
    <w:name w:val="正文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81">
    <w:name w:val="正文3"/>
    <w:qFormat/>
    <w:uiPriority w:val="0"/>
    <w:rPr>
      <w:rFonts w:hint="default" w:ascii="Times New Roman" w:hAnsi="Times New Roman" w:eastAsia="Times New Roman" w:cs="Times New Roman"/>
      <w:sz w:val="24"/>
      <w:szCs w:val="24"/>
      <w:lang w:val="en-US" w:eastAsia="zh-CN" w:bidi="ar-SA"/>
    </w:rPr>
  </w:style>
  <w:style w:type="paragraph" w:customStyle="1" w:styleId="382">
    <w:name w:val="正文_6"/>
    <w:qFormat/>
    <w:uiPriority w:val="0"/>
    <w:pPr>
      <w:widowControl w:val="0"/>
      <w:jc w:val="both"/>
    </w:pPr>
    <w:rPr>
      <w:rFonts w:hint="default" w:ascii="Calibri" w:hAnsi="Calibri" w:eastAsia="宋体" w:cs="Times New Roman"/>
      <w:sz w:val="21"/>
      <w:szCs w:val="22"/>
      <w:lang w:val="en-US" w:eastAsia="zh-CN" w:bidi="ar-SA"/>
    </w:rPr>
  </w:style>
  <w:style w:type="character" w:customStyle="1" w:styleId="383">
    <w:name w:val="纯文本 Char3"/>
    <w:qFormat/>
    <w:uiPriority w:val="99"/>
    <w:rPr>
      <w:rFonts w:ascii="宋体" w:hAnsi="Courier New" w:eastAsia="宋体" w:cs="Courier New"/>
      <w:szCs w:val="21"/>
    </w:rPr>
  </w:style>
  <w:style w:type="paragraph" w:customStyle="1" w:styleId="384">
    <w:name w:val="Normal_17"/>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5">
    <w:name w:val="Normal_18"/>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6">
    <w:name w:val="Normal_19"/>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7">
    <w:name w:val="Normal_20"/>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88">
    <w:name w:val="正文_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89">
    <w:name w:val="普通(Web)2"/>
    <w:basedOn w:val="370"/>
    <w:qFormat/>
    <w:uiPriority w:val="0"/>
    <w:pPr>
      <w:widowControl/>
      <w:spacing w:before="150" w:after="150"/>
      <w:jc w:val="left"/>
    </w:pPr>
    <w:rPr>
      <w:rFonts w:ascii="宋体" w:cs="宋体"/>
      <w:sz w:val="24"/>
      <w:szCs w:val="24"/>
      <w:lang w:bidi="ar-SA"/>
    </w:rPr>
  </w:style>
  <w:style w:type="paragraph" w:customStyle="1" w:styleId="390">
    <w:name w:val="正文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91">
    <w:name w:val="标题 3_0"/>
    <w:basedOn w:val="388"/>
    <w:next w:val="372"/>
    <w:unhideWhenUsed/>
    <w:qFormat/>
    <w:uiPriority w:val="0"/>
    <w:pPr>
      <w:keepNext/>
      <w:keepLines/>
      <w:spacing w:before="260" w:after="260" w:line="415" w:lineRule="auto"/>
      <w:outlineLvl w:val="2"/>
    </w:pPr>
    <w:rPr>
      <w:b/>
      <w:bCs/>
      <w:sz w:val="32"/>
      <w:szCs w:val="32"/>
    </w:rPr>
  </w:style>
  <w:style w:type="paragraph" w:customStyle="1" w:styleId="392">
    <w:name w:val="纯文本1"/>
    <w:basedOn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ed36f17e-ff2e-4e68-b67e-b46196203978</errorID>
      <errorWord>GG</errorWord>
      <group>L1_Official</group>
      <groupName>公文格式问题</groupName>
      <ability>L2_Official</ability>
      <abilityName>公文要素检查</abilityName>
      <candidateList/>
      <explain>公文中禁止出现该词语</explain>
      <paraID>32855014</paraID>
      <start>5</start>
      <end>7</end>
      <status>unmodified</status>
      <modifiedWord/>
      <trackRevisions>false</trackRevisions>
    </reviewItem>
    <reviewItem>
      <errorID>504bd2a0-b138-4b9c-8759-2baeb0b6fd1a</errorID>
      <errorWord>GG</errorWord>
      <group>L1_Official</group>
      <groupName>公文格式问题</groupName>
      <ability>L2_Official</ability>
      <abilityName>公文要素检查</abilityName>
      <candidateList/>
      <explain>公文中禁止出现该词语</explain>
      <paraID>3091B99C</paraID>
      <start>5</start>
      <end>7</end>
      <status>unmodified</status>
      <modifiedWord/>
      <trackRevisions>false</trackRevisions>
    </reviewItem>
    <reviewItem>
      <errorID>956176da-7c71-4c3e-a370-230069679246</errorID>
      <errorWord>财政部</errorWord>
      <group>L1_Knowledge</group>
      <groupName>知识性问题</groupName>
      <ability>L2_Organization</ability>
      <abilityName>机构检查</abilityName>
      <candidateList/>
      <explain>[财政部]应在[民政部]之后</explain>
      <paraID>7D162E21</paraID>
      <start>140</start>
      <end>143</end>
      <status>unmodified</status>
      <modifiedWord/>
      <trackRevisions>false</trackRevisions>
    </reviewItem>
    <reviewItem>
      <errorID>4a31239c-4885-4df5-967d-39bb528cd8b4</errorID>
      <errorWord>(</errorWord>
      <group>L1_Format</group>
      <groupName>格式问题</groupName>
      <ability>L2_HalfPunc_CN</ability>
      <abilityName>全半角检查</abilityName>
      <candidateList>
        <item>（</item>
      </candidateList>
      <explain>文本全半角错误。</explain>
      <paraID>4B6327CD</paraID>
      <start>24</start>
      <end>25</end>
      <status>unmodified</status>
      <modifiedWord/>
      <trackRevisions>false</trackRevisions>
    </reviewItem>
    <reviewItem>
      <errorID>df8a4e6b-84c0-4634-8721-ebcad6f207e8</errorID>
      <errorWord>)</errorWord>
      <group>L1_Format</group>
      <groupName>格式问题</groupName>
      <ability>L2_HalfPunc_CN</ability>
      <abilityName>全半角检查</abilityName>
      <candidateList>
        <item>）</item>
      </candidateList>
      <explain>文本全半角错误。</explain>
      <paraID>4B6327CD</paraID>
      <start>26</start>
      <end>27</end>
      <status>unmodified</status>
      <modifiedWord/>
      <trackRevisions>false</trackRevisions>
    </reviewItem>
    <reviewItem>
      <errorID>d4946d6a-418c-490f-9111-7e2ab41d49ae</errorID>
      <errorWord>日至2026年</errorWord>
      <group>L1_Word</group>
      <groupName>字词问题</groupName>
      <ability>L2_Typo</ability>
      <abilityName>字词错误</abilityName>
      <candidateList>
        <item>日起至2026年</item>
      </candidateList>
      <explain/>
      <paraID>16E37772</paraID>
      <start>11</start>
      <end>18</end>
      <status>unmodified</status>
      <modifiedWord/>
      <trackRevisions>false</trackRevisions>
    </reviewItem>
    <reviewItem>
      <errorID>901507d1-2a1b-41a3-bb0a-3381d1206536</errorID>
      <errorWord>上午00：00</errorWord>
      <group>L1_Knowledge</group>
      <groupName>知识性问题</groupName>
      <ability>L2_Time</ability>
      <abilityName>日期时间</abilityName>
      <candidateList/>
      <explain>时间与前缀不匹配，可能的时间前缀有“下午、晚上、凌晨、午夜”。</explain>
      <paraID>16E37772</paraID>
      <start>25</start>
      <end>32</end>
      <status>unmodified</status>
      <modifiedWord/>
      <trackRevisions>false</trackRevisions>
    </reviewItem>
    <reviewItem>
      <errorID>db70f5df-91f0-4df1-8d46-cf2868a20599</errorID>
      <errorWord>：</errorWord>
      <group>L1_Format</group>
      <groupName>格式问题</groupName>
      <ability>L2_HalfPunc_CN</ability>
      <abilityName>全半角检查</abilityName>
      <candidateList>
        <item>:</item>
      </candidateList>
      <explain>文本全半角错误。</explain>
      <paraID>16E37772</paraID>
      <start>35</start>
      <end>36</end>
      <status>unmodified</status>
      <modifiedWord/>
      <trackRevisions>false</trackRevisions>
    </reviewItem>
    <reviewItem>
      <errorID>150619a5-289e-4a46-abb6-ad18040d60f0</errorID>
      <errorWord>：</errorWord>
      <group>L1_Format</group>
      <groupName>格式问题</groupName>
      <ability>L2_HalfPunc_CN</ability>
      <abilityName>全半角检查</abilityName>
      <candidateList>
        <item>:</item>
      </candidateList>
      <explain>文本全半角错误。</explain>
      <paraID>16E37772</paraID>
      <start>43</start>
      <end>44</end>
      <status>unmodified</status>
      <modifiedWord/>
      <trackRevisions>false</trackRevisions>
    </reviewItem>
    <reviewItem>
      <errorID>855ae584-546c-49af-a8bc-2116c9b49643</errorID>
      <errorWord>：</errorWord>
      <group>L1_Format</group>
      <groupName>格式问题</groupName>
      <ability>L2_HalfPunc_CN</ability>
      <abilityName>全半角检查</abilityName>
      <candidateList>
        <item>:</item>
      </candidateList>
      <explain>文本全半角错误。</explain>
      <paraID>16E37772</paraID>
      <start>49</start>
      <end>50</end>
      <status>unmodified</status>
      <modifiedWord/>
      <trackRevisions>false</trackRevisions>
    </reviewItem>
    <reviewItem>
      <errorID>3c46e2fe-547a-4507-b24c-aa935520cdb0</errorID>
      <errorWord>-</errorWord>
      <group>L1_Format</group>
      <groupName>格式问题</groupName>
      <ability>L2_HalfPunc_CN</ability>
      <abilityName>全半角检查</abilityName>
      <candidateList>
        <item>－</item>
      </candidateList>
      <explain>文本全半角错误。</explain>
      <paraID>111B73E4</paraID>
      <start>82</start>
      <end>83</end>
      <status>unmodified</status>
      <modifiedWord/>
      <trackRevisions>false</trackRevisions>
    </reviewItem>
    <reviewItem>
      <errorID>f695444d-ccf8-45c5-8c94-bbc146767552</errorID>
      <errorWord>：</errorWord>
      <group>L1_Format</group>
      <groupName>格式问题</groupName>
      <ability>L2_HalfPunc_CN</ability>
      <abilityName>全半角检查</abilityName>
      <candidateList>
        <item>:</item>
      </candidateList>
      <explain>文本全半角错误。</explain>
      <paraID>22EE9D15</paraID>
      <start>35</start>
      <end>36</end>
      <status>unmodified</status>
      <modifiedWord/>
      <trackRevisions>false</trackRevisions>
    </reviewItem>
    <reviewItem>
      <errorID>9ab5d700-b43e-4ab2-90a6-69803c768a45</errorID>
      <errorWord>/）</errorWord>
      <group>L1_Punc</group>
      <groupName>标点问题</groupName>
      <ability>L2_Punc_CN</ability>
      <abilityName>标点符号检查</abilityName>
      <candidateList>
        <item>）</item>
      </candidateList>
      <explain/>
      <paraID>22EE9D15</paraID>
      <start>62</start>
      <end>64</end>
      <status>unmodified</status>
      <modifiedWord/>
      <trackRevisions>false</trackRevisions>
    </reviewItem>
    <reviewItem>
      <errorID>13c952d3-a35e-471a-b6a5-b7691d8b5b42</errorID>
      <errorWord>操作合</errorWord>
      <group>L1_Word</group>
      <groupName>字词问题</groupName>
      <ability>L2_Typo</ability>
      <abilityName>字词错误</abilityName>
      <candidateList>
        <item>操作台</item>
      </candidateList>
      <explain/>
      <paraID>742CDB7B</paraID>
      <start>9</start>
      <end>12</end>
      <status>unmodified</status>
      <modifiedWord/>
      <trackRevisions>false</trackRevisions>
    </reviewItem>
    <reviewItem>
      <errorID>8ae12565-1569-4a1d-95f9-cdd1cb46107f</errorID>
      <errorWord>，</errorWord>
      <group>L1_Word</group>
      <groupName>字词问题</groupName>
      <ability>L2_Typo</ability>
      <abilityName>字词错误</abilityName>
      <candidateList>
        <item>，在</item>
      </candidateList>
      <explain/>
      <paraID>742CDB7B</paraID>
      <start>120</start>
      <end>121</end>
      <status>unmodified</status>
      <modifiedWord/>
      <trackRevisions>false</trackRevisions>
    </reviewItem>
    <reviewItem>
      <errorID>b0832c56-2da9-400f-bdc2-785cc3390592</errorID>
      <errorWord>具备有</errorWord>
      <group>L1_Word</group>
      <groupName>字词问题</groupName>
      <ability>L2_Typo</ability>
      <abilityName>字词错误</abilityName>
      <candidateList>
        <item>具备</item>
      </candidateList>
      <explain/>
      <paraID>77ECF39E</paraID>
      <start>9</start>
      <end>12</end>
      <status>unmodified</status>
      <modifiedWord/>
      <trackRevisions>false</trackRevisions>
    </reviewItem>
    <reviewItem>
      <errorID>f55ac6d5-bd96-49a5-b161-cd6ceafbb83a</errorID>
      <errorWord>:</errorWord>
      <group>L1_Format</group>
      <groupName>格式问题</groupName>
      <ability>L2_HalfPunc_CN</ability>
      <abilityName>全半角检查</abilityName>
      <candidateList>
        <item>：</item>
      </candidateList>
      <explain>文本全半角错误。</explain>
      <paraID>7E97483E</paraID>
      <start>9</start>
      <end>10</end>
      <status>unmodified</status>
      <modifiedWord/>
      <trackRevisions>false</trackRevisions>
    </reviewItem>
    <reviewItem>
      <errorID>faae4ebe-8794-436f-bd19-fed97137724b</errorID>
      <errorWord>《中小企业声明函》</errorWord>
      <group>L1_Official</group>
      <groupName>公文格式问题</groupName>
      <ability>L2_Official</ability>
      <abilityName>公文要素检查</abilityName>
      <candidateList/>
      <explain>公文文件引用格式不规范</explain>
      <paraID> 24EA54C</paraID>
      <start>5</start>
      <end>14</end>
      <status>unmodified</status>
      <modifiedWord/>
      <trackRevisions>false</trackRevisions>
    </reviewItem>
    <reviewItem>
      <errorID>5c20d816-20cd-4911-9536-dd219f9d0ade</errorID>
      <errorWord>《残疾人福利性单位声明函》</errorWord>
      <group>L1_Official</group>
      <groupName>公文格式问题</groupName>
      <ability>L2_Official</ability>
      <abilityName>公文要素检查</abilityName>
      <candidateList/>
      <explain>公文文件引用格式不规范</explain>
      <paraID> 24EA54C</paraID>
      <start>15</start>
      <end>28</end>
      <status>unmodified</status>
      <modifiedWord/>
      <trackRevisions>false</trackRevisions>
    </reviewItem>
    <reviewItem>
      <errorID>060878d8-ddf5-4eb2-8d8a-307b7e8b5af0</errorID>
      <errorWord>（</errorWord>
      <group>L1_Punc</group>
      <groupName>标点问题</groupName>
      <ability>L2_Punc_CN</ability>
      <abilityName>标点符号检查</abilityName>
      <candidateList/>
      <explain>同一形式括号套用。</explain>
      <paraID> 24EA54C</paraID>
      <start>52</start>
      <end>53</end>
      <status>unmodified</status>
      <modifiedWord/>
      <trackRevisions>false</trackRevisions>
    </reviewItem>
    <reviewItem>
      <errorID>3e8f9eee-7c08-4eb1-97ca-815ff783b42b</errorID>
      <errorWord>）</errorWord>
      <group>L1_Punc</group>
      <groupName>标点问题</groupName>
      <ability>L2_Punc_CN</ability>
      <abilityName>标点符号检查</abilityName>
      <candidateList/>
      <explain>同一形式括号套用。</explain>
      <paraID> 24EA54C</paraID>
      <start>62</start>
      <end>63</end>
      <status>unmodified</status>
      <modifiedWord/>
      <trackRevisions>false</trackRevisions>
    </reviewItem>
    <reviewItem>
      <errorID>ab543596-8f81-4082-974d-f4f616d6f4f2</errorID>
      <errorWord>(</errorWord>
      <group>L1_Format</group>
      <groupName>格式问题</groupName>
      <ability>L2_HalfPunc_CN</ability>
      <abilityName>全半角检查</abilityName>
      <candidateList>
        <item>（</item>
      </candidateList>
      <explain>文本全半角错误。</explain>
      <paraID>2ADA2D28</paraID>
      <start>24</start>
      <end>25</end>
      <status>unmodified</status>
      <modifiedWord/>
      <trackRevisions>false</trackRevisions>
    </reviewItem>
    <reviewItem>
      <errorID>717e5e47-fb0b-40ae-a448-a651da9e594b</errorID>
      <errorWord>)</errorWord>
      <group>L1_Format</group>
      <groupName>格式问题</groupName>
      <ability>L2_HalfPunc_CN</ability>
      <abilityName>全半角检查</abilityName>
      <candidateList>
        <item>）</item>
      </candidateList>
      <explain>文本全半角错误。</explain>
      <paraID>2ADA2D28</paraID>
      <start>26</start>
      <end>27</end>
      <status>unmodified</status>
      <modifiedWord/>
      <trackRevisions>false</trackRevisions>
    </reviewItem>
    <reviewItem>
      <errorID>7f29573b-7c04-473e-98f0-98e8ee03f2ac</errorID>
      <errorWord>包括了</errorWord>
      <group>L1_Word</group>
      <groupName>字词问题</groupName>
      <ability>L2_Typo</ability>
      <abilityName>字词错误</abilityName>
      <candidateList>
        <item>包括</item>
      </candidateList>
      <explain/>
      <paraID>7732E727</paraID>
      <start>27</start>
      <end>30</end>
      <status>unmodified</status>
      <modifiedWord/>
      <trackRevisions>false</trackRevisions>
    </reviewItem>
    <reviewItem>
      <errorID>6e988bf9-a3e4-42d5-89bc-23863911ef9f</errorID>
      <errorWord>(</errorWord>
      <group>L1_Format</group>
      <groupName>格式问题</groupName>
      <ability>L2_HalfPunc_CN</ability>
      <abilityName>全半角检查</abilityName>
      <candidateList>
        <item>（</item>
      </candidateList>
      <explain>文本全半角错误。</explain>
      <paraID>409F6E3E</paraID>
      <start>46</start>
      <end>47</end>
      <status>unmodified</status>
      <modifiedWord/>
      <trackRevisions>false</trackRevisions>
    </reviewItem>
    <reviewItem>
      <errorID>eb259abd-f6c4-4728-bba3-d047aa06a1b9</errorID>
      <errorWord>)</errorWord>
      <group>L1_Format</group>
      <groupName>格式问题</groupName>
      <ability>L2_HalfPunc_CN</ability>
      <abilityName>全半角检查</abilityName>
      <candidateList>
        <item>）</item>
      </candidateList>
      <explain>文本全半角错误。</explain>
      <paraID>409F6E3E</paraID>
      <start>55</start>
      <end>56</end>
      <status>unmodified</status>
      <modifiedWord/>
      <trackRevisions>false</trackRevisions>
    </reviewItem>
    <reviewItem>
      <errorID>0f685ec2-e52c-4211-9922-5009cc196a50</errorID>
      <errorWord>管理规定，用供应商</errorWord>
      <group>L1_Word</group>
      <groupName>字词问题</groupName>
      <ability>L2_Typo</ability>
      <abilityName>字词错误</abilityName>
      <candidateList>
        <item>管理规定，使用供应商</item>
      </candidateList>
      <explain/>
      <paraID>749CF56A</paraID>
      <start>28</start>
      <end>37</end>
      <status>unmodified</status>
      <modifiedWord/>
      <trackRevisions>false</trackRevisions>
    </reviewItem>
    <reviewItem>
      <errorID>c93ecf97-8eaf-4c82-843e-9d999ac583c9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447FE728</paraID>
      <start>15</start>
      <end>18</end>
      <status>unmodified</status>
      <modifiedWord/>
      <trackRevisions>false</trackRevisions>
    </reviewItem>
    <reviewItem>
      <errorID>f3ca22aa-10f8-4a09-a112-856867fb18c4</errorID>
      <errorWord>《财政部关于政府采购竞争性磋商采购方式管理暂行办法有关问题的补充通知》</errorWord>
      <group>L1_Official</group>
      <groupName>公文格式问题</groupName>
      <ability>L2_Official</ability>
      <abilityName>公文要素检查</abilityName>
      <candidateList/>
      <explain>公文文件引用格式不规范</explain>
      <paraID>591B0974</paraID>
      <start>85</start>
      <end>120</end>
      <status>unmodified</status>
      <modifiedWord/>
      <trackRevisions>false</trackRevisions>
    </reviewItem>
    <reviewItem>
      <errorID>cea0caad-ba10-48ba-800d-861f1460acf6</errorID>
      <errorWord>法律、法规</errorWord>
      <group>L1_Word</group>
      <groupName>字词问题</groupName>
      <ability>L2_Typo</ability>
      <abilityName>字词错误</abilityName>
      <candidateList>
        <item>法律法规</item>
      </candidateList>
      <explain/>
      <paraID>7D469D86</paraID>
      <start>38</start>
      <end>43</end>
      <status>unmodified</status>
      <modifiedWord/>
      <trackRevisions>false</trackRevisions>
    </reviewItem>
    <reviewItem>
      <errorID>588b39b4-d4c8-4a41-b9ff-f7685d3a96e1</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2CDB18BC</paraID>
      <start>208</start>
      <end>213</end>
      <status>unmodified</status>
      <modifiedWord/>
      <trackRevisions>false</trackRevisions>
    </reviewItem>
    <reviewItem>
      <errorID>fe80e0e1-f2c5-4d3a-b41a-8fb59de7b7a9</errorID>
      <errorWord>(</errorWord>
      <group>L1_Format</group>
      <groupName>格式问题</groupName>
      <ability>L2_HalfPunc_CN</ability>
      <abilityName>全半角检查</abilityName>
      <candidateList>
        <item>（</item>
      </candidateList>
      <explain>文本全半角错误。</explain>
      <paraID>198806D5</paraID>
      <start>53</start>
      <end>54</end>
      <status>unmodified</status>
      <modifiedWord/>
      <trackRevisions>false</trackRevisions>
    </reviewItem>
    <reviewItem>
      <errorID>77aa27cc-d0c7-4a17-947c-13fa0773cbea</errorID>
      <errorWord>)</errorWord>
      <group>L1_Format</group>
      <groupName>格式问题</groupName>
      <ability>L2_HalfPunc_CN</ability>
      <abilityName>全半角检查</abilityName>
      <candidateList>
        <item>）</item>
      </candidateList>
      <explain>文本全半角错误。</explain>
      <paraID>198806D5</paraID>
      <start>56</start>
      <end>57</end>
      <status>unmodified</status>
      <modifiedWord/>
      <trackRevisions>false</trackRevisions>
    </reviewItem>
    <reviewItem>
      <errorID>635411ca-3a40-4860-974c-f3da7cbaa08b</errorID>
      <errorWord>操作合</errorWord>
      <group>L1_Word</group>
      <groupName>字词问题</groupName>
      <ability>L2_Typo</ability>
      <abilityName>字词错误</abilityName>
      <candidateList>
        <item>操作台</item>
      </candidateList>
      <explain/>
      <paraID>3F8C4BA6</paraID>
      <start>9</start>
      <end>12</end>
      <status>unmodified</status>
      <modifiedWord/>
      <trackRevisions>false</trackRevisions>
    </reviewItem>
    <reviewItem>
      <errorID>94fc6442-5a85-46c7-9254-4926c28b860e</errorID>
      <errorWord>接受</errorWord>
      <group>L1_Word</group>
      <groupName>字词问题</groupName>
      <ability>L2_Typo</ability>
      <abilityName>字词错误</abilityName>
      <candidateList>
        <item>接收</item>
      </candidateList>
      <explain>存在发音相同字词的误用。</explain>
      <paraID>7848278E</paraID>
      <start>51</start>
      <end>53</end>
      <status>unmodified</status>
      <modifiedWord/>
      <trackRevisions>false</trackRevisions>
    </reviewItem>
    <reviewItem>
      <errorID>91aa4b06-bfc1-4ef3-9b62-056b69cb14a7</errorID>
      <errorWord>，</errorWord>
      <group>L1_Word</group>
      <groupName>字词问题</groupName>
      <ability>L2_Typo</ability>
      <abilityName>字词错误</abilityName>
      <candidateList>
        <item>，在</item>
      </candidateList>
      <explain/>
      <paraID> 3B5FE9E</paraID>
      <start>36</start>
      <end>37</end>
      <status>unmodified</status>
      <modifiedWord/>
      <trackRevisions>false</trackRevisions>
    </reviewItem>
    <reviewItem>
      <errorID>88d8c0d6-54da-4dae-8552-11cfc40e9ed4</errorID>
      <errorWord>间</errorWord>
      <group>L1_Word</group>
      <groupName>字词问题</groupName>
      <ability>L2_Typo</ability>
      <abilityName>字词错误</abilityName>
      <candidateList>
        <item>间之</item>
      </candidateList>
      <explain/>
      <paraID>77F5A8E5</paraID>
      <start>14</start>
      <end>15</end>
      <status>unmodified</status>
      <modifiedWord/>
      <trackRevisions>false</trackRevisions>
    </reviewItem>
    <reviewItem>
      <errorID>910dfa37-41b3-429c-91a9-50ee5324a646</errorID>
      <errorWord>原则做出结论</errorWord>
      <group>L1_Word</group>
      <groupName>字词问题</groupName>
      <ability>L2_Typo</ability>
      <abilityName>字词错误</abilityName>
      <candidateList>
        <item>原则作出结论</item>
      </candidateList>
      <explain/>
      <paraID>295EF943</paraID>
      <start>62</start>
      <end>68</end>
      <status>unmodified</status>
      <modifiedWord/>
      <trackRevisions>false</trackRevisions>
    </reviewItem>
    <reviewItem>
      <errorID>fe367b8d-e322-4273-a1c4-047436922e35</errorID>
      <errorWord>《中小企业声明函》</errorWord>
      <group>L1_Official</group>
      <groupName>公文格式问题</groupName>
      <ability>L2_Official</ability>
      <abilityName>公文要素检查</abilityName>
      <candidateList/>
      <explain>公文文件引用格式不规范</explain>
      <paraID>32F23434</paraID>
      <start>357</start>
      <end>366</end>
      <status>unmodified</status>
      <modifiedWord/>
      <trackRevisions>false</trackRevisions>
    </reviewItem>
    <reviewItem>
      <errorID>e316bb98-295a-40dd-9c93-c3ed927ffebe</errorID>
      <errorWord>:</errorWord>
      <group>L1_Format</group>
      <groupName>格式问题</groupName>
      <ability>L2_HalfPunc_CN</ability>
      <abilityName>全半角检查</abilityName>
      <candidateList>
        <item>：</item>
      </candidateList>
      <explain>文本全半角错误。</explain>
      <paraID>1EFDBD81</paraID>
      <start>6</start>
      <end>7</end>
      <status>unmodified</status>
      <modifiedWord/>
      <trackRevisions>false</trackRevisions>
    </reviewItem>
    <reviewItem>
      <errorID>28a38e5e-a302-4346-b72a-e0ecd2726135</errorID>
      <errorWord>法律、法规</errorWord>
      <group>L1_Word</group>
      <groupName>字词问题</groupName>
      <ability>L2_Typo</ability>
      <abilityName>字词错误</abilityName>
      <candidateList>
        <item>法律法规</item>
      </candidateList>
      <explain/>
      <paraID>1EFDBD81</paraID>
      <start>17</start>
      <end>22</end>
      <status>unmodified</status>
      <modifiedWord/>
      <trackRevisions>false</trackRevisions>
    </reviewItem>
    <reviewItem>
      <errorID>80416f2d-30af-499c-a4b2-402682659e08</errorID>
      <errorWord>包括了</errorWord>
      <group>L1_Word</group>
      <groupName>字词问题</groupName>
      <ability>L2_Typo</ability>
      <abilityName>字词错误</abilityName>
      <candidateList>
        <item>包括</item>
      </candidateList>
      <explain/>
      <paraID>544F741E</paraID>
      <start>27</start>
      <end>30</end>
      <status>unmodified</status>
      <modifiedWord/>
      <trackRevisions>false</trackRevisions>
    </reviewItem>
    <reviewItem>
      <errorID>a440423b-6ed2-4f52-98a5-ea195d1890d7</errorID>
      <errorWord>须</errorWord>
      <group>L1_Word</group>
      <groupName>字词问题</groupName>
      <ability>L2_Typo</ability>
      <abilityName>字词错误</abilityName>
      <candidateList>
        <item>须在</item>
      </candidateList>
      <explain/>
      <paraID>77D49405</paraID>
      <start>31</start>
      <end>32</end>
      <status>unmodified</status>
      <modifiedWord/>
      <trackRevisions>false</trackRevisions>
    </reviewItem>
    <reviewItem>
      <errorID>ac0f1893-67e1-4a57-98f7-d50e408eb3eb</errorID>
      <errorWord>相应</errorWord>
      <group>L1_Word</group>
      <groupName>字词问题</groupName>
      <ability>L2_Typo</ability>
      <abilityName>字词错误</abilityName>
      <candidateList>
        <item>响应</item>
      </candidateList>
      <explain/>
      <paraID>1EB81183</paraID>
      <start>19</start>
      <end>21</end>
      <status>unmodified</status>
      <modifiedWord/>
      <trackRevisions>false</trackRevisions>
    </reviewItem>
    <reviewItem>
      <errorID>ee65fb94-63aa-4d7e-ae35-4539341552b1</errorID>
      <errorWord>-</errorWord>
      <group>L1_Format</group>
      <groupName>格式问题</groupName>
      <ability>L2_HalfPunc_CN</ability>
      <abilityName>全半角检查</abilityName>
      <candidateList>
        <item>－</item>
      </candidateList>
      <explain>文本全半角错误。</explain>
      <paraID>7BD0E0A9</paraID>
      <start>20</start>
      <end>21</end>
      <status>unmodified</status>
      <modifiedWord/>
      <trackRevisions>false</trackRevisions>
    </reviewItem>
    <reviewItem>
      <errorID>5d0cca9c-38fc-4f8e-9fec-615b92a99b50</errorID>
      <errorWord>法律、法规</errorWord>
      <group>L1_Word</group>
      <groupName>字词问题</groupName>
      <ability>L2_Typo</ability>
      <abilityName>字词错误</abilityName>
      <candidateList>
        <item>法律法规</item>
      </candidateList>
      <explain/>
      <paraID>368FF149</paraID>
      <start>3</start>
      <end>8</end>
      <status>unmodified</status>
      <modifiedWord/>
      <trackRevisions>false</trackRevisions>
    </reviewItem>
    <reviewItem>
      <errorID>2a8d3383-b797-4d32-a4d2-b741d38701e8</errorID>
      <errorWord>，</errorWord>
      <group>L1_Word</group>
      <groupName>字词问题</groupName>
      <ability>L2_Typo</ability>
      <abilityName>字词错误</abilityName>
      <candidateList>
        <item>，并</item>
      </candidateList>
      <explain/>
      <paraID>1DBF7B95</paraID>
      <start>63</start>
      <end>64</end>
      <status>unmodified</status>
      <modifiedWord/>
      <trackRevisions>false</trackRevisions>
    </reviewItem>
    <reviewItem>
      <errorID>f3831f26-7174-4d3a-a27f-4e0e892be65c</errorID>
      <errorWord>自控</errorWord>
      <group>L1_Word</group>
      <groupName>字词问题</groupName>
      <ability>L2_Typo</ability>
      <abilityName>字词错误</abilityName>
      <candidateList>
        <item>质控</item>
      </candidateList>
      <explain/>
      <paraID>17EC81A4</paraID>
      <start>50</start>
      <end>52</end>
      <status>unmodified</status>
      <modifiedWord/>
      <trackRevisions>false</trackRevisions>
    </reviewItem>
    <reviewItem>
      <errorID>a1d0b14c-ae51-48a3-b219-0e3658d5e3c4</errorID>
      <errorWord>其它</errorWord>
      <group>L1_Word</group>
      <groupName>字词问题</groupName>
      <ability>L2_Alias</ability>
      <abilityName>也作/曾用词</abilityName>
      <candidateList>
        <item>其他</item>
      </candidateList>
      <explain>词汇[其它]为不规范表述或旧称，其规范书面表述为[其他]。</explain>
      <paraID>790BA11C</paraID>
      <start>5</start>
      <end>7</end>
      <status>unmodified</status>
      <modifiedWord/>
      <trackRevisions>false</trackRevisions>
    </reviewItem>
    <reviewItem>
      <errorID>8a22840b-beeb-4623-8bed-5014750ddea3</errorID>
      <errorWord>《关于建筑业实施营业税改征增值税后广西壮族自治区建设工程计价依据调整的通知》</errorWord>
      <group>L1_Official</group>
      <groupName>公文格式问题</groupName>
      <ability>L2_Official</ability>
      <abilityName>公文要素检查</abilityName>
      <candidateList/>
      <explain>公文文件引用格式不规范</explain>
      <paraID> 492351A</paraID>
      <start>17</start>
      <end>55</end>
      <status>unmodified</status>
      <modifiedWord/>
      <trackRevisions>false</trackRevisions>
    </reviewItem>
    <reviewItem>
      <errorID>8511975b-cd45-474f-b043-4c8280e3e0d9</errorID>
      <errorWord>(</errorWord>
      <group>L1_Format</group>
      <groupName>格式问题</groupName>
      <ability>L2_HalfPunc_CN</ability>
      <abilityName>全半角检查</abilityName>
      <candidateList>
        <item>（</item>
      </candidateList>
      <explain>文本全半角错误。</explain>
      <paraID>5F62BB4E</paraID>
      <start>37</start>
      <end>38</end>
      <status>unmodified</status>
      <modifiedWord/>
      <trackRevisions>false</trackRevisions>
    </reviewItem>
    <reviewItem>
      <errorID>9447630e-c0ae-4b6c-9982-e7b22727ff2a</errorID>
      <errorWord>)</errorWord>
      <group>L1_Format</group>
      <groupName>格式问题</groupName>
      <ability>L2_HalfPunc_CN</ability>
      <abilityName>全半角检查</abilityName>
      <candidateList>
        <item>）</item>
      </candidateList>
      <explain>文本全半角错误。</explain>
      <paraID>5F62BB4E</paraID>
      <start>52</start>
      <end>53</end>
      <status>unmodified</status>
      <modifiedWord/>
      <trackRevisions>false</trackRevisions>
    </reviewItem>
    <reviewItem>
      <errorID>3f864849-fcea-431b-8012-fd332899104a</errorID>
      <errorWord>《自治区住房城乡建设厅关于调整建设工程定额人工费及有关费率的通知》</errorWord>
      <group>L1_Official</group>
      <groupName>公文格式问题</groupName>
      <ability>L2_Official</ability>
      <abilityName>公文要素检查</abilityName>
      <candidateList/>
      <explain>公文文件引用格式不规范</explain>
      <paraID>5F62BB4E</paraID>
      <start>154</start>
      <end>187</end>
      <status>unmodified</status>
      <modifiedWord/>
      <trackRevisions>false</trackRevisions>
    </reviewItem>
    <reviewItem>
      <errorID>0426115d-3cf5-4c5c-80ff-643547583083</errorID>
      <errorWord>(</errorWord>
      <group>L1_Format</group>
      <groupName>格式问题</groupName>
      <ability>L2_HalfPunc_CN</ability>
      <abilityName>全半角检查</abilityName>
      <candidateList>
        <item>（</item>
      </candidateList>
      <explain>文本全半角错误。</explain>
      <paraID>5F62BB4E</paraID>
      <start>187</start>
      <end>188</end>
      <status>unmodified</status>
      <modifiedWord/>
      <trackRevisions>false</trackRevisions>
    </reviewItem>
    <reviewItem>
      <errorID>91c3fdd3-7f6c-41aa-9f38-f9733843834c</errorID>
      <errorWord>[2023]7号</errorWord>
      <group>L1_Knowledge</group>
      <groupName>知识性问题</groupName>
      <ability>L2_Knowledge</ability>
      <abilityName>其他知识</abilityName>
      <candidateList>
        <item>〔2023〕7号</item>
      </candidateList>
      <explain>发文字号格式错误。</explain>
      <paraID>5F62BB4E</paraID>
      <start>191</start>
      <end>199</end>
      <status>unmodified</status>
      <modifiedWord/>
      <trackRevisions>false</trackRevisions>
    </reviewItem>
    <reviewItem>
      <errorID>850847ad-1587-48a6-9ef6-f152a4abb0e7</errorID>
      <errorWord>)</errorWord>
      <group>L1_Format</group>
      <groupName>格式问题</groupName>
      <ability>L2_HalfPunc_CN</ability>
      <abilityName>全半角检查</abilityName>
      <candidateList>
        <item>）</item>
      </candidateList>
      <explain>文本全半角错误。</explain>
      <paraID>5F62BB4E</paraID>
      <start>199</start>
      <end>200</end>
      <status>unmodified</status>
      <modifiedWord/>
      <trackRevisions>false</trackRevisions>
    </reviewItem>
    <reviewItem>
      <errorID>57565238-bce3-459e-b078-c231da73024c</errorID>
      <errorWord>《自治区住房城乡建设厅关于调整建设工程计价增值税税率的通知》</errorWord>
      <group>L1_Official</group>
      <groupName>公文格式问题</groupName>
      <ability>L2_Official</ability>
      <abilityName>公文要素检查</abilityName>
      <candidateList/>
      <explain>公文文件引用格式不规范</explain>
      <paraID>5F62BB4E</paraID>
      <start>204</start>
      <end>234</end>
      <status>unmodified</status>
      <modifiedWord/>
      <trackRevisions>false</trackRevisions>
    </reviewItem>
    <reviewItem>
      <errorID>d58ff280-7a0e-49a4-bb4c-7bac8f1e1a82</errorID>
      <errorWord>(</errorWord>
      <group>L1_Format</group>
      <groupName>格式问题</groupName>
      <ability>L2_HalfPunc_CN</ability>
      <abilityName>全半角检查</abilityName>
      <candidateList>
        <item>（</item>
      </candidateList>
      <explain>文本全半角错误。</explain>
      <paraID>5F62BB4E</paraID>
      <start>234</start>
      <end>235</end>
      <status>unmodified</status>
      <modifiedWord/>
      <trackRevisions>false</trackRevisions>
    </reviewItem>
    <reviewItem>
      <errorID>f5b0f2cf-8c38-406d-abb4-618f010fdc6f</errorID>
      <errorWord>(2019)12号</errorWord>
      <group>L1_Knowledge</group>
      <groupName>知识性问题</groupName>
      <ability>L2_Knowledge</ability>
      <abilityName>其他知识</abilityName>
      <candidateList>
        <item>〔2019〕12号</item>
      </candidateList>
      <explain>发文字号格式错误。</explain>
      <paraID>5F62BB4E</paraID>
      <start>238</start>
      <end>247</end>
      <status>unmodified</status>
      <modifiedWord/>
      <trackRevisions>false</trackRevisions>
    </reviewItem>
    <reviewItem>
      <errorID>b4839085-4dc9-4925-ae9b-c5725e27883a</errorID>
      <errorWord>)</errorWord>
      <group>L1_Format</group>
      <groupName>格式问题</groupName>
      <ability>L2_HalfPunc_CN</ability>
      <abilityName>全半角检查</abilityName>
      <candidateList>
        <item>）</item>
      </candidateList>
      <explain>文本全半角错误。</explain>
      <paraID>5F62BB4E</paraID>
      <start>247</start>
      <end>248</end>
      <status>unmodified</status>
      <modifiedWord/>
      <trackRevisions>false</trackRevisions>
    </reviewItem>
    <reviewItem>
      <errorID>09cb3b0b-1e92-40c7-ba95-a28d0b396e6a</errorID>
      <errorWord>其它</errorWord>
      <group>L1_Word</group>
      <groupName>字词问题</groupName>
      <ability>L2_Alias</ability>
      <abilityName>也作/曾用词</abilityName>
      <candidateList>
        <item>其他</item>
      </candidateList>
      <explain>词汇[其它]为不规范表述或旧称，其规范书面表述为[其他]。</explain>
      <paraID> D124E45</paraID>
      <start>4</start>
      <end>6</end>
      <status>unmodified</status>
      <modifiedWord/>
      <trackRevisions>false</trackRevisions>
    </reviewItem>
    <reviewItem>
      <errorID>f4d22ae4-2120-453f-88be-03f62a6a5dc0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17AF4AE7</paraID>
      <start>27</start>
      <end>30</end>
      <status>unmodified</status>
      <modifiedWord/>
      <trackRevisions>false</trackRevisions>
    </reviewItem>
    <reviewItem>
      <errorID>66350454-ef65-4a21-84ee-56525acb2ff3</errorID>
      <errorWord>股东大会</errorWord>
      <group>L1_Word</group>
      <groupName>字词问题</groupName>
      <ability>L2_Typo</ability>
      <abilityName>字词错误</abilityName>
      <candidateList>
        <item>股东会</item>
      </candidateList>
      <explain/>
      <paraID>5DB4435A</paraID>
      <start>113</start>
      <end>117</end>
      <status>unmodified</status>
      <modifiedWord/>
      <trackRevisions>false</trackRevisions>
    </reviewItem>
    <reviewItem>
      <errorID>98d094c6-899a-4c66-9cd3-07379baf676a</errorID>
      <errorWord>:</errorWord>
      <group>L1_Format</group>
      <groupName>格式问题</groupName>
      <ability>L2_HalfPunc_CN</ability>
      <abilityName>全半角检查</abilityName>
      <candidateList>
        <item>：</item>
      </candidateList>
      <explain>文本全半角错误。</explain>
      <paraID>72E0CE10</paraID>
      <start>1</start>
      <end>2</end>
      <status>unmodified</status>
      <modifiedWord/>
      <trackRevisions>false</trackRevisions>
    </reviewItem>
    <reviewItem>
      <errorID>1655aefc-bbd8-4277-b8b8-f652846a4cfa</errorID>
      <errorWord>&lt;</errorWord>
      <group>L1_Format</group>
      <groupName>格式问题</groupName>
      <ability>L2_HalfPunc_CN</ability>
      <abilityName>全半角检查</abilityName>
      <candidateList>
        <item>〈</item>
      </candidateList>
      <explain>文本全半角错误。</explain>
      <paraID>1BF44ECA</paraID>
      <start>107</start>
      <end>108</end>
      <status>unmodified</status>
      <modifiedWord/>
      <trackRevisions>false</trackRevisions>
    </reviewItem>
    <reviewItem>
      <errorID>2d04b807-b927-41ae-92e5-be6cb03a993d</errorID>
      <errorWord>&gt;</errorWord>
      <group>L1_Format</group>
      <groupName>格式问题</groupName>
      <ability>L2_HalfPunc_CN</ability>
      <abilityName>全半角检查</abilityName>
      <candidateList>
        <item>〉</item>
      </candidateList>
      <explain>文本全半角错误。</explain>
      <paraID>1BF44ECA</paraID>
      <start>121</start>
      <end>122</end>
      <status>unmodified</status>
      <modifiedWord/>
      <trackRevisions>false</trackRevisions>
    </reviewItem>
    <reviewItem>
      <errorID>3370a933-dcad-4ccf-984f-ad0bffaa56a8</errorID>
      <errorWord>KW</errorWord>
      <group>L1_Word</group>
      <groupName>字词问题</groupName>
      <ability>L2_Typo</ability>
      <abilityName>字词错误</abilityName>
      <candidateList>
        <item>kW</item>
      </candidateList>
      <explain/>
      <paraID>52DC1DAE</paraID>
      <start>6</start>
      <end>8</end>
      <status>unmodified</status>
      <modifiedWord/>
      <trackRevisions>false</trackRevisions>
    </reviewItem>
    <reviewItem>
      <errorID>5f4cb6f1-235d-4f8d-b8a9-89cdec1f8a80</errorID>
      <errorWord>《中小企业声明函》</errorWord>
      <group>L1_Official</group>
      <groupName>公文格式问题</groupName>
      <ability>L2_Official</ability>
      <abilityName>公文要素检查</abilityName>
      <candidateList/>
      <explain>公文文件引用格式不规范</explain>
      <paraID>6362E0D3</paraID>
      <start>73</start>
      <end>82</end>
      <status>unmodified</status>
      <modifiedWord/>
      <trackRevisions>false</trackRevisions>
    </reviewItem>
    <reviewItem>
      <errorID>86a660ea-7ac1-4121-9ab1-e76bc0129a05</errorID>
      <errorWord>《残疾人福利性单位声明函》</errorWord>
      <group>L1_Official</group>
      <groupName>公文格式问题</groupName>
      <ability>L2_Official</ability>
      <abilityName>公文要素检查</abilityName>
      <candidateList/>
      <explain>公文文件引用格式不规范</explain>
      <paraID>21ACF23F</paraID>
      <start>14</start>
      <end>27</end>
      <status>unmodified</status>
      <modifiedWord/>
      <trackRevisions>false</trackRevisions>
    </reviewItem>
    <reviewItem>
      <errorID>50ad2508-51f7-4120-86ef-89f3cfd786f9</errorID>
      <errorWord>《残疾人福利性单位声明函》</errorWord>
      <group>L1_Official</group>
      <groupName>公文格式问题</groupName>
      <ability>L2_Official</ability>
      <abilityName>公文要素检查</abilityName>
      <candidateList/>
      <explain>公文文件引用格式不规范</explain>
      <paraID>21ACF23F</paraID>
      <start>67</start>
      <end>80</end>
      <status>unmodified</status>
      <modifiedWord/>
      <trackRevisions>false</trackRevisions>
    </reviewItem>
    <reviewItem>
      <errorID>a07ca30f-3f44-48d6-993d-bf7145db403e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59E98F7A</paraID>
      <start>53</start>
      <end>57</end>
      <status>unmodified</status>
      <modifiedWord/>
      <trackRevisions>false</trackRevisions>
    </reviewItem>
    <reviewItem>
      <errorID>70c90707-9ed4-472c-8f45-0cceb8c7cb05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1908CD0C</paraID>
      <start>13</start>
      <end>16</end>
      <status>unmodified</status>
      <modifiedWord/>
      <trackRevisions>false</trackRevisions>
    </reviewItem>
    <reviewItem>
      <errorID>772ec9f3-6f6e-44fd-b57b-47e41923b436</errorID>
      <errorWord>。</errorWord>
      <group>L1_Punc</group>
      <groupName>标点问题</groupName>
      <ability>L2_Punc_CN</ability>
      <abilityName>标点符号检查</abilityName>
      <candidateList/>
      <explain/>
      <paraID>425AD299</paraID>
      <start>56</start>
      <end>57</end>
      <status>unmodified</status>
      <modifiedWord/>
      <trackRevisions>false</trackRevisions>
    </reviewItem>
    <reviewItem>
      <errorID>2cf35c7a-cc7c-4dc8-8ec8-d96bf6918612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27</start>
      <end>30</end>
      <status>unmodified</status>
      <modifiedWord/>
      <trackRevisions>false</trackRevisions>
    </reviewItem>
    <reviewItem>
      <errorID>c600928f-3b77-42ed-8083-146769222947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40</start>
      <end>43</end>
      <status>unmodified</status>
      <modifiedWord/>
      <trackRevisions>false</trackRevisions>
    </reviewItem>
    <reviewItem>
      <errorID>adb3d929-42e7-428f-a5f7-30b88699de1a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55</start>
      <end>58</end>
      <status>unmodified</status>
      <modifiedWord/>
      <trackRevisions>false</trackRevisions>
    </reviewItem>
    <reviewItem>
      <errorID>66645bde-e422-462e-900c-a69c02ded09c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7B1D346C</paraID>
      <start>68</start>
      <end>71</end>
      <status>unmodified</status>
      <modifiedWord/>
      <trackRevisions>false</trackRevisions>
    </reviewItem>
    <reviewItem>
      <errorID>12cb7523-df31-401a-a886-1e3919868afd</errorID>
      <errorWord>法律、法规</errorWord>
      <group>L1_Word</group>
      <groupName>字词问题</groupName>
      <ability>L2_Typo</ability>
      <abilityName>字词错误</abilityName>
      <candidateList>
        <item>法律法规</item>
      </candidateList>
      <explain/>
      <paraID>7B1D346C</paraID>
      <start>106</start>
      <end>111</end>
      <status>unmodified</status>
      <modifiedWord/>
      <trackRevisions>false</trackRevisions>
    </reviewItem>
    <reviewItem>
      <errorID>5705c229-336d-4bb8-b4a0-f4d1d422d7df</errorID>
      <errorWord>基础设施的建设</errorWord>
      <group>L1_Political</group>
      <groupName>政治性问题</groupName>
      <ability>L2_Keyword</ability>
      <abilityName>固定表述</abilityName>
      <candidateList>
        <item>基础设施建设</item>
      </candidateList>
      <explain>词汇“基础设施建设”在特定场景下为固定表述形式，请确认此处的“基础设施的建设”是否存在不当。</explain>
      <paraID>7525563A</paraID>
      <start>93</start>
      <end>100</end>
      <status>unmodified</status>
      <modifiedWord/>
      <trackRevisions>false</trackRevisions>
    </reviewItem>
    <reviewItem>
      <errorID>b2fbd22c-32b8-4622-9598-a89b76bf3a79</errorID>
      <errorWord>》</errorWord>
      <group>L1_Word</group>
      <groupName>字词问题</groupName>
      <ability>L2_Typo</ability>
      <abilityName>字词错误</abilityName>
      <candidateList>
        <item>》第</item>
      </candidateList>
      <explain/>
      <paraID>71D24505</paraID>
      <start>30</start>
      <end>31</end>
      <status>unmodified</status>
      <modifiedWord/>
      <trackRevisions>false</trackRevisions>
    </reviewItem>
    <reviewItem>
      <errorID>87c8c733-ed21-4b70-b40f-9ea433d07124</errorID>
      <errorWord>,</errorWord>
      <group>L1_Format</group>
      <groupName>格式问题</groupName>
      <ability>L2_HalfPunc_CN</ability>
      <abilityName>全半角检查</abilityName>
      <candidateList>
        <item>，</item>
      </candidateList>
      <explain>文本全半角错误。</explain>
      <paraID> 2C0CB9D</paraID>
      <start>367</start>
      <end>368</end>
      <status>unmodified</status>
      <modifiedWord/>
      <trackRevisions>false</trackRevisions>
    </reviewItem>
    <reviewItem>
      <errorID>071fbac0-498a-4de8-b1dc-c40a46bd895b</errorID>
      <errorWord>交纳</errorWord>
      <group>L1_Word</group>
      <groupName>字词问题</groupName>
      <ability>L2_Typo</ability>
      <abilityName>字词错误</abilityName>
      <candidateList>
        <item>缴纳</item>
      </candidateList>
      <explain/>
      <paraID>7C2AF6D4</paraID>
      <start>87</start>
      <end>89</end>
      <status>unmodified</status>
      <modifiedWord/>
      <trackRevisions>false</trackRevisions>
    </reviewItem>
    <reviewItem>
      <errorID>a478774d-fe21-4ce1-a4e9-4637544315fd</errorID>
      <errorWord>其它</errorWord>
      <group>L1_Word</group>
      <groupName>字词问题</groupName>
      <ability>L2_Alias</ability>
      <abilityName>也作/曾用词</abilityName>
      <candidateList>
        <item>其他</item>
      </candidateList>
      <explain>词汇[其它]为不规范表述或旧称，其规范书面表述为[其他]。</explain>
      <paraID>1C5C97BD</paraID>
      <start>50</start>
      <end>52</end>
      <status>unmodified</status>
      <modifiedWord/>
      <trackRevisions>false</trackRevisions>
    </reviewItem>
    <reviewItem>
      <errorID>e0cbd395-4aa3-4122-a14f-b5b4b601044f</errorID>
      <errorWord>其它</errorWord>
      <group>L1_Word</group>
      <groupName>字词问题</groupName>
      <ability>L2_Alias</ability>
      <abilityName>也作/曾用词</abilityName>
      <candidateList>
        <item>其他</item>
      </candidateList>
      <explain>词汇[其它]为不规范表述或旧称，其规范书面表述为[其他]。</explain>
      <paraID>1C5C97BD</paraID>
      <start>145</start>
      <end>147</end>
      <status>unmodified</status>
      <modifiedWord/>
      <trackRevisions>false</trackRevisions>
    </reviewItem>
    <reviewItem>
      <errorID>4aaaf94e-87d7-4cb2-bebd-9a389ced9f8f</errorID>
      <errorWord>其它</errorWord>
      <group>L1_Word</group>
      <groupName>字词问题</groupName>
      <ability>L2_Alias</ability>
      <abilityName>也作/曾用词</abilityName>
      <candidateList>
        <item>其他</item>
      </candidateList>
      <explain>词汇[其它]为不规范表述或旧称，其规范书面表述为[其他]。</explain>
      <paraID>5D98E015</paraID>
      <start>133</start>
      <end>135</end>
      <status>unmodified</status>
      <modifiedWord/>
      <trackRevisions>false</trackRevisions>
    </reviewItem>
    <reviewItem>
      <errorID>30aa0365-6de8-4578-b408-ed0d3100a877</errorID>
      <errorWord>：/。</errorWord>
      <group>L1_Punc</group>
      <groupName>标点问题</groupName>
      <ability>L2_Punc_CN</ability>
      <abilityName>标点符号检查</abilityName>
      <candidateList>
        <item>：</item>
      </candidateList>
      <explain/>
      <paraID>73D3C987</paraID>
      <start>39</start>
      <end>42</end>
      <status>unmodified</status>
      <modifiedWord/>
      <trackRevisions>false</trackRevisions>
    </reviewItem>
    <reviewItem>
      <errorID>f5f0e916-8a8a-46bf-80e6-b12f68cd404e</errorID>
      <errorWord>《关于严格实行房屋建筑和市政基础设施工程质量终身责任承诺、永久性质量责任标牌、终身责任信息档案等制度的通知》</errorWord>
      <group>L1_Official</group>
      <groupName>公文格式问题</groupName>
      <ability>L2_Official</ability>
      <abilityName>公文要素检查</abilityName>
      <candidateList/>
      <explain>公文文件引用格式不规范</explain>
      <paraID>7E2EA2A3</paraID>
      <start>33</start>
      <end>87</end>
      <status>unmodified</status>
      <modifiedWord/>
      <trackRevisions>false</trackRevisions>
    </reviewItem>
    <reviewItem>
      <errorID>a1ebb7f8-2d5e-4e1b-8434-f85428a468b2</errorID>
      <errorWord>,</errorWord>
      <group>L1_Word</group>
      <groupName>字词问题</groupName>
      <ability>L2_Typo</ability>
      <abilityName>字词错误</abilityName>
      <candidateList>
        <item>,在</item>
      </candidateList>
      <explain/>
      <paraID> 8B2F9A0</paraID>
      <start>121</start>
      <end>122</end>
      <status>unmodified</status>
      <modifiedWord/>
      <trackRevisions>false</trackRevisions>
    </reviewItem>
    <reviewItem>
      <errorID>54fdabbb-426f-4b02-98e3-a7dbaa782d20</errorID>
      <errorWord>商订</errorWord>
      <group>L1_Word</group>
      <groupName>字词问题</groupName>
      <ability>L2_Typo</ability>
      <abilityName>字词错误</abilityName>
      <candidateList>
        <item>商定</item>
      </candidateList>
      <explain/>
      <paraID> 8B2F9A0</paraID>
      <start>124</start>
      <end>126</end>
      <status>unmodified</status>
      <modifiedWord/>
      <trackRevisions>false</trackRevisions>
    </reviewItem>
    <reviewItem>
      <errorID>70ea387d-f39d-44c0-8ca6-639fb107fbf9</errorID>
      <errorWord>,</errorWord>
      <group>L1_Format</group>
      <groupName>格式问题</groupName>
      <ability>L2_HalfPunc_CN</ability>
      <abilityName>全半角检查</abilityName>
      <candidateList>
        <item>，</item>
      </candidateList>
      <explain>文本全半角错误。</explain>
      <paraID> 8B2F9A0</paraID>
      <start>141</start>
      <end>142</end>
      <status>unmodified</status>
      <modifiedWord/>
      <trackRevisions>false</trackRevisions>
    </reviewItem>
    <reviewItem>
      <errorID>a916599b-fd6c-40ca-9e3e-26106f3e8228</errorID>
      <errorWord>法律、法规</errorWord>
      <group>L1_Word</group>
      <groupName>字词问题</groupName>
      <ability>L2_Typo</ability>
      <abilityName>字词错误</abilityName>
      <candidateList>
        <item>法律法规</item>
      </candidateList>
      <explain/>
      <paraID>614A3FAC</paraID>
      <start>38</start>
      <end>43</end>
      <status>unmodified</status>
      <modifiedWord/>
      <trackRevisions>false</trackRevisions>
    </reviewItem>
    <reviewItem>
      <errorID>032bf635-c39b-4300-b1c8-4bbd20fc2c46</errorID>
      <errorWord>经含</errorWord>
      <group>L1_Word</group>
      <groupName>字词问题</groupName>
      <ability>L2_Typo</ability>
      <abilityName>字词错误</abilityName>
      <candidateList>
        <item>包含</item>
      </candidateList>
      <explain/>
      <paraID>614A3FAC</paraID>
      <start>147</start>
      <end>149</end>
      <status>unmodified</status>
      <modifiedWord/>
      <trackRevisions>false</trackRevisions>
    </reviewItem>
    <reviewItem>
      <errorID>652c05b3-c600-4aa5-ba16-199b0a5817db</errorID>
      <errorWord>》</errorWord>
      <group>L1_Word</group>
      <groupName>字词问题</groupName>
      <ability>L2_Typo</ability>
      <abilityName>字词错误</abilityName>
      <candidateList>
        <item>》第</item>
      </candidateList>
      <explain/>
      <paraID>614A3FAC</paraID>
      <start>491</start>
      <end>492</end>
      <status>unmodified</status>
      <modifiedWord/>
      <trackRevisions>false</trackRevisions>
    </reviewItem>
    <reviewItem>
      <errorID>641d7587-bda6-4f85-81f0-13daa056d46b</errorID>
      <errorWord>:</errorWord>
      <group>L1_Format</group>
      <groupName>格式问题</groupName>
      <ability>L2_HalfPunc_CN</ability>
      <abilityName>全半角检查</abilityName>
      <candidateList>
        <item>：</item>
      </candidateList>
      <explain>文本全半角错误。</explain>
      <paraID> 1B3C3B5</paraID>
      <start>2</start>
      <end>3</end>
      <status>unmodified</status>
      <modifiedWord/>
      <trackRevisions>false</trackRevisions>
    </reviewItem>
    <reviewItem>
      <errorID>c271218a-003f-4ec0-94c4-438af1b8561c</errorID>
      <errorWord>,</errorWord>
      <group>L1_Format</group>
      <groupName>格式问题</groupName>
      <ability>L2_HalfPunc_CN</ability>
      <abilityName>全半角检查</abilityName>
      <candidateList>
        <item>，</item>
      </candidateList>
      <explain>文本全半角错误。</explain>
      <paraID>614971FE</paraID>
      <start>45</start>
      <end>46</end>
      <status>unmodified</status>
      <modifiedWord/>
      <trackRevisions>false</trackRevisions>
    </reviewItem>
    <reviewItem>
      <errorID>931c652c-db72-4da9-ae83-24f556d0a8f5</errorID>
      <errorWord>,</errorWord>
      <group>L1_Format</group>
      <groupName>格式问题</groupName>
      <ability>L2_HalfPunc_CN</ability>
      <abilityName>全半角检查</abilityName>
      <candidateList>
        <item>，</item>
      </candidateList>
      <explain>文本全半角错误。</explain>
      <paraID>614971FE</paraID>
      <start>70</start>
      <end>71</end>
      <status>unmodified</status>
      <modifiedWord/>
      <trackRevisions>false</trackRevisions>
    </reviewItem>
    <reviewItem>
      <errorID>d4957838-7da4-49a5-99bc-966a177508c9</errorID>
      <errorWord>充抵</errorWord>
      <group>L1_Word</group>
      <groupName>字词问题</groupName>
      <ability>L2_Typo</ability>
      <abilityName>字词错误</abilityName>
      <candidateList>
        <item>冲抵</item>
      </candidateList>
      <explain/>
      <paraID>5E37A618</paraID>
      <start>44</start>
      <end>46</end>
      <status>unmodified</status>
      <modifiedWord/>
      <trackRevisions>false</trackRevisions>
    </reviewItem>
    <reviewItem>
      <errorID>10d454e3-a37a-4149-8327-c4696bc80b3a</errorID>
      <errorWord>、或</errorWord>
      <group>L1_Word</group>
      <groupName>字词问题</groupName>
      <ability>L2_Typo</ability>
      <abilityName>字词错误</abilityName>
      <candidateList>
        <item>或</item>
      </candidateList>
      <explain/>
      <paraID>5E37A618</paraID>
      <start>61</start>
      <end>63</end>
      <status>unmodified</status>
      <modifiedWord/>
      <trackRevisions>false</trackRevisions>
    </reviewItem>
    <reviewItem>
      <errorID>0f5d442d-69f5-44e2-b6cf-aff6ad3b0463</errorID>
      <errorWord>、或</errorWord>
      <group>L1_Word</group>
      <groupName>字词问题</groupName>
      <ability>L2_Typo</ability>
      <abilityName>字词错误</abilityName>
      <candidateList>
        <item>或</item>
      </candidateList>
      <explain/>
      <paraID>35DDEF56</paraID>
      <start>16</start>
      <end>18</end>
      <status>unmodified</status>
      <modifiedWord/>
      <trackRevisions>false</trackRevisions>
    </reviewItem>
    <reviewItem>
      <errorID>6dfa3c3f-7e78-4a8d-acff-6b01e8c55971</errorID>
      <errorWord>质量问题、或</errorWord>
      <group>L1_Word</group>
      <groupName>字词问题</groupName>
      <ability>L2_Typo</ability>
      <abilityName>字词错误</abilityName>
      <candidateList>
        <item>质量问题或</item>
      </candidateList>
      <explain/>
      <paraID>69D95E05</paraID>
      <start>25</start>
      <end>32</end>
      <status>unmodified</status>
      <modifiedWord/>
      <trackRevisions>false</trackRevisions>
    </reviewItem>
    <reviewItem>
      <errorID>108defc7-5537-431f-843a-df3c15d53353</errorID>
      <errorWord>作整改</errorWord>
      <group>L1_Word</group>
      <groupName>字词问题</groupName>
      <ability>L2_Alias</ability>
      <abilityName>也作/曾用词</abilityName>
      <candidateList>
        <item>做整改</item>
      </candidateList>
      <explain>词汇[作整改]为不规范表述或旧称，其规范书面表述为[做整改]。</explain>
      <paraID>69D95E05</paraID>
      <start>37</start>
      <end>40</end>
      <status>unmodified</status>
      <modifiedWord/>
      <trackRevisions>false</trackRevisions>
    </reviewItem>
    <reviewItem>
      <errorID>a8378e37-c52e-4ec8-9568-f8032abc4e29</errorID>
      <errorWord>运入</errorWord>
      <group>L1_Word</group>
      <groupName>字词问题</groupName>
      <ability>L2_Typo</ability>
      <abilityName>字词错误</abilityName>
      <candidateList>
        <item>进入</item>
      </candidateList>
      <explain/>
      <paraID>3DBB3C9E</paraID>
      <start>37</start>
      <end>39</end>
      <status>unmodified</status>
      <modifiedWord/>
      <trackRevisions>false</trackRevisions>
    </reviewItem>
    <reviewItem>
      <errorID>c5713c0a-1d51-4f15-9638-9f99cb6432e3</errorID>
      <errorWord>》</errorWord>
      <group>L1_Word</group>
      <groupName>字词问题</groupName>
      <ability>L2_Typo</ability>
      <abilityName>字词错误</abilityName>
      <candidateList>
        <item>》第</item>
      </candidateList>
      <explain/>
      <paraID>23346643</paraID>
      <start>24</start>
      <end>25</end>
      <status>unmodified</status>
      <modifiedWord/>
      <trackRevisions>false</trackRevisions>
    </reviewItem>
    <reviewItem>
      <errorID>ccf98ab2-e015-4cee-926b-76d8b9fedc5f</errorID>
      <errorWord>:</errorWord>
      <group>L1_Format</group>
      <groupName>格式问题</groupName>
      <ability>L2_HalfPunc_CN</ability>
      <abilityName>全半角检查</abilityName>
      <candidateList>
        <item>：</item>
      </candidateList>
      <explain>文本全半角错误。</explain>
      <paraID>5F527B6E</paraID>
      <start>13</start>
      <end>14</end>
      <status>unmodified</status>
      <modifiedWord/>
      <trackRevisions>false</trackRevisions>
    </reviewItem>
    <reviewItem>
      <errorID>37967e5b-cddb-49dd-a35a-50da48913d43</errorID>
      <errorWord>:</errorWord>
      <group>L1_Format</group>
      <groupName>格式问题</groupName>
      <ability>L2_HalfPunc_CN</ability>
      <abilityName>全半角检查</abilityName>
      <candidateList>
        <item>：</item>
      </candidateList>
      <explain>文本全半角错误。</explain>
      <paraID>21BB4C75</paraID>
      <start>9</start>
      <end>10</end>
      <status>unmodified</status>
      <modifiedWord/>
      <trackRevisions>false</trackRevisions>
    </reviewItem>
    <reviewItem>
      <errorID>8d6ecd3e-65dc-4081-a8b4-a13d504c8387</errorID>
      <errorWord>：/。</errorWord>
      <group>L1_Punc</group>
      <groupName>标点问题</groupName>
      <ability>L2_Punc_CN</ability>
      <abilityName>标点符号检查</abilityName>
      <candidateList>
        <item>：</item>
      </candidateList>
      <explain/>
      <paraID>4CC582CE</paraID>
      <start>9</start>
      <end>12</end>
      <status>unmodified</status>
      <modifiedWord/>
      <trackRevisions>false</trackRevisions>
    </reviewItem>
    <reviewItem>
      <errorID>1f2243b8-6ca1-49e0-9e40-5c32dd1f7706</errorID>
      <errorWord>,</errorWord>
      <group>L1_Format</group>
      <groupName>格式问题</groupName>
      <ability>L2_HalfPunc_CN</ability>
      <abilityName>全半角检查</abilityName>
      <candidateList>
        <item>，</item>
      </candidateList>
      <explain>文本全半角错误。</explain>
      <paraID>1EE10847</paraID>
      <start>57</start>
      <end>58</end>
      <status>unmodified</status>
      <modifiedWord/>
      <trackRevisions>false</trackRevisions>
    </reviewItem>
    <reviewItem>
      <errorID>9296d5ef-e5d1-4b62-93f4-cb45f8946d58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3BE4D216</paraID>
      <start>122</start>
      <end>123</end>
      <status>unmodified</status>
      <modifiedWord/>
      <trackRevisions>false</trackRevisions>
    </reviewItem>
    <reviewItem>
      <errorID>b2a59e42-ce3c-404e-8e5e-7d81282d1c95</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217804AF</paraID>
      <start>14</start>
      <end>21</end>
      <status>unmodified</status>
      <modifiedWord/>
      <trackRevisions>false</trackRevisions>
    </reviewItem>
    <reviewItem>
      <errorID>820e97c5-5c8c-4214-8dac-45e13149c026</errorID>
      <errorWord>/。</errorWord>
      <group>L1_Punc</group>
      <groupName>标点问题</groupName>
      <ability>L2_Punc_CN</ability>
      <abilityName>标点符号检查</abilityName>
      <candidateList>
        <item>/</item>
      </candidateList>
      <explain/>
      <paraID>712C1B18</paraID>
      <start>12</start>
      <end>14</end>
      <status>unmodified</status>
      <modifiedWord/>
      <trackRevisions>false</trackRevisions>
    </reviewItem>
    <reviewItem>
      <errorID>9217fc40-2806-4d2c-9ca9-b59c60f0c951</errorID>
      <errorWord>：/。</errorWord>
      <group>L1_Punc</group>
      <groupName>标点问题</groupName>
      <ability>L2_Punc_CN</ability>
      <abilityName>标点符号检查</abilityName>
      <candidateList>
        <item>：</item>
      </candidateList>
      <explain/>
      <paraID>23A3E0E2</paraID>
      <start>7</start>
      <end>10</end>
      <status>unmodified</status>
      <modifiedWord/>
      <trackRevisions>false</trackRevisions>
    </reviewItem>
    <reviewItem>
      <errorID>ae4bb2fb-e27d-4bc8-9695-8c242bea9f9f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622C1904</paraID>
      <start>0</start>
      <end>3</end>
      <status>unmodified</status>
      <modifiedWord/>
      <trackRevisions>false</trackRevisions>
    </reviewItem>
    <reviewItem>
      <errorID>578806af-d065-462e-a29a-a0ae5267f0a9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622FB310</paraID>
      <start>0</start>
      <end>3</end>
      <status>unmodified</status>
      <modifiedWord/>
      <trackRevisions>false</trackRevisions>
    </reviewItem>
    <reviewItem>
      <errorID>4b083fba-80a1-4895-916d-20bb8f135f7a</errorID>
      <errorWord>签</errorWord>
      <group>L1_Word</group>
      <groupName>字词问题</groupName>
      <ability>L2_Typo</ability>
      <abilityName>字词错误</abilityName>
      <candidateList>
        <item>签订</item>
      </candidateList>
      <explain/>
      <paraID>258CF7EE</paraID>
      <start>35</start>
      <end>36</end>
      <status>unmodified</status>
      <modifiedWord/>
      <trackRevisions>false</trackRevisions>
    </reviewItem>
    <reviewItem>
      <errorID>e93f3818-0c4e-4470-b411-767aa18c56b7</errorID>
      <errorWord>完</errorWord>
      <group>L1_Word</group>
      <groupName>字词问题</groupName>
      <ability>L2_Typo</ability>
      <abilityName>字词错误</abilityName>
      <candidateList>
        <item>完成</item>
      </candidateList>
      <explain/>
      <paraID>217FA80D</paraID>
      <start>43</start>
      <end>44</end>
      <status>unmodified</status>
      <modifiedWord/>
      <trackRevisions>false</trackRevisions>
    </reviewItem>
    <reviewItem>
      <errorID>fd8b9c38-70c5-45b8-9428-2ab0d0a10824</errorID>
      <errorWord>，</errorWord>
      <group>L1_Word</group>
      <groupName>字词问题</groupName>
      <ability>L2_Typo</ability>
      <abilityName>字词错误</abilityName>
      <candidateList>
        <item>，由</item>
      </candidateList>
      <explain/>
      <paraID>459C2A6F</paraID>
      <start>59</start>
      <end>60</end>
      <status>unmodified</status>
      <modifiedWord/>
      <trackRevisions>false</trackRevisions>
    </reviewItem>
    <reviewItem>
      <errorID>d22c1f2a-b007-49cf-9ec5-5514fd6b87bc</errorID>
      <errorWord>施行</errorWord>
      <group>L1_Word</group>
      <groupName>字词问题</groupName>
      <ability>L2_Typo</ability>
      <abilityName>字词错误</abilityName>
      <candidateList>
        <item>实行</item>
      </candidateList>
      <explain/>
      <paraID>4A5D682D</paraID>
      <start>64</start>
      <end>66</end>
      <status>unmodified</status>
      <modifiedWord/>
      <trackRevisions>false</trackRevisions>
    </reviewItem>
    <reviewItem>
      <errorID>77278e5e-6658-43bb-8259-2648937aebcc</errorID>
      <errorWord>:</errorWord>
      <group>L1_Format</group>
      <groupName>格式问题</groupName>
      <ability>L2_HalfPunc_CN</ability>
      <abilityName>全半角检查</abilityName>
      <candidateList>
        <item>：</item>
      </candidateList>
      <explain>文本全半角错误。</explain>
      <paraID>6CA87CDF</paraID>
      <start>17</start>
      <end>18</end>
      <status>unmodified</status>
      <modifiedWord/>
      <trackRevisions>false</trackRevisions>
    </reviewItem>
    <reviewItem>
      <errorID>f5183733-87d5-4740-9039-229ad9e81c35</errorID>
      <errorWord>(</errorWord>
      <group>L1_Format</group>
      <groupName>格式问题</groupName>
      <ability>L2_HalfPunc_CN</ability>
      <abilityName>全半角检查</abilityName>
      <candidateList>
        <item>（</item>
      </candidateList>
      <explain>文本全半角错误。</explain>
      <paraID>606E282A</paraID>
      <start>38</start>
      <end>39</end>
      <status>unmodified</status>
      <modifiedWord/>
      <trackRevisions>false</trackRevisions>
    </reviewItem>
    <reviewItem>
      <errorID>0be8e265-9a2c-4944-a69e-2ba20124cabc</errorID>
      <errorWord>)</errorWord>
      <group>L1_Format</group>
      <groupName>格式问题</groupName>
      <ability>L2_HalfPunc_CN</ability>
      <abilityName>全半角检查</abilityName>
      <candidateList>
        <item>）</item>
      </candidateList>
      <explain>文本全半角错误。</explain>
      <paraID>606E282A</paraID>
      <start>40</start>
      <end>41</end>
      <status>unmodified</status>
      <modifiedWord/>
      <trackRevisions>false</trackRevisions>
    </reviewItem>
    <reviewItem>
      <errorID>956658f0-995d-4023-affa-214b044d9b7d</errorID>
      <errorWord>按</errorWord>
      <group>L1_Word</group>
      <groupName>字词问题</groupName>
      <ability>L2_Typo</ability>
      <abilityName>字词错误</abilityName>
      <candidateList>
        <item/>
      </candidateList>
      <explain/>
      <paraID>27F1CF96</paraID>
      <start>16</start>
      <end>17</end>
      <status>unmodified</status>
      <modifiedWord/>
      <trackRevisions>false</trackRevisions>
    </reviewItem>
    <reviewItem>
      <errorID>dd5ed086-f9c2-4560-abfc-5a41bde94140</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366C896D</paraID>
      <start>66</start>
      <end>69</end>
      <status>unmodified</status>
      <modifiedWord/>
      <trackRevisions>false</trackRevisions>
    </reviewItem>
    <reviewItem>
      <errorID>ec6eab39-be69-45f7-b18b-99fc93785a09</errorID>
      <errorWord>》</errorWord>
      <group>L1_Word</group>
      <groupName>字词问题</groupName>
      <ability>L2_Typo</ability>
      <abilityName>字词错误</abilityName>
      <candidateList>
        <item>》第</item>
      </candidateList>
      <explain/>
      <paraID>366C896D</paraID>
      <start>76</start>
      <end>77</end>
      <status>unmodified</status>
      <modifiedWord/>
      <trackRevisions>false</trackRevisions>
    </reviewItem>
    <reviewItem>
      <errorID>278f7367-4ad6-4904-9eed-aec0a5f406cc</errorID>
      <errorWord>(</errorWord>
      <group>L1_Format</group>
      <groupName>格式问题</groupName>
      <ability>L2_HalfPunc_CN</ability>
      <abilityName>全半角检查</abilityName>
      <candidateList>
        <item>（</item>
      </candidateList>
      <explain>文本全半角错误。</explain>
      <paraID>4C10B849</paraID>
      <start>14</start>
      <end>15</end>
      <status>unmodified</status>
      <modifiedWord/>
      <trackRevisions>false</trackRevisions>
    </reviewItem>
    <reviewItem>
      <errorID>e126265c-a08d-4eb1-b7c4-df561c09c5df</errorID>
      <errorWord>)</errorWord>
      <group>L1_Format</group>
      <groupName>格式问题</groupName>
      <ability>L2_HalfPunc_CN</ability>
      <abilityName>全半角检查</abilityName>
      <candidateList>
        <item>）</item>
      </candidateList>
      <explain>文本全半角错误。</explain>
      <paraID>4C10B849</paraID>
      <start>24</start>
      <end>25</end>
      <status>unmodified</status>
      <modifiedWord/>
      <trackRevisions>false</trackRevisions>
    </reviewItem>
    <reviewItem>
      <errorID>086a839c-503a-4d56-bab8-1d3a342ecaef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2F767E27</paraID>
      <start>0</start>
      <end>2</end>
      <status>unmodified</status>
      <modifiedWord/>
      <trackRevisions>false</trackRevisions>
    </reviewItem>
    <reviewItem>
      <errorID>b8227ebc-56b9-4cee-b4ab-e8ee0e7faf0d</errorID>
      <errorWord>:</errorWord>
      <group>L1_Format</group>
      <groupName>格式问题</groupName>
      <ability>L2_HalfPunc_CN</ability>
      <abilityName>全半角检查</abilityName>
      <candidateList>
        <item>：</item>
      </candidateList>
      <explain>文本全半角错误。</explain>
      <paraID>6C0BC912</paraID>
      <start>9</start>
      <end>10</end>
      <status>unmodified</status>
      <modifiedWord/>
      <trackRevisions>false</trackRevisions>
    </reviewItem>
    <reviewItem>
      <errorID>2e437918-a2ab-4ab0-b891-8149428156f2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77566F22</paraID>
      <start>0</start>
      <end>3</end>
      <status>unmodified</status>
      <modifiedWord/>
      <trackRevisions>false</trackRevisions>
    </reviewItem>
    <reviewItem>
      <errorID>7b91c48c-0156-4e74-a817-563084c9f445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1E44DEE1</paraID>
      <start>0</start>
      <end>3</end>
      <status>unmodified</status>
      <modifiedWord/>
      <trackRevisions>false</trackRevisions>
    </reviewItem>
    <reviewItem>
      <errorID>525f1ab9-a584-4408-871d-4c5293b187c2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474CE735</paraID>
      <start>0</start>
      <end>3</end>
      <status>unmodified</status>
      <modifiedWord/>
      <trackRevisions>false</trackRevisions>
    </reviewItem>
    <reviewItem>
      <errorID>da3f4d50-6499-4424-9120-858d3fb817f6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284AE83E</paraID>
      <start>0</start>
      <end>3</end>
      <status>unmodified</status>
      <modifiedWord/>
      <trackRevisions>false</trackRevisions>
    </reviewItem>
    <reviewItem>
      <errorID>16d9342d-a75f-44e0-a867-85e530f515b3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7C2B205E</paraID>
      <start>0</start>
      <end>3</end>
      <status>unmodified</status>
      <modifiedWord/>
      <trackRevisions>false</trackRevisions>
    </reviewItem>
    <reviewItem>
      <errorID>c0172ec6-e99e-4a09-ae47-8c6e41491493</errorID>
      <errorWord>《自治区住房和城乡建设厅关于印发广西壮族自治区房屋建筑和市政基础设施工程安全生产责任保险计价规定的通知》</errorWord>
      <group>L1_Official</group>
      <groupName>公文格式问题</groupName>
      <ability>L2_Official</ability>
      <abilityName>公文要素检查</abilityName>
      <candidateList/>
      <explain>公文文件引用格式不规范</explain>
      <paraID>51F80D79</paraID>
      <start>73</start>
      <end>125</end>
      <status>unmodified</status>
      <modifiedWord/>
      <trackRevisions>false</trackRevisions>
    </reviewItem>
    <reviewItem>
      <errorID>7e093a2d-1a03-4eea-b350-8a4798e5aaf1</errorID>
      <errorWord>(</errorWord>
      <group>L1_Format</group>
      <groupName>格式问题</groupName>
      <ability>L2_HalfPunc_CN</ability>
      <abilityName>全半角检查</abilityName>
      <candidateList>
        <item>（</item>
      </candidateList>
      <explain>文本全半角错误。</explain>
      <paraID>51F80D79</paraID>
      <start>125</start>
      <end>126</end>
      <status>unmodified</status>
      <modifiedWord/>
      <trackRevisions>false</trackRevisions>
    </reviewItem>
    <reviewItem>
      <errorID>6a70bfbb-a8e2-454a-8a55-32f54d037902</errorID>
      <errorWord>(2023)6号</errorWord>
      <group>L1_Knowledge</group>
      <groupName>知识性问题</groupName>
      <ability>L2_Knowledge</ability>
      <abilityName>其他知识</abilityName>
      <candidateList>
        <item>〔2023〕6号</item>
      </candidateList>
      <explain>发文字号格式错误。</explain>
      <paraID>51F80D79</paraID>
      <start>129</start>
      <end>137</end>
      <status>unmodified</status>
      <modifiedWord/>
      <trackRevisions>false</trackRevisions>
    </reviewItem>
    <reviewItem>
      <errorID>e4db9a4e-b6a4-4289-a168-3037f9dc504e</errorID>
      <errorWord>)</errorWord>
      <group>L1_Format</group>
      <groupName>格式问题</groupName>
      <ability>L2_HalfPunc_CN</ability>
      <abilityName>全半角检查</abilityName>
      <candidateList>
        <item>）</item>
      </candidateList>
      <explain>文本全半角错误。</explain>
      <paraID>51F80D79</paraID>
      <start>137</start>
      <end>138</end>
      <status>unmodified</status>
      <modifiedWord/>
      <trackRevisions>false</trackRevisions>
    </reviewItem>
    <reviewItem>
      <errorID>e0e9c535-5b40-43a1-b693-34c533d8b79b</errorID>
      <errorWord>。</errorWord>
      <group>L1_Punc</group>
      <groupName>标点问题</groupName>
      <ability>L2_Punc_CN</ability>
      <abilityName>标点符号检查</abilityName>
      <candidateList/>
      <explain/>
      <paraID>183E259B</paraID>
      <start>156</start>
      <end>157</end>
      <status>unmodified</status>
      <modifiedWord/>
      <trackRevisions>false</trackRevisions>
    </reviewItem>
    <reviewItem>
      <errorID>26e28b8c-af95-42a8-ab3a-d860024bac92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57333D1C</paraID>
      <start>0</start>
      <end>2</end>
      <status>unmodified</status>
      <modifiedWord/>
      <trackRevisions>false</trackRevisions>
    </reviewItem>
    <reviewItem>
      <errorID>ed10acef-bb13-4ee7-8d7b-a3c3feeb2bdf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15273E56</paraID>
      <start>0</start>
      <end>2</end>
      <status>unmodified</status>
      <modifiedWord/>
      <trackRevisions>false</trackRevisions>
    </reviewItem>
    <reviewItem>
      <errorID>db0509e5-fedb-4419-9d23-f06f90cedf9c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530F362D</paraID>
      <start>0</start>
      <end>2</end>
      <status>unmodified</status>
      <modifiedWord/>
      <trackRevisions>false</trackRevisions>
    </reviewItem>
    <reviewItem>
      <errorID>6db39bf3-9e1a-4e09-b3ed-1d2a0672a6f2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3506FD3C</paraID>
      <start>0</start>
      <end>2</end>
      <status>unmodified</status>
      <modifiedWord/>
      <trackRevisions>false</trackRevisions>
    </reviewItem>
    <reviewItem>
      <errorID>7d8921df-5244-4dee-8ff8-d6b0d8057a04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3EE68277</paraID>
      <start>0</start>
      <end>2</end>
      <status>unmodified</status>
      <modifiedWord/>
      <trackRevisions>false</trackRevisions>
    </reviewItem>
    <reviewItem>
      <errorID>66eeb1cd-ad6b-4047-afbb-6bfe95c436d1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27D3A52F</paraID>
      <start>0</start>
      <end>2</end>
      <status>unmodified</status>
      <modifiedWord/>
      <trackRevisions>false</trackRevisions>
    </reviewItem>
    <reviewItem>
      <errorID>c5efe037-0a7a-4a26-92a0-a47255672755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8F5FF24</paraID>
      <start>0</start>
      <end>2</end>
      <status>unmodified</status>
      <modifiedWord/>
      <trackRevisions>false</trackRevisions>
    </reviewItem>
    <reviewItem>
      <errorID>c8f33ba3-5b5a-404c-8d38-9c37ef15c5c2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4B5F0833</paraID>
      <start>0</start>
      <end>2</end>
      <status>unmodified</status>
      <modifiedWord/>
      <trackRevisions>false</trackRevisions>
    </reviewItem>
    <reviewItem>
      <errorID>28d3dd76-be9a-4866-a5d1-7820737e137a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6B32023F</paraID>
      <start>0</start>
      <end>2</end>
      <status>unmodified</status>
      <modifiedWord/>
      <trackRevisions>false</trackRevisions>
    </reviewItem>
    <reviewItem>
      <errorID>f1833bd9-5b15-4774-b238-07facbaa940d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52EAA3D1</paraID>
      <start>0</start>
      <end>2</end>
      <status>unmodified</status>
      <modifiedWord/>
      <trackRevisions>false</trackRevisions>
    </reviewItem>
    <reviewItem>
      <errorID>f7070954-cbaf-4da1-b768-5798facf69ca</errorID>
      <errorWord>，</errorWord>
      <group>L1_Word</group>
      <groupName>字词问题</groupName>
      <ability>L2_Typo</ability>
      <abilityName>字词错误</abilityName>
      <candidateList>
        <item>，由</item>
      </candidateList>
      <explain/>
      <paraID>52EAA3D1</paraID>
      <start>92</start>
      <end>93</end>
      <status>unmodified</status>
      <modifiedWord/>
      <trackRevisions>false</trackRevisions>
    </reviewItem>
    <reviewItem>
      <errorID>e9ae042c-68cb-44d6-bd0b-fc0aa492b75f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28F52CCD</paraID>
      <start>0</start>
      <end>2</end>
      <status>unmodified</status>
      <modifiedWord/>
      <trackRevisions>false</trackRevisions>
    </reviewItem>
    <reviewItem>
      <errorID>a5934427-5e45-48b4-8275-cdf355507f71</errorID>
      <errorWord>承担的</errorWord>
      <group>L1_Word</group>
      <groupName>字词问题</groupName>
      <ability>L2_Typo</ability>
      <abilityName>字词错误</abilityName>
      <candidateList>
        <item>承担</item>
      </candidateList>
      <explain/>
      <paraID>368BF693</paraID>
      <start>33</start>
      <end>36</end>
      <status>unmodified</status>
      <modifiedWord/>
      <trackRevisions>false</trackRevisions>
    </reviewItem>
    <reviewItem>
      <errorID>d322e33b-bc99-4394-b471-7f1bdc6d356f</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42604044</paraID>
      <start>23</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eeda64-c4af-4ef3-8969-5a2c1668307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125</Pages>
  <Words>8362</Words>
  <Characters>9166</Characters>
  <TotalTime>3</TotalTime>
  <ScaleCrop>false</ScaleCrop>
  <LinksUpToDate>false</LinksUpToDate>
  <CharactersWithSpaces>9265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2024-03-04T09:03:00Z</dcterms:created>
  <dc:creator>唐冰</dc:creator>
  <cp:lastModifiedBy>WPS_1528036308</cp:lastModifiedBy>
  <dcterms:modified xsi:type="dcterms:W3CDTF">2026-09-14T12:54:27Z</dcterms:modified>
  <dc:title>竞争性谈判文件规范</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E112F0ADBB2D4E24902D8E18DC350EE3_13</vt:lpwstr>
  </property>
  <property fmtid="{D5CDD505-2E9C-101B-9397-08002B2CF9AE}" pid="4" name="KSOTemplateDocerSaveRecord">
    <vt:lpwstr>eyJoZGlkIjoiZmJmMDM4MmMwMTRjNWY0ZDI3NjNkNjAxZTkxYmEyMGMiLCJ1c2VySWQiOiIzNzU3OTEzNTQifQ==</vt:lpwstr>
  </property>
</Properties>
</file>