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AF3190">
      <w:pPr>
        <w:rPr>
          <w:rFonts w:hint="default" w:asciiTheme="majorEastAsia" w:hAnsiTheme="majorEastAsia" w:eastAsiaTheme="majorEastAsia" w:cstheme="majorEastAsia"/>
          <w:color w:val="auto"/>
          <w:highlight w:val="none"/>
          <w:lang w:val="en-US" w:eastAsia="zh-CN"/>
        </w:rPr>
      </w:pPr>
      <w:bookmarkStart w:id="986" w:name="_GoBack"/>
      <w:bookmarkEnd w:id="986"/>
      <w:r>
        <w:rPr>
          <w:rFonts w:hint="eastAsia" w:asciiTheme="majorEastAsia" w:hAnsiTheme="majorEastAsia" w:eastAsiaTheme="majorEastAsia" w:cstheme="majorEastAsia"/>
          <w:color w:val="auto"/>
          <w:highlight w:val="none"/>
          <w:lang w:val="en-US" w:eastAsia="zh-CN"/>
        </w:rPr>
        <w:t xml:space="preserve">                      </w:t>
      </w:r>
    </w:p>
    <w:p w14:paraId="332254FF">
      <w:pPr>
        <w:jc w:val="left"/>
        <w:outlineLvl w:val="0"/>
        <w:rPr>
          <w:rFonts w:hint="eastAsia" w:ascii="宋体" w:hAnsi="宋体" w:eastAsia="宋体" w:cs="宋体"/>
          <w:color w:val="auto"/>
          <w:highlight w:val="none"/>
        </w:rPr>
      </w:pPr>
    </w:p>
    <w:p w14:paraId="51E3C56E">
      <w:pPr>
        <w:jc w:val="center"/>
        <w:outlineLvl w:val="0"/>
        <w:rPr>
          <w:rFonts w:hint="eastAsia" w:asciiTheme="majorEastAsia" w:hAnsiTheme="majorEastAsia" w:eastAsiaTheme="majorEastAsia" w:cstheme="majorEastAsia"/>
          <w:b/>
          <w:bCs/>
          <w:color w:val="auto"/>
          <w:sz w:val="48"/>
          <w:szCs w:val="48"/>
          <w:lang w:eastAsia="zh-CN"/>
        </w:rPr>
      </w:pPr>
      <w:bookmarkStart w:id="0" w:name="_Toc8546"/>
      <w:bookmarkStart w:id="1" w:name="_Toc12839"/>
      <w:r>
        <w:rPr>
          <w:rFonts w:hint="eastAsia" w:asciiTheme="majorEastAsia" w:hAnsiTheme="majorEastAsia" w:eastAsiaTheme="majorEastAsia" w:cstheme="majorEastAsia"/>
          <w:b/>
          <w:bCs/>
          <w:color w:val="auto"/>
          <w:sz w:val="48"/>
          <w:szCs w:val="48"/>
          <w:lang w:eastAsia="zh-CN"/>
        </w:rPr>
        <w:t>广西建汇工程咨询有限公司</w:t>
      </w:r>
    </w:p>
    <w:p w14:paraId="0B75D27B">
      <w:pPr>
        <w:pStyle w:val="22"/>
        <w:rPr>
          <w:rFonts w:hint="eastAsia"/>
          <w:color w:val="auto"/>
        </w:rPr>
      </w:pPr>
      <w:r>
        <w:rPr>
          <w:rFonts w:hint="eastAsia" w:ascii="宋体" w:hAnsi="宋体" w:cs="宋体"/>
          <w:iCs/>
          <w:color w:val="auto"/>
          <w:sz w:val="48"/>
          <w:szCs w:val="48"/>
        </w:rPr>
        <w:drawing>
          <wp:inline distT="0" distB="0" distL="114300" distR="114300">
            <wp:extent cx="1640205" cy="1140460"/>
            <wp:effectExtent l="0" t="0" r="17145" b="2540"/>
            <wp:docPr id="1" name="图片 1" descr="72e7eabc668db03e627e8490b74e2c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72e7eabc668db03e627e8490b74e2c7"/>
                    <pic:cNvPicPr>
                      <a:picLocks noChangeAspect="1"/>
                    </pic:cNvPicPr>
                  </pic:nvPicPr>
                  <pic:blipFill>
                    <a:blip r:embed="rId17"/>
                    <a:stretch>
                      <a:fillRect/>
                    </a:stretch>
                  </pic:blipFill>
                  <pic:spPr>
                    <a:xfrm>
                      <a:off x="0" y="0"/>
                      <a:ext cx="1640205" cy="1140460"/>
                    </a:xfrm>
                    <a:prstGeom prst="rect">
                      <a:avLst/>
                    </a:prstGeom>
                  </pic:spPr>
                </pic:pic>
              </a:graphicData>
            </a:graphic>
          </wp:inline>
        </w:drawing>
      </w:r>
      <w:bookmarkEnd w:id="0"/>
      <w:bookmarkEnd w:id="1"/>
    </w:p>
    <w:p w14:paraId="71FDC17E">
      <w:pPr>
        <w:rPr>
          <w:rFonts w:hint="eastAsia"/>
          <w:color w:val="auto"/>
        </w:rPr>
      </w:pPr>
    </w:p>
    <w:p w14:paraId="736EE0C3">
      <w:pPr>
        <w:rPr>
          <w:rFonts w:hint="eastAsia"/>
          <w:color w:val="auto"/>
        </w:rPr>
      </w:pPr>
    </w:p>
    <w:p w14:paraId="564E7AEF">
      <w:pPr>
        <w:jc w:val="center"/>
        <w:outlineLvl w:val="0"/>
        <w:rPr>
          <w:rFonts w:hint="eastAsia" w:asciiTheme="majorEastAsia" w:hAnsiTheme="majorEastAsia" w:eastAsiaTheme="majorEastAsia" w:cstheme="majorEastAsia"/>
          <w:color w:val="auto"/>
          <w:sz w:val="72"/>
          <w:szCs w:val="72"/>
        </w:rPr>
      </w:pPr>
      <w:bookmarkStart w:id="2" w:name="_Toc30928"/>
      <w:bookmarkStart w:id="3" w:name="_Toc2565"/>
      <w:r>
        <w:rPr>
          <w:rFonts w:hint="eastAsia" w:asciiTheme="majorEastAsia" w:hAnsiTheme="majorEastAsia" w:eastAsiaTheme="majorEastAsia" w:cstheme="majorEastAsia"/>
          <w:color w:val="auto"/>
          <w:sz w:val="72"/>
          <w:szCs w:val="72"/>
        </w:rPr>
        <w:t>竞争性</w:t>
      </w:r>
      <w:r>
        <w:rPr>
          <w:rFonts w:hint="eastAsia" w:asciiTheme="majorEastAsia" w:hAnsiTheme="majorEastAsia" w:eastAsiaTheme="majorEastAsia" w:cstheme="majorEastAsia"/>
          <w:color w:val="auto"/>
          <w:sz w:val="72"/>
          <w:szCs w:val="72"/>
          <w:lang w:eastAsia="zh-CN"/>
        </w:rPr>
        <w:t>磋商</w:t>
      </w:r>
      <w:r>
        <w:rPr>
          <w:rFonts w:hint="eastAsia" w:asciiTheme="majorEastAsia" w:hAnsiTheme="majorEastAsia" w:eastAsiaTheme="majorEastAsia" w:cstheme="majorEastAsia"/>
          <w:color w:val="auto"/>
          <w:sz w:val="72"/>
          <w:szCs w:val="72"/>
        </w:rPr>
        <w:t>文件</w:t>
      </w:r>
      <w:bookmarkEnd w:id="2"/>
      <w:bookmarkEnd w:id="3"/>
    </w:p>
    <w:p w14:paraId="0D67C0E6">
      <w:pPr>
        <w:snapToGrid w:val="0"/>
        <w:spacing w:before="120" w:beforeLines="50" w:line="360" w:lineRule="auto"/>
        <w:rPr>
          <w:rFonts w:hint="eastAsia"/>
          <w:color w:val="auto"/>
        </w:rPr>
      </w:pPr>
      <w:r>
        <w:rPr>
          <w:rFonts w:hint="eastAsia" w:asciiTheme="majorEastAsia" w:hAnsiTheme="majorEastAsia" w:eastAsiaTheme="majorEastAsia" w:cstheme="majorEastAsia"/>
          <w:b/>
          <w:bCs/>
          <w:color w:val="auto"/>
          <w:sz w:val="84"/>
          <w:szCs w:val="84"/>
          <w:highlight w:val="none"/>
        </w:rPr>
        <w:t xml:space="preserve"> </w:t>
      </w:r>
    </w:p>
    <w:p w14:paraId="314F8126">
      <w:pPr>
        <w:rPr>
          <w:rFonts w:hint="eastAsia" w:asciiTheme="majorEastAsia" w:hAnsiTheme="majorEastAsia" w:eastAsiaTheme="majorEastAsia" w:cstheme="majorEastAsia"/>
          <w:b/>
          <w:bCs/>
          <w:color w:val="auto"/>
          <w:sz w:val="32"/>
          <w:szCs w:val="32"/>
        </w:rPr>
      </w:pPr>
    </w:p>
    <w:p w14:paraId="2D87ECB3">
      <w:pPr>
        <w:ind w:left="2557" w:leftChars="456" w:hanging="1600" w:hangingChars="500"/>
        <w:rPr>
          <w:rFonts w:hint="eastAsia" w:asciiTheme="majorEastAsia" w:hAnsiTheme="majorEastAsia" w:eastAsiaTheme="majorEastAsia" w:cstheme="majorEastAsia"/>
          <w:b/>
          <w:bCs/>
          <w:color w:val="auto"/>
          <w:sz w:val="32"/>
          <w:szCs w:val="32"/>
          <w:lang w:eastAsia="zh-CN"/>
        </w:rPr>
      </w:pPr>
      <w:r>
        <w:rPr>
          <w:rFonts w:hint="eastAsia" w:asciiTheme="majorEastAsia" w:hAnsiTheme="majorEastAsia" w:eastAsiaTheme="majorEastAsia" w:cstheme="majorEastAsia"/>
          <w:b/>
          <w:bCs/>
          <w:color w:val="auto"/>
          <w:sz w:val="32"/>
          <w:szCs w:val="32"/>
        </w:rPr>
        <w:t>项目名称</w:t>
      </w:r>
      <w:r>
        <w:rPr>
          <w:rFonts w:hint="eastAsia" w:asciiTheme="majorEastAsia" w:hAnsiTheme="majorEastAsia" w:eastAsiaTheme="majorEastAsia" w:cstheme="majorEastAsia"/>
          <w:b/>
          <w:bCs/>
          <w:color w:val="auto"/>
          <w:sz w:val="32"/>
          <w:szCs w:val="32"/>
          <w:lang w:eastAsia="zh-CN"/>
        </w:rPr>
        <w:t>：陆川县人民医院高压、低压供电系统改造工程项目</w:t>
      </w:r>
    </w:p>
    <w:p w14:paraId="5A541324">
      <w:pPr>
        <w:ind w:firstLine="960" w:firstLineChars="300"/>
        <w:rPr>
          <w:rFonts w:hint="eastAsia" w:asciiTheme="majorEastAsia" w:hAnsiTheme="majorEastAsia" w:eastAsiaTheme="majorEastAsia" w:cstheme="majorEastAsia"/>
          <w:b/>
          <w:bCs/>
          <w:color w:val="auto"/>
          <w:sz w:val="32"/>
          <w:szCs w:val="32"/>
        </w:rPr>
      </w:pPr>
    </w:p>
    <w:p w14:paraId="3364D0F3">
      <w:pPr>
        <w:ind w:firstLine="960" w:firstLineChars="300"/>
        <w:rPr>
          <w:rFonts w:hint="eastAsia" w:asciiTheme="majorEastAsia" w:hAnsiTheme="majorEastAsia" w:eastAsiaTheme="majorEastAsia" w:cstheme="majorEastAsia"/>
          <w:b/>
          <w:bCs/>
          <w:color w:val="auto"/>
          <w:sz w:val="32"/>
          <w:szCs w:val="32"/>
          <w:lang w:val="en-US" w:eastAsia="zh-CN"/>
        </w:rPr>
      </w:pPr>
      <w:r>
        <w:rPr>
          <w:rFonts w:hint="eastAsia" w:asciiTheme="majorEastAsia" w:hAnsiTheme="majorEastAsia" w:eastAsiaTheme="majorEastAsia" w:cstheme="majorEastAsia"/>
          <w:b/>
          <w:bCs/>
          <w:color w:val="auto"/>
          <w:sz w:val="32"/>
          <w:szCs w:val="32"/>
        </w:rPr>
        <w:t>项目编号：</w:t>
      </w:r>
      <w:r>
        <w:rPr>
          <w:rFonts w:hint="eastAsia" w:asciiTheme="majorEastAsia" w:hAnsiTheme="majorEastAsia" w:eastAsiaTheme="majorEastAsia" w:cstheme="majorEastAsia"/>
          <w:b/>
          <w:bCs/>
          <w:color w:val="auto"/>
          <w:sz w:val="32"/>
          <w:szCs w:val="32"/>
          <w:lang w:val="en-US" w:eastAsia="zh-CN"/>
        </w:rPr>
        <w:t>YLZC2026-C2-220205-GXJH</w:t>
      </w:r>
    </w:p>
    <w:p w14:paraId="52169170">
      <w:pPr>
        <w:ind w:firstLine="1400" w:firstLineChars="500"/>
        <w:rPr>
          <w:rFonts w:hint="eastAsia" w:asciiTheme="majorEastAsia" w:hAnsiTheme="majorEastAsia" w:eastAsiaTheme="majorEastAsia" w:cstheme="majorEastAsia"/>
          <w:b/>
          <w:bCs/>
          <w:color w:val="auto"/>
          <w:sz w:val="28"/>
          <w:szCs w:val="28"/>
        </w:rPr>
      </w:pPr>
      <w:r>
        <w:rPr>
          <w:rFonts w:hint="eastAsia" w:asciiTheme="majorEastAsia" w:hAnsiTheme="majorEastAsia" w:eastAsiaTheme="majorEastAsia" w:cstheme="majorEastAsia"/>
          <w:b/>
          <w:bCs/>
          <w:color w:val="auto"/>
          <w:sz w:val="28"/>
          <w:szCs w:val="28"/>
        </w:rPr>
        <w:t xml:space="preserve">                                                                        </w:t>
      </w:r>
    </w:p>
    <w:p w14:paraId="555AE86C">
      <w:pPr>
        <w:ind w:firstLine="1400" w:firstLineChars="500"/>
        <w:rPr>
          <w:rFonts w:hint="eastAsia" w:asciiTheme="majorEastAsia" w:hAnsiTheme="majorEastAsia" w:eastAsiaTheme="majorEastAsia" w:cstheme="majorEastAsia"/>
          <w:b/>
          <w:bCs/>
          <w:color w:val="auto"/>
          <w:sz w:val="28"/>
          <w:szCs w:val="28"/>
          <w:lang w:val="en-US" w:eastAsia="zh-CN"/>
        </w:rPr>
      </w:pPr>
    </w:p>
    <w:p w14:paraId="510890D1">
      <w:pPr>
        <w:ind w:firstLine="1400" w:firstLineChars="500"/>
        <w:rPr>
          <w:rFonts w:hint="eastAsia" w:asciiTheme="majorEastAsia" w:hAnsiTheme="majorEastAsia" w:eastAsiaTheme="majorEastAsia" w:cstheme="majorEastAsia"/>
          <w:b/>
          <w:bCs/>
          <w:color w:val="auto"/>
          <w:sz w:val="28"/>
          <w:szCs w:val="28"/>
          <w:lang w:val="en-US" w:eastAsia="zh-CN"/>
        </w:rPr>
      </w:pPr>
    </w:p>
    <w:p w14:paraId="46F4F1EA">
      <w:pPr>
        <w:pStyle w:val="2"/>
        <w:rPr>
          <w:rFonts w:hint="eastAsia" w:asciiTheme="majorEastAsia" w:hAnsiTheme="majorEastAsia" w:eastAsiaTheme="majorEastAsia" w:cstheme="majorEastAsia"/>
          <w:b/>
          <w:bCs/>
          <w:color w:val="auto"/>
          <w:kern w:val="0"/>
          <w:sz w:val="32"/>
          <w:szCs w:val="32"/>
          <w:lang w:val="en-US" w:eastAsia="zh-CN" w:bidi="ar-SA"/>
        </w:rPr>
      </w:pPr>
    </w:p>
    <w:p w14:paraId="48D2F1DD">
      <w:pPr>
        <w:pStyle w:val="2"/>
        <w:ind w:firstLine="960" w:firstLineChars="300"/>
        <w:rPr>
          <w:rFonts w:hint="default" w:asciiTheme="majorEastAsia" w:hAnsiTheme="majorEastAsia" w:eastAsiaTheme="majorEastAsia" w:cstheme="majorEastAsia"/>
          <w:b/>
          <w:bCs/>
          <w:color w:val="auto"/>
          <w:kern w:val="0"/>
          <w:sz w:val="32"/>
          <w:szCs w:val="32"/>
          <w:lang w:val="en-US" w:eastAsia="zh-CN" w:bidi="ar-SA"/>
        </w:rPr>
      </w:pPr>
      <w:r>
        <w:rPr>
          <w:rFonts w:hint="eastAsia" w:asciiTheme="majorEastAsia" w:hAnsiTheme="majorEastAsia" w:eastAsiaTheme="majorEastAsia" w:cstheme="majorEastAsia"/>
          <w:b/>
          <w:bCs/>
          <w:color w:val="auto"/>
          <w:kern w:val="0"/>
          <w:sz w:val="32"/>
          <w:szCs w:val="32"/>
          <w:lang w:val="en-US" w:eastAsia="zh-CN" w:bidi="ar-SA"/>
        </w:rPr>
        <w:t>采购人：</w:t>
      </w:r>
      <w:r>
        <w:rPr>
          <w:rFonts w:hint="eastAsia" w:asciiTheme="majorEastAsia" w:hAnsiTheme="majorEastAsia" w:eastAsiaTheme="majorEastAsia" w:cstheme="majorEastAsia"/>
          <w:b/>
          <w:bCs/>
          <w:color w:val="auto"/>
          <w:sz w:val="32"/>
          <w:szCs w:val="32"/>
          <w:lang w:eastAsia="zh-CN"/>
        </w:rPr>
        <w:t>陆川县人民医院</w:t>
      </w:r>
    </w:p>
    <w:p w14:paraId="0B262DE3">
      <w:pPr>
        <w:pStyle w:val="36"/>
        <w:rPr>
          <w:rFonts w:hint="eastAsia" w:asciiTheme="majorEastAsia" w:hAnsiTheme="majorEastAsia" w:eastAsiaTheme="majorEastAsia" w:cstheme="majorEastAsia"/>
          <w:b/>
          <w:bCs/>
          <w:color w:val="auto"/>
          <w:kern w:val="0"/>
          <w:sz w:val="32"/>
          <w:szCs w:val="32"/>
          <w:lang w:val="en-US" w:eastAsia="zh-CN" w:bidi="ar-SA"/>
        </w:rPr>
      </w:pPr>
    </w:p>
    <w:p w14:paraId="73F779DA">
      <w:pPr>
        <w:pStyle w:val="16"/>
        <w:spacing w:before="120" w:after="120" w:line="360" w:lineRule="auto"/>
        <w:ind w:firstLine="960" w:firstLineChars="300"/>
        <w:jc w:val="both"/>
        <w:rPr>
          <w:rFonts w:hint="eastAsia" w:asciiTheme="majorEastAsia" w:hAnsiTheme="majorEastAsia" w:eastAsiaTheme="majorEastAsia" w:cstheme="majorEastAsia"/>
          <w:b/>
          <w:bCs/>
          <w:color w:val="auto"/>
          <w:kern w:val="0"/>
          <w:sz w:val="32"/>
          <w:szCs w:val="32"/>
          <w:lang w:val="en-US" w:eastAsia="zh-CN" w:bidi="ar-SA"/>
        </w:rPr>
      </w:pPr>
      <w:r>
        <w:rPr>
          <w:rFonts w:hint="eastAsia" w:asciiTheme="majorEastAsia" w:hAnsiTheme="majorEastAsia" w:eastAsiaTheme="majorEastAsia" w:cstheme="majorEastAsia"/>
          <w:b/>
          <w:bCs/>
          <w:color w:val="auto"/>
          <w:kern w:val="0"/>
          <w:sz w:val="32"/>
          <w:szCs w:val="32"/>
          <w:lang w:val="en-US" w:eastAsia="zh-CN" w:bidi="ar-SA"/>
        </w:rPr>
        <w:t>采购代理机构：广西建汇工程咨询有限公司</w:t>
      </w:r>
    </w:p>
    <w:p w14:paraId="49B6CC13">
      <w:pPr>
        <w:pStyle w:val="16"/>
        <w:spacing w:before="120" w:after="120" w:line="360" w:lineRule="auto"/>
        <w:jc w:val="center"/>
        <w:rPr>
          <w:rFonts w:hint="eastAsia" w:asciiTheme="majorEastAsia" w:hAnsiTheme="majorEastAsia" w:eastAsiaTheme="majorEastAsia" w:cstheme="majorEastAsia"/>
          <w:b/>
          <w:bCs/>
          <w:color w:val="auto"/>
          <w:sz w:val="28"/>
          <w:szCs w:val="28"/>
          <w:lang w:val="en-US" w:eastAsia="zh-CN"/>
        </w:rPr>
      </w:pPr>
    </w:p>
    <w:p w14:paraId="77E397FF">
      <w:pPr>
        <w:pStyle w:val="16"/>
        <w:spacing w:before="120" w:after="120" w:line="360" w:lineRule="auto"/>
        <w:jc w:val="center"/>
        <w:rPr>
          <w:rFonts w:hint="eastAsia" w:asciiTheme="majorEastAsia" w:hAnsiTheme="majorEastAsia" w:eastAsiaTheme="majorEastAsia" w:cstheme="majorEastAsia"/>
          <w:b/>
          <w:bCs/>
          <w:color w:val="auto"/>
          <w:sz w:val="28"/>
          <w:szCs w:val="28"/>
          <w:lang w:val="en-US" w:eastAsia="zh-CN"/>
        </w:rPr>
      </w:pPr>
      <w:r>
        <w:rPr>
          <w:rFonts w:hint="eastAsia" w:asciiTheme="majorEastAsia" w:hAnsiTheme="majorEastAsia" w:eastAsiaTheme="majorEastAsia" w:cstheme="majorEastAsia"/>
          <w:b/>
          <w:bCs/>
          <w:color w:val="auto"/>
          <w:sz w:val="28"/>
          <w:szCs w:val="28"/>
          <w:lang w:val="en-US" w:eastAsia="zh-CN"/>
        </w:rPr>
        <w:t>2026年10月</w:t>
      </w:r>
    </w:p>
    <w:p w14:paraId="4DF4155C">
      <w:pPr>
        <w:pStyle w:val="16"/>
        <w:spacing w:before="120" w:after="120" w:line="360" w:lineRule="auto"/>
        <w:jc w:val="both"/>
        <w:rPr>
          <w:rFonts w:hint="eastAsia" w:asciiTheme="majorEastAsia" w:hAnsiTheme="majorEastAsia" w:eastAsiaTheme="majorEastAsia" w:cstheme="majorEastAsia"/>
          <w:b/>
          <w:bCs/>
          <w:color w:val="auto"/>
          <w:sz w:val="28"/>
          <w:szCs w:val="28"/>
          <w:lang w:val="en-US" w:eastAsia="zh-CN"/>
        </w:rPr>
        <w:sectPr>
          <w:headerReference r:id="rId4" w:type="first"/>
          <w:footerReference r:id="rId5" w:type="first"/>
          <w:headerReference r:id="rId3" w:type="default"/>
          <w:pgSz w:w="11906" w:h="16838"/>
          <w:pgMar w:top="1440" w:right="1080" w:bottom="1440" w:left="1080" w:header="709" w:footer="709" w:gutter="0"/>
          <w:pgNumType w:fmt="decimal" w:start="1"/>
          <w:cols w:space="720" w:num="1"/>
          <w:titlePg/>
          <w:docGrid w:type="linesAndChars" w:linePitch="312" w:charSpace="0"/>
        </w:sectPr>
      </w:pPr>
    </w:p>
    <w:p w14:paraId="24BE9B7B">
      <w:pPr>
        <w:pStyle w:val="16"/>
        <w:spacing w:before="120" w:after="120" w:line="360" w:lineRule="auto"/>
        <w:jc w:val="both"/>
        <w:rPr>
          <w:rFonts w:hint="eastAsia" w:asciiTheme="majorEastAsia" w:hAnsiTheme="majorEastAsia" w:eastAsiaTheme="majorEastAsia" w:cstheme="majorEastAsia"/>
          <w:b/>
          <w:color w:val="auto"/>
          <w:sz w:val="44"/>
          <w:szCs w:val="44"/>
          <w:highlight w:val="none"/>
          <w:lang w:val="en-US" w:eastAsia="zh-CN"/>
        </w:rPr>
      </w:pPr>
    </w:p>
    <w:p w14:paraId="49A0BCD1">
      <w:pPr>
        <w:pStyle w:val="16"/>
        <w:spacing w:before="120" w:after="120" w:line="360" w:lineRule="auto"/>
        <w:ind w:firstLine="440" w:firstLineChars="100"/>
        <w:jc w:val="center"/>
        <w:rPr>
          <w:rFonts w:hint="eastAsia" w:asciiTheme="majorEastAsia" w:hAnsiTheme="majorEastAsia" w:eastAsiaTheme="majorEastAsia" w:cstheme="majorEastAsia"/>
          <w:b/>
          <w:color w:val="auto"/>
          <w:sz w:val="44"/>
          <w:szCs w:val="44"/>
          <w:highlight w:val="none"/>
          <w:lang w:val="en-US" w:eastAsia="zh-CN"/>
        </w:rPr>
      </w:pPr>
      <w:r>
        <w:rPr>
          <w:rFonts w:hint="eastAsia" w:asciiTheme="majorEastAsia" w:hAnsiTheme="majorEastAsia" w:eastAsiaTheme="majorEastAsia" w:cstheme="majorEastAsia"/>
          <w:b/>
          <w:color w:val="auto"/>
          <w:sz w:val="44"/>
          <w:szCs w:val="44"/>
          <w:highlight w:val="none"/>
          <w:lang w:val="en-US" w:eastAsia="zh-CN"/>
        </w:rPr>
        <w:t>目   录</w:t>
      </w:r>
    </w:p>
    <w:p w14:paraId="12BD04FF">
      <w:pPr>
        <w:pStyle w:val="6"/>
        <w:rPr>
          <w:rFonts w:hint="eastAsia"/>
          <w:color w:val="auto"/>
          <w:lang w:val="en-US" w:eastAsia="zh-CN"/>
        </w:rPr>
      </w:pPr>
    </w:p>
    <w:sdt>
      <w:sdtPr>
        <w:rPr>
          <w:rFonts w:ascii="宋体" w:hAnsi="宋体" w:eastAsia="宋体" w:cs="Times New Roman"/>
          <w:color w:val="auto"/>
          <w:kern w:val="2"/>
          <w:sz w:val="21"/>
          <w:szCs w:val="24"/>
          <w:lang w:val="en-US" w:eastAsia="zh-CN" w:bidi="ar-SA"/>
        </w:rPr>
        <w:id w:val="147456129"/>
        <w15:color w:val="DBDBDB"/>
        <w:docPartObj>
          <w:docPartGallery w:val="Table of Contents"/>
          <w:docPartUnique/>
        </w:docPartObj>
      </w:sdtPr>
      <w:sdtEndPr>
        <w:rPr>
          <w:rFonts w:hint="eastAsia" w:ascii="Times New Roman" w:hAnsi="Times New Roman" w:eastAsia="宋体" w:cs="Calibri"/>
          <w:color w:val="auto"/>
          <w:kern w:val="2"/>
          <w:sz w:val="36"/>
          <w:szCs w:val="36"/>
          <w:lang w:val="en-US" w:eastAsia="zh-CN" w:bidi="ar-SA"/>
        </w:rPr>
      </w:sdtEndPr>
      <w:sdtContent>
        <w:p w14:paraId="1D2C340C">
          <w:pPr>
            <w:spacing w:before="0" w:beforeLines="0" w:after="0" w:afterLines="0" w:line="240" w:lineRule="auto"/>
            <w:ind w:left="0" w:leftChars="0" w:right="0" w:rightChars="0" w:firstLine="0" w:firstLineChars="0"/>
            <w:jc w:val="center"/>
            <w:rPr>
              <w:color w:val="auto"/>
            </w:rPr>
          </w:pPr>
        </w:p>
        <w:p w14:paraId="675E3D2A">
          <w:pPr>
            <w:pStyle w:val="21"/>
            <w:tabs>
              <w:tab w:val="right" w:leader="dot" w:pos="9626"/>
              <w:tab w:val="clear" w:pos="8398"/>
            </w:tabs>
            <w:rPr>
              <w:color w:val="auto"/>
            </w:rPr>
          </w:pPr>
          <w:r>
            <w:rPr>
              <w:rFonts w:hint="eastAsia"/>
              <w:color w:val="auto"/>
              <w:sz w:val="24"/>
              <w:szCs w:val="24"/>
              <w:lang w:val="en-US" w:eastAsia="zh-CN"/>
            </w:rPr>
            <w:fldChar w:fldCharType="begin"/>
          </w:r>
          <w:r>
            <w:rPr>
              <w:rFonts w:hint="eastAsia"/>
              <w:color w:val="auto"/>
              <w:sz w:val="24"/>
              <w:szCs w:val="24"/>
              <w:lang w:val="en-US" w:eastAsia="zh-CN"/>
            </w:rPr>
            <w:instrText xml:space="preserve">TOC \o "1-1" \h \u </w:instrText>
          </w:r>
          <w:r>
            <w:rPr>
              <w:rFonts w:hint="eastAsia"/>
              <w:color w:val="auto"/>
              <w:sz w:val="24"/>
              <w:szCs w:val="24"/>
              <w:lang w:val="en-US" w:eastAsia="zh-CN"/>
            </w:rPr>
            <w:fldChar w:fldCharType="separate"/>
          </w:r>
        </w:p>
        <w:p w14:paraId="1E20C25B">
          <w:pPr>
            <w:pStyle w:val="21"/>
            <w:tabs>
              <w:tab w:val="right" w:leader="dot" w:pos="9626"/>
              <w:tab w:val="clear" w:pos="8398"/>
            </w:tabs>
            <w:rPr>
              <w:color w:val="auto"/>
            </w:rPr>
          </w:pPr>
          <w:r>
            <w:rPr>
              <w:rFonts w:hint="eastAsia"/>
              <w:color w:val="auto"/>
              <w:szCs w:val="36"/>
              <w:lang w:val="en-US" w:eastAsia="zh-CN"/>
            </w:rPr>
            <w:fldChar w:fldCharType="begin"/>
          </w:r>
          <w:r>
            <w:rPr>
              <w:rFonts w:hint="eastAsia"/>
              <w:color w:val="auto"/>
              <w:szCs w:val="36"/>
              <w:lang w:val="en-US" w:eastAsia="zh-CN"/>
            </w:rPr>
            <w:instrText xml:space="preserve"> HYPERLINK \l _Toc12628 </w:instrText>
          </w:r>
          <w:r>
            <w:rPr>
              <w:rFonts w:hint="eastAsia"/>
              <w:color w:val="auto"/>
              <w:szCs w:val="36"/>
              <w:lang w:val="en-US" w:eastAsia="zh-CN"/>
            </w:rPr>
            <w:fldChar w:fldCharType="separate"/>
          </w:r>
          <w:r>
            <w:rPr>
              <w:rFonts w:hint="eastAsia" w:asciiTheme="majorEastAsia" w:hAnsiTheme="majorEastAsia" w:eastAsiaTheme="majorEastAsia" w:cstheme="majorEastAsia"/>
              <w:bCs w:val="0"/>
              <w:color w:val="auto"/>
              <w:kern w:val="2"/>
              <w:szCs w:val="52"/>
              <w:lang w:val="en-US" w:eastAsia="zh-CN" w:bidi="ar-SA"/>
            </w:rPr>
            <w:t>第一章 竞争性磋商公告</w:t>
          </w:r>
          <w:r>
            <w:rPr>
              <w:color w:val="auto"/>
            </w:rPr>
            <w:tab/>
          </w:r>
          <w:r>
            <w:rPr>
              <w:color w:val="auto"/>
            </w:rPr>
            <w:fldChar w:fldCharType="begin"/>
          </w:r>
          <w:r>
            <w:rPr>
              <w:color w:val="auto"/>
            </w:rPr>
            <w:instrText xml:space="preserve"> PAGEREF _Toc12628 \h </w:instrText>
          </w:r>
          <w:r>
            <w:rPr>
              <w:color w:val="auto"/>
            </w:rPr>
            <w:fldChar w:fldCharType="separate"/>
          </w:r>
          <w:r>
            <w:rPr>
              <w:color w:val="auto"/>
            </w:rPr>
            <w:t>2</w:t>
          </w:r>
          <w:r>
            <w:rPr>
              <w:color w:val="auto"/>
            </w:rPr>
            <w:fldChar w:fldCharType="end"/>
          </w:r>
          <w:r>
            <w:rPr>
              <w:rFonts w:hint="eastAsia"/>
              <w:color w:val="auto"/>
              <w:szCs w:val="36"/>
              <w:lang w:val="en-US" w:eastAsia="zh-CN"/>
            </w:rPr>
            <w:fldChar w:fldCharType="end"/>
          </w:r>
        </w:p>
        <w:p w14:paraId="4D9A286A">
          <w:pPr>
            <w:pStyle w:val="21"/>
            <w:tabs>
              <w:tab w:val="right" w:leader="dot" w:pos="9626"/>
              <w:tab w:val="clear" w:pos="8398"/>
            </w:tabs>
            <w:rPr>
              <w:color w:val="auto"/>
            </w:rPr>
          </w:pPr>
          <w:r>
            <w:rPr>
              <w:rFonts w:hint="eastAsia"/>
              <w:color w:val="auto"/>
              <w:szCs w:val="36"/>
              <w:lang w:val="en-US" w:eastAsia="zh-CN"/>
            </w:rPr>
            <w:fldChar w:fldCharType="begin"/>
          </w:r>
          <w:r>
            <w:rPr>
              <w:rFonts w:hint="eastAsia"/>
              <w:color w:val="auto"/>
              <w:szCs w:val="36"/>
              <w:lang w:val="en-US" w:eastAsia="zh-CN"/>
            </w:rPr>
            <w:instrText xml:space="preserve"> HYPERLINK \l _Toc2599 </w:instrText>
          </w:r>
          <w:r>
            <w:rPr>
              <w:rFonts w:hint="eastAsia"/>
              <w:color w:val="auto"/>
              <w:szCs w:val="36"/>
              <w:lang w:val="en-US" w:eastAsia="zh-CN"/>
            </w:rPr>
            <w:fldChar w:fldCharType="separate"/>
          </w:r>
          <w:r>
            <w:rPr>
              <w:rFonts w:hint="eastAsia" w:asciiTheme="majorEastAsia" w:hAnsiTheme="majorEastAsia" w:eastAsiaTheme="majorEastAsia" w:cstheme="majorEastAsia"/>
              <w:color w:val="auto"/>
              <w:highlight w:val="none"/>
            </w:rPr>
            <w:t>第二章 供应商须知</w:t>
          </w:r>
          <w:r>
            <w:rPr>
              <w:color w:val="auto"/>
            </w:rPr>
            <w:tab/>
          </w:r>
          <w:r>
            <w:rPr>
              <w:color w:val="auto"/>
            </w:rPr>
            <w:fldChar w:fldCharType="begin"/>
          </w:r>
          <w:r>
            <w:rPr>
              <w:color w:val="auto"/>
            </w:rPr>
            <w:instrText xml:space="preserve"> PAGEREF _Toc2599 \h </w:instrText>
          </w:r>
          <w:r>
            <w:rPr>
              <w:color w:val="auto"/>
            </w:rPr>
            <w:fldChar w:fldCharType="separate"/>
          </w:r>
          <w:r>
            <w:rPr>
              <w:color w:val="auto"/>
            </w:rPr>
            <w:t>6</w:t>
          </w:r>
          <w:r>
            <w:rPr>
              <w:color w:val="auto"/>
            </w:rPr>
            <w:fldChar w:fldCharType="end"/>
          </w:r>
          <w:r>
            <w:rPr>
              <w:rFonts w:hint="eastAsia"/>
              <w:color w:val="auto"/>
              <w:szCs w:val="36"/>
              <w:lang w:val="en-US" w:eastAsia="zh-CN"/>
            </w:rPr>
            <w:fldChar w:fldCharType="end"/>
          </w:r>
        </w:p>
        <w:p w14:paraId="643E36F8">
          <w:pPr>
            <w:pStyle w:val="21"/>
            <w:tabs>
              <w:tab w:val="right" w:leader="dot" w:pos="9626"/>
              <w:tab w:val="clear" w:pos="8398"/>
            </w:tabs>
            <w:rPr>
              <w:color w:val="auto"/>
            </w:rPr>
          </w:pPr>
          <w:r>
            <w:rPr>
              <w:rFonts w:hint="eastAsia"/>
              <w:color w:val="auto"/>
              <w:szCs w:val="36"/>
              <w:lang w:val="en-US" w:eastAsia="zh-CN"/>
            </w:rPr>
            <w:fldChar w:fldCharType="begin"/>
          </w:r>
          <w:r>
            <w:rPr>
              <w:rFonts w:hint="eastAsia"/>
              <w:color w:val="auto"/>
              <w:szCs w:val="36"/>
              <w:lang w:val="en-US" w:eastAsia="zh-CN"/>
            </w:rPr>
            <w:instrText xml:space="preserve"> HYPERLINK \l _Toc10843 </w:instrText>
          </w:r>
          <w:r>
            <w:rPr>
              <w:rFonts w:hint="eastAsia"/>
              <w:color w:val="auto"/>
              <w:szCs w:val="36"/>
              <w:lang w:val="en-US" w:eastAsia="zh-CN"/>
            </w:rPr>
            <w:fldChar w:fldCharType="separate"/>
          </w:r>
          <w:r>
            <w:rPr>
              <w:rFonts w:hint="eastAsia" w:ascii="宋体" w:hAnsi="宋体"/>
              <w:bCs/>
              <w:color w:val="auto"/>
              <w:szCs w:val="32"/>
              <w:lang w:val="en-US" w:eastAsia="zh-CN"/>
            </w:rPr>
            <w:t>第三章</w:t>
          </w:r>
          <w:r>
            <w:rPr>
              <w:rFonts w:hint="eastAsia"/>
              <w:bCs/>
              <w:color w:val="auto"/>
              <w:szCs w:val="32"/>
              <w:lang w:val="en-US" w:eastAsia="zh-CN"/>
            </w:rPr>
            <w:t xml:space="preserve"> </w:t>
          </w:r>
          <w:r>
            <w:rPr>
              <w:rFonts w:hint="eastAsia" w:ascii="宋体" w:hAnsi="宋体"/>
              <w:bCs/>
              <w:color w:val="auto"/>
              <w:szCs w:val="32"/>
              <w:lang w:val="en-US" w:eastAsia="zh-CN"/>
            </w:rPr>
            <w:t>采购需求</w:t>
          </w:r>
          <w:r>
            <w:rPr>
              <w:color w:val="auto"/>
            </w:rPr>
            <w:tab/>
          </w:r>
          <w:r>
            <w:rPr>
              <w:color w:val="auto"/>
            </w:rPr>
            <w:fldChar w:fldCharType="begin"/>
          </w:r>
          <w:r>
            <w:rPr>
              <w:color w:val="auto"/>
            </w:rPr>
            <w:instrText xml:space="preserve"> PAGEREF _Toc10843 \h </w:instrText>
          </w:r>
          <w:r>
            <w:rPr>
              <w:color w:val="auto"/>
            </w:rPr>
            <w:fldChar w:fldCharType="separate"/>
          </w:r>
          <w:r>
            <w:rPr>
              <w:color w:val="auto"/>
            </w:rPr>
            <w:t>22</w:t>
          </w:r>
          <w:r>
            <w:rPr>
              <w:color w:val="auto"/>
            </w:rPr>
            <w:fldChar w:fldCharType="end"/>
          </w:r>
          <w:r>
            <w:rPr>
              <w:rFonts w:hint="eastAsia"/>
              <w:color w:val="auto"/>
              <w:szCs w:val="36"/>
              <w:lang w:val="en-US" w:eastAsia="zh-CN"/>
            </w:rPr>
            <w:fldChar w:fldCharType="end"/>
          </w:r>
        </w:p>
        <w:p w14:paraId="41E502E8">
          <w:pPr>
            <w:pStyle w:val="21"/>
            <w:tabs>
              <w:tab w:val="right" w:leader="dot" w:pos="9626"/>
              <w:tab w:val="clear" w:pos="8398"/>
            </w:tabs>
            <w:rPr>
              <w:color w:val="auto"/>
            </w:rPr>
          </w:pPr>
          <w:r>
            <w:rPr>
              <w:rFonts w:hint="eastAsia"/>
              <w:color w:val="auto"/>
              <w:szCs w:val="36"/>
              <w:lang w:val="en-US" w:eastAsia="zh-CN"/>
            </w:rPr>
            <w:fldChar w:fldCharType="begin"/>
          </w:r>
          <w:r>
            <w:rPr>
              <w:rFonts w:hint="eastAsia"/>
              <w:color w:val="auto"/>
              <w:szCs w:val="36"/>
              <w:lang w:val="en-US" w:eastAsia="zh-CN"/>
            </w:rPr>
            <w:instrText xml:space="preserve"> HYPERLINK \l _Toc18051 </w:instrText>
          </w:r>
          <w:r>
            <w:rPr>
              <w:rFonts w:hint="eastAsia"/>
              <w:color w:val="auto"/>
              <w:szCs w:val="36"/>
              <w:lang w:val="en-US" w:eastAsia="zh-CN"/>
            </w:rPr>
            <w:fldChar w:fldCharType="separate"/>
          </w:r>
          <w:r>
            <w:rPr>
              <w:rFonts w:hint="eastAsia" w:ascii="宋体" w:hAnsi="宋体"/>
              <w:bCs/>
              <w:color w:val="auto"/>
              <w:szCs w:val="44"/>
            </w:rPr>
            <w:t>第四章 评审程序、评审方法和评审标准</w:t>
          </w:r>
          <w:r>
            <w:rPr>
              <w:color w:val="auto"/>
            </w:rPr>
            <w:tab/>
          </w:r>
          <w:r>
            <w:rPr>
              <w:color w:val="auto"/>
            </w:rPr>
            <w:fldChar w:fldCharType="begin"/>
          </w:r>
          <w:r>
            <w:rPr>
              <w:color w:val="auto"/>
            </w:rPr>
            <w:instrText xml:space="preserve"> PAGEREF _Toc18051 \h </w:instrText>
          </w:r>
          <w:r>
            <w:rPr>
              <w:color w:val="auto"/>
            </w:rPr>
            <w:fldChar w:fldCharType="separate"/>
          </w:r>
          <w:r>
            <w:rPr>
              <w:color w:val="auto"/>
            </w:rPr>
            <w:t>28</w:t>
          </w:r>
          <w:r>
            <w:rPr>
              <w:color w:val="auto"/>
            </w:rPr>
            <w:fldChar w:fldCharType="end"/>
          </w:r>
          <w:r>
            <w:rPr>
              <w:rFonts w:hint="eastAsia"/>
              <w:color w:val="auto"/>
              <w:szCs w:val="36"/>
              <w:lang w:val="en-US" w:eastAsia="zh-CN"/>
            </w:rPr>
            <w:fldChar w:fldCharType="end"/>
          </w:r>
        </w:p>
        <w:p w14:paraId="76C5F49A">
          <w:pPr>
            <w:pStyle w:val="21"/>
            <w:tabs>
              <w:tab w:val="right" w:leader="dot" w:pos="9626"/>
              <w:tab w:val="clear" w:pos="8398"/>
            </w:tabs>
            <w:rPr>
              <w:color w:val="auto"/>
            </w:rPr>
          </w:pPr>
          <w:r>
            <w:rPr>
              <w:rFonts w:hint="eastAsia"/>
              <w:color w:val="auto"/>
              <w:szCs w:val="36"/>
              <w:lang w:val="en-US" w:eastAsia="zh-CN"/>
            </w:rPr>
            <w:fldChar w:fldCharType="begin"/>
          </w:r>
          <w:r>
            <w:rPr>
              <w:rFonts w:hint="eastAsia"/>
              <w:color w:val="auto"/>
              <w:szCs w:val="36"/>
              <w:lang w:val="en-US" w:eastAsia="zh-CN"/>
            </w:rPr>
            <w:instrText xml:space="preserve"> HYPERLINK \l _Toc19821 </w:instrText>
          </w:r>
          <w:r>
            <w:rPr>
              <w:rFonts w:hint="eastAsia"/>
              <w:color w:val="auto"/>
              <w:szCs w:val="36"/>
              <w:lang w:val="en-US" w:eastAsia="zh-CN"/>
            </w:rPr>
            <w:fldChar w:fldCharType="separate"/>
          </w:r>
          <w:r>
            <w:rPr>
              <w:rFonts w:hint="eastAsia"/>
              <w:color w:val="auto"/>
              <w:szCs w:val="36"/>
              <w:lang w:val="en-US" w:eastAsia="zh-CN"/>
            </w:rPr>
            <w:t>第五章 工程量清单及图纸</w:t>
          </w:r>
          <w:r>
            <w:rPr>
              <w:color w:val="auto"/>
            </w:rPr>
            <w:tab/>
          </w:r>
          <w:r>
            <w:rPr>
              <w:color w:val="auto"/>
            </w:rPr>
            <w:fldChar w:fldCharType="begin"/>
          </w:r>
          <w:r>
            <w:rPr>
              <w:color w:val="auto"/>
            </w:rPr>
            <w:instrText xml:space="preserve"> PAGEREF _Toc19821 \h </w:instrText>
          </w:r>
          <w:r>
            <w:rPr>
              <w:color w:val="auto"/>
            </w:rPr>
            <w:fldChar w:fldCharType="separate"/>
          </w:r>
          <w:r>
            <w:rPr>
              <w:color w:val="auto"/>
            </w:rPr>
            <w:t>38</w:t>
          </w:r>
          <w:r>
            <w:rPr>
              <w:color w:val="auto"/>
            </w:rPr>
            <w:fldChar w:fldCharType="end"/>
          </w:r>
          <w:r>
            <w:rPr>
              <w:rFonts w:hint="eastAsia"/>
              <w:color w:val="auto"/>
              <w:szCs w:val="36"/>
              <w:lang w:val="en-US" w:eastAsia="zh-CN"/>
            </w:rPr>
            <w:fldChar w:fldCharType="end"/>
          </w:r>
        </w:p>
        <w:p w14:paraId="5268599D">
          <w:pPr>
            <w:pStyle w:val="21"/>
            <w:tabs>
              <w:tab w:val="right" w:leader="dot" w:pos="9626"/>
              <w:tab w:val="clear" w:pos="8398"/>
            </w:tabs>
            <w:rPr>
              <w:color w:val="auto"/>
            </w:rPr>
          </w:pPr>
          <w:r>
            <w:rPr>
              <w:rFonts w:hint="eastAsia"/>
              <w:color w:val="auto"/>
              <w:szCs w:val="36"/>
              <w:lang w:val="en-US" w:eastAsia="zh-CN"/>
            </w:rPr>
            <w:fldChar w:fldCharType="begin"/>
          </w:r>
          <w:r>
            <w:rPr>
              <w:rFonts w:hint="eastAsia"/>
              <w:color w:val="auto"/>
              <w:szCs w:val="36"/>
              <w:lang w:val="en-US" w:eastAsia="zh-CN"/>
            </w:rPr>
            <w:instrText xml:space="preserve"> HYPERLINK \l _Toc26975 </w:instrText>
          </w:r>
          <w:r>
            <w:rPr>
              <w:rFonts w:hint="eastAsia"/>
              <w:color w:val="auto"/>
              <w:szCs w:val="36"/>
              <w:lang w:val="en-US" w:eastAsia="zh-CN"/>
            </w:rPr>
            <w:fldChar w:fldCharType="separate"/>
          </w:r>
          <w:r>
            <w:rPr>
              <w:rFonts w:hint="eastAsia" w:ascii="宋体" w:hAnsi="宋体" w:eastAsia="宋体" w:cs="Times New Roman"/>
              <w:bCs/>
              <w:color w:val="auto"/>
              <w:szCs w:val="44"/>
            </w:rPr>
            <w:t>第</w:t>
          </w:r>
          <w:r>
            <w:rPr>
              <w:rFonts w:hint="eastAsia" w:ascii="宋体" w:hAnsi="宋体" w:cs="Times New Roman"/>
              <w:bCs/>
              <w:color w:val="auto"/>
              <w:szCs w:val="44"/>
              <w:lang w:val="en-US" w:eastAsia="zh-CN"/>
            </w:rPr>
            <w:t>六</w:t>
          </w:r>
          <w:r>
            <w:rPr>
              <w:rFonts w:hint="eastAsia" w:ascii="宋体" w:hAnsi="宋体" w:eastAsia="宋体" w:cs="Times New Roman"/>
              <w:bCs/>
              <w:color w:val="auto"/>
              <w:szCs w:val="44"/>
            </w:rPr>
            <w:t>章 响应文件格式</w:t>
          </w:r>
          <w:r>
            <w:rPr>
              <w:color w:val="auto"/>
            </w:rPr>
            <w:tab/>
          </w:r>
          <w:r>
            <w:rPr>
              <w:color w:val="auto"/>
            </w:rPr>
            <w:fldChar w:fldCharType="begin"/>
          </w:r>
          <w:r>
            <w:rPr>
              <w:color w:val="auto"/>
            </w:rPr>
            <w:instrText xml:space="preserve"> PAGEREF _Toc26975 \h </w:instrText>
          </w:r>
          <w:r>
            <w:rPr>
              <w:color w:val="auto"/>
            </w:rPr>
            <w:fldChar w:fldCharType="separate"/>
          </w:r>
          <w:r>
            <w:rPr>
              <w:color w:val="auto"/>
            </w:rPr>
            <w:t>43</w:t>
          </w:r>
          <w:r>
            <w:rPr>
              <w:color w:val="auto"/>
            </w:rPr>
            <w:fldChar w:fldCharType="end"/>
          </w:r>
          <w:r>
            <w:rPr>
              <w:rFonts w:hint="eastAsia"/>
              <w:color w:val="auto"/>
              <w:szCs w:val="36"/>
              <w:lang w:val="en-US" w:eastAsia="zh-CN"/>
            </w:rPr>
            <w:fldChar w:fldCharType="end"/>
          </w:r>
        </w:p>
        <w:p w14:paraId="7D37B2C9">
          <w:pPr>
            <w:pStyle w:val="21"/>
            <w:tabs>
              <w:tab w:val="right" w:leader="dot" w:pos="9626"/>
              <w:tab w:val="clear" w:pos="8398"/>
            </w:tabs>
            <w:rPr>
              <w:color w:val="auto"/>
            </w:rPr>
          </w:pPr>
          <w:r>
            <w:rPr>
              <w:rFonts w:hint="eastAsia"/>
              <w:color w:val="auto"/>
              <w:szCs w:val="36"/>
              <w:lang w:val="en-US" w:eastAsia="zh-CN"/>
            </w:rPr>
            <w:fldChar w:fldCharType="begin"/>
          </w:r>
          <w:r>
            <w:rPr>
              <w:rFonts w:hint="eastAsia"/>
              <w:color w:val="auto"/>
              <w:szCs w:val="36"/>
              <w:lang w:val="en-US" w:eastAsia="zh-CN"/>
            </w:rPr>
            <w:instrText xml:space="preserve"> HYPERLINK \l _Toc26675 </w:instrText>
          </w:r>
          <w:r>
            <w:rPr>
              <w:rFonts w:hint="eastAsia"/>
              <w:color w:val="auto"/>
              <w:szCs w:val="36"/>
              <w:lang w:val="en-US" w:eastAsia="zh-CN"/>
            </w:rPr>
            <w:fldChar w:fldCharType="separate"/>
          </w:r>
          <w:r>
            <w:rPr>
              <w:rFonts w:hint="eastAsia" w:asciiTheme="majorEastAsia" w:hAnsiTheme="majorEastAsia" w:eastAsiaTheme="majorEastAsia" w:cstheme="majorEastAsia"/>
              <w:bCs w:val="0"/>
              <w:color w:val="auto"/>
              <w:kern w:val="2"/>
              <w:szCs w:val="52"/>
              <w:lang w:val="en-US" w:eastAsia="zh-CN" w:bidi="ar-SA"/>
            </w:rPr>
            <w:t>第七章 合同文本</w:t>
          </w:r>
          <w:r>
            <w:rPr>
              <w:color w:val="auto"/>
            </w:rPr>
            <w:tab/>
          </w:r>
          <w:r>
            <w:rPr>
              <w:color w:val="auto"/>
            </w:rPr>
            <w:fldChar w:fldCharType="begin"/>
          </w:r>
          <w:r>
            <w:rPr>
              <w:color w:val="auto"/>
            </w:rPr>
            <w:instrText xml:space="preserve"> PAGEREF _Toc26675 \h </w:instrText>
          </w:r>
          <w:r>
            <w:rPr>
              <w:color w:val="auto"/>
            </w:rPr>
            <w:fldChar w:fldCharType="separate"/>
          </w:r>
          <w:r>
            <w:rPr>
              <w:color w:val="auto"/>
            </w:rPr>
            <w:t>72</w:t>
          </w:r>
          <w:r>
            <w:rPr>
              <w:color w:val="auto"/>
            </w:rPr>
            <w:fldChar w:fldCharType="end"/>
          </w:r>
          <w:r>
            <w:rPr>
              <w:rFonts w:hint="eastAsia"/>
              <w:color w:val="auto"/>
              <w:szCs w:val="36"/>
              <w:lang w:val="en-US" w:eastAsia="zh-CN"/>
            </w:rPr>
            <w:fldChar w:fldCharType="end"/>
          </w:r>
        </w:p>
        <w:p w14:paraId="6C32F2F0">
          <w:pPr>
            <w:pStyle w:val="2"/>
            <w:keepNext w:val="0"/>
            <w:keepLines w:val="0"/>
            <w:pageBreakBefore w:val="0"/>
            <w:kinsoku/>
            <w:wordWrap/>
            <w:overflowPunct/>
            <w:topLinePunct w:val="0"/>
            <w:bidi w:val="0"/>
            <w:snapToGrid/>
            <w:spacing w:line="360" w:lineRule="auto"/>
            <w:textAlignment w:val="auto"/>
            <w:rPr>
              <w:rFonts w:hint="eastAsia"/>
              <w:color w:val="auto"/>
              <w:sz w:val="36"/>
              <w:szCs w:val="36"/>
              <w:lang w:val="en-US" w:eastAsia="zh-CN"/>
            </w:rPr>
          </w:pPr>
          <w:r>
            <w:rPr>
              <w:rFonts w:hint="eastAsia"/>
              <w:color w:val="auto"/>
              <w:szCs w:val="36"/>
              <w:lang w:val="en-US" w:eastAsia="zh-CN"/>
            </w:rPr>
            <w:fldChar w:fldCharType="end"/>
          </w:r>
        </w:p>
      </w:sdtContent>
    </w:sdt>
    <w:p w14:paraId="56C42AC8">
      <w:pPr>
        <w:pStyle w:val="21"/>
        <w:keepNext w:val="0"/>
        <w:keepLines w:val="0"/>
        <w:pageBreakBefore w:val="0"/>
        <w:tabs>
          <w:tab w:val="right" w:leader="dot" w:pos="9638"/>
          <w:tab w:val="clear" w:pos="8398"/>
        </w:tabs>
        <w:kinsoku/>
        <w:wordWrap/>
        <w:overflowPunct/>
        <w:topLinePunct w:val="0"/>
        <w:bidi w:val="0"/>
        <w:snapToGrid/>
        <w:spacing w:line="360" w:lineRule="auto"/>
        <w:ind w:firstLine="321"/>
        <w:textAlignment w:val="auto"/>
        <w:rPr>
          <w:rFonts w:hint="eastAsia" w:asciiTheme="majorEastAsia" w:hAnsiTheme="majorEastAsia" w:eastAsiaTheme="majorEastAsia" w:cstheme="majorEastAsia"/>
          <w:color w:val="auto"/>
          <w:sz w:val="36"/>
          <w:szCs w:val="36"/>
          <w:highlight w:val="none"/>
        </w:rPr>
      </w:pPr>
    </w:p>
    <w:p w14:paraId="29B036C4">
      <w:pPr>
        <w:pStyle w:val="16"/>
        <w:ind w:left="411" w:leftChars="196"/>
        <w:rPr>
          <w:rFonts w:hint="eastAsia" w:asciiTheme="majorEastAsia" w:hAnsiTheme="majorEastAsia" w:eastAsiaTheme="majorEastAsia" w:cstheme="majorEastAsia"/>
          <w:color w:val="auto"/>
          <w:sz w:val="32"/>
          <w:highlight w:val="none"/>
        </w:rPr>
      </w:pPr>
    </w:p>
    <w:p w14:paraId="234238FE">
      <w:pPr>
        <w:pStyle w:val="16"/>
        <w:ind w:left="411" w:leftChars="196"/>
        <w:rPr>
          <w:rFonts w:hint="eastAsia" w:asciiTheme="majorEastAsia" w:hAnsiTheme="majorEastAsia" w:eastAsiaTheme="majorEastAsia" w:cstheme="majorEastAsia"/>
          <w:color w:val="auto"/>
          <w:sz w:val="32"/>
          <w:highlight w:val="none"/>
        </w:rPr>
      </w:pPr>
    </w:p>
    <w:p w14:paraId="570B58FD">
      <w:pPr>
        <w:pStyle w:val="16"/>
        <w:ind w:left="411" w:leftChars="196"/>
        <w:rPr>
          <w:rFonts w:hint="eastAsia" w:asciiTheme="majorEastAsia" w:hAnsiTheme="majorEastAsia" w:eastAsiaTheme="majorEastAsia" w:cstheme="majorEastAsia"/>
          <w:color w:val="auto"/>
          <w:sz w:val="32"/>
          <w:highlight w:val="none"/>
        </w:rPr>
      </w:pPr>
    </w:p>
    <w:p w14:paraId="46E63234">
      <w:pPr>
        <w:pStyle w:val="16"/>
        <w:ind w:left="411" w:leftChars="196"/>
        <w:rPr>
          <w:rFonts w:hint="eastAsia" w:asciiTheme="majorEastAsia" w:hAnsiTheme="majorEastAsia" w:eastAsiaTheme="majorEastAsia" w:cstheme="majorEastAsia"/>
          <w:color w:val="auto"/>
          <w:sz w:val="32"/>
          <w:highlight w:val="none"/>
        </w:rPr>
      </w:pPr>
    </w:p>
    <w:p w14:paraId="0A6536D2">
      <w:pPr>
        <w:tabs>
          <w:tab w:val="center" w:pos="4535"/>
          <w:tab w:val="left" w:pos="6945"/>
        </w:tabs>
        <w:spacing w:line="400" w:lineRule="exact"/>
        <w:jc w:val="left"/>
        <w:rPr>
          <w:rFonts w:hint="eastAsia" w:asciiTheme="majorEastAsia" w:hAnsiTheme="majorEastAsia" w:eastAsiaTheme="majorEastAsia" w:cstheme="majorEastAsia"/>
          <w:color w:val="auto"/>
          <w:sz w:val="36"/>
          <w:szCs w:val="36"/>
          <w:highlight w:val="none"/>
        </w:rPr>
      </w:pPr>
      <w:r>
        <w:rPr>
          <w:rFonts w:hint="eastAsia" w:asciiTheme="majorEastAsia" w:hAnsiTheme="majorEastAsia" w:eastAsiaTheme="majorEastAsia" w:cstheme="majorEastAsia"/>
          <w:color w:val="auto"/>
          <w:sz w:val="36"/>
          <w:szCs w:val="36"/>
          <w:highlight w:val="none"/>
        </w:rPr>
        <w:tab/>
      </w:r>
    </w:p>
    <w:p w14:paraId="2E421DA1">
      <w:pPr>
        <w:pStyle w:val="16"/>
        <w:spacing w:line="500" w:lineRule="exact"/>
        <w:jc w:val="center"/>
        <w:rPr>
          <w:rFonts w:hint="eastAsia" w:asciiTheme="majorEastAsia" w:hAnsiTheme="majorEastAsia" w:eastAsiaTheme="majorEastAsia" w:cstheme="majorEastAsia"/>
          <w:color w:val="auto"/>
          <w:sz w:val="36"/>
          <w:szCs w:val="36"/>
          <w:highlight w:val="none"/>
        </w:rPr>
        <w:sectPr>
          <w:headerReference r:id="rId7" w:type="first"/>
          <w:footerReference r:id="rId9" w:type="first"/>
          <w:headerReference r:id="rId6" w:type="default"/>
          <w:footerReference r:id="rId8" w:type="default"/>
          <w:pgSz w:w="11906" w:h="16838"/>
          <w:pgMar w:top="1134" w:right="1140" w:bottom="1134" w:left="1140" w:header="709" w:footer="709" w:gutter="0"/>
          <w:pgNumType w:fmt="decimal" w:start="1"/>
          <w:cols w:space="720" w:num="1"/>
          <w:titlePg/>
          <w:docGrid w:type="linesAndChars" w:linePitch="312" w:charSpace="0"/>
        </w:sectPr>
      </w:pPr>
    </w:p>
    <w:p w14:paraId="3DB2376A">
      <w:pPr>
        <w:pStyle w:val="17"/>
        <w:rPr>
          <w:rFonts w:hint="eastAsia"/>
          <w:color w:val="auto"/>
        </w:rPr>
      </w:pPr>
    </w:p>
    <w:p w14:paraId="0845C295">
      <w:pPr>
        <w:pStyle w:val="16"/>
        <w:spacing w:line="500" w:lineRule="exact"/>
        <w:jc w:val="center"/>
        <w:rPr>
          <w:rFonts w:hint="eastAsia" w:asciiTheme="majorEastAsia" w:hAnsiTheme="majorEastAsia" w:eastAsiaTheme="majorEastAsia" w:cstheme="majorEastAsia"/>
          <w:color w:val="auto"/>
          <w:sz w:val="36"/>
          <w:szCs w:val="36"/>
          <w:highlight w:val="none"/>
        </w:rPr>
      </w:pPr>
    </w:p>
    <w:p w14:paraId="2A20A708">
      <w:pPr>
        <w:pStyle w:val="16"/>
        <w:spacing w:line="500" w:lineRule="exact"/>
        <w:jc w:val="center"/>
        <w:rPr>
          <w:rFonts w:hint="eastAsia" w:asciiTheme="majorEastAsia" w:hAnsiTheme="majorEastAsia" w:eastAsiaTheme="majorEastAsia" w:cstheme="majorEastAsia"/>
          <w:color w:val="auto"/>
          <w:sz w:val="36"/>
          <w:szCs w:val="36"/>
          <w:highlight w:val="none"/>
        </w:rPr>
      </w:pPr>
    </w:p>
    <w:p w14:paraId="213DF39D">
      <w:pPr>
        <w:pStyle w:val="16"/>
        <w:spacing w:line="500" w:lineRule="exact"/>
        <w:jc w:val="center"/>
        <w:rPr>
          <w:rFonts w:hint="eastAsia" w:asciiTheme="majorEastAsia" w:hAnsiTheme="majorEastAsia" w:eastAsiaTheme="majorEastAsia" w:cstheme="majorEastAsia"/>
          <w:color w:val="auto"/>
          <w:sz w:val="36"/>
          <w:szCs w:val="36"/>
          <w:highlight w:val="none"/>
        </w:rPr>
      </w:pPr>
    </w:p>
    <w:p w14:paraId="0C85B3AA">
      <w:pPr>
        <w:pStyle w:val="16"/>
        <w:spacing w:line="500" w:lineRule="exact"/>
        <w:jc w:val="center"/>
        <w:rPr>
          <w:rFonts w:hint="eastAsia" w:asciiTheme="majorEastAsia" w:hAnsiTheme="majorEastAsia" w:eastAsiaTheme="majorEastAsia" w:cstheme="majorEastAsia"/>
          <w:color w:val="auto"/>
          <w:sz w:val="36"/>
          <w:szCs w:val="36"/>
          <w:highlight w:val="none"/>
        </w:rPr>
      </w:pPr>
    </w:p>
    <w:p w14:paraId="04AE38AE">
      <w:pPr>
        <w:pStyle w:val="3"/>
        <w:keepLines/>
        <w:spacing w:before="340" w:after="330" w:line="578" w:lineRule="auto"/>
        <w:jc w:val="center"/>
        <w:rPr>
          <w:rFonts w:hint="eastAsia" w:asciiTheme="majorEastAsia" w:hAnsiTheme="majorEastAsia" w:eastAsiaTheme="majorEastAsia" w:cstheme="majorEastAsia"/>
          <w:b/>
          <w:bCs w:val="0"/>
          <w:color w:val="auto"/>
          <w:kern w:val="2"/>
          <w:sz w:val="40"/>
          <w:szCs w:val="52"/>
          <w:lang w:val="en-US" w:eastAsia="zh-CN" w:bidi="ar-SA"/>
        </w:rPr>
      </w:pPr>
      <w:bookmarkStart w:id="4" w:name="_Toc12628"/>
      <w:bookmarkStart w:id="5" w:name="_Toc11271"/>
      <w:r>
        <w:rPr>
          <w:rFonts w:hint="eastAsia" w:asciiTheme="majorEastAsia" w:hAnsiTheme="majorEastAsia" w:eastAsiaTheme="majorEastAsia" w:cstheme="majorEastAsia"/>
          <w:b/>
          <w:bCs w:val="0"/>
          <w:color w:val="auto"/>
          <w:kern w:val="2"/>
          <w:sz w:val="40"/>
          <w:szCs w:val="52"/>
          <w:lang w:val="en-US" w:eastAsia="zh-CN" w:bidi="ar-SA"/>
        </w:rPr>
        <w:t>第一章  竞争性磋商公告</w:t>
      </w:r>
      <w:bookmarkEnd w:id="4"/>
      <w:bookmarkEnd w:id="5"/>
    </w:p>
    <w:p w14:paraId="4533C620">
      <w:pPr>
        <w:pStyle w:val="16"/>
        <w:spacing w:line="400" w:lineRule="exact"/>
        <w:jc w:val="center"/>
        <w:rPr>
          <w:rFonts w:hint="eastAsia" w:asciiTheme="majorEastAsia" w:hAnsiTheme="majorEastAsia" w:eastAsiaTheme="majorEastAsia" w:cstheme="majorEastAsia"/>
          <w:b/>
          <w:color w:val="auto"/>
          <w:sz w:val="32"/>
          <w:szCs w:val="32"/>
          <w:highlight w:val="none"/>
        </w:rPr>
      </w:pPr>
    </w:p>
    <w:p w14:paraId="0596FC8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b/>
          <w:bCs/>
          <w:color w:val="auto"/>
          <w:sz w:val="28"/>
          <w:szCs w:val="28"/>
          <w:highlight w:val="none"/>
          <w:lang w:eastAsia="zh-CN"/>
        </w:rPr>
      </w:pPr>
      <w:r>
        <w:rPr>
          <w:rFonts w:hint="eastAsia" w:asciiTheme="majorEastAsia" w:hAnsiTheme="majorEastAsia" w:eastAsiaTheme="majorEastAsia" w:cstheme="majorEastAsia"/>
          <w:color w:val="auto"/>
          <w:szCs w:val="21"/>
          <w:highlight w:val="none"/>
          <w:lang w:eastAsia="zh-CN"/>
        </w:rPr>
        <w:br w:type="page"/>
      </w:r>
      <w:r>
        <w:rPr>
          <w:rFonts w:hint="eastAsia" w:asciiTheme="majorEastAsia" w:hAnsiTheme="majorEastAsia" w:eastAsiaTheme="majorEastAsia" w:cstheme="majorEastAsia"/>
          <w:b/>
          <w:bCs/>
          <w:color w:val="auto"/>
          <w:sz w:val="28"/>
          <w:szCs w:val="28"/>
          <w:highlight w:val="none"/>
          <w:lang w:eastAsia="zh-CN"/>
        </w:rPr>
        <w:t>广西建汇工程咨询有限公司</w:t>
      </w:r>
    </w:p>
    <w:p w14:paraId="1C2AFF3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b/>
          <w:bCs/>
          <w:color w:val="auto"/>
          <w:sz w:val="28"/>
          <w:szCs w:val="28"/>
          <w:highlight w:val="none"/>
          <w:lang w:eastAsia="zh-CN"/>
        </w:rPr>
      </w:pPr>
      <w:r>
        <w:rPr>
          <w:rFonts w:hint="eastAsia" w:asciiTheme="majorEastAsia" w:hAnsiTheme="majorEastAsia" w:eastAsiaTheme="majorEastAsia" w:cstheme="majorEastAsia"/>
          <w:b/>
          <w:bCs/>
          <w:color w:val="auto"/>
          <w:sz w:val="28"/>
          <w:szCs w:val="28"/>
          <w:highlight w:val="none"/>
          <w:lang w:eastAsia="zh-CN"/>
        </w:rPr>
        <w:t>陆川县人民医院高压、低压供电系统改造工程项目</w:t>
      </w:r>
    </w:p>
    <w:p w14:paraId="0572899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b/>
          <w:bCs/>
          <w:color w:val="auto"/>
          <w:sz w:val="28"/>
          <w:szCs w:val="28"/>
          <w:highlight w:val="none"/>
          <w:lang w:eastAsia="zh-CN"/>
        </w:rPr>
      </w:pPr>
      <w:r>
        <w:rPr>
          <w:rFonts w:hint="eastAsia" w:asciiTheme="majorEastAsia" w:hAnsiTheme="majorEastAsia" w:eastAsiaTheme="majorEastAsia" w:cstheme="majorEastAsia"/>
          <w:b/>
          <w:bCs/>
          <w:color w:val="auto"/>
          <w:sz w:val="28"/>
          <w:szCs w:val="28"/>
          <w:highlight w:val="none"/>
          <w:lang w:eastAsia="zh-CN"/>
        </w:rPr>
        <w:t>竞争性磋商公告</w:t>
      </w:r>
    </w:p>
    <w:p w14:paraId="54437628">
      <w:pPr>
        <w:keepNext w:val="0"/>
        <w:keepLines w:val="0"/>
        <w:pageBreakBefore w:val="0"/>
        <w:widowControl w:val="0"/>
        <w:pBdr>
          <w:top w:val="single" w:color="auto" w:sz="4" w:space="1"/>
          <w:left w:val="single" w:color="auto" w:sz="4" w:space="0"/>
          <w:bottom w:val="single" w:color="auto" w:sz="4" w:space="1"/>
          <w:right w:val="single" w:color="auto" w:sz="4" w:space="4"/>
        </w:pBdr>
        <w:kinsoku/>
        <w:wordWrap/>
        <w:overflowPunct/>
        <w:topLinePunct w:val="0"/>
        <w:autoSpaceDE/>
        <w:autoSpaceDN/>
        <w:bidi w:val="0"/>
        <w:adjustRightInd/>
        <w:snapToGrid/>
        <w:spacing w:line="312" w:lineRule="auto"/>
        <w:ind w:left="0" w:leftChars="0" w:right="0" w:firstLine="420" w:firstLineChars="200"/>
        <w:textAlignment w:val="auto"/>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项目概况</w:t>
      </w:r>
    </w:p>
    <w:p w14:paraId="6030DD7B">
      <w:pPr>
        <w:keepNext w:val="0"/>
        <w:keepLines w:val="0"/>
        <w:pageBreakBefore w:val="0"/>
        <w:widowControl w:val="0"/>
        <w:pBdr>
          <w:top w:val="single" w:color="auto" w:sz="4" w:space="1"/>
          <w:left w:val="single" w:color="auto" w:sz="4" w:space="0"/>
          <w:bottom w:val="single" w:color="auto" w:sz="4" w:space="1"/>
          <w:right w:val="single" w:color="auto" w:sz="4" w:space="4"/>
        </w:pBdr>
        <w:kinsoku/>
        <w:wordWrap/>
        <w:overflowPunct/>
        <w:topLinePunct w:val="0"/>
        <w:autoSpaceDE/>
        <w:autoSpaceDN/>
        <w:bidi w:val="0"/>
        <w:adjustRightInd/>
        <w:snapToGrid/>
        <w:spacing w:line="312" w:lineRule="auto"/>
        <w:ind w:left="0" w:leftChars="0" w:right="0" w:firstLine="420" w:firstLineChars="200"/>
        <w:textAlignment w:val="auto"/>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u w:val="single"/>
          <w:lang w:eastAsia="zh-CN"/>
        </w:rPr>
        <w:t>陆川县人民医院高压、低压供电系统改造工程项目</w:t>
      </w:r>
      <w:r>
        <w:rPr>
          <w:rFonts w:hint="eastAsia" w:asciiTheme="majorEastAsia" w:hAnsiTheme="majorEastAsia" w:eastAsiaTheme="majorEastAsia" w:cstheme="majorEastAsia"/>
          <w:color w:val="auto"/>
          <w:sz w:val="21"/>
          <w:szCs w:val="21"/>
          <w:highlight w:val="none"/>
          <w:u w:val="none"/>
          <w:lang w:eastAsia="zh-CN"/>
        </w:rPr>
        <w:t>采购项目</w:t>
      </w:r>
      <w:r>
        <w:rPr>
          <w:rFonts w:hint="eastAsia" w:asciiTheme="majorEastAsia" w:hAnsiTheme="majorEastAsia" w:eastAsiaTheme="majorEastAsia" w:cstheme="majorEastAsia"/>
          <w:color w:val="auto"/>
          <w:sz w:val="21"/>
          <w:szCs w:val="21"/>
          <w:highlight w:val="none"/>
          <w:u w:val="none"/>
        </w:rPr>
        <w:t>的</w:t>
      </w:r>
      <w:r>
        <w:rPr>
          <w:rFonts w:hint="eastAsia" w:asciiTheme="majorEastAsia" w:hAnsiTheme="majorEastAsia" w:eastAsiaTheme="majorEastAsia" w:cstheme="majorEastAsia"/>
          <w:color w:val="auto"/>
          <w:sz w:val="21"/>
          <w:szCs w:val="21"/>
          <w:highlight w:val="none"/>
        </w:rPr>
        <w:t>潜在供应商应在</w:t>
      </w:r>
      <w:r>
        <w:rPr>
          <w:rFonts w:hint="eastAsia" w:ascii="宋体" w:hAnsi="宋体"/>
          <w:color w:val="auto"/>
          <w:szCs w:val="21"/>
          <w:u w:val="single"/>
        </w:rPr>
        <w:t>广西政府采购云平台（</w:t>
      </w:r>
      <w:r>
        <w:rPr>
          <w:rFonts w:ascii="宋体" w:hAnsi="宋体"/>
          <w:color w:val="auto"/>
          <w:szCs w:val="21"/>
          <w:u w:val="single"/>
        </w:rPr>
        <w:t>https://www.gcy.zfcg.gxzf.gov.cn</w:t>
      </w:r>
      <w:r>
        <w:rPr>
          <w:rFonts w:hint="eastAsia" w:ascii="宋体" w:hAnsi="宋体"/>
          <w:color w:val="auto"/>
          <w:szCs w:val="21"/>
          <w:u w:val="single"/>
          <w:lang w:eastAsia="zh-CN"/>
        </w:rPr>
        <w:t>）</w:t>
      </w:r>
      <w:r>
        <w:rPr>
          <w:rFonts w:hint="eastAsia" w:asciiTheme="majorEastAsia" w:hAnsiTheme="majorEastAsia" w:eastAsiaTheme="majorEastAsia" w:cstheme="majorEastAsia"/>
          <w:color w:val="auto"/>
          <w:sz w:val="21"/>
          <w:szCs w:val="21"/>
          <w:highlight w:val="none"/>
        </w:rPr>
        <w:t>获取竞争性磋商文件，并于</w:t>
      </w:r>
      <w:r>
        <w:rPr>
          <w:rFonts w:hint="eastAsia" w:asciiTheme="majorEastAsia" w:hAnsiTheme="majorEastAsia" w:eastAsiaTheme="majorEastAsia" w:cstheme="majorEastAsia"/>
          <w:color w:val="auto"/>
          <w:sz w:val="21"/>
          <w:szCs w:val="21"/>
          <w:highlight w:val="none"/>
          <w:u w:val="single"/>
        </w:rPr>
        <w:t>202</w:t>
      </w:r>
      <w:r>
        <w:rPr>
          <w:rFonts w:hint="eastAsia" w:asciiTheme="majorEastAsia" w:hAnsiTheme="majorEastAsia" w:eastAsiaTheme="majorEastAsia" w:cstheme="majorEastAsia"/>
          <w:color w:val="auto"/>
          <w:sz w:val="21"/>
          <w:szCs w:val="21"/>
          <w:highlight w:val="none"/>
          <w:u w:val="single"/>
          <w:lang w:val="en-US" w:eastAsia="zh-CN"/>
        </w:rPr>
        <w:t>6</w:t>
      </w:r>
      <w:r>
        <w:rPr>
          <w:rFonts w:hint="eastAsia" w:asciiTheme="majorEastAsia" w:hAnsiTheme="majorEastAsia" w:eastAsiaTheme="majorEastAsia" w:cstheme="majorEastAsia"/>
          <w:color w:val="auto"/>
          <w:sz w:val="21"/>
          <w:szCs w:val="21"/>
          <w:highlight w:val="none"/>
          <w:u w:val="single"/>
        </w:rPr>
        <w:t>年</w:t>
      </w:r>
      <w:r>
        <w:rPr>
          <w:rFonts w:hint="eastAsia" w:asciiTheme="majorEastAsia" w:hAnsiTheme="majorEastAsia" w:eastAsiaTheme="majorEastAsia" w:cstheme="majorEastAsia"/>
          <w:color w:val="auto"/>
          <w:sz w:val="21"/>
          <w:szCs w:val="21"/>
          <w:highlight w:val="none"/>
          <w:u w:val="single"/>
          <w:lang w:val="en-US" w:eastAsia="zh-CN"/>
        </w:rPr>
        <w:t>11</w:t>
      </w:r>
      <w:r>
        <w:rPr>
          <w:rFonts w:hint="eastAsia" w:asciiTheme="majorEastAsia" w:hAnsiTheme="majorEastAsia" w:eastAsiaTheme="majorEastAsia" w:cstheme="majorEastAsia"/>
          <w:color w:val="auto"/>
          <w:sz w:val="21"/>
          <w:szCs w:val="21"/>
          <w:highlight w:val="none"/>
          <w:u w:val="single"/>
        </w:rPr>
        <w:t>月</w:t>
      </w:r>
      <w:r>
        <w:rPr>
          <w:rFonts w:hint="eastAsia" w:asciiTheme="majorEastAsia" w:hAnsiTheme="majorEastAsia" w:eastAsiaTheme="majorEastAsia" w:cstheme="majorEastAsia"/>
          <w:color w:val="auto"/>
          <w:sz w:val="21"/>
          <w:szCs w:val="21"/>
          <w:highlight w:val="none"/>
          <w:u w:val="single"/>
          <w:lang w:val="en-US" w:eastAsia="zh-CN"/>
        </w:rPr>
        <w:t xml:space="preserve"> 3</w:t>
      </w:r>
      <w:r>
        <w:rPr>
          <w:rFonts w:hint="eastAsia" w:asciiTheme="majorEastAsia" w:hAnsiTheme="majorEastAsia" w:eastAsiaTheme="majorEastAsia" w:cstheme="majorEastAsia"/>
          <w:color w:val="auto"/>
          <w:sz w:val="21"/>
          <w:szCs w:val="21"/>
          <w:highlight w:val="none"/>
          <w:u w:val="single"/>
        </w:rPr>
        <w:t>日</w:t>
      </w:r>
      <w:r>
        <w:rPr>
          <w:rFonts w:hint="eastAsia" w:asciiTheme="majorEastAsia" w:hAnsiTheme="majorEastAsia" w:eastAsiaTheme="majorEastAsia" w:cstheme="majorEastAsia"/>
          <w:color w:val="auto"/>
          <w:sz w:val="21"/>
          <w:szCs w:val="21"/>
          <w:highlight w:val="none"/>
          <w:u w:val="single"/>
          <w:lang w:val="en-US" w:eastAsia="zh-CN"/>
        </w:rPr>
        <w:t>09</w:t>
      </w:r>
      <w:r>
        <w:rPr>
          <w:rFonts w:hint="eastAsia" w:asciiTheme="majorEastAsia" w:hAnsiTheme="majorEastAsia" w:eastAsiaTheme="majorEastAsia" w:cstheme="majorEastAsia"/>
          <w:color w:val="auto"/>
          <w:sz w:val="21"/>
          <w:szCs w:val="21"/>
          <w:highlight w:val="none"/>
          <w:u w:val="single"/>
        </w:rPr>
        <w:t>时</w:t>
      </w:r>
      <w:r>
        <w:rPr>
          <w:rFonts w:hint="eastAsia" w:asciiTheme="majorEastAsia" w:hAnsiTheme="majorEastAsia" w:eastAsiaTheme="majorEastAsia" w:cstheme="majorEastAsia"/>
          <w:color w:val="auto"/>
          <w:sz w:val="21"/>
          <w:szCs w:val="21"/>
          <w:highlight w:val="none"/>
          <w:u w:val="single"/>
          <w:lang w:val="en-US" w:eastAsia="zh-CN"/>
        </w:rPr>
        <w:t>00</w:t>
      </w:r>
      <w:r>
        <w:rPr>
          <w:rFonts w:hint="eastAsia" w:asciiTheme="majorEastAsia" w:hAnsiTheme="majorEastAsia" w:eastAsiaTheme="majorEastAsia" w:cstheme="majorEastAsia"/>
          <w:color w:val="auto"/>
          <w:sz w:val="21"/>
          <w:szCs w:val="21"/>
          <w:highlight w:val="none"/>
          <w:u w:val="single"/>
        </w:rPr>
        <w:t>分</w:t>
      </w:r>
      <w:r>
        <w:rPr>
          <w:rFonts w:hint="eastAsia" w:asciiTheme="majorEastAsia" w:hAnsiTheme="majorEastAsia" w:eastAsiaTheme="majorEastAsia" w:cstheme="majorEastAsia"/>
          <w:color w:val="auto"/>
          <w:sz w:val="21"/>
          <w:szCs w:val="21"/>
          <w:highlight w:val="none"/>
        </w:rPr>
        <w:t>（北京时间）前提交响应文件。</w:t>
      </w:r>
    </w:p>
    <w:p w14:paraId="648AFD99">
      <w:pPr>
        <w:pageBreakBefore w:val="0"/>
        <w:tabs>
          <w:tab w:val="left" w:pos="284"/>
        </w:tabs>
        <w:kinsoku/>
        <w:wordWrap/>
        <w:overflowPunct/>
        <w:topLinePunct w:val="0"/>
        <w:autoSpaceDE/>
        <w:autoSpaceDN/>
        <w:bidi w:val="0"/>
        <w:adjustRightInd/>
        <w:snapToGrid/>
        <w:spacing w:line="480" w:lineRule="exact"/>
        <w:ind w:left="0" w:leftChars="0" w:right="0" w:firstLine="482" w:firstLineChars="200"/>
        <w:textAlignment w:val="auto"/>
        <w:rPr>
          <w:rFonts w:hint="eastAsia" w:asciiTheme="majorEastAsia" w:hAnsiTheme="majorEastAsia" w:eastAsiaTheme="majorEastAsia" w:cstheme="majorEastAsia"/>
          <w:b/>
          <w:color w:val="auto"/>
          <w:sz w:val="24"/>
          <w:szCs w:val="24"/>
          <w:highlight w:val="none"/>
        </w:rPr>
      </w:pPr>
      <w:bookmarkStart w:id="6" w:name="_Toc35393798"/>
      <w:bookmarkStart w:id="7" w:name="_Toc28359012"/>
      <w:bookmarkStart w:id="8" w:name="_Toc35393629"/>
      <w:bookmarkStart w:id="9" w:name="_Toc28359089"/>
      <w:r>
        <w:rPr>
          <w:rFonts w:hint="eastAsia" w:asciiTheme="majorEastAsia" w:hAnsiTheme="majorEastAsia" w:eastAsiaTheme="majorEastAsia" w:cstheme="majorEastAsia"/>
          <w:b/>
          <w:color w:val="auto"/>
          <w:sz w:val="24"/>
          <w:szCs w:val="24"/>
          <w:highlight w:val="none"/>
        </w:rPr>
        <w:t>一、项目基本情况</w:t>
      </w:r>
      <w:bookmarkEnd w:id="6"/>
      <w:bookmarkEnd w:id="7"/>
      <w:bookmarkEnd w:id="8"/>
      <w:bookmarkEnd w:id="9"/>
    </w:p>
    <w:p w14:paraId="03DA49A1">
      <w:pPr>
        <w:keepNext w:val="0"/>
        <w:keepLines w:val="0"/>
        <w:pageBreakBefore w:val="0"/>
        <w:widowControl w:val="0"/>
        <w:kinsoku/>
        <w:wordWrap/>
        <w:overflowPunct/>
        <w:topLinePunct w:val="0"/>
        <w:autoSpaceDE/>
        <w:autoSpaceDN/>
        <w:bidi w:val="0"/>
        <w:adjustRightInd/>
        <w:snapToGrid/>
        <w:spacing w:line="480" w:lineRule="exact"/>
        <w:ind w:left="0" w:leftChars="0" w:right="0" w:firstLine="420" w:firstLineChars="200"/>
        <w:textAlignment w:val="auto"/>
        <w:rPr>
          <w:rFonts w:hint="eastAsia" w:asciiTheme="majorEastAsia" w:hAnsiTheme="majorEastAsia" w:eastAsiaTheme="majorEastAsia" w:cstheme="majorEastAsia"/>
          <w:b w:val="0"/>
          <w:bCs/>
          <w:color w:val="auto"/>
          <w:sz w:val="21"/>
          <w:szCs w:val="21"/>
          <w:highlight w:val="none"/>
          <w:lang w:val="en-US" w:eastAsia="zh-CN"/>
        </w:rPr>
      </w:pPr>
      <w:r>
        <w:rPr>
          <w:rFonts w:hint="eastAsia" w:asciiTheme="majorEastAsia" w:hAnsiTheme="majorEastAsia" w:eastAsiaTheme="majorEastAsia" w:cstheme="majorEastAsia"/>
          <w:b w:val="0"/>
          <w:bCs/>
          <w:color w:val="auto"/>
          <w:sz w:val="21"/>
          <w:szCs w:val="21"/>
          <w:highlight w:val="none"/>
          <w:lang w:val="en-US" w:eastAsia="zh-CN"/>
        </w:rPr>
        <w:t>项目编号：YLZC2026-C2-220205-GXJH</w:t>
      </w:r>
    </w:p>
    <w:p w14:paraId="20DC3C4E">
      <w:pPr>
        <w:keepNext w:val="0"/>
        <w:keepLines w:val="0"/>
        <w:pageBreakBefore w:val="0"/>
        <w:widowControl w:val="0"/>
        <w:kinsoku/>
        <w:wordWrap/>
        <w:overflowPunct/>
        <w:topLinePunct w:val="0"/>
        <w:autoSpaceDE/>
        <w:autoSpaceDN/>
        <w:bidi w:val="0"/>
        <w:adjustRightInd/>
        <w:snapToGrid/>
        <w:spacing w:line="480" w:lineRule="exact"/>
        <w:ind w:left="0" w:leftChars="0" w:right="0" w:firstLine="420" w:firstLineChars="200"/>
        <w:textAlignment w:val="auto"/>
        <w:rPr>
          <w:rFonts w:hint="eastAsia" w:asciiTheme="majorEastAsia" w:hAnsiTheme="majorEastAsia" w:eastAsiaTheme="majorEastAsia" w:cstheme="majorEastAsia"/>
          <w:b w:val="0"/>
          <w:bCs/>
          <w:color w:val="auto"/>
          <w:sz w:val="21"/>
          <w:szCs w:val="21"/>
          <w:highlight w:val="none"/>
          <w:lang w:val="en-US" w:eastAsia="zh-CN"/>
        </w:rPr>
      </w:pPr>
      <w:r>
        <w:rPr>
          <w:rFonts w:hint="eastAsia" w:asciiTheme="majorEastAsia" w:hAnsiTheme="majorEastAsia" w:eastAsiaTheme="majorEastAsia" w:cstheme="majorEastAsia"/>
          <w:b w:val="0"/>
          <w:bCs/>
          <w:color w:val="auto"/>
          <w:sz w:val="21"/>
          <w:szCs w:val="21"/>
          <w:highlight w:val="none"/>
          <w:lang w:val="en-US" w:eastAsia="zh-CN"/>
        </w:rPr>
        <w:t>项目名称：陆川县人民医院高压、低压供电系统改造工程项目</w:t>
      </w:r>
    </w:p>
    <w:p w14:paraId="1DAA91C7">
      <w:pPr>
        <w:keepNext w:val="0"/>
        <w:keepLines w:val="0"/>
        <w:pageBreakBefore w:val="0"/>
        <w:widowControl w:val="0"/>
        <w:kinsoku/>
        <w:wordWrap/>
        <w:overflowPunct/>
        <w:topLinePunct w:val="0"/>
        <w:autoSpaceDE/>
        <w:autoSpaceDN/>
        <w:bidi w:val="0"/>
        <w:adjustRightInd/>
        <w:snapToGrid/>
        <w:spacing w:line="480" w:lineRule="exact"/>
        <w:ind w:left="0" w:leftChars="0" w:right="0" w:firstLine="420" w:firstLineChars="200"/>
        <w:textAlignment w:val="auto"/>
        <w:rPr>
          <w:rFonts w:hint="eastAsia" w:asciiTheme="majorEastAsia" w:hAnsiTheme="majorEastAsia" w:eastAsiaTheme="majorEastAsia" w:cstheme="majorEastAsia"/>
          <w:b w:val="0"/>
          <w:bCs/>
          <w:color w:val="auto"/>
          <w:sz w:val="21"/>
          <w:szCs w:val="21"/>
          <w:highlight w:val="none"/>
          <w:lang w:val="en-US" w:eastAsia="zh-CN"/>
        </w:rPr>
      </w:pPr>
      <w:r>
        <w:rPr>
          <w:rFonts w:hint="eastAsia" w:asciiTheme="majorEastAsia" w:hAnsiTheme="majorEastAsia" w:eastAsiaTheme="majorEastAsia" w:cstheme="majorEastAsia"/>
          <w:b w:val="0"/>
          <w:bCs/>
          <w:color w:val="auto"/>
          <w:sz w:val="21"/>
          <w:szCs w:val="21"/>
          <w:highlight w:val="none"/>
          <w:lang w:val="en-US" w:eastAsia="zh-CN"/>
        </w:rPr>
        <w:t>采购方式：竞争性磋商</w:t>
      </w:r>
    </w:p>
    <w:p w14:paraId="52168FB8">
      <w:pPr>
        <w:keepNext w:val="0"/>
        <w:keepLines w:val="0"/>
        <w:pageBreakBefore w:val="0"/>
        <w:widowControl w:val="0"/>
        <w:kinsoku/>
        <w:wordWrap/>
        <w:overflowPunct/>
        <w:topLinePunct w:val="0"/>
        <w:autoSpaceDE/>
        <w:autoSpaceDN/>
        <w:bidi w:val="0"/>
        <w:adjustRightInd/>
        <w:snapToGrid/>
        <w:spacing w:line="480" w:lineRule="exact"/>
        <w:ind w:left="0" w:leftChars="0" w:right="0" w:firstLine="420" w:firstLineChars="200"/>
        <w:textAlignment w:val="auto"/>
        <w:rPr>
          <w:rFonts w:hint="default" w:asciiTheme="majorEastAsia" w:hAnsiTheme="majorEastAsia" w:eastAsiaTheme="majorEastAsia" w:cstheme="majorEastAsia"/>
          <w:b w:val="0"/>
          <w:bCs/>
          <w:color w:val="auto"/>
          <w:sz w:val="21"/>
          <w:szCs w:val="21"/>
          <w:highlight w:val="none"/>
          <w:lang w:val="en-US" w:eastAsia="zh-CN"/>
        </w:rPr>
      </w:pPr>
      <w:r>
        <w:rPr>
          <w:rFonts w:hint="eastAsia" w:asciiTheme="majorEastAsia" w:hAnsiTheme="majorEastAsia" w:eastAsiaTheme="majorEastAsia" w:cstheme="majorEastAsia"/>
          <w:b w:val="0"/>
          <w:bCs/>
          <w:color w:val="auto"/>
          <w:sz w:val="21"/>
          <w:szCs w:val="21"/>
          <w:highlight w:val="none"/>
          <w:lang w:val="en-US" w:eastAsia="zh-CN"/>
        </w:rPr>
        <w:t>预算总金额（元）：864806.46</w:t>
      </w:r>
    </w:p>
    <w:p w14:paraId="5AE5BCEA">
      <w:pPr>
        <w:keepNext w:val="0"/>
        <w:keepLines w:val="0"/>
        <w:pageBreakBefore w:val="0"/>
        <w:widowControl w:val="0"/>
        <w:kinsoku/>
        <w:wordWrap/>
        <w:overflowPunct/>
        <w:topLinePunct w:val="0"/>
        <w:autoSpaceDE/>
        <w:autoSpaceDN/>
        <w:bidi w:val="0"/>
        <w:adjustRightInd/>
        <w:snapToGrid/>
        <w:spacing w:line="480" w:lineRule="exact"/>
        <w:ind w:left="0" w:leftChars="0" w:right="0" w:firstLine="420" w:firstLineChars="200"/>
        <w:textAlignment w:val="auto"/>
        <w:rPr>
          <w:rFonts w:hint="eastAsia" w:asciiTheme="majorEastAsia" w:hAnsiTheme="majorEastAsia" w:eastAsiaTheme="majorEastAsia" w:cstheme="majorEastAsia"/>
          <w:b w:val="0"/>
          <w:bCs/>
          <w:color w:val="auto"/>
          <w:sz w:val="21"/>
          <w:szCs w:val="21"/>
          <w:highlight w:val="none"/>
        </w:rPr>
      </w:pPr>
      <w:r>
        <w:rPr>
          <w:rFonts w:hint="eastAsia" w:asciiTheme="majorEastAsia" w:hAnsiTheme="majorEastAsia" w:eastAsiaTheme="majorEastAsia" w:cstheme="majorEastAsia"/>
          <w:b w:val="0"/>
          <w:bCs/>
          <w:color w:val="auto"/>
          <w:sz w:val="21"/>
          <w:szCs w:val="21"/>
          <w:highlight w:val="none"/>
        </w:rPr>
        <w:t>采购需求：</w:t>
      </w:r>
    </w:p>
    <w:p w14:paraId="1E631061">
      <w:pPr>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标项名称：</w:t>
      </w:r>
      <w:r>
        <w:rPr>
          <w:rFonts w:hint="eastAsia" w:asciiTheme="majorEastAsia" w:hAnsiTheme="majorEastAsia" w:eastAsiaTheme="majorEastAsia" w:cstheme="majorEastAsia"/>
          <w:b w:val="0"/>
          <w:bCs/>
          <w:color w:val="auto"/>
          <w:sz w:val="21"/>
          <w:szCs w:val="21"/>
          <w:highlight w:val="none"/>
          <w:lang w:val="en-US" w:eastAsia="zh-CN"/>
        </w:rPr>
        <w:t>陆川县人民医院高压、低压供电系统改造工程项目</w:t>
      </w:r>
    </w:p>
    <w:p w14:paraId="54308BD8">
      <w:pPr>
        <w:pageBreakBefore w:val="0"/>
        <w:kinsoku/>
        <w:wordWrap/>
        <w:overflowPunct/>
        <w:topLinePunct w:val="0"/>
        <w:autoSpaceDE/>
        <w:autoSpaceDN/>
        <w:bidi w:val="0"/>
        <w:adjustRightInd/>
        <w:snapToGrid/>
        <w:spacing w:line="480" w:lineRule="exact"/>
        <w:ind w:firstLine="420" w:firstLineChars="200"/>
        <w:textAlignment w:val="auto"/>
        <w:rPr>
          <w:rFonts w:hint="default" w:ascii="宋体" w:hAnsi="宋体" w:eastAsia="宋体"/>
          <w:color w:val="auto"/>
          <w:szCs w:val="21"/>
          <w:highlight w:val="none"/>
          <w:lang w:val="en-US" w:eastAsia="zh-CN"/>
        </w:rPr>
      </w:pPr>
      <w:r>
        <w:rPr>
          <w:rFonts w:hint="eastAsia" w:ascii="宋体" w:hAnsi="宋体"/>
          <w:color w:val="auto"/>
          <w:szCs w:val="21"/>
          <w:highlight w:val="none"/>
        </w:rPr>
        <w:t>预算金额（元）：</w:t>
      </w:r>
      <w:r>
        <w:rPr>
          <w:rFonts w:hint="eastAsia" w:asciiTheme="majorEastAsia" w:hAnsiTheme="majorEastAsia" w:eastAsiaTheme="majorEastAsia" w:cstheme="majorEastAsia"/>
          <w:b w:val="0"/>
          <w:bCs/>
          <w:color w:val="auto"/>
          <w:sz w:val="21"/>
          <w:szCs w:val="21"/>
          <w:highlight w:val="none"/>
          <w:lang w:val="en-US" w:eastAsia="zh-CN"/>
        </w:rPr>
        <w:t>864806.46</w:t>
      </w:r>
    </w:p>
    <w:p w14:paraId="77709A15">
      <w:pPr>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color w:val="auto"/>
          <w:szCs w:val="21"/>
          <w:highlight w:val="none"/>
        </w:rPr>
        <w:t>简要规格描述或项目基本概况介绍、用途：（1）标的的名称、数量及单位：</w:t>
      </w:r>
      <w:r>
        <w:rPr>
          <w:rFonts w:hint="eastAsia" w:asciiTheme="majorEastAsia" w:hAnsiTheme="majorEastAsia" w:eastAsiaTheme="majorEastAsia" w:cstheme="majorEastAsia"/>
          <w:b w:val="0"/>
          <w:bCs/>
          <w:color w:val="auto"/>
          <w:sz w:val="21"/>
          <w:szCs w:val="21"/>
          <w:highlight w:val="none"/>
          <w:lang w:val="en-US" w:eastAsia="zh-CN"/>
        </w:rPr>
        <w:t>陆川县人民医院高压、低压供电系统改造工程项目</w:t>
      </w:r>
      <w:r>
        <w:rPr>
          <w:rFonts w:hint="eastAsia" w:ascii="宋体" w:hAnsi="宋体"/>
          <w:color w:val="auto"/>
          <w:szCs w:val="21"/>
          <w:highlight w:val="none"/>
          <w:lang w:val="en-US" w:eastAsia="zh-CN"/>
        </w:rPr>
        <w:t>1项</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简要技术需求或者服务要求：</w:t>
      </w:r>
      <w:r>
        <w:rPr>
          <w:rFonts w:hint="eastAsia" w:asciiTheme="majorEastAsia" w:hAnsiTheme="majorEastAsia" w:eastAsiaTheme="majorEastAsia" w:cstheme="majorEastAsia"/>
          <w:b w:val="0"/>
          <w:bCs/>
          <w:color w:val="auto"/>
          <w:sz w:val="21"/>
          <w:szCs w:val="21"/>
          <w:highlight w:val="none"/>
          <w:lang w:val="en-US" w:eastAsia="zh-CN"/>
        </w:rPr>
        <w:t>陆川县人民医院高压、低压供电系统改造工程项目</w:t>
      </w:r>
      <w:r>
        <w:rPr>
          <w:rFonts w:hint="eastAsia" w:ascii="宋体" w:hAnsi="宋体" w:cs="宋体"/>
          <w:color w:val="auto"/>
          <w:szCs w:val="21"/>
          <w:highlight w:val="none"/>
          <w:lang w:eastAsia="zh-CN"/>
        </w:rPr>
        <w:t>具体内容详见工程量清单。</w:t>
      </w:r>
    </w:p>
    <w:p w14:paraId="66A43093">
      <w:pPr>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最高限价(如有)：/</w:t>
      </w:r>
    </w:p>
    <w:p w14:paraId="7790EFB2">
      <w:pPr>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合同履行期限：工期：合同签订之日起</w:t>
      </w:r>
      <w:r>
        <w:rPr>
          <w:rFonts w:hint="eastAsia" w:ascii="宋体" w:hAnsi="宋体"/>
          <w:color w:val="auto"/>
          <w:szCs w:val="21"/>
          <w:highlight w:val="none"/>
          <w:lang w:val="en-US" w:eastAsia="zh-CN"/>
        </w:rPr>
        <w:t>90</w:t>
      </w:r>
      <w:r>
        <w:rPr>
          <w:rFonts w:hint="eastAsia" w:ascii="宋体" w:hAnsi="宋体"/>
          <w:color w:val="auto"/>
          <w:szCs w:val="21"/>
          <w:highlight w:val="none"/>
        </w:rPr>
        <w:t>日历天</w:t>
      </w:r>
    </w:p>
    <w:p w14:paraId="4E5D0821">
      <w:pPr>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color w:val="auto"/>
          <w:szCs w:val="21"/>
          <w:highlight w:val="none"/>
        </w:rPr>
      </w:pPr>
      <w:r>
        <w:rPr>
          <w:rFonts w:hint="eastAsia" w:asciiTheme="majorEastAsia" w:hAnsiTheme="majorEastAsia" w:eastAsiaTheme="majorEastAsia" w:cstheme="majorEastAsia"/>
          <w:bCs/>
          <w:color w:val="auto"/>
          <w:szCs w:val="21"/>
        </w:rPr>
        <w:t>本</w:t>
      </w:r>
      <w:r>
        <w:rPr>
          <w:rFonts w:hint="eastAsia" w:asciiTheme="majorEastAsia" w:hAnsiTheme="majorEastAsia" w:eastAsiaTheme="majorEastAsia" w:cstheme="majorEastAsia"/>
          <w:bCs/>
          <w:color w:val="auto"/>
          <w:szCs w:val="21"/>
          <w:lang w:val="en-US" w:eastAsia="zh-CN"/>
        </w:rPr>
        <w:t>标项</w:t>
      </w:r>
      <w:r>
        <w:rPr>
          <w:rFonts w:hint="eastAsia" w:asciiTheme="majorEastAsia" w:hAnsiTheme="majorEastAsia" w:eastAsiaTheme="majorEastAsia" w:cstheme="majorEastAsia"/>
          <w:bCs/>
          <w:color w:val="auto"/>
          <w:szCs w:val="21"/>
          <w:lang w:eastAsia="zh-CN"/>
        </w:rPr>
        <w:t>（</w:t>
      </w:r>
      <w:r>
        <w:rPr>
          <w:rFonts w:hint="eastAsia" w:asciiTheme="majorEastAsia" w:hAnsiTheme="majorEastAsia" w:eastAsiaTheme="majorEastAsia" w:cstheme="majorEastAsia"/>
          <w:bCs/>
          <w:color w:val="auto"/>
          <w:szCs w:val="21"/>
          <w:lang w:val="en-US" w:eastAsia="zh-CN"/>
        </w:rPr>
        <w:t>是）</w:t>
      </w:r>
      <w:r>
        <w:rPr>
          <w:rFonts w:hint="eastAsia" w:asciiTheme="majorEastAsia" w:hAnsiTheme="majorEastAsia" w:eastAsiaTheme="majorEastAsia" w:cstheme="majorEastAsia"/>
          <w:bCs/>
          <w:color w:val="auto"/>
          <w:szCs w:val="21"/>
        </w:rPr>
        <w:t>接受联合体</w:t>
      </w:r>
      <w:r>
        <w:rPr>
          <w:rFonts w:hint="eastAsia" w:ascii="宋体" w:hAnsi="宋体"/>
          <w:color w:val="auto"/>
          <w:szCs w:val="21"/>
          <w:highlight w:val="none"/>
        </w:rPr>
        <w:t>。</w:t>
      </w:r>
    </w:p>
    <w:p w14:paraId="3C30E082">
      <w:pPr>
        <w:keepNext w:val="0"/>
        <w:keepLines w:val="0"/>
        <w:pageBreakBefore w:val="0"/>
        <w:widowControl w:val="0"/>
        <w:tabs>
          <w:tab w:val="left" w:pos="284"/>
        </w:tabs>
        <w:kinsoku/>
        <w:wordWrap/>
        <w:overflowPunct/>
        <w:topLinePunct w:val="0"/>
        <w:autoSpaceDE/>
        <w:autoSpaceDN/>
        <w:bidi w:val="0"/>
        <w:adjustRightInd/>
        <w:snapToGrid/>
        <w:spacing w:line="480" w:lineRule="exact"/>
        <w:ind w:left="0" w:leftChars="0" w:right="0" w:firstLine="482" w:firstLineChars="200"/>
        <w:textAlignment w:val="auto"/>
        <w:rPr>
          <w:rFonts w:hint="eastAsia" w:asciiTheme="majorEastAsia" w:hAnsiTheme="majorEastAsia" w:eastAsiaTheme="majorEastAsia" w:cstheme="majorEastAsia"/>
          <w:b/>
          <w:color w:val="auto"/>
          <w:sz w:val="24"/>
          <w:szCs w:val="24"/>
          <w:highlight w:val="none"/>
          <w:lang w:eastAsia="zh-CN"/>
        </w:rPr>
      </w:pPr>
      <w:bookmarkStart w:id="10" w:name="_Toc28359090"/>
      <w:bookmarkStart w:id="11" w:name="_Toc28359013"/>
      <w:bookmarkStart w:id="12" w:name="_Toc35393630"/>
      <w:bookmarkStart w:id="13" w:name="_Toc35393799"/>
      <w:r>
        <w:rPr>
          <w:rFonts w:hint="eastAsia" w:asciiTheme="majorEastAsia" w:hAnsiTheme="majorEastAsia" w:eastAsiaTheme="majorEastAsia" w:cstheme="majorEastAsia"/>
          <w:b/>
          <w:color w:val="auto"/>
          <w:sz w:val="24"/>
          <w:szCs w:val="24"/>
          <w:highlight w:val="none"/>
          <w:lang w:eastAsia="zh-CN"/>
        </w:rPr>
        <w:t>二</w:t>
      </w:r>
      <w:r>
        <w:rPr>
          <w:rFonts w:hint="eastAsia" w:asciiTheme="majorEastAsia" w:hAnsiTheme="majorEastAsia" w:eastAsiaTheme="majorEastAsia" w:cstheme="majorEastAsia"/>
          <w:b/>
          <w:color w:val="auto"/>
          <w:sz w:val="24"/>
          <w:szCs w:val="24"/>
          <w:highlight w:val="none"/>
        </w:rPr>
        <w:t>、</w:t>
      </w:r>
      <w:bookmarkEnd w:id="10"/>
      <w:bookmarkEnd w:id="11"/>
      <w:bookmarkEnd w:id="12"/>
      <w:bookmarkEnd w:id="13"/>
      <w:r>
        <w:rPr>
          <w:rFonts w:hint="eastAsia" w:asciiTheme="majorEastAsia" w:hAnsiTheme="majorEastAsia" w:eastAsiaTheme="majorEastAsia" w:cstheme="majorEastAsia"/>
          <w:b/>
          <w:color w:val="auto"/>
          <w:sz w:val="24"/>
          <w:szCs w:val="24"/>
          <w:highlight w:val="none"/>
        </w:rPr>
        <w:t>申请人的资格要求</w:t>
      </w:r>
      <w:r>
        <w:rPr>
          <w:rFonts w:hint="eastAsia" w:asciiTheme="majorEastAsia" w:hAnsiTheme="majorEastAsia" w:eastAsiaTheme="majorEastAsia" w:cstheme="majorEastAsia"/>
          <w:b/>
          <w:color w:val="auto"/>
          <w:sz w:val="24"/>
          <w:szCs w:val="24"/>
          <w:highlight w:val="none"/>
          <w:lang w:eastAsia="zh-CN"/>
        </w:rPr>
        <w:t>：</w:t>
      </w:r>
    </w:p>
    <w:p w14:paraId="480E66A2">
      <w:pPr>
        <w:keepNext w:val="0"/>
        <w:keepLines w:val="0"/>
        <w:pageBreakBefore w:val="0"/>
        <w:widowControl w:val="0"/>
        <w:kinsoku/>
        <w:wordWrap/>
        <w:overflowPunct/>
        <w:topLinePunct w:val="0"/>
        <w:autoSpaceDE/>
        <w:autoSpaceDN/>
        <w:bidi w:val="0"/>
        <w:adjustRightInd/>
        <w:snapToGrid/>
        <w:spacing w:line="480" w:lineRule="exact"/>
        <w:ind w:left="0" w:leftChars="0" w:firstLine="420" w:firstLineChars="200"/>
        <w:textAlignment w:val="auto"/>
        <w:rPr>
          <w:rFonts w:hint="eastAsia" w:ascii="宋体" w:hAnsi="宋体" w:eastAsia="宋体" w:cs="宋体"/>
          <w:color w:val="auto"/>
          <w:sz w:val="21"/>
          <w:szCs w:val="21"/>
          <w:highlight w:val="none"/>
        </w:rPr>
      </w:pPr>
      <w:bookmarkStart w:id="14" w:name="_Toc35393800"/>
      <w:bookmarkStart w:id="15" w:name="_Toc35393631"/>
      <w:bookmarkStart w:id="16" w:name="_Toc28359091"/>
      <w:bookmarkStart w:id="17" w:name="_Toc28359014"/>
      <w:r>
        <w:rPr>
          <w:rFonts w:hint="eastAsia" w:ascii="宋体" w:hAnsi="宋体" w:eastAsia="宋体" w:cs="宋体"/>
          <w:color w:val="auto"/>
          <w:sz w:val="21"/>
          <w:szCs w:val="21"/>
          <w:highlight w:val="none"/>
        </w:rPr>
        <w:t>1.满足《中华人民共和国政府采购法》第二十二条规定；</w:t>
      </w:r>
    </w:p>
    <w:p w14:paraId="39CBE59F">
      <w:pPr>
        <w:keepNext w:val="0"/>
        <w:keepLines w:val="0"/>
        <w:pageBreakBefore w:val="0"/>
        <w:widowControl w:val="0"/>
        <w:kinsoku/>
        <w:wordWrap/>
        <w:overflowPunct/>
        <w:topLinePunct w:val="0"/>
        <w:autoSpaceDE/>
        <w:autoSpaceDN/>
        <w:bidi w:val="0"/>
        <w:adjustRightInd/>
        <w:snapToGrid/>
        <w:spacing w:line="480" w:lineRule="exact"/>
        <w:ind w:left="0" w:leftChars="0" w:firstLine="420" w:firstLineChars="200"/>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2.落实政府采购政策需满足的资格要求：</w:t>
      </w:r>
      <w:r>
        <w:rPr>
          <w:rFonts w:hint="eastAsia" w:ascii="宋体" w:hAnsi="宋体" w:cs="宋体"/>
          <w:color w:val="auto"/>
          <w:sz w:val="21"/>
          <w:szCs w:val="21"/>
          <w:highlight w:val="none"/>
          <w:lang w:val="en-US" w:eastAsia="zh-CN"/>
        </w:rPr>
        <w:t>本项目</w:t>
      </w:r>
      <w:r>
        <w:rPr>
          <w:rFonts w:hint="eastAsia" w:ascii="宋体" w:hAnsi="宋体" w:eastAsia="宋体" w:cs="宋体"/>
          <w:color w:val="auto"/>
          <w:sz w:val="21"/>
          <w:szCs w:val="21"/>
          <w:highlight w:val="none"/>
        </w:rPr>
        <w:t>属于专门面向中小企业采购的项目,供应商应为中小微企业、监狱企业、残疾人福利性单位</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 xml:space="preserve"> </w:t>
      </w:r>
    </w:p>
    <w:p w14:paraId="78595579">
      <w:pPr>
        <w:keepNext w:val="0"/>
        <w:keepLines w:val="0"/>
        <w:pageBreakBefore w:val="0"/>
        <w:widowControl w:val="0"/>
        <w:kinsoku/>
        <w:wordWrap/>
        <w:overflowPunct/>
        <w:topLinePunct w:val="0"/>
        <w:autoSpaceDE/>
        <w:autoSpaceDN/>
        <w:bidi w:val="0"/>
        <w:adjustRightInd/>
        <w:snapToGrid/>
        <w:spacing w:line="480" w:lineRule="exact"/>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本项目的特定资格要求：</w:t>
      </w:r>
    </w:p>
    <w:p w14:paraId="0B07CF6A">
      <w:pPr>
        <w:keepNext w:val="0"/>
        <w:keepLines w:val="0"/>
        <w:pageBreakBefore w:val="0"/>
        <w:widowControl w:val="0"/>
        <w:kinsoku/>
        <w:wordWrap/>
        <w:overflowPunct/>
        <w:topLinePunct w:val="0"/>
        <w:autoSpaceDE/>
        <w:autoSpaceDN/>
        <w:bidi w:val="0"/>
        <w:adjustRightInd/>
        <w:snapToGrid/>
        <w:spacing w:line="480" w:lineRule="exact"/>
        <w:ind w:left="0" w:leftChars="0" w:firstLine="420" w:firstLineChars="200"/>
        <w:textAlignment w:val="auto"/>
        <w:rPr>
          <w:rFonts w:hint="eastAsia" w:ascii="宋体" w:hAnsi="宋体" w:eastAsia="宋体" w:cs="宋体"/>
          <w:color w:val="auto"/>
          <w:sz w:val="21"/>
          <w:szCs w:val="21"/>
          <w:lang w:val="en-US" w:eastAsia="zh-CN"/>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lang w:eastAsia="zh-CN"/>
        </w:rPr>
        <w:t>）供应商须具备电力工程施工总承包三级及以上或输变电工程专业承包三级及以上资质，具备有效的安全生产许可证；具备国家能源局核发有效的承装（修、试）电力设施许可证（承装、承修、承试新证三级及以上 / 旧证五级及以上）</w:t>
      </w:r>
      <w:r>
        <w:rPr>
          <w:rFonts w:hint="eastAsia" w:ascii="宋体" w:hAnsi="宋体" w:cs="宋体"/>
          <w:color w:val="auto"/>
          <w:sz w:val="21"/>
          <w:szCs w:val="21"/>
          <w:lang w:val="en-US" w:eastAsia="zh-CN"/>
        </w:rPr>
        <w:t>；</w:t>
      </w:r>
    </w:p>
    <w:p w14:paraId="2B31458F">
      <w:pPr>
        <w:pageBreakBefore w:val="0"/>
        <w:kinsoku/>
        <w:wordWrap/>
        <w:overflowPunct/>
        <w:topLinePunct w:val="0"/>
        <w:autoSpaceDE/>
        <w:autoSpaceDN/>
        <w:bidi w:val="0"/>
        <w:adjustRightInd/>
        <w:snapToGrid/>
        <w:spacing w:line="480" w:lineRule="exact"/>
        <w:ind w:firstLine="420" w:firstLineChars="200"/>
        <w:textAlignment w:val="auto"/>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 xml:space="preserve">（2）拟派项目项目经理：机电工程专业注册建造师二级及以上，具备有效的安全生产考核合格证书 (B 证)，为本单位在职人员； </w:t>
      </w:r>
    </w:p>
    <w:p w14:paraId="730D25DF">
      <w:pPr>
        <w:keepNext w:val="0"/>
        <w:keepLines w:val="0"/>
        <w:pageBreakBefore w:val="0"/>
        <w:widowControl w:val="0"/>
        <w:kinsoku/>
        <w:wordWrap/>
        <w:overflowPunct/>
        <w:topLinePunct w:val="0"/>
        <w:autoSpaceDE/>
        <w:autoSpaceDN/>
        <w:bidi w:val="0"/>
        <w:adjustRightInd/>
        <w:snapToGrid/>
        <w:spacing w:line="420" w:lineRule="exact"/>
        <w:ind w:left="0" w:leftChars="0" w:firstLine="420" w:firstLineChars="200"/>
        <w:textAlignment w:val="auto"/>
        <w:rPr>
          <w:rFonts w:hint="default" w:ascii="宋体" w:hAnsi="宋体" w:cs="宋体"/>
          <w:color w:val="auto"/>
          <w:sz w:val="21"/>
          <w:szCs w:val="21"/>
          <w:lang w:val="en-US" w:eastAsia="zh-CN"/>
        </w:rPr>
      </w:pPr>
      <w:r>
        <w:rPr>
          <w:rFonts w:hint="eastAsia" w:ascii="宋体" w:hAnsi="宋体" w:cs="宋体"/>
          <w:color w:val="auto"/>
          <w:sz w:val="21"/>
          <w:szCs w:val="21"/>
          <w:lang w:val="en-US" w:eastAsia="zh-CN"/>
        </w:rPr>
        <w:t>（3）项目施工现场须配置不少于2名持有应急管理部门核发有效特种作业操作证（高压电工作业）的作业人员，为本单位在职人员；</w:t>
      </w:r>
    </w:p>
    <w:p w14:paraId="1DA58682">
      <w:pPr>
        <w:pageBreakBefore w:val="0"/>
        <w:kinsoku/>
        <w:wordWrap w:val="0"/>
        <w:overflowPunct/>
        <w:topLinePunct w:val="0"/>
        <w:autoSpaceDE/>
        <w:autoSpaceDN/>
        <w:bidi w:val="0"/>
        <w:adjustRightInd/>
        <w:snapToGrid/>
        <w:spacing w:line="420" w:lineRule="exact"/>
        <w:ind w:firstLine="420" w:firstLineChars="200"/>
        <w:textAlignment w:val="auto"/>
        <w:rPr>
          <w:rFonts w:hint="default" w:ascii="宋体" w:hAnsi="宋体" w:cs="宋体"/>
          <w:color w:val="auto"/>
          <w:sz w:val="21"/>
          <w:szCs w:val="21"/>
          <w:lang w:val="en-US" w:eastAsia="zh-CN"/>
        </w:rPr>
      </w:pPr>
      <w:r>
        <w:rPr>
          <w:rFonts w:hint="eastAsia" w:ascii="宋体" w:hAnsi="宋体"/>
          <w:color w:val="auto"/>
          <w:szCs w:val="21"/>
          <w:highlight w:val="none"/>
        </w:rPr>
        <w:t>（</w:t>
      </w:r>
      <w:r>
        <w:rPr>
          <w:rFonts w:hint="eastAsia" w:ascii="宋体" w:hAnsi="宋体"/>
          <w:color w:val="auto"/>
          <w:szCs w:val="21"/>
          <w:highlight w:val="none"/>
          <w:lang w:val="en-US" w:eastAsia="zh-CN"/>
        </w:rPr>
        <w:t>4</w:t>
      </w:r>
      <w:r>
        <w:rPr>
          <w:rFonts w:hint="eastAsia" w:ascii="宋体" w:hAnsi="宋体"/>
          <w:color w:val="auto"/>
          <w:szCs w:val="21"/>
          <w:highlight w:val="none"/>
        </w:rPr>
        <w:t>）</w:t>
      </w:r>
      <w:r>
        <w:rPr>
          <w:rFonts w:hint="eastAsia" w:cs="宋体"/>
          <w:color w:val="auto"/>
          <w:highlight w:val="none"/>
        </w:rPr>
        <w:t>拟派</w:t>
      </w:r>
      <w:r>
        <w:rPr>
          <w:rFonts w:hint="eastAsia" w:cs="Tahoma"/>
          <w:color w:val="auto"/>
          <w:szCs w:val="21"/>
          <w:highlight w:val="none"/>
        </w:rPr>
        <w:t>专职安全生产管理人员须具备有效的安全生产考核合格证</w:t>
      </w:r>
      <w:r>
        <w:rPr>
          <w:rFonts w:hint="eastAsia" w:ascii="宋体" w:hAnsi="宋体" w:eastAsia="宋体" w:cs="宋体"/>
          <w:color w:val="auto"/>
          <w:szCs w:val="21"/>
          <w:highlight w:val="none"/>
        </w:rPr>
        <w:t>书（C类）</w:t>
      </w:r>
      <w:r>
        <w:rPr>
          <w:rFonts w:hint="eastAsia" w:cs="Tahoma"/>
          <w:color w:val="auto"/>
          <w:szCs w:val="21"/>
          <w:highlight w:val="none"/>
        </w:rPr>
        <w:t>，且不少</w:t>
      </w:r>
      <w:r>
        <w:rPr>
          <w:rFonts w:hint="eastAsia" w:ascii="宋体" w:hAnsi="宋体" w:eastAsia="宋体" w:cs="宋体"/>
          <w:color w:val="auto"/>
          <w:szCs w:val="21"/>
          <w:highlight w:val="none"/>
        </w:rPr>
        <w:t>于1人</w:t>
      </w:r>
      <w:r>
        <w:rPr>
          <w:rFonts w:hint="eastAsia" w:cs="Tahoma"/>
          <w:color w:val="auto"/>
          <w:szCs w:val="21"/>
          <w:highlight w:val="none"/>
        </w:rPr>
        <w:t>。</w:t>
      </w:r>
    </w:p>
    <w:p w14:paraId="596519F1">
      <w:pPr>
        <w:keepNext w:val="0"/>
        <w:keepLines w:val="0"/>
        <w:pageBreakBefore w:val="0"/>
        <w:widowControl w:val="0"/>
        <w:kinsoku/>
        <w:wordWrap/>
        <w:overflowPunct/>
        <w:topLinePunct w:val="0"/>
        <w:autoSpaceDE/>
        <w:autoSpaceDN/>
        <w:bidi w:val="0"/>
        <w:adjustRightInd/>
        <w:snapToGrid/>
        <w:spacing w:line="480" w:lineRule="exact"/>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w:t>
      </w:r>
    </w:p>
    <w:p w14:paraId="00096E36">
      <w:pPr>
        <w:keepNext w:val="0"/>
        <w:keepLines w:val="0"/>
        <w:pageBreakBefore w:val="0"/>
        <w:widowControl w:val="0"/>
        <w:kinsoku/>
        <w:wordWrap/>
        <w:overflowPunct/>
        <w:topLinePunct w:val="0"/>
        <w:autoSpaceDE/>
        <w:autoSpaceDN/>
        <w:bidi w:val="0"/>
        <w:adjustRightInd/>
        <w:snapToGrid/>
        <w:spacing w:line="480" w:lineRule="exact"/>
        <w:ind w:left="0" w:leftChars="0" w:firstLine="420" w:firstLineChars="200"/>
        <w:textAlignment w:val="auto"/>
        <w:rPr>
          <w:rFonts w:hint="eastAsia" w:asciiTheme="majorEastAsia" w:hAnsiTheme="majorEastAsia" w:eastAsiaTheme="majorEastAsia" w:cstheme="majorEastAsia"/>
          <w:b/>
          <w:color w:val="auto"/>
          <w:sz w:val="24"/>
          <w:szCs w:val="24"/>
          <w:highlight w:val="none"/>
          <w:lang w:eastAsia="zh-CN"/>
        </w:rPr>
      </w:pPr>
      <w:r>
        <w:rPr>
          <w:rFonts w:hint="eastAsia" w:ascii="宋体" w:hAnsi="宋体" w:eastAsia="宋体" w:cs="宋体"/>
          <w:color w:val="auto"/>
          <w:sz w:val="21"/>
          <w:szCs w:val="21"/>
          <w:highlight w:val="none"/>
          <w:lang w:val="en-US" w:eastAsia="zh-CN"/>
        </w:rPr>
        <w:t>5.对在“信用中国”网站</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www.creditchina.gov.cn</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、中国政府采购网</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www.ccgp.gov.cn</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等渠道列入失信被执行人、</w:t>
      </w:r>
      <w:r>
        <w:rPr>
          <w:rFonts w:hint="eastAsia" w:ascii="宋体" w:hAnsi="宋体" w:cs="宋体"/>
          <w:color w:val="auto"/>
          <w:sz w:val="21"/>
          <w:szCs w:val="21"/>
          <w:highlight w:val="none"/>
          <w:lang w:val="en-US" w:eastAsia="zh-CN"/>
        </w:rPr>
        <w:t>税收违法黑名单</w:t>
      </w:r>
      <w:r>
        <w:rPr>
          <w:rFonts w:hint="eastAsia" w:ascii="宋体" w:hAnsi="宋体" w:eastAsia="宋体" w:cs="宋体"/>
          <w:color w:val="auto"/>
          <w:sz w:val="21"/>
          <w:szCs w:val="21"/>
          <w:highlight w:val="none"/>
          <w:lang w:val="en-US" w:eastAsia="zh-CN"/>
        </w:rPr>
        <w:t>、政府采购严重违法失信行为记录名单及其他不符合《中华人民共和国政府采购法》第二十二条规定条件的供应商，不得参与政府采购活动</w:t>
      </w:r>
      <w:r>
        <w:rPr>
          <w:rFonts w:hint="eastAsia" w:ascii="宋体" w:hAnsi="宋体" w:eastAsia="宋体" w:cs="宋体"/>
          <w:color w:val="auto"/>
          <w:sz w:val="21"/>
          <w:szCs w:val="21"/>
          <w:highlight w:val="none"/>
        </w:rPr>
        <w:t>。</w:t>
      </w:r>
    </w:p>
    <w:p w14:paraId="2773B1A6">
      <w:pPr>
        <w:pageBreakBefore w:val="0"/>
        <w:tabs>
          <w:tab w:val="left" w:pos="284"/>
        </w:tabs>
        <w:kinsoku/>
        <w:wordWrap/>
        <w:overflowPunct/>
        <w:topLinePunct w:val="0"/>
        <w:autoSpaceDE/>
        <w:autoSpaceDN/>
        <w:bidi w:val="0"/>
        <w:adjustRightInd/>
        <w:snapToGrid/>
        <w:spacing w:line="480" w:lineRule="exact"/>
        <w:ind w:left="0" w:leftChars="0" w:right="0" w:firstLine="482" w:firstLineChars="200"/>
        <w:textAlignment w:val="auto"/>
        <w:rPr>
          <w:rFonts w:hint="eastAsia" w:asciiTheme="majorEastAsia" w:hAnsiTheme="majorEastAsia" w:eastAsiaTheme="majorEastAsia" w:cstheme="majorEastAsia"/>
          <w:b/>
          <w:color w:val="auto"/>
          <w:sz w:val="24"/>
          <w:szCs w:val="24"/>
          <w:highlight w:val="none"/>
          <w:lang w:eastAsia="zh-CN"/>
        </w:rPr>
      </w:pPr>
      <w:r>
        <w:rPr>
          <w:rFonts w:hint="eastAsia" w:asciiTheme="majorEastAsia" w:hAnsiTheme="majorEastAsia" w:eastAsiaTheme="majorEastAsia" w:cstheme="majorEastAsia"/>
          <w:b/>
          <w:color w:val="auto"/>
          <w:sz w:val="24"/>
          <w:szCs w:val="24"/>
          <w:highlight w:val="none"/>
          <w:lang w:eastAsia="zh-CN"/>
        </w:rPr>
        <w:t>三、获取采购文件</w:t>
      </w:r>
      <w:bookmarkEnd w:id="14"/>
      <w:bookmarkEnd w:id="15"/>
      <w:bookmarkEnd w:id="16"/>
      <w:bookmarkEnd w:id="17"/>
      <w:r>
        <w:rPr>
          <w:rFonts w:hint="eastAsia" w:asciiTheme="majorEastAsia" w:hAnsiTheme="majorEastAsia" w:eastAsiaTheme="majorEastAsia" w:cstheme="majorEastAsia"/>
          <w:b/>
          <w:color w:val="auto"/>
          <w:sz w:val="24"/>
          <w:szCs w:val="24"/>
          <w:highlight w:val="none"/>
          <w:lang w:eastAsia="zh-CN"/>
        </w:rPr>
        <w:t>：</w:t>
      </w:r>
    </w:p>
    <w:p w14:paraId="66BAEAAA">
      <w:pPr>
        <w:pageBreakBefore w:val="0"/>
        <w:tabs>
          <w:tab w:val="left" w:pos="284"/>
        </w:tabs>
        <w:kinsoku/>
        <w:wordWrap/>
        <w:overflowPunct/>
        <w:topLinePunct w:val="0"/>
        <w:autoSpaceDE/>
        <w:autoSpaceDN/>
        <w:bidi w:val="0"/>
        <w:adjustRightInd/>
        <w:snapToGrid/>
        <w:spacing w:line="480" w:lineRule="exact"/>
        <w:ind w:left="0" w:leftChars="0" w:right="0" w:firstLine="420" w:firstLineChars="200"/>
        <w:textAlignment w:val="auto"/>
        <w:rPr>
          <w:rFonts w:hint="eastAsia" w:asciiTheme="majorEastAsia" w:hAnsiTheme="majorEastAsia" w:eastAsiaTheme="majorEastAsia" w:cstheme="majorEastAsia"/>
          <w:b w:val="0"/>
          <w:bCs/>
          <w:color w:val="auto"/>
          <w:sz w:val="21"/>
          <w:szCs w:val="21"/>
          <w:highlight w:val="none"/>
          <w:lang w:eastAsia="zh-CN"/>
        </w:rPr>
      </w:pPr>
      <w:bookmarkStart w:id="18" w:name="_Toc28359015"/>
      <w:bookmarkStart w:id="19" w:name="_Toc35393632"/>
      <w:bookmarkStart w:id="20" w:name="_Toc28359092"/>
      <w:bookmarkStart w:id="21" w:name="_Toc35393801"/>
      <w:r>
        <w:rPr>
          <w:rFonts w:hint="eastAsia" w:asciiTheme="majorEastAsia" w:hAnsiTheme="majorEastAsia" w:eastAsiaTheme="majorEastAsia" w:cstheme="majorEastAsia"/>
          <w:b w:val="0"/>
          <w:bCs/>
          <w:color w:val="auto"/>
          <w:sz w:val="21"/>
          <w:szCs w:val="21"/>
          <w:highlight w:val="none"/>
          <w:lang w:eastAsia="zh-CN"/>
        </w:rPr>
        <w:t>时间：</w:t>
      </w:r>
      <w:r>
        <w:rPr>
          <w:rFonts w:hint="eastAsia" w:asciiTheme="majorEastAsia" w:hAnsiTheme="majorEastAsia" w:eastAsiaTheme="majorEastAsia" w:cstheme="majorEastAsia"/>
          <w:b w:val="0"/>
          <w:bCs/>
          <w:color w:val="auto"/>
          <w:sz w:val="21"/>
          <w:szCs w:val="21"/>
          <w:highlight w:val="none"/>
          <w:lang w:val="en-US" w:eastAsia="zh-CN"/>
        </w:rPr>
        <w:t>2026年10月22日</w:t>
      </w:r>
      <w:r>
        <w:rPr>
          <w:rFonts w:hint="eastAsia" w:asciiTheme="majorEastAsia" w:hAnsiTheme="majorEastAsia" w:eastAsiaTheme="majorEastAsia" w:cstheme="majorEastAsia"/>
          <w:b w:val="0"/>
          <w:bCs/>
          <w:color w:val="auto"/>
          <w:sz w:val="21"/>
          <w:szCs w:val="21"/>
          <w:highlight w:val="none"/>
          <w:lang w:eastAsia="zh-CN"/>
        </w:rPr>
        <w:t>至202</w:t>
      </w:r>
      <w:r>
        <w:rPr>
          <w:rFonts w:hint="eastAsia" w:asciiTheme="majorEastAsia" w:hAnsiTheme="majorEastAsia" w:eastAsiaTheme="majorEastAsia" w:cstheme="majorEastAsia"/>
          <w:b w:val="0"/>
          <w:bCs/>
          <w:color w:val="auto"/>
          <w:sz w:val="21"/>
          <w:szCs w:val="21"/>
          <w:highlight w:val="none"/>
          <w:lang w:val="en-US" w:eastAsia="zh-CN"/>
        </w:rPr>
        <w:t>6</w:t>
      </w:r>
      <w:r>
        <w:rPr>
          <w:rFonts w:hint="eastAsia" w:asciiTheme="majorEastAsia" w:hAnsiTheme="majorEastAsia" w:eastAsiaTheme="majorEastAsia" w:cstheme="majorEastAsia"/>
          <w:b w:val="0"/>
          <w:bCs/>
          <w:color w:val="auto"/>
          <w:sz w:val="21"/>
          <w:szCs w:val="21"/>
          <w:highlight w:val="none"/>
          <w:lang w:eastAsia="zh-CN"/>
        </w:rPr>
        <w:t>年</w:t>
      </w:r>
      <w:r>
        <w:rPr>
          <w:rFonts w:hint="eastAsia" w:asciiTheme="majorEastAsia" w:hAnsiTheme="majorEastAsia" w:eastAsiaTheme="majorEastAsia" w:cstheme="majorEastAsia"/>
          <w:b w:val="0"/>
          <w:bCs/>
          <w:color w:val="auto"/>
          <w:sz w:val="21"/>
          <w:szCs w:val="21"/>
          <w:highlight w:val="none"/>
          <w:lang w:val="en-US" w:eastAsia="zh-CN"/>
        </w:rPr>
        <w:t>10</w:t>
      </w:r>
      <w:r>
        <w:rPr>
          <w:rFonts w:hint="eastAsia" w:asciiTheme="majorEastAsia" w:hAnsiTheme="majorEastAsia" w:eastAsiaTheme="majorEastAsia" w:cstheme="majorEastAsia"/>
          <w:b w:val="0"/>
          <w:bCs/>
          <w:color w:val="auto"/>
          <w:sz w:val="21"/>
          <w:szCs w:val="21"/>
          <w:highlight w:val="none"/>
          <w:lang w:eastAsia="zh-CN"/>
        </w:rPr>
        <w:t>月</w:t>
      </w:r>
      <w:r>
        <w:rPr>
          <w:rFonts w:hint="eastAsia" w:asciiTheme="majorEastAsia" w:hAnsiTheme="majorEastAsia" w:eastAsiaTheme="majorEastAsia" w:cstheme="majorEastAsia"/>
          <w:b w:val="0"/>
          <w:bCs/>
          <w:color w:val="auto"/>
          <w:sz w:val="21"/>
          <w:szCs w:val="21"/>
          <w:highlight w:val="none"/>
          <w:lang w:val="en-US" w:eastAsia="zh-CN"/>
        </w:rPr>
        <w:t>29</w:t>
      </w:r>
      <w:r>
        <w:rPr>
          <w:rFonts w:hint="eastAsia" w:asciiTheme="majorEastAsia" w:hAnsiTheme="majorEastAsia" w:eastAsiaTheme="majorEastAsia" w:cstheme="majorEastAsia"/>
          <w:b w:val="0"/>
          <w:bCs/>
          <w:color w:val="auto"/>
          <w:sz w:val="21"/>
          <w:szCs w:val="21"/>
          <w:highlight w:val="none"/>
          <w:lang w:eastAsia="zh-CN"/>
        </w:rPr>
        <w:t>日，每天上午08:00至12:00，下午</w:t>
      </w:r>
      <w:r>
        <w:rPr>
          <w:rFonts w:hint="eastAsia" w:asciiTheme="majorEastAsia" w:hAnsiTheme="majorEastAsia" w:eastAsiaTheme="majorEastAsia" w:cstheme="majorEastAsia"/>
          <w:b w:val="0"/>
          <w:bCs/>
          <w:color w:val="auto"/>
          <w:sz w:val="21"/>
          <w:szCs w:val="21"/>
          <w:highlight w:val="none"/>
          <w:lang w:val="en-US" w:eastAsia="zh-CN"/>
        </w:rPr>
        <w:t>3</w:t>
      </w:r>
      <w:r>
        <w:rPr>
          <w:rFonts w:hint="eastAsia" w:asciiTheme="majorEastAsia" w:hAnsiTheme="majorEastAsia" w:eastAsiaTheme="majorEastAsia" w:cstheme="majorEastAsia"/>
          <w:b w:val="0"/>
          <w:bCs/>
          <w:color w:val="auto"/>
          <w:sz w:val="21"/>
          <w:szCs w:val="21"/>
          <w:highlight w:val="none"/>
          <w:lang w:eastAsia="zh-CN"/>
        </w:rPr>
        <w:t>:00至</w:t>
      </w:r>
      <w:r>
        <w:rPr>
          <w:rFonts w:hint="eastAsia" w:asciiTheme="majorEastAsia" w:hAnsiTheme="majorEastAsia" w:eastAsiaTheme="majorEastAsia" w:cstheme="majorEastAsia"/>
          <w:b w:val="0"/>
          <w:bCs/>
          <w:color w:val="auto"/>
          <w:sz w:val="21"/>
          <w:szCs w:val="21"/>
          <w:highlight w:val="none"/>
          <w:lang w:val="en-US" w:eastAsia="zh-CN"/>
        </w:rPr>
        <w:t>6</w:t>
      </w:r>
      <w:r>
        <w:rPr>
          <w:rFonts w:hint="eastAsia" w:asciiTheme="majorEastAsia" w:hAnsiTheme="majorEastAsia" w:eastAsiaTheme="majorEastAsia" w:cstheme="majorEastAsia"/>
          <w:b w:val="0"/>
          <w:bCs/>
          <w:color w:val="auto"/>
          <w:sz w:val="21"/>
          <w:szCs w:val="21"/>
          <w:highlight w:val="none"/>
          <w:lang w:eastAsia="zh-CN"/>
        </w:rPr>
        <w:t>:00（北京时间，法定节假日除外）</w:t>
      </w:r>
    </w:p>
    <w:p w14:paraId="437580D5">
      <w:pPr>
        <w:pageBreakBefore w:val="0"/>
        <w:tabs>
          <w:tab w:val="left" w:pos="284"/>
        </w:tabs>
        <w:kinsoku/>
        <w:wordWrap/>
        <w:overflowPunct/>
        <w:topLinePunct w:val="0"/>
        <w:autoSpaceDE/>
        <w:autoSpaceDN/>
        <w:bidi w:val="0"/>
        <w:adjustRightInd/>
        <w:snapToGrid/>
        <w:spacing w:line="480" w:lineRule="exact"/>
        <w:ind w:left="0" w:leftChars="0" w:right="0" w:firstLine="420" w:firstLineChars="200"/>
        <w:textAlignment w:val="auto"/>
        <w:rPr>
          <w:rFonts w:hint="eastAsia" w:asciiTheme="majorEastAsia" w:hAnsiTheme="majorEastAsia" w:eastAsiaTheme="majorEastAsia" w:cstheme="majorEastAsia"/>
          <w:b w:val="0"/>
          <w:bCs/>
          <w:color w:val="auto"/>
          <w:sz w:val="21"/>
          <w:szCs w:val="21"/>
          <w:highlight w:val="none"/>
          <w:lang w:eastAsia="zh-CN"/>
        </w:rPr>
      </w:pPr>
      <w:r>
        <w:rPr>
          <w:rFonts w:hint="eastAsia" w:asciiTheme="majorEastAsia" w:hAnsiTheme="majorEastAsia" w:eastAsiaTheme="majorEastAsia" w:cstheme="majorEastAsia"/>
          <w:b w:val="0"/>
          <w:bCs/>
          <w:color w:val="auto"/>
          <w:sz w:val="21"/>
          <w:szCs w:val="21"/>
          <w:highlight w:val="none"/>
          <w:lang w:eastAsia="zh-CN"/>
        </w:rPr>
        <w:t>地点：</w:t>
      </w:r>
      <w:bookmarkEnd w:id="18"/>
      <w:bookmarkEnd w:id="19"/>
      <w:bookmarkEnd w:id="20"/>
      <w:bookmarkEnd w:id="21"/>
      <w:r>
        <w:rPr>
          <w:rFonts w:hint="eastAsia" w:ascii="宋体" w:hAnsi="宋体" w:eastAsia="宋体" w:cs="宋体"/>
          <w:b w:val="0"/>
          <w:bCs/>
          <w:color w:val="auto"/>
          <w:sz w:val="21"/>
          <w:szCs w:val="21"/>
          <w:highlight w:val="none"/>
          <w:lang w:val="en-US" w:eastAsia="zh-CN"/>
        </w:rPr>
        <w:t>广西政府采购云平台（https://www.gcy.zfcg.gxzf.gov.cn</w:t>
      </w:r>
      <w:r>
        <w:rPr>
          <w:rFonts w:hint="eastAsia" w:ascii="宋体" w:hAnsi="宋体" w:cs="宋体"/>
          <w:b w:val="0"/>
          <w:bCs/>
          <w:color w:val="auto"/>
          <w:sz w:val="21"/>
          <w:szCs w:val="21"/>
          <w:highlight w:val="none"/>
          <w:lang w:val="en-US" w:eastAsia="zh-CN"/>
        </w:rPr>
        <w:t>）</w:t>
      </w:r>
    </w:p>
    <w:p w14:paraId="7F7A2AB0">
      <w:pPr>
        <w:pStyle w:val="2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leftChars="0" w:right="0" w:firstLine="396"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6"/>
          <w:kern w:val="2"/>
          <w:sz w:val="21"/>
          <w:szCs w:val="21"/>
          <w:highlight w:val="none"/>
          <w:lang w:val="en-US" w:eastAsia="zh-CN" w:bidi="ar-SA"/>
        </w:rPr>
        <w:t>方式：网上下载。本项目不提供纸质文件，潜在供应商需使用账号登录或者使用 CA 登录广西政府采购云平台（https://www.gcy.zfcg.gxzf.gov.cn</w:t>
      </w:r>
      <w:r>
        <w:rPr>
          <w:rFonts w:hint="eastAsia" w:ascii="宋体" w:hAnsi="宋体" w:cs="宋体"/>
          <w:color w:val="auto"/>
          <w:spacing w:val="-6"/>
          <w:kern w:val="2"/>
          <w:sz w:val="21"/>
          <w:szCs w:val="21"/>
          <w:highlight w:val="none"/>
          <w:lang w:val="en-US" w:eastAsia="zh-CN" w:bidi="ar-SA"/>
        </w:rPr>
        <w:t>）－</w:t>
      </w:r>
      <w:r>
        <w:rPr>
          <w:rFonts w:hint="eastAsia" w:ascii="宋体" w:hAnsi="宋体" w:eastAsia="宋体" w:cs="宋体"/>
          <w:color w:val="auto"/>
          <w:spacing w:val="-6"/>
          <w:kern w:val="2"/>
          <w:sz w:val="21"/>
          <w:szCs w:val="21"/>
          <w:highlight w:val="none"/>
          <w:lang w:val="en-US" w:eastAsia="zh-CN" w:bidi="ar-SA"/>
        </w:rPr>
        <w:t>进入“项目</w:t>
      </w:r>
      <w:r>
        <w:rPr>
          <w:rFonts w:hint="eastAsia" w:ascii="宋体" w:hAnsi="宋体" w:eastAsia="宋体" w:cs="宋体"/>
          <w:color w:val="auto"/>
          <w:kern w:val="2"/>
          <w:sz w:val="21"/>
          <w:szCs w:val="21"/>
          <w:highlight w:val="none"/>
          <w:lang w:val="en-US" w:eastAsia="zh-CN" w:bidi="ar-SA"/>
        </w:rPr>
        <w:t>采购”应用，在获取采购文件菜单中选择项目，获取竞争性磋商文件。电子响应文件制作需要基于广西政府采购云平台获取的磋商文件编制，通过其他方式获取磋商文件的，将有可能导致供应商无法在广西政府采购云平台编制及上传响应文件。</w:t>
      </w:r>
    </w:p>
    <w:p w14:paraId="1DEC8955">
      <w:pPr>
        <w:pStyle w:val="2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leftChars="0" w:right="0"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售价（元）：0 </w:t>
      </w:r>
    </w:p>
    <w:p w14:paraId="4FF6BB90">
      <w:pPr>
        <w:pageBreakBefore w:val="0"/>
        <w:numPr>
          <w:ilvl w:val="0"/>
          <w:numId w:val="4"/>
        </w:numPr>
        <w:kinsoku/>
        <w:wordWrap/>
        <w:overflowPunct/>
        <w:topLinePunct w:val="0"/>
        <w:autoSpaceDE/>
        <w:autoSpaceDN/>
        <w:bidi w:val="0"/>
        <w:adjustRightInd/>
        <w:snapToGrid/>
        <w:spacing w:line="480" w:lineRule="exact"/>
        <w:ind w:left="0" w:leftChars="0" w:right="0" w:firstLine="482" w:firstLineChars="200"/>
        <w:textAlignment w:val="auto"/>
        <w:rPr>
          <w:rFonts w:hint="eastAsia" w:asciiTheme="majorEastAsia" w:hAnsiTheme="majorEastAsia" w:eastAsiaTheme="majorEastAsia" w:cstheme="majorEastAsia"/>
          <w:b/>
          <w:color w:val="auto"/>
          <w:sz w:val="24"/>
          <w:szCs w:val="24"/>
          <w:highlight w:val="none"/>
          <w:lang w:eastAsia="zh-CN"/>
        </w:rPr>
      </w:pPr>
      <w:r>
        <w:rPr>
          <w:rFonts w:hint="eastAsia" w:asciiTheme="majorEastAsia" w:hAnsiTheme="majorEastAsia" w:eastAsiaTheme="majorEastAsia" w:cstheme="majorEastAsia"/>
          <w:b/>
          <w:color w:val="auto"/>
          <w:sz w:val="24"/>
          <w:szCs w:val="24"/>
          <w:highlight w:val="none"/>
          <w:lang w:eastAsia="zh-CN"/>
        </w:rPr>
        <w:t>响应文件提交</w:t>
      </w:r>
    </w:p>
    <w:p w14:paraId="7A1A6ACE">
      <w:pPr>
        <w:pageBreakBefore w:val="0"/>
        <w:numPr>
          <w:ilvl w:val="0"/>
          <w:numId w:val="0"/>
        </w:numPr>
        <w:kinsoku/>
        <w:wordWrap/>
        <w:overflowPunct/>
        <w:topLinePunct w:val="0"/>
        <w:autoSpaceDE/>
        <w:autoSpaceDN/>
        <w:bidi w:val="0"/>
        <w:adjustRightInd/>
        <w:snapToGrid/>
        <w:spacing w:line="480" w:lineRule="exact"/>
        <w:ind w:left="0" w:leftChars="0" w:right="0" w:firstLine="420" w:firstLineChars="200"/>
        <w:textAlignment w:val="auto"/>
        <w:rPr>
          <w:rFonts w:hint="eastAsia" w:ascii="宋体" w:hAnsi="宋体"/>
          <w:bCs/>
          <w:color w:val="auto"/>
          <w:szCs w:val="21"/>
        </w:rPr>
      </w:pPr>
      <w:r>
        <w:rPr>
          <w:rFonts w:hint="eastAsia" w:ascii="宋体" w:hAnsi="宋体"/>
          <w:color w:val="auto"/>
          <w:szCs w:val="21"/>
        </w:rPr>
        <w:t>1</w:t>
      </w:r>
      <w:r>
        <w:rPr>
          <w:rFonts w:ascii="宋体" w:hAnsi="宋体"/>
          <w:color w:val="auto"/>
          <w:szCs w:val="21"/>
        </w:rPr>
        <w:t>.</w:t>
      </w:r>
      <w:r>
        <w:rPr>
          <w:rFonts w:hint="eastAsia" w:ascii="宋体" w:hAnsi="宋体"/>
          <w:color w:val="auto"/>
          <w:szCs w:val="21"/>
          <w:highlight w:val="none"/>
        </w:rPr>
        <w:t>首次响应文件提交截止时间</w:t>
      </w:r>
      <w:r>
        <w:rPr>
          <w:rFonts w:hint="eastAsia" w:ascii="宋体" w:hAnsi="宋体"/>
          <w:color w:val="auto"/>
          <w:szCs w:val="21"/>
        </w:rPr>
        <w:t>：</w:t>
      </w:r>
      <w:r>
        <w:rPr>
          <w:rFonts w:hint="eastAsia" w:ascii="宋体" w:hAnsi="宋体"/>
          <w:bCs/>
          <w:color w:val="auto"/>
          <w:szCs w:val="21"/>
          <w:u w:val="single"/>
        </w:rPr>
        <w:t>202</w:t>
      </w:r>
      <w:r>
        <w:rPr>
          <w:rFonts w:hint="eastAsia" w:ascii="宋体" w:hAnsi="宋体"/>
          <w:bCs/>
          <w:color w:val="auto"/>
          <w:szCs w:val="21"/>
          <w:u w:val="single"/>
          <w:lang w:val="en-US" w:eastAsia="zh-CN"/>
        </w:rPr>
        <w:t>6</w:t>
      </w:r>
      <w:r>
        <w:rPr>
          <w:rFonts w:hint="eastAsia" w:ascii="宋体" w:hAnsi="宋体"/>
          <w:bCs/>
          <w:color w:val="auto"/>
          <w:szCs w:val="21"/>
          <w:u w:val="single"/>
        </w:rPr>
        <w:t>年</w:t>
      </w:r>
      <w:r>
        <w:rPr>
          <w:rFonts w:hint="eastAsia" w:ascii="宋体" w:hAnsi="宋体"/>
          <w:bCs/>
          <w:color w:val="auto"/>
          <w:szCs w:val="21"/>
          <w:u w:val="single"/>
          <w:lang w:val="en-US" w:eastAsia="zh-CN"/>
        </w:rPr>
        <w:t xml:space="preserve"> 11</w:t>
      </w:r>
      <w:r>
        <w:rPr>
          <w:rFonts w:hint="eastAsia" w:ascii="宋体" w:hAnsi="宋体"/>
          <w:bCs/>
          <w:color w:val="auto"/>
          <w:szCs w:val="21"/>
          <w:u w:val="single"/>
        </w:rPr>
        <w:t>月</w:t>
      </w:r>
      <w:r>
        <w:rPr>
          <w:rFonts w:hint="eastAsia" w:ascii="宋体" w:hAnsi="宋体"/>
          <w:bCs/>
          <w:color w:val="auto"/>
          <w:szCs w:val="21"/>
          <w:u w:val="single"/>
          <w:lang w:val="en-US" w:eastAsia="zh-CN"/>
        </w:rPr>
        <w:t>3</w:t>
      </w:r>
      <w:r>
        <w:rPr>
          <w:rFonts w:hint="eastAsia" w:ascii="宋体" w:hAnsi="宋体"/>
          <w:bCs/>
          <w:color w:val="auto"/>
          <w:szCs w:val="21"/>
          <w:u w:val="single"/>
        </w:rPr>
        <w:t>日</w:t>
      </w:r>
      <w:r>
        <w:rPr>
          <w:rFonts w:hint="eastAsia" w:ascii="宋体" w:hAnsi="宋体"/>
          <w:bCs/>
          <w:color w:val="auto"/>
          <w:szCs w:val="21"/>
          <w:u w:val="single"/>
          <w:lang w:val="en-US" w:eastAsia="zh-CN"/>
        </w:rPr>
        <w:t>09</w:t>
      </w:r>
      <w:r>
        <w:rPr>
          <w:rFonts w:hint="eastAsia" w:ascii="宋体" w:hAnsi="宋体"/>
          <w:bCs/>
          <w:color w:val="auto"/>
          <w:szCs w:val="21"/>
          <w:u w:val="single"/>
        </w:rPr>
        <w:t>时</w:t>
      </w:r>
      <w:r>
        <w:rPr>
          <w:rFonts w:hint="eastAsia" w:ascii="宋体" w:hAnsi="宋体"/>
          <w:bCs/>
          <w:color w:val="auto"/>
          <w:szCs w:val="21"/>
          <w:u w:val="single"/>
          <w:lang w:val="en-US" w:eastAsia="zh-CN"/>
        </w:rPr>
        <w:t>0</w:t>
      </w:r>
      <w:r>
        <w:rPr>
          <w:rFonts w:hint="eastAsia" w:ascii="宋体" w:hAnsi="宋体"/>
          <w:bCs/>
          <w:color w:val="auto"/>
          <w:szCs w:val="21"/>
          <w:u w:val="single"/>
        </w:rPr>
        <w:t>0分</w:t>
      </w:r>
      <w:r>
        <w:rPr>
          <w:rFonts w:hint="eastAsia" w:ascii="宋体" w:hAnsi="宋体"/>
          <w:bCs/>
          <w:color w:val="auto"/>
          <w:szCs w:val="21"/>
        </w:rPr>
        <w:t>（北京时间）</w:t>
      </w:r>
    </w:p>
    <w:p w14:paraId="7E01AD60">
      <w:pPr>
        <w:pageBreakBefore w:val="0"/>
        <w:kinsoku/>
        <w:wordWrap/>
        <w:overflowPunct/>
        <w:topLinePunct w:val="0"/>
        <w:autoSpaceDE/>
        <w:autoSpaceDN/>
        <w:bidi w:val="0"/>
        <w:adjustRightInd/>
        <w:snapToGrid/>
        <w:spacing w:line="480" w:lineRule="exact"/>
        <w:ind w:left="0" w:leftChars="0" w:right="0"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bCs/>
          <w:color w:val="auto"/>
          <w:szCs w:val="21"/>
          <w:lang w:val="en-US" w:eastAsia="zh-CN"/>
        </w:rPr>
        <w:t>2.</w:t>
      </w:r>
      <w:r>
        <w:rPr>
          <w:rFonts w:hint="eastAsia" w:ascii="宋体" w:hAnsi="宋体" w:eastAsia="宋体" w:cs="宋体"/>
          <w:color w:val="auto"/>
          <w:szCs w:val="21"/>
          <w:highlight w:val="none"/>
        </w:rPr>
        <w:t>首次响应文件提交地点</w:t>
      </w:r>
      <w:r>
        <w:rPr>
          <w:rFonts w:hint="eastAsia" w:ascii="宋体" w:hAnsi="宋体" w:eastAsia="宋体" w:cs="宋体"/>
          <w:b w:val="0"/>
          <w:bCs w:val="0"/>
          <w:color w:val="auto"/>
          <w:sz w:val="21"/>
          <w:szCs w:val="21"/>
          <w:highlight w:val="none"/>
        </w:rPr>
        <w:t>：广西政府采购云平台（https://www.gcy.zfcg.gxzf.gov.cn</w:t>
      </w:r>
      <w:r>
        <w:rPr>
          <w:rFonts w:hint="eastAsia" w:ascii="宋体" w:hAnsi="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  </w:t>
      </w:r>
    </w:p>
    <w:p w14:paraId="0B2E07F0">
      <w:pPr>
        <w:pStyle w:val="2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leftChars="0" w:right="0" w:firstLine="482" w:firstLineChars="200"/>
        <w:jc w:val="both"/>
        <w:textAlignment w:val="auto"/>
        <w:rPr>
          <w:rFonts w:hint="eastAsia" w:eastAsia="宋体"/>
          <w:color w:val="auto"/>
          <w:lang w:eastAsia="zh-CN"/>
        </w:rPr>
      </w:pPr>
      <w:r>
        <w:rPr>
          <w:rFonts w:hint="eastAsia" w:asciiTheme="majorEastAsia" w:hAnsiTheme="majorEastAsia" w:eastAsiaTheme="majorEastAsia" w:cstheme="majorEastAsia"/>
          <w:b/>
          <w:color w:val="auto"/>
          <w:kern w:val="2"/>
          <w:sz w:val="24"/>
          <w:szCs w:val="24"/>
          <w:highlight w:val="none"/>
          <w:lang w:val="en-US" w:eastAsia="zh-CN" w:bidi="ar-SA"/>
        </w:rPr>
        <w:t>五、响应文件开启</w:t>
      </w:r>
    </w:p>
    <w:p w14:paraId="3276C364">
      <w:pPr>
        <w:pageBreakBefore w:val="0"/>
        <w:kinsoku/>
        <w:wordWrap/>
        <w:overflowPunct/>
        <w:topLinePunct w:val="0"/>
        <w:autoSpaceDE/>
        <w:autoSpaceDN/>
        <w:bidi w:val="0"/>
        <w:adjustRightInd/>
        <w:snapToGrid/>
        <w:spacing w:line="480" w:lineRule="exact"/>
        <w:ind w:left="0" w:leftChars="0" w:right="0" w:firstLine="420" w:firstLineChars="200"/>
        <w:textAlignment w:val="auto"/>
        <w:rPr>
          <w:rFonts w:ascii="宋体" w:hAnsi="宋体"/>
          <w:bCs/>
          <w:color w:val="auto"/>
          <w:szCs w:val="21"/>
          <w:u w:val="single"/>
        </w:rPr>
      </w:pPr>
      <w:r>
        <w:rPr>
          <w:rFonts w:hint="eastAsia" w:ascii="宋体" w:hAnsi="宋体"/>
          <w:bCs/>
          <w:color w:val="auto"/>
          <w:szCs w:val="21"/>
          <w:lang w:val="en-US" w:eastAsia="zh-CN"/>
        </w:rPr>
        <w:t>1</w:t>
      </w:r>
      <w:r>
        <w:rPr>
          <w:rFonts w:ascii="宋体" w:hAnsi="宋体"/>
          <w:bCs/>
          <w:color w:val="auto"/>
          <w:szCs w:val="21"/>
        </w:rPr>
        <w:t>.</w:t>
      </w:r>
      <w:r>
        <w:rPr>
          <w:rFonts w:hint="eastAsia" w:ascii="宋体" w:hAnsi="宋体"/>
          <w:bCs/>
          <w:color w:val="auto"/>
          <w:szCs w:val="21"/>
        </w:rPr>
        <w:t>开标时间</w:t>
      </w:r>
      <w:r>
        <w:rPr>
          <w:rFonts w:hint="eastAsia" w:ascii="宋体" w:hAnsi="宋体"/>
          <w:color w:val="auto"/>
          <w:szCs w:val="21"/>
        </w:rPr>
        <w:t>：</w:t>
      </w:r>
      <w:r>
        <w:rPr>
          <w:rFonts w:hint="eastAsia" w:ascii="宋体" w:hAnsi="宋体"/>
          <w:color w:val="auto"/>
          <w:szCs w:val="21"/>
          <w:u w:val="single"/>
        </w:rPr>
        <w:t>202</w:t>
      </w:r>
      <w:r>
        <w:rPr>
          <w:rFonts w:hint="eastAsia" w:ascii="宋体" w:hAnsi="宋体"/>
          <w:color w:val="auto"/>
          <w:szCs w:val="21"/>
          <w:u w:val="single"/>
          <w:lang w:val="en-US" w:eastAsia="zh-CN"/>
        </w:rPr>
        <w:t>6</w:t>
      </w:r>
      <w:r>
        <w:rPr>
          <w:rFonts w:hint="eastAsia" w:ascii="宋体" w:hAnsi="宋体"/>
          <w:bCs/>
          <w:color w:val="auto"/>
          <w:szCs w:val="21"/>
          <w:u w:val="single"/>
        </w:rPr>
        <w:t>年</w:t>
      </w:r>
      <w:r>
        <w:rPr>
          <w:rFonts w:hint="eastAsia" w:ascii="宋体" w:hAnsi="宋体"/>
          <w:bCs/>
          <w:color w:val="auto"/>
          <w:szCs w:val="21"/>
          <w:u w:val="single"/>
          <w:lang w:val="en-US" w:eastAsia="zh-CN"/>
        </w:rPr>
        <w:t xml:space="preserve"> 11</w:t>
      </w:r>
      <w:r>
        <w:rPr>
          <w:rFonts w:hint="eastAsia" w:ascii="宋体" w:hAnsi="宋体"/>
          <w:bCs/>
          <w:color w:val="auto"/>
          <w:szCs w:val="21"/>
          <w:u w:val="single"/>
        </w:rPr>
        <w:t>月</w:t>
      </w:r>
      <w:r>
        <w:rPr>
          <w:rFonts w:hint="eastAsia" w:ascii="宋体" w:hAnsi="宋体"/>
          <w:bCs/>
          <w:color w:val="auto"/>
          <w:szCs w:val="21"/>
          <w:u w:val="single"/>
          <w:lang w:val="en-US" w:eastAsia="zh-CN"/>
        </w:rPr>
        <w:t>3</w:t>
      </w:r>
      <w:r>
        <w:rPr>
          <w:rFonts w:hint="eastAsia" w:ascii="宋体" w:hAnsi="宋体"/>
          <w:bCs/>
          <w:color w:val="auto"/>
          <w:szCs w:val="21"/>
          <w:u w:val="single"/>
        </w:rPr>
        <w:t>日</w:t>
      </w:r>
      <w:r>
        <w:rPr>
          <w:rFonts w:hint="eastAsia" w:ascii="宋体" w:hAnsi="宋体"/>
          <w:bCs/>
          <w:color w:val="auto"/>
          <w:szCs w:val="21"/>
          <w:u w:val="single"/>
          <w:lang w:val="en-US" w:eastAsia="zh-CN"/>
        </w:rPr>
        <w:t>09</w:t>
      </w:r>
      <w:r>
        <w:rPr>
          <w:rFonts w:hint="eastAsia" w:ascii="宋体" w:hAnsi="宋体"/>
          <w:bCs/>
          <w:color w:val="auto"/>
          <w:szCs w:val="21"/>
          <w:u w:val="single"/>
        </w:rPr>
        <w:t>时</w:t>
      </w:r>
      <w:r>
        <w:rPr>
          <w:rFonts w:hint="eastAsia" w:ascii="宋体" w:hAnsi="宋体"/>
          <w:bCs/>
          <w:color w:val="auto"/>
          <w:szCs w:val="21"/>
          <w:u w:val="single"/>
          <w:lang w:val="en-US" w:eastAsia="zh-CN"/>
        </w:rPr>
        <w:t>0</w:t>
      </w:r>
      <w:r>
        <w:rPr>
          <w:rFonts w:hint="eastAsia" w:ascii="宋体" w:hAnsi="宋体"/>
          <w:bCs/>
          <w:color w:val="auto"/>
          <w:szCs w:val="21"/>
          <w:u w:val="single"/>
        </w:rPr>
        <w:t>0分</w:t>
      </w:r>
      <w:r>
        <w:rPr>
          <w:rFonts w:hint="eastAsia" w:ascii="宋体" w:hAnsi="宋体"/>
          <w:bCs/>
          <w:color w:val="auto"/>
          <w:szCs w:val="21"/>
        </w:rPr>
        <w:t>（北京时间）</w:t>
      </w:r>
    </w:p>
    <w:p w14:paraId="75A5E156">
      <w:pPr>
        <w:pageBreakBefore w:val="0"/>
        <w:kinsoku/>
        <w:wordWrap/>
        <w:overflowPunct/>
        <w:topLinePunct w:val="0"/>
        <w:autoSpaceDE/>
        <w:autoSpaceDN/>
        <w:bidi w:val="0"/>
        <w:adjustRightInd/>
        <w:snapToGrid/>
        <w:spacing w:line="480" w:lineRule="exact"/>
        <w:ind w:left="0" w:leftChars="0" w:right="0" w:firstLine="420" w:firstLineChars="200"/>
        <w:textAlignment w:val="auto"/>
        <w:rPr>
          <w:rFonts w:ascii="宋体" w:hAnsi="宋体"/>
          <w:color w:val="auto"/>
          <w:szCs w:val="21"/>
        </w:rPr>
      </w:pPr>
      <w:r>
        <w:rPr>
          <w:rFonts w:hint="eastAsia" w:ascii="宋体" w:hAnsi="宋体"/>
          <w:color w:val="auto"/>
          <w:szCs w:val="21"/>
          <w:lang w:val="en-US" w:eastAsia="zh-CN"/>
        </w:rPr>
        <w:t>2</w:t>
      </w:r>
      <w:r>
        <w:rPr>
          <w:rFonts w:ascii="宋体" w:hAnsi="宋体"/>
          <w:color w:val="auto"/>
          <w:szCs w:val="21"/>
        </w:rPr>
        <w:t>.</w:t>
      </w:r>
      <w:r>
        <w:rPr>
          <w:rFonts w:hint="eastAsia" w:ascii="宋体" w:hAnsi="宋体"/>
          <w:color w:val="auto"/>
          <w:szCs w:val="21"/>
        </w:rPr>
        <w:t>开标地点：广西政府采购云平台（https://www.gcy.zfcg.gxzf.gov.cn</w:t>
      </w:r>
      <w:r>
        <w:rPr>
          <w:rFonts w:hint="eastAsia" w:ascii="宋体" w:hAnsi="宋体"/>
          <w:color w:val="auto"/>
          <w:szCs w:val="21"/>
          <w:lang w:eastAsia="zh-CN"/>
        </w:rPr>
        <w:t>）</w:t>
      </w:r>
      <w:r>
        <w:rPr>
          <w:rFonts w:hint="eastAsia" w:ascii="宋体" w:hAnsi="宋体"/>
          <w:color w:val="auto"/>
          <w:szCs w:val="21"/>
        </w:rPr>
        <w:t> </w:t>
      </w:r>
    </w:p>
    <w:p w14:paraId="48A97E5F">
      <w:pPr>
        <w:pStyle w:val="4"/>
        <w:pageBreakBefore w:val="0"/>
        <w:kinsoku/>
        <w:wordWrap/>
        <w:overflowPunct/>
        <w:topLinePunct w:val="0"/>
        <w:autoSpaceDE/>
        <w:autoSpaceDN/>
        <w:bidi w:val="0"/>
        <w:adjustRightInd/>
        <w:snapToGrid/>
        <w:spacing w:before="0" w:after="0" w:line="480" w:lineRule="exact"/>
        <w:ind w:left="0" w:leftChars="0" w:right="0" w:firstLine="482" w:firstLineChars="200"/>
        <w:textAlignment w:val="auto"/>
        <w:rPr>
          <w:rFonts w:ascii="宋体" w:hAnsi="宋体" w:cs="宋体"/>
          <w:bCs w:val="0"/>
          <w:color w:val="auto"/>
          <w:sz w:val="24"/>
          <w:szCs w:val="24"/>
        </w:rPr>
      </w:pPr>
      <w:bookmarkStart w:id="22" w:name="_Toc35393634"/>
      <w:bookmarkStart w:id="23" w:name="_Toc28359017"/>
      <w:bookmarkStart w:id="24" w:name="_Toc35393803"/>
      <w:bookmarkStart w:id="25" w:name="_Toc28359094"/>
      <w:bookmarkStart w:id="26" w:name="_Toc44229883"/>
      <w:r>
        <w:rPr>
          <w:rFonts w:hint="eastAsia" w:ascii="宋体" w:hAnsi="宋体" w:cs="宋体"/>
          <w:bCs w:val="0"/>
          <w:color w:val="auto"/>
          <w:sz w:val="24"/>
          <w:szCs w:val="24"/>
          <w:lang w:eastAsia="zh-CN"/>
        </w:rPr>
        <w:t>六</w:t>
      </w:r>
      <w:r>
        <w:rPr>
          <w:rFonts w:hint="eastAsia" w:ascii="宋体" w:hAnsi="宋体" w:cs="宋体"/>
          <w:bCs w:val="0"/>
          <w:color w:val="auto"/>
          <w:sz w:val="24"/>
          <w:szCs w:val="24"/>
        </w:rPr>
        <w:t>、公告期限</w:t>
      </w:r>
      <w:bookmarkEnd w:id="22"/>
      <w:bookmarkEnd w:id="23"/>
      <w:bookmarkEnd w:id="24"/>
      <w:bookmarkEnd w:id="25"/>
      <w:bookmarkEnd w:id="26"/>
    </w:p>
    <w:p w14:paraId="09BDF6B3">
      <w:pPr>
        <w:pageBreakBefore w:val="0"/>
        <w:kinsoku/>
        <w:wordWrap/>
        <w:overflowPunct/>
        <w:topLinePunct w:val="0"/>
        <w:autoSpaceDE/>
        <w:autoSpaceDN/>
        <w:bidi w:val="0"/>
        <w:adjustRightInd/>
        <w:snapToGrid/>
        <w:spacing w:line="480" w:lineRule="exact"/>
        <w:ind w:left="0" w:leftChars="0" w:right="0" w:firstLine="420" w:firstLineChars="200"/>
        <w:textAlignment w:val="auto"/>
        <w:rPr>
          <w:rFonts w:ascii="宋体" w:hAnsi="宋体" w:cs="宋体"/>
          <w:color w:val="auto"/>
          <w:kern w:val="0"/>
          <w:szCs w:val="21"/>
        </w:rPr>
      </w:pPr>
      <w:r>
        <w:rPr>
          <w:rFonts w:hint="eastAsia" w:ascii="宋体" w:hAnsi="宋体" w:cs="宋体"/>
          <w:color w:val="auto"/>
          <w:kern w:val="0"/>
          <w:szCs w:val="21"/>
        </w:rPr>
        <w:t>自本公告发布之日起</w:t>
      </w:r>
      <w:r>
        <w:rPr>
          <w:rFonts w:ascii="宋体" w:hAnsi="宋体" w:cs="宋体"/>
          <w:color w:val="auto"/>
          <w:kern w:val="0"/>
          <w:szCs w:val="21"/>
        </w:rPr>
        <w:t>5</w:t>
      </w:r>
      <w:r>
        <w:rPr>
          <w:rFonts w:hint="eastAsia" w:ascii="宋体" w:hAnsi="宋体" w:cs="宋体"/>
          <w:color w:val="auto"/>
          <w:kern w:val="0"/>
          <w:szCs w:val="21"/>
        </w:rPr>
        <w:t>个工作日。</w:t>
      </w:r>
    </w:p>
    <w:p w14:paraId="5719ED5E">
      <w:pPr>
        <w:pStyle w:val="4"/>
        <w:pageBreakBefore w:val="0"/>
        <w:kinsoku/>
        <w:wordWrap/>
        <w:overflowPunct/>
        <w:topLinePunct w:val="0"/>
        <w:autoSpaceDE/>
        <w:autoSpaceDN/>
        <w:bidi w:val="0"/>
        <w:adjustRightInd/>
        <w:snapToGrid/>
        <w:spacing w:before="0" w:after="0" w:line="480" w:lineRule="exact"/>
        <w:ind w:left="0" w:leftChars="0" w:right="0" w:firstLine="482" w:firstLineChars="200"/>
        <w:textAlignment w:val="auto"/>
        <w:rPr>
          <w:rFonts w:ascii="宋体" w:hAnsi="宋体" w:cs="宋体"/>
          <w:bCs w:val="0"/>
          <w:color w:val="auto"/>
          <w:sz w:val="24"/>
          <w:szCs w:val="24"/>
        </w:rPr>
      </w:pPr>
      <w:bookmarkStart w:id="27" w:name="_Toc35393804"/>
      <w:bookmarkStart w:id="28" w:name="_Toc44229884"/>
      <w:bookmarkStart w:id="29" w:name="_Toc35393635"/>
      <w:r>
        <w:rPr>
          <w:rFonts w:hint="eastAsia" w:ascii="宋体" w:hAnsi="宋体" w:cs="宋体"/>
          <w:bCs w:val="0"/>
          <w:color w:val="auto"/>
          <w:sz w:val="24"/>
          <w:szCs w:val="24"/>
          <w:lang w:eastAsia="zh-CN"/>
        </w:rPr>
        <w:t>七</w:t>
      </w:r>
      <w:r>
        <w:rPr>
          <w:rFonts w:hint="eastAsia" w:ascii="宋体" w:hAnsi="宋体" w:cs="宋体"/>
          <w:bCs w:val="0"/>
          <w:color w:val="auto"/>
          <w:sz w:val="24"/>
          <w:szCs w:val="24"/>
        </w:rPr>
        <w:t>、其他补充事宜</w:t>
      </w:r>
      <w:bookmarkEnd w:id="27"/>
      <w:bookmarkEnd w:id="28"/>
      <w:bookmarkEnd w:id="29"/>
    </w:p>
    <w:p w14:paraId="66E3CD6F">
      <w:pPr>
        <w:pageBreakBefore w:val="0"/>
        <w:kinsoku/>
        <w:wordWrap/>
        <w:overflowPunct/>
        <w:topLinePunct w:val="0"/>
        <w:autoSpaceDE/>
        <w:autoSpaceDN/>
        <w:bidi w:val="0"/>
        <w:adjustRightInd/>
        <w:snapToGrid/>
        <w:spacing w:line="480" w:lineRule="exact"/>
        <w:ind w:left="0" w:leftChars="0" w:right="0" w:firstLine="420" w:firstLineChars="200"/>
        <w:textAlignment w:val="auto"/>
        <w:rPr>
          <w:rFonts w:hint="eastAsia" w:ascii="宋体" w:hAnsi="宋体" w:eastAsia="宋体" w:cs="宋体"/>
          <w:color w:val="auto"/>
          <w:kern w:val="0"/>
          <w:sz w:val="21"/>
          <w:szCs w:val="21"/>
          <w:highlight w:val="none"/>
          <w:lang w:eastAsia="zh-CN"/>
        </w:rPr>
      </w:pPr>
      <w:bookmarkStart w:id="30" w:name="_Toc28359018"/>
      <w:bookmarkStart w:id="31" w:name="_Toc44229885"/>
      <w:bookmarkStart w:id="32" w:name="_Toc28359095"/>
      <w:bookmarkStart w:id="33" w:name="_Toc35393805"/>
      <w:bookmarkStart w:id="34" w:name="_Toc35393636"/>
      <w:r>
        <w:rPr>
          <w:rFonts w:hint="eastAsia" w:ascii="宋体" w:hAnsi="宋体" w:eastAsia="宋体" w:cs="宋体"/>
          <w:color w:val="auto"/>
          <w:kern w:val="0"/>
          <w:sz w:val="21"/>
          <w:szCs w:val="21"/>
          <w:highlight w:val="none"/>
        </w:rPr>
        <w:t>1.</w:t>
      </w:r>
      <w:r>
        <w:rPr>
          <w:rFonts w:hint="eastAsia" w:ascii="宋体" w:hAnsi="宋体" w:cs="宋体"/>
          <w:color w:val="auto"/>
          <w:kern w:val="0"/>
          <w:szCs w:val="21"/>
          <w:highlight w:val="none"/>
        </w:rPr>
        <w:t>磋商保证金</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eastAsia="zh-CN"/>
        </w:rPr>
        <w:t>无</w:t>
      </w:r>
    </w:p>
    <w:p w14:paraId="05D2096D">
      <w:pPr>
        <w:pageBreakBefore w:val="0"/>
        <w:kinsoku/>
        <w:wordWrap/>
        <w:overflowPunct/>
        <w:topLinePunct w:val="0"/>
        <w:autoSpaceDE/>
        <w:autoSpaceDN/>
        <w:bidi w:val="0"/>
        <w:adjustRightInd/>
        <w:snapToGrid/>
        <w:spacing w:line="480" w:lineRule="exact"/>
        <w:ind w:left="0" w:leftChars="0" w:firstLine="420" w:firstLineChars="200"/>
        <w:textAlignment w:val="auto"/>
        <w:rPr>
          <w:rFonts w:hint="eastAsia" w:ascii="宋体" w:hAnsi="宋体" w:eastAsia="宋体" w:cs="宋体"/>
          <w:color w:val="auto"/>
          <w:kern w:val="0"/>
          <w:sz w:val="21"/>
          <w:szCs w:val="21"/>
          <w:highlight w:val="none"/>
          <w:lang w:eastAsia="zh-CN"/>
        </w:rPr>
      </w:pPr>
      <w:bookmarkStart w:id="35" w:name="_Hlk37429585"/>
      <w:r>
        <w:rPr>
          <w:rFonts w:hint="eastAsia" w:ascii="宋体" w:hAnsi="宋体" w:eastAsia="宋体" w:cs="宋体"/>
          <w:color w:val="auto"/>
          <w:kern w:val="0"/>
          <w:sz w:val="21"/>
          <w:szCs w:val="21"/>
          <w:highlight w:val="none"/>
        </w:rPr>
        <w:t>2.</w:t>
      </w:r>
      <w:bookmarkStart w:id="36" w:name="_Hlk37429595"/>
      <w:r>
        <w:rPr>
          <w:rFonts w:hint="eastAsia" w:ascii="宋体" w:hAnsi="宋体" w:eastAsia="宋体" w:cs="宋体"/>
          <w:color w:val="auto"/>
          <w:kern w:val="0"/>
          <w:sz w:val="21"/>
          <w:szCs w:val="21"/>
          <w:highlight w:val="none"/>
        </w:rPr>
        <w:t>网上查询地址</w:t>
      </w:r>
      <w:bookmarkEnd w:id="35"/>
      <w:bookmarkEnd w:id="36"/>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中国政府采购网（http://www.ccgp.gov.cn ）、广西政府采购网（http://zfcg.gxzf.gov.cn）、全国公共资源交易平台（广西•玉林）（http://ggzy.jgswj.gxzf.gov.cn/ylggzy）、广西玉林陆川县人民政府门户网站（http://www.luchuan.gov.cn</w:t>
      </w:r>
      <w:r>
        <w:rPr>
          <w:rFonts w:hint="eastAsia" w:ascii="宋体" w:hAnsi="宋体" w:cs="宋体"/>
          <w:color w:val="auto"/>
          <w:kern w:val="0"/>
          <w:sz w:val="21"/>
          <w:szCs w:val="21"/>
          <w:highlight w:val="none"/>
          <w:lang w:val="en-US" w:eastAsia="zh-CN"/>
        </w:rPr>
        <w:t>）</w:t>
      </w:r>
      <w:r>
        <w:rPr>
          <w:rFonts w:hint="eastAsia" w:ascii="宋体" w:hAnsi="宋体" w:eastAsia="宋体" w:cs="宋体"/>
          <w:color w:val="auto"/>
          <w:kern w:val="0"/>
          <w:sz w:val="21"/>
          <w:szCs w:val="21"/>
          <w:highlight w:val="none"/>
          <w:lang w:val="en-US" w:eastAsia="zh-CN"/>
        </w:rPr>
        <w:t>。</w:t>
      </w:r>
    </w:p>
    <w:p w14:paraId="03DC7A3E">
      <w:pPr>
        <w:pageBreakBefore w:val="0"/>
        <w:kinsoku/>
        <w:wordWrap/>
        <w:overflowPunct/>
        <w:topLinePunct w:val="0"/>
        <w:autoSpaceDE/>
        <w:autoSpaceDN/>
        <w:bidi w:val="0"/>
        <w:adjustRightInd/>
        <w:snapToGrid/>
        <w:spacing w:line="480" w:lineRule="exact"/>
        <w:ind w:left="0" w:leftChars="0" w:right="0"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3.本项目需要落实的政府采购政策</w:t>
      </w:r>
    </w:p>
    <w:p w14:paraId="4C86A4BA">
      <w:pPr>
        <w:pageBreakBefore w:val="0"/>
        <w:kinsoku/>
        <w:wordWrap/>
        <w:overflowPunct/>
        <w:topLinePunct w:val="0"/>
        <w:autoSpaceDE/>
        <w:autoSpaceDN/>
        <w:bidi w:val="0"/>
        <w:adjustRightInd/>
        <w:snapToGrid/>
        <w:spacing w:line="480" w:lineRule="exact"/>
        <w:ind w:left="0" w:leftChars="0" w:right="0" w:firstLine="420" w:firstLineChars="200"/>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（1）政府采购促进中小企业发展。</w:t>
      </w:r>
    </w:p>
    <w:p w14:paraId="17595020">
      <w:pPr>
        <w:pageBreakBefore w:val="0"/>
        <w:kinsoku/>
        <w:wordWrap/>
        <w:overflowPunct/>
        <w:topLinePunct w:val="0"/>
        <w:autoSpaceDE/>
        <w:autoSpaceDN/>
        <w:bidi w:val="0"/>
        <w:adjustRightInd/>
        <w:snapToGrid/>
        <w:spacing w:line="480" w:lineRule="exact"/>
        <w:ind w:left="0" w:leftChars="0" w:right="0" w:firstLine="420" w:firstLineChars="200"/>
        <w:textAlignment w:val="auto"/>
        <w:rPr>
          <w:rFonts w:hint="eastAsia"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w:t>
      </w:r>
      <w:r>
        <w:rPr>
          <w:rFonts w:hint="eastAsia" w:ascii="宋体" w:hAnsi="宋体" w:eastAsia="宋体" w:cs="宋体"/>
          <w:color w:val="auto"/>
          <w:kern w:val="0"/>
          <w:sz w:val="21"/>
          <w:szCs w:val="21"/>
          <w:highlight w:val="none"/>
          <w:lang w:val="en-US" w:eastAsia="zh-CN"/>
        </w:rPr>
        <w:t>2）政府采购支持采用本国产品的政策。</w:t>
      </w:r>
    </w:p>
    <w:p w14:paraId="2BA42909">
      <w:pPr>
        <w:pageBreakBefore w:val="0"/>
        <w:kinsoku/>
        <w:wordWrap/>
        <w:overflowPunct/>
        <w:topLinePunct w:val="0"/>
        <w:autoSpaceDE/>
        <w:autoSpaceDN/>
        <w:bidi w:val="0"/>
        <w:adjustRightInd/>
        <w:snapToGrid/>
        <w:spacing w:line="480" w:lineRule="exact"/>
        <w:ind w:left="0" w:leftChars="0" w:right="0" w:firstLine="420" w:firstLineChars="200"/>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（3）强制采购节能产品；优先采购节能产品、环境标志产品。</w:t>
      </w:r>
    </w:p>
    <w:p w14:paraId="31E3BBEE">
      <w:pPr>
        <w:pageBreakBefore w:val="0"/>
        <w:kinsoku/>
        <w:wordWrap/>
        <w:overflowPunct/>
        <w:topLinePunct w:val="0"/>
        <w:autoSpaceDE/>
        <w:autoSpaceDN/>
        <w:bidi w:val="0"/>
        <w:adjustRightInd/>
        <w:snapToGrid/>
        <w:spacing w:line="480" w:lineRule="exact"/>
        <w:ind w:left="0" w:leftChars="0" w:right="0" w:firstLine="420" w:firstLineChars="200"/>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（4）政府采购促进残疾人就业政策。</w:t>
      </w:r>
    </w:p>
    <w:p w14:paraId="7FBCFB28">
      <w:pPr>
        <w:pageBreakBefore w:val="0"/>
        <w:kinsoku/>
        <w:wordWrap/>
        <w:overflowPunct/>
        <w:topLinePunct w:val="0"/>
        <w:autoSpaceDE/>
        <w:autoSpaceDN/>
        <w:bidi w:val="0"/>
        <w:adjustRightInd/>
        <w:snapToGrid/>
        <w:spacing w:line="480" w:lineRule="exact"/>
        <w:ind w:left="0" w:leftChars="0" w:right="0" w:firstLine="420" w:firstLineChars="200"/>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（5）政府采购支持监狱企业发展。</w:t>
      </w:r>
    </w:p>
    <w:p w14:paraId="2E2F1C8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480" w:lineRule="exact"/>
        <w:ind w:left="0" w:leftChars="0" w:right="0" w:firstLine="420" w:firstLineChars="200"/>
        <w:jc w:val="left"/>
        <w:textAlignment w:val="auto"/>
        <w:rPr>
          <w:rFonts w:hint="default"/>
          <w:color w:val="auto"/>
          <w:lang w:val="en-US" w:eastAsia="zh-CN"/>
        </w:rPr>
      </w:pPr>
      <w:r>
        <w:rPr>
          <w:rFonts w:hint="eastAsia" w:ascii="宋体" w:hAnsi="宋体" w:eastAsia="宋体" w:cs="宋体"/>
          <w:color w:val="auto"/>
          <w:kern w:val="0"/>
          <w:sz w:val="21"/>
          <w:szCs w:val="21"/>
          <w:shd w:val="clear" w:fill="FFFFFF"/>
          <w:lang w:val="en-US" w:eastAsia="zh-CN" w:bidi="ar"/>
        </w:rPr>
        <w:t>4.监督部门：</w:t>
      </w:r>
      <w:r>
        <w:rPr>
          <w:rFonts w:hint="eastAsia" w:ascii="宋体" w:hAnsi="宋体" w:eastAsia="宋体" w:cs="宋体"/>
          <w:color w:val="auto"/>
          <w:kern w:val="0"/>
          <w:sz w:val="21"/>
          <w:szCs w:val="21"/>
          <w:highlight w:val="none"/>
          <w:lang w:val="en-US" w:eastAsia="zh-CN"/>
        </w:rPr>
        <w:t>陆川县财政局政府采购监督管理股</w:t>
      </w:r>
      <w:r>
        <w:rPr>
          <w:rFonts w:hint="eastAsia" w:ascii="宋体" w:hAnsi="宋体" w:eastAsia="宋体" w:cs="宋体"/>
          <w:color w:val="auto"/>
          <w:kern w:val="0"/>
          <w:sz w:val="21"/>
          <w:szCs w:val="21"/>
          <w:shd w:val="clear" w:fill="FFFFFF"/>
          <w:lang w:val="en-US" w:eastAsia="zh-CN" w:bidi="ar"/>
        </w:rPr>
        <w:t xml:space="preserve">  联系电话：</w:t>
      </w:r>
      <w:r>
        <w:rPr>
          <w:rFonts w:hint="eastAsia" w:ascii="宋体" w:hAnsi="宋体" w:eastAsia="宋体" w:cs="宋体"/>
          <w:color w:val="auto"/>
          <w:kern w:val="0"/>
          <w:sz w:val="21"/>
          <w:szCs w:val="21"/>
          <w:highlight w:val="none"/>
          <w:lang w:val="en-US" w:eastAsia="zh-CN"/>
        </w:rPr>
        <w:t>0775-7235528</w:t>
      </w:r>
    </w:p>
    <w:p w14:paraId="7CDBFED4">
      <w:pPr>
        <w:pStyle w:val="35"/>
        <w:keepNext w:val="0"/>
        <w:keepLines w:val="0"/>
        <w:pageBreakBefore w:val="0"/>
        <w:widowControl w:val="0"/>
        <w:kinsoku/>
        <w:wordWrap/>
        <w:overflowPunct/>
        <w:topLinePunct w:val="0"/>
        <w:autoSpaceDE/>
        <w:autoSpaceDN/>
        <w:bidi w:val="0"/>
        <w:adjustRightInd/>
        <w:snapToGrid/>
        <w:spacing w:line="480" w:lineRule="exact"/>
        <w:ind w:left="0" w:leftChars="0" w:firstLine="460" w:firstLineChars="200"/>
        <w:jc w:val="both"/>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5.若对项目采购电子交易系统操作有疑问，可登录广西政府采购云平台（https://www.gcy.zfcg.gxzf.gov.cn</w:t>
      </w:r>
      <w:r>
        <w:rPr>
          <w:rFonts w:hint="eastAsia" w:ascii="宋体" w:hAnsi="宋体" w:cs="宋体"/>
          <w:color w:val="auto"/>
          <w:kern w:val="0"/>
          <w:sz w:val="21"/>
          <w:szCs w:val="21"/>
          <w:highlight w:val="none"/>
          <w:lang w:val="en-US" w:eastAsia="zh-CN" w:bidi="ar-SA"/>
        </w:rPr>
        <w:t>）</w:t>
      </w:r>
      <w:r>
        <w:rPr>
          <w:rFonts w:hint="eastAsia" w:ascii="宋体" w:hAnsi="宋体" w:eastAsia="宋体" w:cs="宋体"/>
          <w:color w:val="auto"/>
          <w:kern w:val="0"/>
          <w:sz w:val="21"/>
          <w:szCs w:val="21"/>
          <w:highlight w:val="none"/>
          <w:lang w:val="en-US" w:eastAsia="zh-CN" w:bidi="ar-SA"/>
        </w:rPr>
        <w:t xml:space="preserve">，点击右侧咨询小采，获取采小蜜智能服务管家帮助，或拨打广西政府采购云平台服务热线95763获取热线服务帮助。 </w:t>
      </w:r>
    </w:p>
    <w:p w14:paraId="794FA306">
      <w:pPr>
        <w:pStyle w:val="35"/>
        <w:keepNext w:val="0"/>
        <w:keepLines w:val="0"/>
        <w:pageBreakBefore w:val="0"/>
        <w:widowControl w:val="0"/>
        <w:kinsoku/>
        <w:wordWrap/>
        <w:overflowPunct/>
        <w:topLinePunct w:val="0"/>
        <w:autoSpaceDE/>
        <w:autoSpaceDN/>
        <w:bidi w:val="0"/>
        <w:adjustRightInd/>
        <w:snapToGrid/>
        <w:spacing w:line="480" w:lineRule="exact"/>
        <w:ind w:left="0" w:leftChars="0" w:firstLine="460" w:firstLineChars="200"/>
        <w:jc w:val="both"/>
        <w:textAlignment w:val="auto"/>
        <w:rPr>
          <w:rFonts w:hint="default"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6.本项目为远程异地全流程电子评标。</w:t>
      </w:r>
    </w:p>
    <w:p w14:paraId="6A85B949">
      <w:pPr>
        <w:pStyle w:val="4"/>
        <w:pageBreakBefore w:val="0"/>
        <w:kinsoku/>
        <w:wordWrap/>
        <w:overflowPunct/>
        <w:topLinePunct w:val="0"/>
        <w:autoSpaceDE/>
        <w:autoSpaceDN/>
        <w:bidi w:val="0"/>
        <w:adjustRightInd/>
        <w:snapToGrid/>
        <w:spacing w:before="0" w:after="0" w:line="480" w:lineRule="exact"/>
        <w:ind w:right="0" w:firstLine="241" w:firstLineChars="100"/>
        <w:textAlignment w:val="auto"/>
        <w:rPr>
          <w:rFonts w:asciiTheme="minorEastAsia" w:hAnsiTheme="minorEastAsia" w:eastAsiaTheme="minorEastAsia" w:cstheme="minorEastAsia"/>
          <w:bCs w:val="0"/>
          <w:color w:val="auto"/>
          <w:sz w:val="24"/>
          <w:szCs w:val="24"/>
        </w:rPr>
      </w:pPr>
      <w:r>
        <w:rPr>
          <w:rFonts w:hint="eastAsia" w:asciiTheme="minorEastAsia" w:hAnsiTheme="minorEastAsia" w:eastAsiaTheme="minorEastAsia" w:cstheme="minorEastAsia"/>
          <w:bCs w:val="0"/>
          <w:color w:val="auto"/>
          <w:sz w:val="24"/>
          <w:szCs w:val="24"/>
          <w:lang w:eastAsia="zh-CN"/>
        </w:rPr>
        <w:t>八</w:t>
      </w:r>
      <w:r>
        <w:rPr>
          <w:rFonts w:hint="eastAsia" w:asciiTheme="minorEastAsia" w:hAnsiTheme="minorEastAsia" w:eastAsiaTheme="minorEastAsia" w:cstheme="minorEastAsia"/>
          <w:bCs w:val="0"/>
          <w:color w:val="auto"/>
          <w:sz w:val="24"/>
          <w:szCs w:val="24"/>
        </w:rPr>
        <w:t>、凡对本次采购提出询问，请按以下方式联系。</w:t>
      </w:r>
      <w:bookmarkEnd w:id="30"/>
      <w:bookmarkEnd w:id="31"/>
      <w:bookmarkEnd w:id="32"/>
      <w:bookmarkEnd w:id="33"/>
      <w:bookmarkEnd w:id="34"/>
    </w:p>
    <w:p w14:paraId="177814CF">
      <w:pPr>
        <w:pageBreakBefore w:val="0"/>
        <w:widowControl w:val="0"/>
        <w:kinsoku/>
        <w:wordWrap/>
        <w:overflowPunct/>
        <w:topLinePunct w:val="0"/>
        <w:autoSpaceDE/>
        <w:autoSpaceDN/>
        <w:bidi w:val="0"/>
        <w:adjustRightInd/>
        <w:snapToGrid/>
        <w:spacing w:line="480" w:lineRule="exact"/>
        <w:ind w:left="0" w:leftChars="0" w:right="0" w:firstLine="420" w:firstLineChars="200"/>
        <w:textAlignment w:val="auto"/>
        <w:outlineLvl w:val="0"/>
        <w:rPr>
          <w:rFonts w:hint="eastAsia" w:ascii="宋体" w:hAnsi="宋体" w:eastAsia="宋体" w:cs="宋体"/>
          <w:color w:val="auto"/>
          <w:kern w:val="0"/>
          <w:sz w:val="21"/>
          <w:szCs w:val="21"/>
        </w:rPr>
      </w:pPr>
      <w:bookmarkStart w:id="37" w:name="_Toc31414"/>
      <w:bookmarkStart w:id="38" w:name="_Toc35393637"/>
      <w:bookmarkStart w:id="39" w:name="_Toc24148"/>
      <w:bookmarkStart w:id="40" w:name="_Toc32224"/>
      <w:bookmarkStart w:id="41" w:name="_Toc24954"/>
      <w:bookmarkStart w:id="42" w:name="_Toc35393806"/>
      <w:bookmarkStart w:id="43" w:name="_Toc28359096"/>
      <w:bookmarkStart w:id="44" w:name="_Toc28359019"/>
      <w:r>
        <w:rPr>
          <w:rFonts w:hint="eastAsia" w:ascii="宋体" w:hAnsi="宋体" w:eastAsia="宋体" w:cs="宋体"/>
          <w:color w:val="auto"/>
          <w:kern w:val="0"/>
          <w:sz w:val="21"/>
          <w:szCs w:val="21"/>
        </w:rPr>
        <w:t>1.采购人信息</w:t>
      </w:r>
      <w:bookmarkEnd w:id="37"/>
      <w:bookmarkEnd w:id="38"/>
      <w:bookmarkEnd w:id="39"/>
      <w:bookmarkEnd w:id="40"/>
      <w:bookmarkEnd w:id="41"/>
      <w:bookmarkEnd w:id="42"/>
      <w:bookmarkEnd w:id="43"/>
      <w:bookmarkEnd w:id="44"/>
    </w:p>
    <w:p w14:paraId="33B01D97">
      <w:pPr>
        <w:pageBreakBefore w:val="0"/>
        <w:widowControl w:val="0"/>
        <w:kinsoku/>
        <w:wordWrap/>
        <w:overflowPunct/>
        <w:topLinePunct w:val="0"/>
        <w:autoSpaceDE/>
        <w:autoSpaceDN/>
        <w:bidi w:val="0"/>
        <w:adjustRightInd/>
        <w:snapToGrid/>
        <w:spacing w:line="480" w:lineRule="exact"/>
        <w:ind w:left="0" w:leftChars="0" w:right="0" w:firstLine="420" w:firstLineChars="200"/>
        <w:jc w:val="left"/>
        <w:textAlignment w:val="auto"/>
        <w:rPr>
          <w:rFonts w:hint="eastAsia" w:ascii="宋体" w:hAnsi="宋体" w:eastAsia="宋体" w:cs="宋体"/>
          <w:color w:val="auto"/>
          <w:sz w:val="21"/>
          <w:szCs w:val="21"/>
          <w:u w:val="none"/>
          <w:lang w:val="en-US" w:eastAsia="zh-CN"/>
        </w:rPr>
      </w:pPr>
      <w:r>
        <w:rPr>
          <w:rFonts w:hint="eastAsia" w:ascii="宋体" w:hAnsi="宋体" w:eastAsia="宋体" w:cs="宋体"/>
          <w:color w:val="auto"/>
          <w:sz w:val="21"/>
          <w:szCs w:val="21"/>
          <w:u w:val="none"/>
        </w:rPr>
        <w:t>名称：</w:t>
      </w:r>
      <w:r>
        <w:rPr>
          <w:rFonts w:hint="eastAsia" w:ascii="宋体" w:hAnsi="宋体" w:cs="宋体"/>
          <w:color w:val="auto"/>
          <w:sz w:val="21"/>
          <w:szCs w:val="21"/>
          <w:u w:val="none"/>
          <w:lang w:eastAsia="zh-CN"/>
        </w:rPr>
        <w:t>陆川县人民医院</w:t>
      </w:r>
    </w:p>
    <w:p w14:paraId="65CA20BD">
      <w:pPr>
        <w:pageBreakBefore w:val="0"/>
        <w:widowControl w:val="0"/>
        <w:kinsoku/>
        <w:wordWrap/>
        <w:overflowPunct/>
        <w:topLinePunct w:val="0"/>
        <w:autoSpaceDE/>
        <w:autoSpaceDN/>
        <w:bidi w:val="0"/>
        <w:adjustRightInd/>
        <w:snapToGrid/>
        <w:spacing w:line="480" w:lineRule="exact"/>
        <w:ind w:left="0" w:leftChars="0" w:right="0" w:firstLine="420" w:firstLineChars="200"/>
        <w:jc w:val="left"/>
        <w:textAlignment w:val="auto"/>
        <w:rPr>
          <w:rFonts w:hint="eastAsia" w:ascii="宋体" w:hAnsi="宋体" w:eastAsia="宋体" w:cs="宋体"/>
          <w:color w:val="auto"/>
          <w:sz w:val="21"/>
          <w:szCs w:val="21"/>
          <w:u w:val="none"/>
        </w:rPr>
      </w:pPr>
      <w:r>
        <w:rPr>
          <w:rFonts w:hint="eastAsia" w:ascii="宋体" w:hAnsi="宋体" w:eastAsia="宋体" w:cs="宋体"/>
          <w:color w:val="auto"/>
          <w:sz w:val="21"/>
          <w:szCs w:val="21"/>
          <w:u w:val="none"/>
        </w:rPr>
        <w:t>地址：</w:t>
      </w:r>
      <w:r>
        <w:rPr>
          <w:rFonts w:hint="eastAsia" w:ascii="宋体" w:hAnsi="宋体"/>
          <w:color w:val="auto"/>
          <w:szCs w:val="21"/>
          <w:lang w:eastAsia="zh-CN"/>
        </w:rPr>
        <w:t>陆川县新洲路146号</w:t>
      </w:r>
      <w:r>
        <w:rPr>
          <w:rFonts w:hint="eastAsia" w:ascii="宋体" w:hAnsi="宋体" w:eastAsia="宋体" w:cs="宋体"/>
          <w:color w:val="auto"/>
          <w:sz w:val="21"/>
          <w:szCs w:val="21"/>
          <w:highlight w:val="none"/>
          <w:u w:val="none"/>
        </w:rPr>
        <w:t>　</w:t>
      </w:r>
      <w:r>
        <w:rPr>
          <w:rFonts w:hint="eastAsia" w:ascii="宋体" w:hAnsi="宋体" w:eastAsia="宋体" w:cs="宋体"/>
          <w:color w:val="auto"/>
          <w:sz w:val="21"/>
          <w:szCs w:val="21"/>
          <w:u w:val="none"/>
        </w:rPr>
        <w:t>　　　　　　　　</w:t>
      </w:r>
    </w:p>
    <w:p w14:paraId="4C0AE4A1">
      <w:pPr>
        <w:pageBreakBefore w:val="0"/>
        <w:widowControl w:val="0"/>
        <w:kinsoku/>
        <w:wordWrap/>
        <w:overflowPunct/>
        <w:topLinePunct w:val="0"/>
        <w:autoSpaceDE/>
        <w:autoSpaceDN/>
        <w:bidi w:val="0"/>
        <w:adjustRightInd/>
        <w:snapToGrid/>
        <w:spacing w:line="480" w:lineRule="exact"/>
        <w:ind w:left="0" w:leftChars="0" w:right="0" w:firstLine="420" w:firstLineChars="200"/>
        <w:jc w:val="left"/>
        <w:textAlignment w:val="auto"/>
        <w:rPr>
          <w:rFonts w:hint="default" w:ascii="宋体" w:hAnsi="宋体" w:eastAsia="宋体" w:cs="宋体"/>
          <w:color w:val="auto"/>
          <w:sz w:val="21"/>
          <w:szCs w:val="21"/>
          <w:u w:val="none"/>
          <w:lang w:val="en-US" w:eastAsia="zh-CN"/>
        </w:rPr>
      </w:pPr>
      <w:r>
        <w:rPr>
          <w:rFonts w:hint="eastAsia" w:ascii="宋体" w:hAnsi="宋体" w:eastAsia="宋体" w:cs="宋体"/>
          <w:color w:val="auto"/>
          <w:sz w:val="21"/>
          <w:szCs w:val="21"/>
          <w:u w:val="none"/>
          <w:lang w:val="en-US" w:eastAsia="zh-CN"/>
        </w:rPr>
        <w:t>联系人：吕盛斌</w:t>
      </w:r>
    </w:p>
    <w:p w14:paraId="587C7068">
      <w:pPr>
        <w:pageBreakBefore w:val="0"/>
        <w:widowControl w:val="0"/>
        <w:kinsoku/>
        <w:wordWrap/>
        <w:overflowPunct/>
        <w:topLinePunct w:val="0"/>
        <w:autoSpaceDE/>
        <w:autoSpaceDN/>
        <w:bidi w:val="0"/>
        <w:adjustRightInd/>
        <w:snapToGrid/>
        <w:spacing w:line="480" w:lineRule="exact"/>
        <w:ind w:left="0" w:leftChars="0" w:right="0" w:firstLine="420" w:firstLineChars="200"/>
        <w:jc w:val="left"/>
        <w:textAlignment w:val="auto"/>
        <w:rPr>
          <w:rFonts w:hint="eastAsia" w:ascii="宋体" w:hAnsi="宋体" w:eastAsia="宋体" w:cs="宋体"/>
          <w:color w:val="auto"/>
          <w:sz w:val="21"/>
          <w:szCs w:val="21"/>
          <w:u w:val="none"/>
        </w:rPr>
      </w:pPr>
      <w:r>
        <w:rPr>
          <w:rFonts w:hint="eastAsia" w:ascii="宋体" w:hAnsi="宋体" w:eastAsia="宋体" w:cs="宋体"/>
          <w:color w:val="auto"/>
          <w:sz w:val="21"/>
          <w:szCs w:val="21"/>
          <w:u w:val="none"/>
        </w:rPr>
        <w:t>联系方式：</w:t>
      </w:r>
      <w:r>
        <w:rPr>
          <w:rFonts w:hint="eastAsia" w:ascii="宋体" w:hAnsi="宋体" w:eastAsia="宋体" w:cs="宋体"/>
          <w:color w:val="auto"/>
          <w:sz w:val="21"/>
          <w:szCs w:val="21"/>
          <w:u w:val="none"/>
          <w:lang w:eastAsia="zh-CN"/>
        </w:rPr>
        <w:t>0775-7339169 </w:t>
      </w:r>
      <w:r>
        <w:rPr>
          <w:rFonts w:hint="eastAsia" w:ascii="宋体" w:hAnsi="宋体" w:eastAsia="宋体" w:cs="宋体"/>
          <w:color w:val="auto"/>
          <w:sz w:val="21"/>
          <w:szCs w:val="21"/>
          <w:u w:val="none"/>
        </w:rPr>
        <w:t xml:space="preserve">                      　 </w:t>
      </w:r>
    </w:p>
    <w:p w14:paraId="3AE02B3A">
      <w:pPr>
        <w:pageBreakBefore w:val="0"/>
        <w:widowControl w:val="0"/>
        <w:kinsoku/>
        <w:wordWrap/>
        <w:overflowPunct/>
        <w:topLinePunct w:val="0"/>
        <w:autoSpaceDE/>
        <w:autoSpaceDN/>
        <w:bidi w:val="0"/>
        <w:adjustRightInd/>
        <w:snapToGrid/>
        <w:spacing w:line="480" w:lineRule="exact"/>
        <w:ind w:left="0" w:leftChars="0" w:right="0" w:firstLine="420" w:firstLineChars="200"/>
        <w:textAlignment w:val="auto"/>
        <w:outlineLvl w:val="0"/>
        <w:rPr>
          <w:rFonts w:hint="eastAsia" w:ascii="宋体" w:hAnsi="宋体" w:eastAsia="宋体" w:cs="宋体"/>
          <w:color w:val="auto"/>
          <w:kern w:val="0"/>
          <w:sz w:val="21"/>
          <w:szCs w:val="21"/>
          <w:u w:val="none"/>
        </w:rPr>
      </w:pPr>
      <w:bookmarkStart w:id="45" w:name="_Toc25561"/>
      <w:bookmarkStart w:id="46" w:name="_Toc17087"/>
      <w:bookmarkStart w:id="47" w:name="_Toc35393807"/>
      <w:bookmarkStart w:id="48" w:name="_Toc35393638"/>
      <w:bookmarkStart w:id="49" w:name="_Toc28359020"/>
      <w:bookmarkStart w:id="50" w:name="_Toc28359097"/>
      <w:bookmarkStart w:id="51" w:name="_Toc3995"/>
      <w:bookmarkStart w:id="52" w:name="_Toc5007"/>
      <w:r>
        <w:rPr>
          <w:rFonts w:hint="eastAsia" w:ascii="宋体" w:hAnsi="宋体" w:eastAsia="宋体" w:cs="宋体"/>
          <w:color w:val="auto"/>
          <w:kern w:val="0"/>
          <w:sz w:val="21"/>
          <w:szCs w:val="21"/>
          <w:u w:val="none"/>
        </w:rPr>
        <w:t>2.采购代理机构信息</w:t>
      </w:r>
      <w:bookmarkEnd w:id="45"/>
      <w:bookmarkEnd w:id="46"/>
      <w:bookmarkEnd w:id="47"/>
      <w:bookmarkEnd w:id="48"/>
      <w:bookmarkEnd w:id="49"/>
      <w:bookmarkEnd w:id="50"/>
      <w:bookmarkEnd w:id="51"/>
      <w:bookmarkEnd w:id="52"/>
    </w:p>
    <w:p w14:paraId="72BA246A">
      <w:pPr>
        <w:keepNext w:val="0"/>
        <w:keepLines w:val="0"/>
        <w:pageBreakBefore w:val="0"/>
        <w:widowControl w:val="0"/>
        <w:kinsoku/>
        <w:wordWrap/>
        <w:overflowPunct/>
        <w:topLinePunct w:val="0"/>
        <w:autoSpaceDE/>
        <w:autoSpaceDN/>
        <w:bidi w:val="0"/>
        <w:adjustRightInd/>
        <w:snapToGrid/>
        <w:spacing w:line="460" w:lineRule="exact"/>
        <w:ind w:left="0" w:leftChars="0" w:right="0" w:firstLine="420" w:firstLineChars="200"/>
        <w:textAlignment w:val="auto"/>
        <w:rPr>
          <w:rFonts w:hint="eastAsia" w:ascii="宋体" w:hAnsi="宋体"/>
          <w:color w:val="auto"/>
          <w:szCs w:val="21"/>
          <w:lang w:eastAsia="zh-CN"/>
        </w:rPr>
      </w:pPr>
      <w:r>
        <w:rPr>
          <w:rFonts w:hint="eastAsia" w:ascii="宋体" w:hAnsi="宋体"/>
          <w:color w:val="auto"/>
          <w:szCs w:val="21"/>
          <w:lang w:eastAsia="zh-CN"/>
        </w:rPr>
        <w:t>名称：广西建汇工程咨询有限公司　　　　　　　　　　　</w:t>
      </w:r>
    </w:p>
    <w:p w14:paraId="1A1AE753">
      <w:pPr>
        <w:pageBreakBefore w:val="0"/>
        <w:widowControl w:val="0"/>
        <w:kinsoku/>
        <w:wordWrap/>
        <w:overflowPunct/>
        <w:topLinePunct w:val="0"/>
        <w:autoSpaceDE/>
        <w:autoSpaceDN/>
        <w:bidi w:val="0"/>
        <w:adjustRightInd/>
        <w:snapToGrid/>
        <w:spacing w:line="480" w:lineRule="exact"/>
        <w:ind w:left="0" w:leftChars="0" w:right="0" w:firstLine="420" w:firstLineChars="200"/>
        <w:textAlignment w:val="auto"/>
        <w:rPr>
          <w:rFonts w:hint="eastAsia" w:ascii="宋体" w:hAnsi="宋体" w:eastAsia="宋体" w:cs="宋体"/>
          <w:color w:val="auto"/>
          <w:sz w:val="21"/>
          <w:szCs w:val="21"/>
          <w:u w:val="none"/>
        </w:rPr>
      </w:pPr>
      <w:r>
        <w:rPr>
          <w:rFonts w:hint="eastAsia" w:ascii="宋体" w:hAnsi="宋体"/>
          <w:color w:val="auto"/>
          <w:szCs w:val="21"/>
          <w:lang w:eastAsia="zh-CN"/>
        </w:rPr>
        <w:t>地址：</w:t>
      </w:r>
      <w:r>
        <w:rPr>
          <w:rFonts w:hint="eastAsia" w:ascii="宋体" w:hAnsi="宋体"/>
          <w:color w:val="auto"/>
          <w:szCs w:val="21"/>
          <w:lang w:val="en-US" w:eastAsia="zh-CN"/>
        </w:rPr>
        <w:t>玉林市玉州区江滨路东55号山水名城8栋10号商铺</w:t>
      </w:r>
      <w:r>
        <w:rPr>
          <w:rFonts w:hint="eastAsia" w:ascii="宋体" w:hAnsi="宋体"/>
          <w:color w:val="auto"/>
          <w:szCs w:val="21"/>
          <w:lang w:eastAsia="zh-CN"/>
        </w:rPr>
        <w:t>　</w:t>
      </w:r>
      <w:r>
        <w:rPr>
          <w:rFonts w:hint="eastAsia" w:ascii="宋体" w:hAnsi="宋体" w:eastAsia="宋体" w:cs="宋体"/>
          <w:color w:val="auto"/>
          <w:sz w:val="21"/>
          <w:szCs w:val="21"/>
          <w:u w:val="none"/>
        </w:rPr>
        <w:t> 　　　　　　　　　</w:t>
      </w:r>
    </w:p>
    <w:p w14:paraId="1EFA4D98">
      <w:pPr>
        <w:pageBreakBefore w:val="0"/>
        <w:widowControl w:val="0"/>
        <w:kinsoku/>
        <w:wordWrap/>
        <w:overflowPunct/>
        <w:topLinePunct w:val="0"/>
        <w:autoSpaceDE/>
        <w:autoSpaceDN/>
        <w:bidi w:val="0"/>
        <w:adjustRightInd/>
        <w:snapToGrid/>
        <w:spacing w:line="480" w:lineRule="exact"/>
        <w:ind w:left="0" w:leftChars="0" w:right="0" w:firstLine="420" w:firstLineChars="200"/>
        <w:textAlignment w:val="auto"/>
        <w:rPr>
          <w:rFonts w:hint="eastAsia" w:ascii="宋体" w:hAnsi="宋体" w:eastAsia="宋体" w:cs="宋体"/>
          <w:color w:val="auto"/>
          <w:sz w:val="21"/>
          <w:szCs w:val="21"/>
          <w:u w:val="none"/>
        </w:rPr>
      </w:pPr>
      <w:r>
        <w:rPr>
          <w:rFonts w:hint="eastAsia" w:ascii="宋体" w:hAnsi="宋体" w:eastAsia="宋体" w:cs="宋体"/>
          <w:color w:val="auto"/>
          <w:sz w:val="21"/>
          <w:szCs w:val="21"/>
          <w:u w:val="none"/>
        </w:rPr>
        <w:t>联系方式：</w:t>
      </w:r>
      <w:r>
        <w:rPr>
          <w:rFonts w:hint="eastAsia" w:ascii="宋体" w:hAnsi="宋体" w:cs="宋体"/>
          <w:color w:val="auto"/>
          <w:sz w:val="21"/>
          <w:szCs w:val="21"/>
          <w:highlight w:val="none"/>
          <w:u w:val="none"/>
          <w:lang w:eastAsia="zh-CN"/>
        </w:rPr>
        <w:t>0775-2698633</w:t>
      </w:r>
      <w:r>
        <w:rPr>
          <w:rFonts w:hint="eastAsia" w:ascii="宋体" w:hAnsi="宋体" w:eastAsia="宋体" w:cs="宋体"/>
          <w:color w:val="auto"/>
          <w:sz w:val="21"/>
          <w:szCs w:val="21"/>
          <w:u w:val="none"/>
        </w:rPr>
        <w:t xml:space="preserve">                      </w:t>
      </w:r>
    </w:p>
    <w:p w14:paraId="3E76E72C">
      <w:pPr>
        <w:pageBreakBefore w:val="0"/>
        <w:widowControl w:val="0"/>
        <w:kinsoku/>
        <w:wordWrap/>
        <w:overflowPunct/>
        <w:topLinePunct w:val="0"/>
        <w:autoSpaceDE/>
        <w:autoSpaceDN/>
        <w:bidi w:val="0"/>
        <w:adjustRightInd/>
        <w:snapToGrid/>
        <w:spacing w:line="480" w:lineRule="exact"/>
        <w:ind w:left="0" w:leftChars="0" w:right="0" w:firstLine="420" w:firstLineChars="200"/>
        <w:textAlignment w:val="auto"/>
        <w:outlineLvl w:val="0"/>
        <w:rPr>
          <w:rFonts w:hint="eastAsia" w:ascii="宋体" w:hAnsi="宋体" w:eastAsia="宋体" w:cs="宋体"/>
          <w:color w:val="auto"/>
          <w:kern w:val="0"/>
          <w:sz w:val="21"/>
          <w:szCs w:val="21"/>
          <w:u w:val="none"/>
        </w:rPr>
      </w:pPr>
      <w:bookmarkStart w:id="53" w:name="_Toc35393639"/>
      <w:bookmarkStart w:id="54" w:name="_Toc35393808"/>
      <w:bookmarkStart w:id="55" w:name="_Toc1192"/>
      <w:bookmarkStart w:id="56" w:name="_Toc20744"/>
      <w:bookmarkStart w:id="57" w:name="_Toc28359098"/>
      <w:bookmarkStart w:id="58" w:name="_Toc28359021"/>
      <w:bookmarkStart w:id="59" w:name="_Toc4404"/>
      <w:bookmarkStart w:id="60" w:name="_Toc30979"/>
      <w:r>
        <w:rPr>
          <w:rFonts w:hint="eastAsia" w:ascii="宋体" w:hAnsi="宋体" w:eastAsia="宋体" w:cs="宋体"/>
          <w:color w:val="auto"/>
          <w:kern w:val="0"/>
          <w:sz w:val="21"/>
          <w:szCs w:val="21"/>
          <w:u w:val="none"/>
        </w:rPr>
        <w:t>3.项目联系方式</w:t>
      </w:r>
      <w:bookmarkEnd w:id="53"/>
      <w:bookmarkEnd w:id="54"/>
      <w:bookmarkEnd w:id="55"/>
      <w:bookmarkEnd w:id="56"/>
      <w:bookmarkEnd w:id="57"/>
      <w:bookmarkEnd w:id="58"/>
      <w:bookmarkEnd w:id="59"/>
      <w:bookmarkEnd w:id="60"/>
    </w:p>
    <w:p w14:paraId="415821C3">
      <w:pPr>
        <w:pStyle w:val="16"/>
        <w:pageBreakBefore w:val="0"/>
        <w:widowControl w:val="0"/>
        <w:kinsoku/>
        <w:wordWrap/>
        <w:overflowPunct/>
        <w:topLinePunct w:val="0"/>
        <w:autoSpaceDE/>
        <w:autoSpaceDN/>
        <w:bidi w:val="0"/>
        <w:adjustRightInd/>
        <w:snapToGrid/>
        <w:spacing w:line="480" w:lineRule="exact"/>
        <w:ind w:left="0" w:leftChars="0" w:right="0" w:firstLine="420" w:firstLineChars="200"/>
        <w:textAlignment w:val="auto"/>
        <w:rPr>
          <w:rFonts w:hint="eastAsia" w:ascii="宋体" w:hAnsi="宋体" w:eastAsia="宋体" w:cs="宋体"/>
          <w:color w:val="auto"/>
          <w:sz w:val="21"/>
          <w:szCs w:val="21"/>
          <w:u w:val="none"/>
        </w:rPr>
      </w:pPr>
      <w:r>
        <w:rPr>
          <w:rFonts w:hint="eastAsia" w:ascii="宋体" w:hAnsi="宋体" w:eastAsia="宋体" w:cs="宋体"/>
          <w:color w:val="auto"/>
          <w:sz w:val="21"/>
          <w:szCs w:val="21"/>
          <w:u w:val="none"/>
        </w:rPr>
        <w:t>项目联系人：</w:t>
      </w:r>
      <w:r>
        <w:rPr>
          <w:rFonts w:hint="eastAsia" w:hAnsi="宋体" w:cs="宋体"/>
          <w:color w:val="auto"/>
          <w:sz w:val="21"/>
          <w:szCs w:val="21"/>
          <w:u w:val="none"/>
          <w:lang w:val="en-US" w:eastAsia="zh-CN"/>
        </w:rPr>
        <w:t xml:space="preserve">梁妮 </w:t>
      </w:r>
      <w:r>
        <w:rPr>
          <w:rFonts w:hint="eastAsia" w:ascii="宋体" w:hAnsi="宋体" w:eastAsia="宋体" w:cs="宋体"/>
          <w:color w:val="auto"/>
          <w:sz w:val="21"/>
          <w:szCs w:val="21"/>
          <w:u w:val="none"/>
        </w:rPr>
        <w:t xml:space="preserve">                 </w:t>
      </w:r>
    </w:p>
    <w:p w14:paraId="0BFC5C2C">
      <w:pPr>
        <w:pageBreakBefore w:val="0"/>
        <w:widowControl w:val="0"/>
        <w:kinsoku/>
        <w:wordWrap/>
        <w:overflowPunct/>
        <w:topLinePunct w:val="0"/>
        <w:autoSpaceDE/>
        <w:autoSpaceDN/>
        <w:bidi w:val="0"/>
        <w:adjustRightInd/>
        <w:snapToGrid/>
        <w:spacing w:line="480" w:lineRule="exact"/>
        <w:ind w:left="0" w:leftChars="0" w:right="0" w:firstLine="420" w:firstLineChars="200"/>
        <w:textAlignment w:val="auto"/>
        <w:rPr>
          <w:rFonts w:hint="eastAsia" w:ascii="宋体" w:hAnsi="宋体" w:eastAsia="宋体" w:cs="宋体"/>
          <w:color w:val="auto"/>
          <w:sz w:val="21"/>
          <w:szCs w:val="21"/>
          <w:shd w:val="clear" w:color="auto" w:fill="FFFFFF"/>
          <w:lang w:val="en-US" w:eastAsia="zh-CN"/>
        </w:rPr>
      </w:pPr>
      <w:r>
        <w:rPr>
          <w:rFonts w:hint="eastAsia" w:ascii="宋体" w:hAnsi="宋体" w:eastAsia="宋体" w:cs="宋体"/>
          <w:color w:val="auto"/>
          <w:sz w:val="21"/>
          <w:szCs w:val="21"/>
          <w:u w:val="none"/>
        </w:rPr>
        <w:t>电话：</w:t>
      </w:r>
      <w:r>
        <w:rPr>
          <w:rFonts w:hint="eastAsia" w:ascii="宋体" w:hAnsi="宋体" w:cs="宋体"/>
          <w:color w:val="auto"/>
          <w:sz w:val="21"/>
          <w:szCs w:val="21"/>
          <w:highlight w:val="none"/>
          <w:u w:val="none"/>
          <w:lang w:eastAsia="zh-CN"/>
        </w:rPr>
        <w:t>0775-2698633</w:t>
      </w:r>
      <w:r>
        <w:rPr>
          <w:rFonts w:hint="eastAsia" w:ascii="宋体" w:hAnsi="宋体" w:eastAsia="宋体" w:cs="宋体"/>
          <w:color w:val="auto"/>
          <w:sz w:val="21"/>
          <w:szCs w:val="21"/>
          <w:shd w:val="clear" w:color="auto" w:fill="FFFFFF"/>
          <w:lang w:val="en-US" w:eastAsia="zh-CN"/>
        </w:rPr>
        <w:t xml:space="preserve">                          </w:t>
      </w:r>
    </w:p>
    <w:p w14:paraId="29FD4B9A">
      <w:pPr>
        <w:pageBreakBefore w:val="0"/>
        <w:kinsoku/>
        <w:wordWrap/>
        <w:overflowPunct/>
        <w:topLinePunct w:val="0"/>
        <w:autoSpaceDE/>
        <w:autoSpaceDN/>
        <w:bidi w:val="0"/>
        <w:adjustRightInd/>
        <w:spacing w:line="500" w:lineRule="exact"/>
        <w:ind w:left="0" w:leftChars="0" w:right="0" w:firstLine="420" w:firstLineChars="200"/>
        <w:jc w:val="center"/>
        <w:textAlignment w:val="auto"/>
        <w:rPr>
          <w:rFonts w:hint="eastAsia" w:ascii="宋体" w:hAnsi="宋体" w:cs="宋体"/>
          <w:color w:val="auto"/>
          <w:sz w:val="21"/>
          <w:szCs w:val="21"/>
          <w:shd w:val="clear" w:color="auto" w:fill="FFFFFF"/>
          <w:lang w:val="en-US" w:eastAsia="zh-CN"/>
        </w:rPr>
      </w:pPr>
      <w:r>
        <w:rPr>
          <w:rFonts w:hint="eastAsia" w:ascii="宋体" w:hAnsi="宋体" w:cs="宋体"/>
          <w:color w:val="auto"/>
          <w:sz w:val="21"/>
          <w:szCs w:val="21"/>
          <w:shd w:val="clear" w:color="auto" w:fill="FFFFFF"/>
          <w:lang w:val="en-US" w:eastAsia="zh-CN"/>
        </w:rPr>
        <w:t xml:space="preserve">                             </w:t>
      </w:r>
      <w:r>
        <w:rPr>
          <w:rFonts w:hint="eastAsia" w:ascii="宋体" w:hAnsi="宋体" w:eastAsia="宋体" w:cs="宋体"/>
          <w:color w:val="auto"/>
          <w:sz w:val="21"/>
          <w:szCs w:val="21"/>
          <w:shd w:val="clear" w:color="auto" w:fill="FFFFFF"/>
          <w:lang w:val="en-US" w:eastAsia="zh-CN"/>
        </w:rPr>
        <w:t xml:space="preserve">  </w:t>
      </w:r>
      <w:r>
        <w:rPr>
          <w:rFonts w:hint="eastAsia" w:ascii="宋体" w:hAnsi="宋体" w:cs="宋体"/>
          <w:color w:val="auto"/>
          <w:sz w:val="21"/>
          <w:szCs w:val="21"/>
          <w:shd w:val="clear" w:color="auto" w:fill="FFFFFF"/>
          <w:lang w:val="en-US" w:eastAsia="zh-CN"/>
        </w:rPr>
        <w:t xml:space="preserve">         </w:t>
      </w:r>
    </w:p>
    <w:p w14:paraId="74323A82">
      <w:pPr>
        <w:pageBreakBefore w:val="0"/>
        <w:kinsoku/>
        <w:wordWrap/>
        <w:overflowPunct/>
        <w:topLinePunct w:val="0"/>
        <w:autoSpaceDE/>
        <w:autoSpaceDN/>
        <w:bidi w:val="0"/>
        <w:adjustRightInd/>
        <w:spacing w:line="500" w:lineRule="exact"/>
        <w:ind w:left="0" w:leftChars="0" w:right="0" w:firstLine="420" w:firstLineChars="200"/>
        <w:jc w:val="center"/>
        <w:textAlignment w:val="auto"/>
        <w:rPr>
          <w:rFonts w:hint="eastAsia" w:ascii="宋体" w:hAnsi="宋体" w:eastAsia="宋体" w:cs="宋体"/>
          <w:color w:val="auto"/>
          <w:sz w:val="21"/>
          <w:szCs w:val="21"/>
          <w:lang w:val="en-US" w:eastAsia="zh-CN"/>
        </w:rPr>
      </w:pPr>
      <w:r>
        <w:rPr>
          <w:rFonts w:hint="eastAsia" w:ascii="宋体" w:hAnsi="宋体" w:cs="宋体"/>
          <w:color w:val="auto"/>
          <w:sz w:val="21"/>
          <w:szCs w:val="21"/>
          <w:shd w:val="clear" w:color="auto" w:fill="FFFFFF"/>
          <w:lang w:val="en-US" w:eastAsia="zh-CN"/>
        </w:rPr>
        <w:t xml:space="preserve">                                          广西建汇工程咨询有限公司</w:t>
      </w:r>
      <w:r>
        <w:rPr>
          <w:rFonts w:hint="eastAsia" w:ascii="宋体" w:hAnsi="宋体" w:eastAsia="宋体" w:cs="宋体"/>
          <w:color w:val="auto"/>
          <w:sz w:val="21"/>
          <w:szCs w:val="21"/>
          <w:lang w:val="en-US" w:eastAsia="zh-CN"/>
        </w:rPr>
        <w:t xml:space="preserve"> </w:t>
      </w:r>
    </w:p>
    <w:p w14:paraId="4A9E6BB9">
      <w:pPr>
        <w:pageBreakBefore w:val="0"/>
        <w:kinsoku/>
        <w:wordWrap/>
        <w:overflowPunct/>
        <w:topLinePunct w:val="0"/>
        <w:autoSpaceDE/>
        <w:autoSpaceDN/>
        <w:bidi w:val="0"/>
        <w:adjustRightInd/>
        <w:spacing w:line="500" w:lineRule="exact"/>
        <w:ind w:left="0" w:leftChars="0" w:right="0" w:firstLine="420" w:firstLineChars="200"/>
        <w:jc w:val="center"/>
        <w:textAlignment w:val="auto"/>
        <w:rPr>
          <w:rFonts w:hint="eastAsia" w:asciiTheme="majorEastAsia" w:hAnsiTheme="majorEastAsia" w:eastAsiaTheme="majorEastAsia" w:cstheme="majorEastAsia"/>
          <w:b/>
          <w:color w:val="auto"/>
          <w:sz w:val="32"/>
          <w:highlight w:val="none"/>
        </w:rPr>
      </w:pPr>
      <w:r>
        <w:rPr>
          <w:rFonts w:hint="eastAsia" w:ascii="宋体" w:hAnsi="宋体" w:cs="宋体"/>
          <w:color w:val="auto"/>
          <w:sz w:val="21"/>
          <w:szCs w:val="21"/>
          <w:lang w:val="en-US" w:eastAsia="zh-CN"/>
        </w:rPr>
        <w:t xml:space="preserve">                                          </w:t>
      </w:r>
      <w:r>
        <w:rPr>
          <w:rFonts w:hint="eastAsia" w:ascii="宋体" w:hAnsi="宋体" w:eastAsia="宋体" w:cs="宋体"/>
          <w:color w:val="auto"/>
          <w:sz w:val="21"/>
          <w:szCs w:val="21"/>
          <w:highlight w:val="none"/>
          <w:lang w:val="en-US" w:eastAsia="zh-CN"/>
        </w:rPr>
        <w:t>202</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lang w:eastAsia="zh-CN"/>
        </w:rPr>
        <w:t>年</w:t>
      </w:r>
      <w:r>
        <w:rPr>
          <w:rFonts w:hint="eastAsia" w:ascii="宋体" w:hAnsi="宋体" w:cs="宋体"/>
          <w:color w:val="auto"/>
          <w:sz w:val="21"/>
          <w:szCs w:val="21"/>
          <w:highlight w:val="none"/>
          <w:lang w:val="en-US" w:eastAsia="zh-CN"/>
        </w:rPr>
        <w:t xml:space="preserve"> 10</w:t>
      </w:r>
      <w:r>
        <w:rPr>
          <w:rFonts w:hint="eastAsia" w:ascii="宋体" w:hAnsi="宋体" w:eastAsia="宋体" w:cs="宋体"/>
          <w:color w:val="auto"/>
          <w:sz w:val="21"/>
          <w:szCs w:val="21"/>
          <w:highlight w:val="none"/>
          <w:lang w:eastAsia="zh-CN"/>
        </w:rPr>
        <w:t>月</w:t>
      </w:r>
      <w:r>
        <w:rPr>
          <w:rFonts w:hint="eastAsia" w:ascii="宋体" w:hAnsi="宋体" w:cs="宋体"/>
          <w:color w:val="auto"/>
          <w:sz w:val="21"/>
          <w:szCs w:val="21"/>
          <w:highlight w:val="none"/>
          <w:lang w:val="en-US" w:eastAsia="zh-CN"/>
        </w:rPr>
        <w:t>22</w:t>
      </w:r>
      <w:r>
        <w:rPr>
          <w:rFonts w:hint="eastAsia" w:ascii="宋体" w:hAnsi="宋体" w:eastAsia="宋体" w:cs="宋体"/>
          <w:color w:val="auto"/>
          <w:sz w:val="21"/>
          <w:szCs w:val="21"/>
          <w:highlight w:val="none"/>
          <w:lang w:eastAsia="zh-CN"/>
        </w:rPr>
        <w:t>日</w:t>
      </w:r>
      <w:r>
        <w:rPr>
          <w:rFonts w:hint="eastAsia" w:ascii="宋体" w:hAnsi="宋体"/>
          <w:bCs/>
          <w:color w:val="auto"/>
          <w:szCs w:val="21"/>
        </w:rPr>
        <w:t xml:space="preserve">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cs="宋体"/>
          <w:color w:val="auto"/>
          <w:sz w:val="21"/>
          <w:szCs w:val="21"/>
          <w:highlight w:val="none"/>
          <w:lang w:val="en-US" w:eastAsia="zh-CN"/>
        </w:rPr>
        <w:t xml:space="preserve">                        </w:t>
      </w:r>
      <w:r>
        <w:rPr>
          <w:rFonts w:hint="eastAsia" w:ascii="宋体" w:hAnsi="宋体"/>
          <w:bCs/>
          <w:color w:val="auto"/>
          <w:szCs w:val="21"/>
        </w:rPr>
        <w:t xml:space="preserve">                         </w:t>
      </w:r>
      <w:r>
        <w:rPr>
          <w:rFonts w:hint="eastAsia" w:ascii="宋体" w:hAnsi="宋体"/>
          <w:bCs/>
          <w:color w:val="auto"/>
          <w:szCs w:val="21"/>
          <w:lang w:val="en-US" w:eastAsia="zh-CN"/>
        </w:rPr>
        <w:t xml:space="preserve">                                                               </w:t>
      </w:r>
      <w:bookmarkStart w:id="61" w:name="_Toc19097"/>
      <w:bookmarkStart w:id="62" w:name="_Toc2599"/>
      <w:bookmarkStart w:id="63" w:name="_Toc44229894"/>
    </w:p>
    <w:p w14:paraId="7D0CBEE5">
      <w:pPr>
        <w:jc w:val="center"/>
        <w:outlineLvl w:val="0"/>
        <w:rPr>
          <w:rFonts w:hint="eastAsia" w:asciiTheme="majorEastAsia" w:hAnsiTheme="majorEastAsia" w:eastAsiaTheme="majorEastAsia" w:cstheme="majorEastAsia"/>
          <w:b/>
          <w:color w:val="auto"/>
          <w:sz w:val="32"/>
          <w:highlight w:val="none"/>
        </w:rPr>
      </w:pPr>
      <w:r>
        <w:rPr>
          <w:rFonts w:hint="eastAsia" w:asciiTheme="majorEastAsia" w:hAnsiTheme="majorEastAsia" w:eastAsiaTheme="majorEastAsia" w:cstheme="majorEastAsia"/>
          <w:b/>
          <w:color w:val="auto"/>
          <w:sz w:val="32"/>
          <w:highlight w:val="none"/>
        </w:rPr>
        <w:t>第二章 供应商须知</w:t>
      </w:r>
      <w:bookmarkEnd w:id="61"/>
      <w:bookmarkEnd w:id="62"/>
      <w:bookmarkEnd w:id="63"/>
    </w:p>
    <w:p w14:paraId="41547C77">
      <w:pPr>
        <w:jc w:val="center"/>
        <w:rPr>
          <w:rFonts w:hint="eastAsia" w:asciiTheme="majorEastAsia" w:hAnsiTheme="majorEastAsia" w:eastAsiaTheme="majorEastAsia" w:cstheme="majorEastAsia"/>
          <w:b/>
          <w:color w:val="auto"/>
          <w:sz w:val="32"/>
          <w:highlight w:val="none"/>
        </w:rPr>
      </w:pPr>
      <w:r>
        <w:rPr>
          <w:rFonts w:hint="eastAsia" w:asciiTheme="majorEastAsia" w:hAnsiTheme="majorEastAsia" w:eastAsiaTheme="majorEastAsia" w:cstheme="majorEastAsia"/>
          <w:b/>
          <w:color w:val="auto"/>
          <w:sz w:val="32"/>
          <w:highlight w:val="none"/>
        </w:rPr>
        <w:t>供应商须知前附表</w:t>
      </w:r>
    </w:p>
    <w:p w14:paraId="20AA2AB9">
      <w:pPr>
        <w:jc w:val="center"/>
        <w:rPr>
          <w:rFonts w:hint="eastAsia" w:ascii="宋体" w:hAnsi="宋体" w:eastAsia="宋体" w:cs="宋体"/>
          <w:b/>
          <w:color w:val="auto"/>
          <w:sz w:val="21"/>
          <w:szCs w:val="21"/>
          <w:highlight w:val="none"/>
        </w:rPr>
      </w:pPr>
    </w:p>
    <w:tbl>
      <w:tblPr>
        <w:tblStyle w:val="28"/>
        <w:tblW w:w="906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52"/>
        <w:gridCol w:w="7912"/>
      </w:tblGrid>
      <w:tr w14:paraId="23F1D0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52" w:type="dxa"/>
          </w:tcPr>
          <w:p w14:paraId="576D9062">
            <w:pPr>
              <w:spacing w:line="360" w:lineRule="auto"/>
              <w:jc w:val="center"/>
              <w:rPr>
                <w:rFonts w:ascii="宋体" w:hAnsi="宋体" w:cs="宋体"/>
                <w:b/>
                <w:color w:val="auto"/>
                <w:szCs w:val="21"/>
              </w:rPr>
            </w:pPr>
            <w:r>
              <w:rPr>
                <w:rFonts w:hint="eastAsia" w:ascii="宋体" w:hAnsi="宋体" w:cs="宋体"/>
                <w:b/>
                <w:color w:val="auto"/>
                <w:szCs w:val="21"/>
              </w:rPr>
              <w:t>条款号</w:t>
            </w:r>
          </w:p>
        </w:tc>
        <w:tc>
          <w:tcPr>
            <w:tcW w:w="7912" w:type="dxa"/>
          </w:tcPr>
          <w:p w14:paraId="0D744C98">
            <w:pPr>
              <w:spacing w:line="360" w:lineRule="auto"/>
              <w:jc w:val="center"/>
              <w:rPr>
                <w:rFonts w:ascii="宋体" w:hAnsi="宋体" w:cs="宋体"/>
                <w:b/>
                <w:color w:val="auto"/>
                <w:szCs w:val="21"/>
              </w:rPr>
            </w:pPr>
            <w:r>
              <w:rPr>
                <w:rFonts w:hint="eastAsia" w:ascii="宋体" w:hAnsi="宋体" w:cs="宋体"/>
                <w:b/>
                <w:color w:val="auto"/>
                <w:szCs w:val="21"/>
              </w:rPr>
              <w:t>内    容</w:t>
            </w:r>
          </w:p>
        </w:tc>
      </w:tr>
      <w:tr w14:paraId="455207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52" w:type="dxa"/>
            <w:vAlign w:val="center"/>
          </w:tcPr>
          <w:p w14:paraId="48990580">
            <w:pPr>
              <w:spacing w:line="360" w:lineRule="auto"/>
              <w:jc w:val="center"/>
              <w:rPr>
                <w:rFonts w:ascii="宋体" w:hAnsi="宋体" w:cs="宋体"/>
                <w:color w:val="auto"/>
                <w:szCs w:val="21"/>
              </w:rPr>
            </w:pPr>
            <w:r>
              <w:rPr>
                <w:rFonts w:hint="eastAsia" w:ascii="宋体" w:hAnsi="宋体" w:cs="宋体"/>
                <w:color w:val="auto"/>
                <w:szCs w:val="21"/>
              </w:rPr>
              <w:t>3</w:t>
            </w:r>
          </w:p>
        </w:tc>
        <w:tc>
          <w:tcPr>
            <w:tcW w:w="7912" w:type="dxa"/>
            <w:vAlign w:val="center"/>
          </w:tcPr>
          <w:p w14:paraId="13153725">
            <w:pPr>
              <w:spacing w:line="360" w:lineRule="auto"/>
              <w:rPr>
                <w:rFonts w:ascii="宋体" w:hAnsi="宋体" w:cs="宋体"/>
                <w:color w:val="auto"/>
                <w:szCs w:val="21"/>
              </w:rPr>
            </w:pPr>
            <w:r>
              <w:rPr>
                <w:rFonts w:hint="eastAsia" w:ascii="宋体" w:hAnsi="宋体" w:cs="宋体"/>
                <w:bCs/>
                <w:color w:val="auto"/>
                <w:szCs w:val="21"/>
              </w:rPr>
              <w:t>供应商的资格条件</w:t>
            </w:r>
            <w:r>
              <w:rPr>
                <w:rFonts w:hint="eastAsia" w:ascii="宋体" w:hAnsi="宋体" w:cs="宋体"/>
                <w:color w:val="auto"/>
                <w:szCs w:val="21"/>
              </w:rPr>
              <w:t>：详见竞争性磋商公告</w:t>
            </w:r>
          </w:p>
        </w:tc>
      </w:tr>
      <w:tr w14:paraId="50983F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52" w:type="dxa"/>
            <w:vAlign w:val="center"/>
          </w:tcPr>
          <w:p w14:paraId="433854BD">
            <w:pPr>
              <w:spacing w:line="360" w:lineRule="auto"/>
              <w:jc w:val="center"/>
              <w:rPr>
                <w:rFonts w:ascii="宋体" w:hAnsi="宋体" w:cs="宋体"/>
                <w:color w:val="auto"/>
                <w:szCs w:val="21"/>
              </w:rPr>
            </w:pPr>
            <w:r>
              <w:rPr>
                <w:rFonts w:hint="eastAsia" w:ascii="宋体" w:hAnsi="宋体" w:cs="宋体"/>
                <w:color w:val="auto"/>
                <w:szCs w:val="21"/>
              </w:rPr>
              <w:t>5.1</w:t>
            </w:r>
          </w:p>
        </w:tc>
        <w:tc>
          <w:tcPr>
            <w:tcW w:w="7912" w:type="dxa"/>
            <w:vAlign w:val="center"/>
          </w:tcPr>
          <w:p w14:paraId="69D028E4">
            <w:pPr>
              <w:spacing w:line="360" w:lineRule="auto"/>
              <w:rPr>
                <w:rFonts w:ascii="宋体" w:hAnsi="宋体" w:cs="宋体"/>
                <w:color w:val="auto"/>
                <w:szCs w:val="21"/>
              </w:rPr>
            </w:pPr>
            <w:r>
              <w:rPr>
                <w:rFonts w:hint="eastAsia" w:ascii="宋体" w:hAnsi="宋体" w:cs="宋体"/>
                <w:color w:val="auto"/>
                <w:szCs w:val="21"/>
              </w:rPr>
              <w:t>是否接受联合体竞标</w:t>
            </w:r>
            <w:r>
              <w:rPr>
                <w:rFonts w:hint="eastAsia" w:ascii="宋体" w:hAnsi="宋体" w:cs="宋体"/>
                <w:color w:val="auto"/>
                <w:szCs w:val="21"/>
                <w:lang w:eastAsia="zh-CN"/>
              </w:rPr>
              <w:t>：</w:t>
            </w:r>
            <w:r>
              <w:rPr>
                <w:rFonts w:hint="eastAsia" w:ascii="宋体" w:hAnsi="宋体" w:cs="宋体"/>
                <w:color w:val="auto"/>
                <w:szCs w:val="21"/>
              </w:rPr>
              <w:t xml:space="preserve"> 详见竞争性磋商公告</w:t>
            </w:r>
          </w:p>
        </w:tc>
      </w:tr>
      <w:tr w14:paraId="151249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3" w:hRule="atLeast"/>
          <w:jc w:val="center"/>
        </w:trPr>
        <w:tc>
          <w:tcPr>
            <w:tcW w:w="1152" w:type="dxa"/>
            <w:vAlign w:val="center"/>
          </w:tcPr>
          <w:p w14:paraId="2A4F33BB">
            <w:pPr>
              <w:spacing w:line="360" w:lineRule="auto"/>
              <w:jc w:val="center"/>
              <w:rPr>
                <w:rFonts w:ascii="宋体" w:hAnsi="宋体" w:cs="宋体"/>
                <w:color w:val="auto"/>
                <w:szCs w:val="21"/>
              </w:rPr>
            </w:pPr>
            <w:r>
              <w:rPr>
                <w:rFonts w:hint="eastAsia" w:ascii="宋体" w:hAnsi="宋体" w:cs="宋体"/>
                <w:color w:val="auto"/>
                <w:szCs w:val="21"/>
              </w:rPr>
              <w:t>5</w:t>
            </w:r>
            <w:r>
              <w:rPr>
                <w:rFonts w:ascii="宋体" w:hAnsi="宋体" w:cs="宋体"/>
                <w:color w:val="auto"/>
                <w:szCs w:val="21"/>
              </w:rPr>
              <w:t>.2</w:t>
            </w:r>
          </w:p>
        </w:tc>
        <w:tc>
          <w:tcPr>
            <w:tcW w:w="7912" w:type="dxa"/>
            <w:vAlign w:val="center"/>
          </w:tcPr>
          <w:p w14:paraId="6AE45FC3">
            <w:pPr>
              <w:spacing w:line="400" w:lineRule="exact"/>
              <w:rPr>
                <w:rFonts w:hint="eastAsia" w:ascii="宋体" w:hAnsi="宋体" w:eastAsia="宋体" w:cs="宋体"/>
                <w:color w:val="auto"/>
                <w:szCs w:val="21"/>
                <w:highlight w:val="none"/>
                <w:lang w:eastAsia="zh-CN"/>
              </w:rPr>
            </w:pPr>
            <w:r>
              <w:rPr>
                <w:rFonts w:hint="eastAsia" w:ascii="宋体" w:hAnsi="宋体"/>
                <w:color w:val="auto"/>
                <w:szCs w:val="21"/>
              </w:rPr>
              <w:t>联合体竞标要求如下</w:t>
            </w:r>
            <w:r>
              <w:rPr>
                <w:rFonts w:hint="eastAsia" w:ascii="宋体" w:hAnsi="宋体"/>
                <w:color w:val="auto"/>
                <w:szCs w:val="21"/>
                <w:lang w:eastAsia="zh-CN"/>
              </w:rPr>
              <w:t>：</w:t>
            </w:r>
          </w:p>
          <w:p w14:paraId="286DAEE8">
            <w:pPr>
              <w:autoSpaceDE w:val="0"/>
              <w:autoSpaceDN w:val="0"/>
              <w:snapToGrid w:val="0"/>
              <w:spacing w:line="400" w:lineRule="exact"/>
              <w:textAlignment w:val="bottom"/>
              <w:rPr>
                <w:rFonts w:hint="eastAsia" w:ascii="宋体" w:hAnsi="宋体"/>
                <w:color w:val="auto"/>
                <w:szCs w:val="21"/>
                <w:highlight w:val="none"/>
              </w:rPr>
            </w:pPr>
            <w:r>
              <w:rPr>
                <w:rFonts w:hint="eastAsia" w:ascii="宋体" w:hAnsi="宋体"/>
                <w:color w:val="auto"/>
                <w:szCs w:val="21"/>
                <w:highlight w:val="none"/>
              </w:rPr>
              <w:t>1、两个以上供应商可以组成一个竞标联合体，以一个供应商的身份共同参加竞标。</w:t>
            </w:r>
          </w:p>
          <w:p w14:paraId="37A8A10E">
            <w:pPr>
              <w:autoSpaceDE w:val="0"/>
              <w:autoSpaceDN w:val="0"/>
              <w:snapToGrid w:val="0"/>
              <w:spacing w:line="400" w:lineRule="exact"/>
              <w:textAlignment w:val="bottom"/>
              <w:rPr>
                <w:rFonts w:hint="eastAsia" w:ascii="宋体" w:hAnsi="宋体"/>
                <w:color w:val="auto"/>
                <w:szCs w:val="21"/>
                <w:highlight w:val="none"/>
              </w:rPr>
            </w:pPr>
            <w:r>
              <w:rPr>
                <w:rFonts w:hint="eastAsia" w:ascii="宋体" w:hAnsi="宋体"/>
                <w:color w:val="auto"/>
                <w:szCs w:val="21"/>
                <w:highlight w:val="none"/>
              </w:rPr>
              <w:t>2、以联合体形式参加竞标的，联合体各方均必须具备《中华人民共和国政府采购法》第二十二条第一款规定的基本条件（涉及行政许可范围的内容，联合体各方均应具备相应资质）。本项目有特殊要求规定供应商特定条件的，联合体各方中至少有一方必须符合本项目竞争性磋商公告“申请人的资格条件”第3点 “3、本项目的特定资格要求”的要求。</w:t>
            </w:r>
          </w:p>
          <w:p w14:paraId="42D4D482">
            <w:pPr>
              <w:autoSpaceDE w:val="0"/>
              <w:autoSpaceDN w:val="0"/>
              <w:snapToGrid w:val="0"/>
              <w:spacing w:line="400" w:lineRule="exact"/>
              <w:textAlignment w:val="bottom"/>
              <w:rPr>
                <w:rFonts w:hint="eastAsia" w:ascii="宋体" w:hAnsi="宋体"/>
                <w:color w:val="auto"/>
                <w:szCs w:val="21"/>
                <w:highlight w:val="none"/>
              </w:rPr>
            </w:pPr>
            <w:r>
              <w:rPr>
                <w:rFonts w:hint="eastAsia" w:ascii="宋体" w:hAnsi="宋体"/>
                <w:color w:val="auto"/>
                <w:szCs w:val="21"/>
                <w:highlight w:val="none"/>
              </w:rPr>
              <w:t>3、联合体竞标的，须提供《联合体竞标协议书》（格式后附），协议书必须明确主体方（或者牵头方）并明确约定联合体各方承担的工作和相应的责任（各方承担责任与义务的分工必须符合采购需求，否则，联合体响应无效），并将联合竞标协议放入响应文件。联合体各方必须共同与采购人签订采购合同，就采购合同约定的事项对采购人承担连带责任。</w:t>
            </w:r>
            <w:r>
              <w:rPr>
                <w:rFonts w:hint="eastAsia" w:ascii="宋体" w:hAnsi="宋体"/>
                <w:color w:val="auto"/>
                <w:szCs w:val="21"/>
                <w:highlight w:val="none"/>
              </w:rPr>
              <w:tab/>
            </w:r>
          </w:p>
          <w:p w14:paraId="201CF758">
            <w:pPr>
              <w:autoSpaceDE w:val="0"/>
              <w:autoSpaceDN w:val="0"/>
              <w:snapToGrid w:val="0"/>
              <w:spacing w:line="400" w:lineRule="exact"/>
              <w:textAlignment w:val="bottom"/>
              <w:rPr>
                <w:rFonts w:hint="eastAsia" w:ascii="宋体" w:hAnsi="宋体"/>
                <w:color w:val="auto"/>
                <w:szCs w:val="21"/>
                <w:highlight w:val="none"/>
              </w:rPr>
            </w:pPr>
            <w:r>
              <w:rPr>
                <w:rFonts w:hint="eastAsia" w:ascii="宋体" w:hAnsi="宋体"/>
                <w:color w:val="auto"/>
                <w:szCs w:val="21"/>
                <w:highlight w:val="none"/>
              </w:rPr>
              <w:t>4、以联合体形式参加政府采购活动的，联合体各方不得再单独参加或者与其他供应商另外组成联合体参加同一合同项下的政府采购活动，否则与之相关的响应文件作废。</w:t>
            </w:r>
            <w:r>
              <w:rPr>
                <w:rFonts w:hint="eastAsia" w:ascii="宋体" w:hAnsi="宋体"/>
                <w:color w:val="auto"/>
                <w:szCs w:val="21"/>
                <w:highlight w:val="none"/>
              </w:rPr>
              <w:tab/>
            </w:r>
            <w:r>
              <w:rPr>
                <w:rFonts w:hint="eastAsia" w:ascii="宋体" w:hAnsi="宋体"/>
                <w:color w:val="auto"/>
                <w:szCs w:val="21"/>
                <w:highlight w:val="none"/>
              </w:rPr>
              <w:tab/>
            </w:r>
          </w:p>
          <w:p w14:paraId="500985F2">
            <w:pPr>
              <w:autoSpaceDE w:val="0"/>
              <w:autoSpaceDN w:val="0"/>
              <w:snapToGrid w:val="0"/>
              <w:spacing w:line="400" w:lineRule="exact"/>
              <w:textAlignment w:val="bottom"/>
              <w:rPr>
                <w:rFonts w:hint="eastAsia" w:ascii="宋体" w:hAnsi="宋体"/>
                <w:color w:val="auto"/>
                <w:szCs w:val="21"/>
                <w:highlight w:val="none"/>
              </w:rPr>
            </w:pPr>
            <w:r>
              <w:rPr>
                <w:rFonts w:hint="eastAsia" w:ascii="宋体" w:hAnsi="宋体"/>
                <w:color w:val="auto"/>
                <w:szCs w:val="21"/>
                <w:highlight w:val="none"/>
              </w:rPr>
              <w:t>5、联合体中有同类资质的供应商按照联合体分工承担相同工作的，应当按照资质等级较低的供应商确定资质等级。</w:t>
            </w:r>
          </w:p>
          <w:p w14:paraId="7FC22902">
            <w:pPr>
              <w:autoSpaceDE w:val="0"/>
              <w:autoSpaceDN w:val="0"/>
              <w:snapToGrid w:val="0"/>
              <w:spacing w:line="400" w:lineRule="exact"/>
              <w:textAlignment w:val="bottom"/>
              <w:rPr>
                <w:rFonts w:hint="eastAsia" w:ascii="宋体" w:hAnsi="宋体"/>
                <w:color w:val="auto"/>
                <w:szCs w:val="21"/>
                <w:highlight w:val="none"/>
              </w:rPr>
            </w:pPr>
            <w:r>
              <w:rPr>
                <w:rFonts w:hint="eastAsia" w:ascii="宋体" w:hAnsi="宋体"/>
                <w:color w:val="auto"/>
                <w:szCs w:val="21"/>
                <w:highlight w:val="none"/>
              </w:rPr>
              <w:t>6、联合体竞标业绩、履约能力按照联合体各方其中较高的一方认定并计算（竞争性磋商文件另有规定的除外）。</w:t>
            </w:r>
          </w:p>
          <w:p w14:paraId="70466E12">
            <w:pPr>
              <w:spacing w:line="360" w:lineRule="auto"/>
              <w:rPr>
                <w:rFonts w:hint="eastAsia" w:ascii="宋体" w:hAnsi="宋体"/>
                <w:color w:val="auto"/>
                <w:szCs w:val="21"/>
                <w:highlight w:val="none"/>
              </w:rPr>
            </w:pPr>
            <w:r>
              <w:rPr>
                <w:rFonts w:hint="eastAsia" w:ascii="宋体" w:hAnsi="宋体"/>
                <w:color w:val="auto"/>
                <w:szCs w:val="21"/>
                <w:highlight w:val="none"/>
              </w:rPr>
              <w:t>7、联合体各方均应按照竞争性磋商文件的规定提交资格证明文件。</w:t>
            </w:r>
          </w:p>
          <w:p w14:paraId="3659B783">
            <w:pPr>
              <w:spacing w:line="360" w:lineRule="auto"/>
              <w:rPr>
                <w:rFonts w:ascii="宋体" w:hAnsi="宋体" w:cs="宋体"/>
                <w:color w:val="auto"/>
                <w:szCs w:val="21"/>
              </w:rPr>
            </w:pPr>
            <w:r>
              <w:rPr>
                <w:rFonts w:hint="eastAsia" w:ascii="宋体" w:hAnsi="宋体" w:eastAsia="宋体" w:cs="宋体"/>
                <w:b/>
                <w:color w:val="auto"/>
                <w:kern w:val="2"/>
                <w:sz w:val="21"/>
                <w:szCs w:val="21"/>
                <w:highlight w:val="none"/>
                <w:lang w:val="en-US" w:eastAsia="zh-CN" w:bidi="ar-SA"/>
              </w:rPr>
              <w:t>8、除采购文件规定联合体各方必须分别提供的材料外，采购文件要求提供的其他材料由联合体牵头单位提供即可。采购文件要求提供的材料复印件，加盖联合体牵头人</w:t>
            </w:r>
            <w:r>
              <w:rPr>
                <w:rFonts w:hint="eastAsia" w:ascii="宋体" w:hAnsi="宋体" w:cs="宋体"/>
                <w:b/>
                <w:color w:val="auto"/>
                <w:kern w:val="2"/>
                <w:sz w:val="21"/>
                <w:szCs w:val="21"/>
                <w:highlight w:val="none"/>
                <w:lang w:val="en-US" w:eastAsia="zh-CN" w:bidi="ar-SA"/>
              </w:rPr>
              <w:t>电子</w:t>
            </w:r>
            <w:r>
              <w:rPr>
                <w:rFonts w:hint="eastAsia" w:ascii="宋体" w:hAnsi="宋体" w:eastAsia="宋体" w:cs="宋体"/>
                <w:b/>
                <w:color w:val="auto"/>
                <w:kern w:val="2"/>
                <w:sz w:val="21"/>
                <w:szCs w:val="21"/>
                <w:highlight w:val="none"/>
                <w:lang w:val="en-US" w:eastAsia="zh-CN" w:bidi="ar-SA"/>
              </w:rPr>
              <w:t>公章即可。</w:t>
            </w:r>
          </w:p>
        </w:tc>
      </w:tr>
      <w:tr w14:paraId="1B8413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52" w:type="dxa"/>
            <w:vAlign w:val="center"/>
          </w:tcPr>
          <w:p w14:paraId="1F35FE9F">
            <w:pPr>
              <w:spacing w:line="360" w:lineRule="auto"/>
              <w:jc w:val="center"/>
              <w:rPr>
                <w:rFonts w:ascii="宋体" w:hAnsi="宋体" w:cs="宋体"/>
                <w:color w:val="auto"/>
                <w:szCs w:val="21"/>
              </w:rPr>
            </w:pPr>
            <w:r>
              <w:rPr>
                <w:rFonts w:hint="eastAsia" w:ascii="宋体" w:hAnsi="宋体" w:cs="宋体"/>
                <w:color w:val="auto"/>
                <w:szCs w:val="21"/>
              </w:rPr>
              <w:t>6.2</w:t>
            </w:r>
          </w:p>
        </w:tc>
        <w:tc>
          <w:tcPr>
            <w:tcW w:w="7912" w:type="dxa"/>
            <w:vAlign w:val="center"/>
          </w:tcPr>
          <w:p w14:paraId="0593036E">
            <w:pPr>
              <w:pStyle w:val="11"/>
              <w:spacing w:line="360" w:lineRule="auto"/>
              <w:rPr>
                <w:rFonts w:ascii="宋体" w:hAnsi="宋体" w:cs="宋体"/>
                <w:color w:val="auto"/>
                <w:szCs w:val="21"/>
              </w:rPr>
            </w:pPr>
            <w:r>
              <w:rPr>
                <w:rFonts w:hint="eastAsia" w:ascii="宋体" w:hAnsi="宋体"/>
                <w:color w:val="auto"/>
                <w:szCs w:val="21"/>
              </w:rPr>
              <w:t>☑不允许分包</w:t>
            </w:r>
          </w:p>
        </w:tc>
      </w:tr>
      <w:tr w14:paraId="001C4D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52" w:type="dxa"/>
            <w:vAlign w:val="center"/>
          </w:tcPr>
          <w:p w14:paraId="5DD6EF3A">
            <w:pPr>
              <w:spacing w:line="360" w:lineRule="auto"/>
              <w:jc w:val="center"/>
              <w:rPr>
                <w:rFonts w:ascii="宋体" w:hAnsi="宋体" w:cs="宋体"/>
                <w:color w:val="auto"/>
                <w:szCs w:val="21"/>
              </w:rPr>
            </w:pPr>
            <w:r>
              <w:rPr>
                <w:rFonts w:hint="eastAsia" w:ascii="宋体" w:hAnsi="宋体" w:cs="宋体"/>
                <w:color w:val="auto"/>
                <w:szCs w:val="21"/>
              </w:rPr>
              <w:t>12.1.</w:t>
            </w:r>
            <w:r>
              <w:rPr>
                <w:rFonts w:ascii="宋体" w:hAnsi="宋体" w:cs="宋体"/>
                <w:color w:val="auto"/>
                <w:szCs w:val="21"/>
              </w:rPr>
              <w:t>1</w:t>
            </w:r>
          </w:p>
        </w:tc>
        <w:tc>
          <w:tcPr>
            <w:tcW w:w="7912" w:type="dxa"/>
            <w:vAlign w:val="center"/>
          </w:tcPr>
          <w:p w14:paraId="2963E862">
            <w:pPr>
              <w:keepNext w:val="0"/>
              <w:keepLines w:val="0"/>
              <w:widowControl/>
              <w:suppressLineNumbers w:val="0"/>
              <w:spacing w:line="360" w:lineRule="auto"/>
              <w:jc w:val="left"/>
              <w:rPr>
                <w:rFonts w:hint="eastAsia" w:ascii="宋体" w:hAnsi="宋体" w:eastAsia="宋体" w:cs="宋体"/>
                <w:b/>
                <w:color w:val="auto"/>
                <w:szCs w:val="21"/>
              </w:rPr>
            </w:pPr>
            <w:r>
              <w:rPr>
                <w:rFonts w:hint="eastAsia" w:ascii="宋体" w:hAnsi="宋体" w:eastAsia="宋体" w:cs="宋体"/>
                <w:b/>
                <w:color w:val="auto"/>
                <w:sz w:val="21"/>
                <w:szCs w:val="21"/>
              </w:rPr>
              <w:t>资格证明文件</w:t>
            </w:r>
            <w:r>
              <w:rPr>
                <w:rFonts w:hint="eastAsia" w:ascii="宋体" w:hAnsi="宋体" w:eastAsia="宋体" w:cs="宋体"/>
                <w:b/>
                <w:color w:val="auto"/>
                <w:sz w:val="21"/>
                <w:szCs w:val="21"/>
                <w:lang w:val="en-US" w:eastAsia="zh-CN"/>
              </w:rPr>
              <w:t xml:space="preserve"> </w:t>
            </w:r>
            <w:r>
              <w:rPr>
                <w:rFonts w:hint="eastAsia" w:ascii="宋体" w:hAnsi="宋体" w:eastAsia="宋体" w:cs="宋体"/>
                <w:b/>
                <w:bCs/>
                <w:color w:val="auto"/>
                <w:kern w:val="0"/>
                <w:sz w:val="21"/>
                <w:szCs w:val="21"/>
                <w:lang w:val="en-US" w:eastAsia="zh-CN" w:bidi="ar"/>
              </w:rPr>
              <w:t>（1-</w:t>
            </w:r>
            <w:r>
              <w:rPr>
                <w:rFonts w:hint="eastAsia" w:ascii="宋体" w:hAnsi="宋体" w:cs="宋体"/>
                <w:b/>
                <w:bCs/>
                <w:color w:val="auto"/>
                <w:kern w:val="0"/>
                <w:sz w:val="21"/>
                <w:szCs w:val="21"/>
                <w:lang w:val="en-US" w:eastAsia="zh-CN" w:bidi="ar"/>
              </w:rPr>
              <w:t>8</w:t>
            </w:r>
            <w:r>
              <w:rPr>
                <w:rFonts w:hint="eastAsia" w:ascii="宋体" w:hAnsi="宋体" w:eastAsia="宋体" w:cs="宋体"/>
                <w:b/>
                <w:bCs/>
                <w:color w:val="auto"/>
                <w:kern w:val="0"/>
                <w:sz w:val="21"/>
                <w:szCs w:val="21"/>
                <w:lang w:val="en-US" w:eastAsia="zh-CN" w:bidi="ar"/>
              </w:rPr>
              <w:t>项必须提供）</w:t>
            </w:r>
          </w:p>
          <w:p w14:paraId="4D685F70">
            <w:pPr>
              <w:snapToGrid w:val="0"/>
              <w:spacing w:line="360" w:lineRule="auto"/>
              <w:jc w:val="left"/>
              <w:rPr>
                <w:rFonts w:hint="default" w:ascii="宋体" w:hAnsi="宋体" w:eastAsia="宋体" w:cs="宋体"/>
                <w:b w:val="0"/>
                <w:bCs w:val="0"/>
                <w:color w:val="FF0000"/>
                <w:kern w:val="2"/>
                <w:sz w:val="21"/>
                <w:szCs w:val="21"/>
                <w:lang w:val="en-US" w:eastAsia="zh-CN" w:bidi="ar-SA"/>
              </w:rPr>
            </w:pPr>
            <w:r>
              <w:rPr>
                <w:rFonts w:hint="eastAsia" w:ascii="宋体" w:hAnsi="宋体"/>
                <w:color w:val="auto"/>
                <w:szCs w:val="21"/>
                <w:highlight w:val="none"/>
                <w:lang w:val="en-US" w:eastAsia="zh-CN"/>
              </w:rPr>
              <w:t>1.</w:t>
            </w:r>
            <w:r>
              <w:rPr>
                <w:rFonts w:hint="eastAsia" w:ascii="宋体" w:hAnsi="宋体" w:cs="宋体"/>
                <w:color w:val="auto"/>
                <w:sz w:val="21"/>
                <w:szCs w:val="21"/>
                <w:lang w:val="en-US" w:eastAsia="zh-CN"/>
              </w:rPr>
              <w:t>供应商为法人或者其他组织的提供其营业执照等证明文件复印件</w:t>
            </w:r>
            <w:r>
              <w:rPr>
                <w:rFonts w:hint="eastAsia" w:ascii="宋体" w:hAnsi="宋体" w:eastAsia="宋体" w:cs="宋体"/>
                <w:color w:val="auto"/>
                <w:sz w:val="21"/>
                <w:szCs w:val="21"/>
                <w:lang w:val="en-US" w:eastAsia="zh-CN"/>
              </w:rPr>
              <w:t>；</w:t>
            </w:r>
          </w:p>
          <w:p w14:paraId="1DC0E215">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宋体" w:hAnsi="宋体" w:eastAsia="宋体" w:cs="宋体"/>
                <w:color w:val="auto"/>
                <w:sz w:val="21"/>
                <w:szCs w:val="21"/>
                <w:lang w:val="en-US" w:eastAsia="zh-CN"/>
              </w:rPr>
            </w:pPr>
            <w:r>
              <w:rPr>
                <w:rFonts w:hint="eastAsia" w:ascii="宋体" w:hAnsi="宋体" w:cs="宋体"/>
                <w:b w:val="0"/>
                <w:bCs w:val="0"/>
                <w:color w:val="auto"/>
                <w:kern w:val="2"/>
                <w:sz w:val="21"/>
                <w:szCs w:val="21"/>
                <w:lang w:val="en-US" w:eastAsia="zh-CN" w:bidi="ar-SA"/>
              </w:rPr>
              <w:t>2.</w:t>
            </w:r>
            <w:r>
              <w:rPr>
                <w:rFonts w:hint="eastAsia" w:ascii="宋体" w:hAnsi="宋体" w:cs="宋体"/>
                <w:color w:val="auto"/>
                <w:szCs w:val="21"/>
                <w:highlight w:val="none"/>
              </w:rPr>
              <w:t>供应商依法缴纳社会保障资金的相关材料[</w:t>
            </w:r>
            <w:r>
              <w:rPr>
                <w:rFonts w:hint="eastAsia" w:ascii="宋体" w:hAnsi="宋体" w:cs="宋体"/>
                <w:color w:val="auto"/>
                <w:szCs w:val="21"/>
                <w:highlight w:val="none"/>
                <w:u w:val="single"/>
              </w:rPr>
              <w:t>2</w:t>
            </w:r>
            <w:r>
              <w:rPr>
                <w:rFonts w:ascii="宋体" w:hAnsi="宋体" w:cs="宋体"/>
                <w:color w:val="auto"/>
                <w:szCs w:val="21"/>
                <w:highlight w:val="none"/>
                <w:u w:val="single"/>
              </w:rPr>
              <w:t>02</w:t>
            </w:r>
            <w:r>
              <w:rPr>
                <w:rFonts w:hint="eastAsia" w:ascii="宋体" w:hAnsi="宋体" w:cs="宋体"/>
                <w:color w:val="auto"/>
                <w:szCs w:val="21"/>
                <w:highlight w:val="none"/>
                <w:u w:val="single"/>
                <w:lang w:val="en-US" w:eastAsia="zh-CN"/>
              </w:rPr>
              <w:t>6</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4</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月至响应</w:t>
            </w:r>
            <w:r>
              <w:rPr>
                <w:rFonts w:hint="eastAsia" w:cs="宋体" w:asciiTheme="minorEastAsia" w:hAnsiTheme="minorEastAsia" w:eastAsiaTheme="minorEastAsia"/>
                <w:color w:val="auto"/>
                <w:szCs w:val="21"/>
                <w:highlight w:val="none"/>
              </w:rPr>
              <w:t>文件提交截止时间前</w:t>
            </w:r>
            <w:r>
              <w:rPr>
                <w:rFonts w:hint="eastAsia" w:ascii="宋体" w:hAnsi="宋体" w:cs="宋体"/>
                <w:color w:val="auto"/>
                <w:szCs w:val="21"/>
                <w:highlight w:val="none"/>
              </w:rPr>
              <w:t>连续</w:t>
            </w:r>
            <w:r>
              <w:rPr>
                <w:rFonts w:hint="eastAsia" w:ascii="宋体" w:hAnsi="宋体" w:cs="宋体"/>
                <w:color w:val="auto"/>
                <w:szCs w:val="21"/>
                <w:highlight w:val="none"/>
                <w:u w:val="single"/>
              </w:rPr>
              <w:t xml:space="preserve"> 3</w:t>
            </w:r>
            <w:r>
              <w:rPr>
                <w:rFonts w:hint="eastAsia" w:ascii="宋体" w:hAnsi="宋体" w:cs="宋体"/>
                <w:color w:val="auto"/>
                <w:szCs w:val="21"/>
                <w:highlight w:val="none"/>
              </w:rPr>
              <w:t>个月的依法缴纳社会保障资金的缴费凭证复印件；</w:t>
            </w:r>
            <w:r>
              <w:rPr>
                <w:rFonts w:hint="eastAsia" w:ascii="宋体" w:hAnsi="宋体"/>
                <w:color w:val="auto"/>
                <w:szCs w:val="21"/>
                <w:highlight w:val="none"/>
              </w:rPr>
              <w:t>依法不需要缴纳社会保障资金的供应商，必须提供相应文件证明不需要缴纳社会保障资金。</w:t>
            </w:r>
            <w:r>
              <w:rPr>
                <w:rFonts w:hint="eastAsia" w:ascii="宋体" w:hAnsi="宋体" w:cs="宋体"/>
                <w:color w:val="auto"/>
                <w:szCs w:val="21"/>
                <w:highlight w:val="none"/>
              </w:rPr>
              <w:t>从取得营业执照时间起到首次响应文件提交截止时间为止不足要求月数的只需提供从取得营业执照起的依法缴纳社会保障资金的</w:t>
            </w:r>
            <w:r>
              <w:rPr>
                <w:rFonts w:hint="eastAsia" w:ascii="宋体" w:hAnsi="宋体"/>
                <w:color w:val="auto"/>
                <w:szCs w:val="21"/>
                <w:highlight w:val="none"/>
              </w:rPr>
              <w:t>相应证明文件</w:t>
            </w:r>
            <w:r>
              <w:rPr>
                <w:rFonts w:hint="eastAsia" w:ascii="宋体" w:hAnsi="宋体" w:cs="宋体"/>
                <w:color w:val="auto"/>
                <w:szCs w:val="21"/>
                <w:highlight w:val="none"/>
              </w:rPr>
              <w:t>]；</w:t>
            </w:r>
          </w:p>
          <w:p w14:paraId="19CF4D60">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宋体" w:hAnsi="宋体" w:eastAsia="宋体" w:cs="宋体"/>
                <w:b w:val="0"/>
                <w:bCs w:val="0"/>
                <w:color w:val="auto"/>
                <w:kern w:val="2"/>
                <w:sz w:val="21"/>
                <w:szCs w:val="21"/>
                <w:lang w:val="en-US" w:eastAsia="zh-CN" w:bidi="ar-SA"/>
              </w:rPr>
            </w:pPr>
            <w:r>
              <w:rPr>
                <w:rFonts w:hint="eastAsia" w:ascii="宋体" w:hAnsi="宋体" w:cs="宋体"/>
                <w:b w:val="0"/>
                <w:bCs w:val="0"/>
                <w:color w:val="auto"/>
                <w:kern w:val="2"/>
                <w:sz w:val="21"/>
                <w:szCs w:val="21"/>
                <w:lang w:val="en-US" w:eastAsia="zh-CN" w:bidi="ar-SA"/>
              </w:rPr>
              <w:t>3.</w:t>
            </w:r>
            <w:r>
              <w:rPr>
                <w:rFonts w:hint="eastAsia" w:ascii="宋体" w:hAnsi="宋体" w:cs="宋体"/>
                <w:color w:val="auto"/>
                <w:szCs w:val="21"/>
                <w:highlight w:val="none"/>
              </w:rPr>
              <w:t>供应商依法缴纳税收的相关材料（</w:t>
            </w:r>
            <w:r>
              <w:rPr>
                <w:rFonts w:hint="eastAsia" w:ascii="宋体" w:hAnsi="宋体" w:cs="宋体"/>
                <w:color w:val="auto"/>
                <w:szCs w:val="21"/>
                <w:highlight w:val="none"/>
                <w:u w:val="single"/>
              </w:rPr>
              <w:t>2</w:t>
            </w:r>
            <w:r>
              <w:rPr>
                <w:rFonts w:ascii="宋体" w:hAnsi="宋体" w:cs="宋体"/>
                <w:color w:val="auto"/>
                <w:szCs w:val="21"/>
                <w:highlight w:val="none"/>
                <w:u w:val="single"/>
              </w:rPr>
              <w:t>02</w:t>
            </w:r>
            <w:r>
              <w:rPr>
                <w:rFonts w:hint="eastAsia" w:ascii="宋体" w:hAnsi="宋体" w:cs="宋体"/>
                <w:color w:val="auto"/>
                <w:szCs w:val="21"/>
                <w:highlight w:val="none"/>
                <w:u w:val="single"/>
                <w:lang w:val="en-US" w:eastAsia="zh-CN"/>
              </w:rPr>
              <w:t>6</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4</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月至响应</w:t>
            </w:r>
            <w:r>
              <w:rPr>
                <w:rFonts w:hint="eastAsia" w:cs="宋体" w:asciiTheme="minorEastAsia" w:hAnsiTheme="minorEastAsia" w:eastAsiaTheme="minorEastAsia"/>
                <w:color w:val="auto"/>
                <w:szCs w:val="21"/>
                <w:highlight w:val="none"/>
              </w:rPr>
              <w:t>文件提交截止时间前</w:t>
            </w:r>
            <w:r>
              <w:rPr>
                <w:rFonts w:hint="eastAsia" w:ascii="宋体" w:hAnsi="宋体" w:cs="宋体"/>
                <w:color w:val="auto"/>
                <w:szCs w:val="21"/>
                <w:highlight w:val="none"/>
              </w:rPr>
              <w:t>连续</w:t>
            </w:r>
            <w:r>
              <w:rPr>
                <w:rFonts w:hint="eastAsia" w:ascii="宋体" w:hAnsi="宋体" w:cs="宋体"/>
                <w:color w:val="auto"/>
                <w:szCs w:val="21"/>
                <w:highlight w:val="none"/>
                <w:u w:val="single"/>
              </w:rPr>
              <w:t xml:space="preserve"> 3</w:t>
            </w:r>
            <w:r>
              <w:rPr>
                <w:rFonts w:hint="eastAsia" w:ascii="宋体" w:hAnsi="宋体" w:cs="宋体"/>
                <w:color w:val="auto"/>
                <w:szCs w:val="21"/>
                <w:highlight w:val="none"/>
              </w:rPr>
              <w:t>个月的依法缴纳税收的凭据复印件；</w:t>
            </w:r>
            <w:r>
              <w:rPr>
                <w:rFonts w:hint="eastAsia" w:ascii="宋体" w:hAnsi="宋体"/>
                <w:color w:val="auto"/>
                <w:szCs w:val="21"/>
                <w:highlight w:val="none"/>
              </w:rPr>
              <w:t>依法免税的供应商，必须提供相应文件证明其依法免税。</w:t>
            </w:r>
            <w:r>
              <w:rPr>
                <w:rFonts w:hint="eastAsia" w:ascii="宋体" w:hAnsi="宋体" w:cs="宋体"/>
                <w:color w:val="auto"/>
                <w:szCs w:val="21"/>
                <w:highlight w:val="none"/>
              </w:rPr>
              <w:t>从取得营业执照时间起到首次响应文件提交截止时间为止不足要求月数的，只需提供从取得营业执照起的依法缴纳税收</w:t>
            </w:r>
            <w:r>
              <w:rPr>
                <w:rFonts w:hint="eastAsia" w:ascii="宋体" w:hAnsi="宋体"/>
                <w:color w:val="auto"/>
                <w:szCs w:val="21"/>
                <w:highlight w:val="none"/>
              </w:rPr>
              <w:t>相应证明文件</w:t>
            </w:r>
            <w:r>
              <w:rPr>
                <w:rFonts w:hint="eastAsia" w:ascii="宋体" w:hAnsi="宋体" w:cs="宋体"/>
                <w:color w:val="auto"/>
                <w:szCs w:val="21"/>
                <w:highlight w:val="none"/>
              </w:rPr>
              <w:t>）；</w:t>
            </w:r>
          </w:p>
          <w:p w14:paraId="1A1009DA">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宋体" w:hAnsi="宋体" w:eastAsia="宋体" w:cs="宋体"/>
                <w:b w:val="0"/>
                <w:bCs w:val="0"/>
                <w:color w:val="auto"/>
                <w:kern w:val="2"/>
                <w:sz w:val="21"/>
                <w:szCs w:val="21"/>
                <w:lang w:val="en-US" w:eastAsia="zh-CN" w:bidi="ar-SA"/>
              </w:rPr>
            </w:pPr>
            <w:r>
              <w:rPr>
                <w:rFonts w:hint="eastAsia" w:ascii="宋体" w:hAnsi="宋体" w:cs="宋体"/>
                <w:b w:val="0"/>
                <w:bCs w:val="0"/>
                <w:color w:val="auto"/>
                <w:kern w:val="2"/>
                <w:sz w:val="21"/>
                <w:szCs w:val="21"/>
                <w:lang w:val="en-US" w:eastAsia="zh-CN" w:bidi="ar-SA"/>
              </w:rPr>
              <w:t>4.</w:t>
            </w:r>
            <w:r>
              <w:rPr>
                <w:rFonts w:hint="eastAsia" w:ascii="宋体" w:hAnsi="宋体" w:eastAsia="宋体" w:cs="宋体"/>
                <w:b w:val="0"/>
                <w:bCs w:val="0"/>
                <w:color w:val="auto"/>
                <w:kern w:val="2"/>
                <w:sz w:val="21"/>
                <w:szCs w:val="21"/>
                <w:lang w:val="en-US" w:eastAsia="zh-CN" w:bidi="ar-SA"/>
              </w:rPr>
              <w:t>供应商财务状况报告[</w:t>
            </w:r>
            <w:r>
              <w:rPr>
                <w:rFonts w:hint="eastAsia" w:ascii="宋体" w:hAnsi="宋体" w:cs="宋体"/>
                <w:b w:val="0"/>
                <w:bCs w:val="0"/>
                <w:color w:val="auto"/>
                <w:kern w:val="2"/>
                <w:sz w:val="21"/>
                <w:szCs w:val="21"/>
                <w:u w:val="single"/>
                <w:lang w:val="en-US" w:eastAsia="zh-CN" w:bidi="ar-SA"/>
              </w:rPr>
              <w:t>2025</w:t>
            </w:r>
            <w:r>
              <w:rPr>
                <w:rFonts w:hint="eastAsia" w:ascii="宋体" w:hAnsi="宋体" w:eastAsia="宋体" w:cs="宋体"/>
                <w:b w:val="0"/>
                <w:bCs w:val="0"/>
                <w:color w:val="auto"/>
                <w:kern w:val="2"/>
                <w:sz w:val="21"/>
                <w:szCs w:val="21"/>
                <w:lang w:val="en-US" w:eastAsia="zh-CN" w:bidi="ar-SA"/>
              </w:rPr>
              <w:t>年度财务报表复印件（资产负债表、利润表和现金流量表）或者银行出具的资信证明或经第三方审计的财务报告；供应商属于成立时间在规定年度之后的法人或其他组织，需提供成立之日起至响应文件提交截止时间前的月报表或银行出具的资信证明；资信证明应在有效期内，未注明有效期的，银行出具时间至响应文件提交截止时间不超过一年]</w:t>
            </w:r>
            <w:r>
              <w:rPr>
                <w:rFonts w:hint="eastAsia" w:ascii="宋体" w:hAnsi="宋体" w:cs="宋体"/>
                <w:b w:val="0"/>
                <w:bCs w:val="0"/>
                <w:color w:val="auto"/>
                <w:kern w:val="2"/>
                <w:sz w:val="21"/>
                <w:szCs w:val="21"/>
                <w:lang w:val="en-US" w:eastAsia="zh-CN" w:bidi="ar-SA"/>
              </w:rPr>
              <w:t>；</w:t>
            </w:r>
          </w:p>
          <w:p w14:paraId="3307E589">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宋体" w:hAnsi="宋体" w:cs="宋体"/>
                <w:color w:val="auto"/>
                <w:szCs w:val="21"/>
                <w:highlight w:val="none"/>
                <w:lang w:eastAsia="zh-CN"/>
              </w:rPr>
            </w:pPr>
            <w:r>
              <w:rPr>
                <w:rFonts w:hint="eastAsia" w:ascii="宋体" w:hAnsi="宋体" w:cs="宋体"/>
                <w:b w:val="0"/>
                <w:bCs w:val="0"/>
                <w:color w:val="auto"/>
                <w:kern w:val="2"/>
                <w:sz w:val="21"/>
                <w:szCs w:val="21"/>
                <w:lang w:val="en-US" w:eastAsia="zh-CN" w:bidi="ar-SA"/>
              </w:rPr>
              <w:t>5.</w:t>
            </w:r>
            <w:r>
              <w:rPr>
                <w:rFonts w:hint="eastAsia" w:ascii="宋体" w:hAnsi="宋体" w:cs="宋体"/>
                <w:color w:val="auto"/>
                <w:szCs w:val="21"/>
                <w:highlight w:val="none"/>
              </w:rPr>
              <w:t>供应商直接控股、管理关系信息表（格式后附）</w:t>
            </w:r>
            <w:r>
              <w:rPr>
                <w:rFonts w:hint="eastAsia" w:ascii="宋体" w:hAnsi="宋体" w:cs="宋体"/>
                <w:color w:val="auto"/>
                <w:szCs w:val="21"/>
                <w:highlight w:val="none"/>
                <w:lang w:eastAsia="zh-CN"/>
              </w:rPr>
              <w:t>；</w:t>
            </w:r>
          </w:p>
          <w:p w14:paraId="0360215A">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宋体" w:hAnsi="宋体" w:cs="宋体"/>
                <w:b w:val="0"/>
                <w:bCs w:val="0"/>
                <w:color w:val="auto"/>
                <w:kern w:val="2"/>
                <w:sz w:val="21"/>
                <w:szCs w:val="21"/>
                <w:lang w:val="en-US" w:eastAsia="zh-CN" w:bidi="ar-SA"/>
              </w:rPr>
            </w:pPr>
            <w:r>
              <w:rPr>
                <w:rFonts w:hint="eastAsia" w:ascii="宋体" w:hAnsi="宋体" w:cs="宋体"/>
                <w:b w:val="0"/>
                <w:bCs w:val="0"/>
                <w:color w:val="auto"/>
                <w:kern w:val="2"/>
                <w:sz w:val="21"/>
                <w:szCs w:val="21"/>
                <w:lang w:val="en-US" w:eastAsia="zh-CN" w:bidi="ar-SA"/>
              </w:rPr>
              <w:t>6.</w:t>
            </w:r>
            <w:r>
              <w:rPr>
                <w:rFonts w:hint="eastAsia" w:ascii="宋体" w:hAnsi="宋体" w:eastAsia="宋体" w:cs="宋体"/>
                <w:b w:val="0"/>
                <w:bCs w:val="0"/>
                <w:color w:val="auto"/>
                <w:kern w:val="2"/>
                <w:sz w:val="21"/>
                <w:szCs w:val="21"/>
                <w:lang w:val="en-US" w:eastAsia="zh-CN" w:bidi="ar-SA"/>
              </w:rPr>
              <w:t>竞标声明（格式后附）</w:t>
            </w:r>
            <w:r>
              <w:rPr>
                <w:rFonts w:hint="eastAsia" w:ascii="宋体" w:hAnsi="宋体" w:cs="宋体"/>
                <w:b w:val="0"/>
                <w:bCs w:val="0"/>
                <w:color w:val="auto"/>
                <w:kern w:val="2"/>
                <w:sz w:val="21"/>
                <w:szCs w:val="21"/>
                <w:lang w:val="en-US" w:eastAsia="zh-CN" w:bidi="ar-SA"/>
              </w:rPr>
              <w:t>；</w:t>
            </w:r>
          </w:p>
          <w:p w14:paraId="3C531FF3">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宋体" w:hAnsi="宋体" w:eastAsia="宋体" w:cs="宋体"/>
                <w:b w:val="0"/>
                <w:bCs w:val="0"/>
                <w:color w:val="auto"/>
                <w:kern w:val="2"/>
                <w:sz w:val="21"/>
                <w:szCs w:val="21"/>
                <w:lang w:val="en-US" w:eastAsia="zh-CN" w:bidi="ar-SA"/>
              </w:rPr>
            </w:pPr>
            <w:r>
              <w:rPr>
                <w:rFonts w:hint="eastAsia" w:ascii="宋体" w:hAnsi="宋体" w:cs="宋体"/>
                <w:b w:val="0"/>
                <w:bCs w:val="0"/>
                <w:color w:val="auto"/>
                <w:kern w:val="2"/>
                <w:sz w:val="21"/>
                <w:szCs w:val="21"/>
                <w:lang w:val="en-US" w:eastAsia="zh-CN" w:bidi="ar-SA"/>
              </w:rPr>
              <w:t>7</w:t>
            </w:r>
            <w:r>
              <w:rPr>
                <w:rFonts w:hint="eastAsia" w:ascii="宋体" w:hAnsi="宋体" w:eastAsia="宋体" w:cs="宋体"/>
                <w:b w:val="0"/>
                <w:bCs w:val="0"/>
                <w:color w:val="auto"/>
                <w:kern w:val="2"/>
                <w:sz w:val="21"/>
                <w:szCs w:val="21"/>
                <w:lang w:val="en-US" w:eastAsia="zh-CN" w:bidi="ar-SA"/>
              </w:rPr>
              <w:t>.本项目的特定资格要求：</w:t>
            </w:r>
          </w:p>
          <w:p w14:paraId="1A49F859">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（1）供应商有效的资质证书</w:t>
            </w:r>
            <w:r>
              <w:rPr>
                <w:rFonts w:hint="eastAsia" w:ascii="宋体" w:hAnsi="宋体" w:eastAsia="宋体" w:cs="宋体"/>
                <w:b w:val="0"/>
                <w:bCs w:val="0"/>
                <w:color w:val="auto"/>
                <w:kern w:val="2"/>
                <w:sz w:val="21"/>
                <w:szCs w:val="21"/>
                <w:rtl w:val="0"/>
                <w:lang w:val="en-US" w:eastAsia="zh-CN" w:bidi="ar-SA"/>
              </w:rPr>
              <w:t>及有效的安全生产许可证</w:t>
            </w:r>
            <w:r>
              <w:rPr>
                <w:rFonts w:hint="eastAsia" w:ascii="宋体" w:hAnsi="宋体" w:eastAsia="宋体" w:cs="宋体"/>
                <w:b w:val="0"/>
                <w:bCs w:val="0"/>
                <w:color w:val="auto"/>
                <w:kern w:val="2"/>
                <w:sz w:val="21"/>
                <w:szCs w:val="21"/>
                <w:lang w:val="en-US" w:eastAsia="zh-CN" w:bidi="ar-SA"/>
              </w:rPr>
              <w:t xml:space="preserve">证书复印件； </w:t>
            </w:r>
          </w:p>
          <w:p w14:paraId="01BBE74B">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（2）项目经理有效的注册建造师执业资格证书及安全生产考核合格证书（B 类）证书复印件；</w:t>
            </w:r>
          </w:p>
          <w:p w14:paraId="54315E78">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（3）拟投入本项目</w:t>
            </w:r>
            <w:r>
              <w:rPr>
                <w:rFonts w:hint="eastAsia" w:ascii="宋体" w:hAnsi="宋体" w:cs="宋体"/>
                <w:b w:val="0"/>
                <w:bCs w:val="0"/>
                <w:color w:val="auto"/>
                <w:kern w:val="2"/>
                <w:sz w:val="21"/>
                <w:szCs w:val="21"/>
                <w:lang w:val="en-US" w:eastAsia="zh-CN" w:bidi="ar-SA"/>
              </w:rPr>
              <w:t>作业人员</w:t>
            </w:r>
            <w:r>
              <w:rPr>
                <w:rFonts w:hint="eastAsia" w:ascii="宋体" w:hAnsi="宋体" w:eastAsia="宋体" w:cs="宋体"/>
                <w:b w:val="0"/>
                <w:bCs w:val="0"/>
                <w:color w:val="auto"/>
                <w:kern w:val="2"/>
                <w:sz w:val="21"/>
                <w:szCs w:val="21"/>
                <w:lang w:val="en-US" w:eastAsia="zh-CN" w:bidi="ar-SA"/>
              </w:rPr>
              <w:t>有效的特种作业操作证（高压电工作业）证书复印件；</w:t>
            </w:r>
          </w:p>
          <w:p w14:paraId="41C9DB24">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w:t>
            </w:r>
            <w:r>
              <w:rPr>
                <w:rFonts w:hint="eastAsia" w:ascii="宋体" w:hAnsi="宋体" w:cs="宋体"/>
                <w:b w:val="0"/>
                <w:bCs w:val="0"/>
                <w:color w:val="auto"/>
                <w:kern w:val="2"/>
                <w:sz w:val="21"/>
                <w:szCs w:val="21"/>
                <w:lang w:val="en-US" w:eastAsia="zh-CN" w:bidi="ar-SA"/>
              </w:rPr>
              <w:t>4</w:t>
            </w:r>
            <w:r>
              <w:rPr>
                <w:rFonts w:hint="eastAsia" w:ascii="宋体" w:hAnsi="宋体" w:eastAsia="宋体" w:cs="宋体"/>
                <w:b w:val="0"/>
                <w:bCs w:val="0"/>
                <w:color w:val="auto"/>
                <w:kern w:val="2"/>
                <w:sz w:val="21"/>
                <w:szCs w:val="21"/>
                <w:lang w:val="en-US" w:eastAsia="zh-CN" w:bidi="ar-SA"/>
              </w:rPr>
              <w:t>） 拟投入本项目的专职安全员有效的安全生产考核合格证书（C 类）证书复印件。</w:t>
            </w:r>
          </w:p>
          <w:p w14:paraId="50415C15">
            <w:pPr>
              <w:pStyle w:val="2"/>
              <w:keepNext w:val="0"/>
              <w:keepLines w:val="0"/>
              <w:pageBreakBefore w:val="0"/>
              <w:widowControl w:val="0"/>
              <w:kinsoku/>
              <w:wordWrap/>
              <w:overflowPunct/>
              <w:topLinePunct w:val="0"/>
              <w:bidi w:val="0"/>
              <w:spacing w:line="312" w:lineRule="auto"/>
              <w:textAlignment w:val="auto"/>
              <w:rPr>
                <w:rFonts w:hint="eastAsia" w:ascii="宋体" w:hAnsi="宋体" w:cs="宋体"/>
                <w:b w:val="0"/>
                <w:bCs w:val="0"/>
                <w:color w:val="auto"/>
                <w:kern w:val="2"/>
                <w:sz w:val="21"/>
                <w:szCs w:val="21"/>
                <w:lang w:val="en-US" w:eastAsia="zh-CN" w:bidi="ar-SA"/>
              </w:rPr>
            </w:pPr>
            <w:r>
              <w:rPr>
                <w:rFonts w:hint="eastAsia" w:ascii="宋体" w:hAnsi="宋体" w:cs="宋体"/>
                <w:b w:val="0"/>
                <w:bCs w:val="0"/>
                <w:color w:val="auto"/>
                <w:kern w:val="2"/>
                <w:sz w:val="21"/>
                <w:szCs w:val="21"/>
                <w:lang w:val="en-US" w:eastAsia="zh-CN" w:bidi="ar-SA"/>
              </w:rPr>
              <w:t>注：以上投入在职人员（存在劳动关系），可选择以下任一组材料：</w:t>
            </w:r>
          </w:p>
          <w:p w14:paraId="492AEBF5">
            <w:pPr>
              <w:pStyle w:val="2"/>
              <w:keepNext w:val="0"/>
              <w:keepLines w:val="0"/>
              <w:pageBreakBefore w:val="0"/>
              <w:widowControl w:val="0"/>
              <w:kinsoku/>
              <w:wordWrap/>
              <w:overflowPunct/>
              <w:topLinePunct w:val="0"/>
              <w:bidi w:val="0"/>
              <w:spacing w:line="312" w:lineRule="auto"/>
              <w:textAlignment w:val="auto"/>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①</w:t>
            </w:r>
            <w:r>
              <w:rPr>
                <w:rFonts w:hint="eastAsia" w:ascii="宋体" w:hAnsi="宋体" w:cs="宋体"/>
                <w:b w:val="0"/>
                <w:bCs w:val="0"/>
                <w:color w:val="auto"/>
                <w:kern w:val="2"/>
                <w:sz w:val="21"/>
                <w:szCs w:val="21"/>
                <w:lang w:val="en-US" w:eastAsia="zh-CN" w:bidi="ar-SA"/>
              </w:rPr>
              <w:t>竞标</w:t>
            </w:r>
            <w:r>
              <w:rPr>
                <w:rFonts w:hint="eastAsia" w:ascii="宋体" w:hAnsi="宋体" w:eastAsia="宋体" w:cs="宋体"/>
                <w:b w:val="0"/>
                <w:bCs w:val="0"/>
                <w:color w:val="auto"/>
                <w:kern w:val="2"/>
                <w:sz w:val="21"/>
                <w:szCs w:val="21"/>
                <w:lang w:val="en-US" w:eastAsia="zh-CN" w:bidi="ar-SA"/>
              </w:rPr>
              <w:t>截止</w:t>
            </w:r>
            <w:r>
              <w:rPr>
                <w:rFonts w:hint="eastAsia" w:ascii="宋体" w:hAnsi="宋体" w:cs="宋体"/>
                <w:b w:val="0"/>
                <w:bCs w:val="0"/>
                <w:color w:val="auto"/>
                <w:kern w:val="2"/>
                <w:sz w:val="21"/>
                <w:szCs w:val="21"/>
                <w:lang w:val="en-US" w:eastAsia="zh-CN" w:bidi="ar-SA"/>
              </w:rPr>
              <w:t>之</w:t>
            </w:r>
            <w:r>
              <w:rPr>
                <w:rFonts w:hint="eastAsia" w:ascii="宋体" w:hAnsi="宋体" w:eastAsia="宋体" w:cs="宋体"/>
                <w:b w:val="0"/>
                <w:bCs w:val="0"/>
                <w:color w:val="auto"/>
                <w:kern w:val="2"/>
                <w:sz w:val="21"/>
                <w:szCs w:val="21"/>
                <w:lang w:val="en-US" w:eastAsia="zh-CN" w:bidi="ar-SA"/>
              </w:rPr>
              <w:t>日前</w:t>
            </w:r>
            <w:r>
              <w:rPr>
                <w:rFonts w:hint="eastAsia" w:ascii="宋体" w:hAnsi="宋体" w:cs="宋体"/>
                <w:b w:val="0"/>
                <w:bCs w:val="0"/>
                <w:color w:val="auto"/>
                <w:kern w:val="2"/>
                <w:sz w:val="21"/>
                <w:szCs w:val="21"/>
                <w:lang w:val="en-US" w:eastAsia="zh-CN" w:bidi="ar-SA"/>
              </w:rPr>
              <w:t>6</w:t>
            </w:r>
            <w:r>
              <w:rPr>
                <w:rFonts w:hint="eastAsia" w:ascii="宋体" w:hAnsi="宋体" w:eastAsia="宋体" w:cs="宋体"/>
                <w:b w:val="0"/>
                <w:bCs w:val="0"/>
                <w:color w:val="auto"/>
                <w:kern w:val="2"/>
                <w:sz w:val="21"/>
                <w:szCs w:val="21"/>
                <w:lang w:val="en-US" w:eastAsia="zh-CN" w:bidi="ar-SA"/>
              </w:rPr>
              <w:t>个月内任意一个月由</w:t>
            </w:r>
            <w:r>
              <w:rPr>
                <w:rFonts w:hint="eastAsia" w:ascii="宋体" w:hAnsi="宋体" w:cs="宋体"/>
                <w:b w:val="0"/>
                <w:bCs w:val="0"/>
                <w:color w:val="auto"/>
                <w:kern w:val="2"/>
                <w:sz w:val="21"/>
                <w:szCs w:val="21"/>
                <w:lang w:val="en-US" w:eastAsia="zh-CN" w:bidi="ar-SA"/>
              </w:rPr>
              <w:t>竞标供应商</w:t>
            </w:r>
            <w:r>
              <w:rPr>
                <w:rFonts w:hint="eastAsia" w:ascii="宋体" w:hAnsi="宋体" w:eastAsia="宋体" w:cs="宋体"/>
                <w:b w:val="0"/>
                <w:bCs w:val="0"/>
                <w:color w:val="auto"/>
                <w:kern w:val="2"/>
                <w:sz w:val="21"/>
                <w:szCs w:val="21"/>
                <w:lang w:val="en-US" w:eastAsia="zh-CN" w:bidi="ar-SA"/>
              </w:rPr>
              <w:t>缴纳的社保证明；</w:t>
            </w:r>
          </w:p>
          <w:p w14:paraId="3D49F4DA">
            <w:pPr>
              <w:pStyle w:val="2"/>
              <w:keepNext w:val="0"/>
              <w:keepLines w:val="0"/>
              <w:pageBreakBefore w:val="0"/>
              <w:widowControl w:val="0"/>
              <w:kinsoku/>
              <w:wordWrap/>
              <w:overflowPunct/>
              <w:topLinePunct w:val="0"/>
              <w:bidi w:val="0"/>
              <w:spacing w:line="312" w:lineRule="auto"/>
              <w:textAlignment w:val="auto"/>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②劳动合同，搭配近</w:t>
            </w:r>
            <w:r>
              <w:rPr>
                <w:rFonts w:hint="eastAsia" w:ascii="宋体" w:hAnsi="宋体" w:cs="宋体"/>
                <w:b w:val="0"/>
                <w:bCs w:val="0"/>
                <w:color w:val="auto"/>
                <w:kern w:val="2"/>
                <w:sz w:val="21"/>
                <w:szCs w:val="21"/>
                <w:lang w:val="en-US" w:eastAsia="zh-CN" w:bidi="ar-SA"/>
              </w:rPr>
              <w:t>1</w:t>
            </w:r>
            <w:r>
              <w:rPr>
                <w:rFonts w:hint="eastAsia" w:ascii="宋体" w:hAnsi="宋体" w:eastAsia="宋体" w:cs="宋体"/>
                <w:b w:val="0"/>
                <w:bCs w:val="0"/>
                <w:color w:val="auto"/>
                <w:kern w:val="2"/>
                <w:sz w:val="21"/>
                <w:szCs w:val="21"/>
                <w:lang w:val="en-US" w:eastAsia="zh-CN" w:bidi="ar-SA"/>
              </w:rPr>
              <w:t>个月工资银行发放流水或个税申报记录。</w:t>
            </w:r>
          </w:p>
          <w:p w14:paraId="46CB0D37">
            <w:pPr>
              <w:pStyle w:val="2"/>
              <w:keepNext w:val="0"/>
              <w:keepLines w:val="0"/>
              <w:pageBreakBefore w:val="0"/>
              <w:widowControl w:val="0"/>
              <w:kinsoku/>
              <w:wordWrap/>
              <w:overflowPunct/>
              <w:topLinePunct w:val="0"/>
              <w:bidi w:val="0"/>
              <w:spacing w:line="312" w:lineRule="auto"/>
              <w:ind w:firstLine="210" w:firstLineChars="100"/>
              <w:textAlignment w:val="auto"/>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新入职尚未产生社保缴费记录：提供劳动合同、工资发放流水，并附书面入职情况说明，承诺</w:t>
            </w:r>
            <w:r>
              <w:rPr>
                <w:rFonts w:hint="eastAsia" w:ascii="宋体" w:hAnsi="宋体" w:cs="宋体"/>
                <w:b w:val="0"/>
                <w:bCs w:val="0"/>
                <w:color w:val="auto"/>
                <w:kern w:val="2"/>
                <w:sz w:val="21"/>
                <w:szCs w:val="21"/>
                <w:lang w:val="en-US" w:eastAsia="zh-CN" w:bidi="ar-SA"/>
              </w:rPr>
              <w:t>成交</w:t>
            </w:r>
            <w:r>
              <w:rPr>
                <w:rFonts w:hint="eastAsia" w:ascii="宋体" w:hAnsi="宋体" w:eastAsia="宋体" w:cs="宋体"/>
                <w:b w:val="0"/>
                <w:bCs w:val="0"/>
                <w:color w:val="auto"/>
                <w:kern w:val="2"/>
                <w:sz w:val="21"/>
                <w:szCs w:val="21"/>
                <w:lang w:val="en-US" w:eastAsia="zh-CN" w:bidi="ar-SA"/>
              </w:rPr>
              <w:t>进场前完成社保参保。</w:t>
            </w:r>
          </w:p>
          <w:p w14:paraId="587E55F6">
            <w:pPr>
              <w:pStyle w:val="2"/>
              <w:keepNext w:val="0"/>
              <w:keepLines w:val="0"/>
              <w:pageBreakBefore w:val="0"/>
              <w:widowControl w:val="0"/>
              <w:kinsoku/>
              <w:wordWrap/>
              <w:overflowPunct/>
              <w:topLinePunct w:val="0"/>
              <w:bidi w:val="0"/>
              <w:spacing w:line="312" w:lineRule="auto"/>
              <w:ind w:firstLine="210" w:firstLineChars="100"/>
              <w:textAlignment w:val="auto"/>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退休返聘人员：提供退休证明以及正式返聘劳务协议。</w:t>
            </w:r>
          </w:p>
          <w:p w14:paraId="6512ABE7">
            <w:pPr>
              <w:pStyle w:val="2"/>
              <w:keepNext w:val="0"/>
              <w:keepLines w:val="0"/>
              <w:pageBreakBefore w:val="0"/>
              <w:widowControl w:val="0"/>
              <w:kinsoku/>
              <w:wordWrap/>
              <w:overflowPunct/>
              <w:topLinePunct w:val="0"/>
              <w:bidi w:val="0"/>
              <w:spacing w:line="312" w:lineRule="auto"/>
              <w:ind w:left="210" w:leftChars="100" w:firstLine="0" w:firstLineChars="0"/>
              <w:textAlignment w:val="auto"/>
              <w:rPr>
                <w:rFonts w:hint="default"/>
                <w:color w:val="auto"/>
                <w:lang w:val="en-US" w:eastAsia="zh-CN"/>
              </w:rPr>
            </w:pPr>
            <w:r>
              <w:rPr>
                <w:rFonts w:hint="eastAsia" w:ascii="宋体" w:hAnsi="宋体" w:eastAsia="宋体" w:cs="宋体"/>
                <w:b w:val="0"/>
                <w:bCs w:val="0"/>
                <w:color w:val="auto"/>
                <w:kern w:val="2"/>
                <w:sz w:val="21"/>
                <w:szCs w:val="21"/>
                <w:lang w:val="en-US" w:eastAsia="zh-CN" w:bidi="ar-SA"/>
              </w:rPr>
              <w:t>劳务派遣人员：提供合法劳务派遣协议、人员劳动合同、派遣单位缴纳的社保证明。</w:t>
            </w:r>
          </w:p>
          <w:p w14:paraId="1DF602D3">
            <w:pPr>
              <w:keepNext w:val="0"/>
              <w:keepLines w:val="0"/>
              <w:pageBreakBefore w:val="0"/>
              <w:widowControl w:val="0"/>
              <w:numPr>
                <w:ilvl w:val="0"/>
                <w:numId w:val="5"/>
              </w:numPr>
              <w:kinsoku/>
              <w:wordWrap/>
              <w:overflowPunct/>
              <w:topLinePunct w:val="0"/>
              <w:autoSpaceDE/>
              <w:autoSpaceDN/>
              <w:bidi w:val="0"/>
              <w:adjustRightInd/>
              <w:snapToGrid w:val="0"/>
              <w:spacing w:line="312" w:lineRule="auto"/>
              <w:jc w:val="left"/>
              <w:textAlignment w:val="auto"/>
              <w:rPr>
                <w:rFonts w:hint="eastAsia" w:ascii="宋体" w:hAnsi="宋体" w:eastAsia="宋体" w:cs="宋体"/>
                <w:b w:val="0"/>
                <w:bCs w:val="0"/>
                <w:color w:val="auto"/>
                <w:kern w:val="2"/>
                <w:sz w:val="21"/>
                <w:szCs w:val="21"/>
                <w:lang w:val="en-US" w:eastAsia="zh-CN" w:bidi="ar-SA"/>
              </w:rPr>
            </w:pPr>
            <w:r>
              <w:rPr>
                <w:rFonts w:hint="eastAsia" w:ascii="宋体" w:hAnsi="宋体" w:cs="宋体"/>
                <w:color w:val="auto"/>
                <w:szCs w:val="21"/>
                <w:lang w:val="en-US" w:eastAsia="zh-CN"/>
              </w:rPr>
              <w:t>供应商</w:t>
            </w:r>
            <w:r>
              <w:rPr>
                <w:rFonts w:hint="eastAsia" w:ascii="宋体" w:hAnsi="宋体" w:cs="宋体"/>
                <w:color w:val="auto"/>
                <w:szCs w:val="21"/>
              </w:rPr>
              <w:t>为中小微企业或者监狱企业或者残疾人福利性单位的资格证明材料【为中小微企业的应当提供《中小企业声明函》；为残疾人福利性单位的应当提供《残疾人福利性单位声明函》；为监狱企业的应当提供由省级以上监狱管理局、戒毒管理局（含新疆生产建设兵团）出具的属于监狱企业的证明文件】（声明函格式后附）</w:t>
            </w:r>
            <w:r>
              <w:rPr>
                <w:rFonts w:hint="eastAsia" w:ascii="宋体" w:hAnsi="宋体" w:eastAsia="宋体" w:cs="宋体"/>
                <w:b w:val="0"/>
                <w:bCs w:val="0"/>
                <w:color w:val="auto"/>
                <w:kern w:val="2"/>
                <w:sz w:val="21"/>
                <w:szCs w:val="21"/>
                <w:lang w:val="en-US" w:eastAsia="zh-CN" w:bidi="ar-SA"/>
              </w:rPr>
              <w:t>；</w:t>
            </w:r>
          </w:p>
          <w:p w14:paraId="117046C8">
            <w:pPr>
              <w:snapToGrid w:val="0"/>
              <w:spacing w:line="360" w:lineRule="auto"/>
              <w:jc w:val="left"/>
              <w:rPr>
                <w:rFonts w:hint="eastAsia"/>
                <w:lang w:val="en-US" w:eastAsia="zh-CN"/>
              </w:rPr>
            </w:pPr>
            <w:r>
              <w:rPr>
                <w:rFonts w:hint="eastAsia" w:ascii="宋体" w:hAnsi="宋体"/>
                <w:color w:val="auto"/>
                <w:szCs w:val="21"/>
                <w:highlight w:val="none"/>
                <w:lang w:val="en-US" w:eastAsia="zh-CN"/>
              </w:rPr>
              <w:t>9.</w:t>
            </w:r>
            <w:r>
              <w:rPr>
                <w:rFonts w:hint="eastAsia" w:ascii="宋体" w:hAnsi="宋体"/>
                <w:color w:val="auto"/>
                <w:szCs w:val="21"/>
                <w:highlight w:val="none"/>
              </w:rPr>
              <w:t>联合体竞标协议书</w:t>
            </w:r>
            <w:r>
              <w:rPr>
                <w:rFonts w:hint="eastAsia" w:ascii="宋体" w:hAnsi="宋体" w:cs="宋体"/>
                <w:color w:val="auto"/>
                <w:szCs w:val="21"/>
                <w:highlight w:val="none"/>
              </w:rPr>
              <w:t>（格式后附）</w:t>
            </w:r>
            <w:r>
              <w:rPr>
                <w:rFonts w:hint="eastAsia" w:ascii="宋体" w:hAnsi="宋体" w:cs="宋体"/>
                <w:color w:val="auto"/>
                <w:szCs w:val="21"/>
                <w:highlight w:val="none"/>
                <w:lang w:eastAsia="zh-CN"/>
              </w:rPr>
              <w:t>（联合体竞标时必须提供）</w:t>
            </w:r>
            <w:r>
              <w:rPr>
                <w:rFonts w:hint="eastAsia" w:ascii="宋体" w:hAnsi="宋体" w:cs="宋体"/>
                <w:color w:val="auto"/>
                <w:szCs w:val="21"/>
                <w:highlight w:val="none"/>
              </w:rPr>
              <w:t>；</w:t>
            </w:r>
          </w:p>
          <w:p w14:paraId="552DECE8">
            <w:pPr>
              <w:keepNext w:val="0"/>
              <w:keepLines w:val="0"/>
              <w:pageBreakBefore w:val="0"/>
              <w:widowControl w:val="0"/>
              <w:kinsoku/>
              <w:wordWrap/>
              <w:overflowPunct/>
              <w:topLinePunct w:val="0"/>
              <w:bidi w:val="0"/>
              <w:snapToGrid w:val="0"/>
              <w:spacing w:line="312" w:lineRule="auto"/>
              <w:jc w:val="left"/>
              <w:textAlignment w:val="auto"/>
              <w:rPr>
                <w:rFonts w:hint="eastAsia" w:ascii="宋体" w:hAnsi="宋体" w:eastAsia="宋体" w:cs="宋体"/>
                <w:b w:val="0"/>
                <w:bCs w:val="0"/>
                <w:color w:val="auto"/>
                <w:kern w:val="2"/>
                <w:sz w:val="21"/>
                <w:szCs w:val="21"/>
                <w:lang w:val="en-US" w:eastAsia="zh-CN" w:bidi="ar-SA"/>
              </w:rPr>
            </w:pPr>
            <w:r>
              <w:rPr>
                <w:rFonts w:hint="eastAsia" w:ascii="宋体" w:hAnsi="宋体" w:cs="宋体"/>
                <w:b w:val="0"/>
                <w:bCs w:val="0"/>
                <w:color w:val="auto"/>
                <w:kern w:val="2"/>
                <w:sz w:val="21"/>
                <w:szCs w:val="21"/>
                <w:lang w:val="en-US" w:eastAsia="zh-CN" w:bidi="ar-SA"/>
              </w:rPr>
              <w:t>10.</w:t>
            </w:r>
            <w:r>
              <w:rPr>
                <w:rFonts w:hint="eastAsia" w:ascii="宋体" w:hAnsi="宋体" w:eastAsia="宋体" w:cs="宋体"/>
                <w:b w:val="0"/>
                <w:bCs w:val="0"/>
                <w:color w:val="auto"/>
                <w:kern w:val="2"/>
                <w:sz w:val="21"/>
                <w:szCs w:val="21"/>
                <w:lang w:val="en-US" w:eastAsia="zh-CN" w:bidi="ar-SA"/>
              </w:rPr>
              <w:t>除磋商文件规定必须提供以外，供应商认为需要提供的其他证明材料。</w:t>
            </w:r>
          </w:p>
          <w:p w14:paraId="196C717A">
            <w:pPr>
              <w:snapToGrid w:val="0"/>
              <w:spacing w:line="360" w:lineRule="auto"/>
              <w:jc w:val="left"/>
              <w:rPr>
                <w:rFonts w:hint="eastAsia" w:ascii="宋体" w:hAnsi="宋体"/>
                <w:b/>
                <w:bCs/>
                <w:color w:val="auto"/>
                <w:szCs w:val="21"/>
                <w:highlight w:val="none"/>
              </w:rPr>
            </w:pPr>
            <w:r>
              <w:rPr>
                <w:rFonts w:hint="eastAsia" w:ascii="宋体" w:hAnsi="宋体"/>
                <w:b/>
                <w:bCs/>
                <w:color w:val="auto"/>
                <w:szCs w:val="21"/>
                <w:highlight w:val="none"/>
              </w:rPr>
              <w:t>注：1.</w:t>
            </w:r>
            <w:r>
              <w:rPr>
                <w:rFonts w:hint="eastAsia" w:ascii="宋体" w:hAnsi="宋体"/>
                <w:color w:val="auto"/>
                <w:szCs w:val="21"/>
                <w:highlight w:val="none"/>
              </w:rPr>
              <w:t xml:space="preserve"> </w:t>
            </w:r>
            <w:r>
              <w:rPr>
                <w:rFonts w:hint="eastAsia" w:ascii="宋体" w:hAnsi="宋体" w:cs="宋体"/>
                <w:b/>
                <w:bCs/>
                <w:color w:val="auto"/>
                <w:szCs w:val="21"/>
              </w:rPr>
              <w:t>以上标明“必须提供”的材料属于复印件的扫描件的</w:t>
            </w:r>
            <w:r>
              <w:rPr>
                <w:rFonts w:hint="eastAsia" w:ascii="宋体" w:hAnsi="宋体"/>
                <w:b/>
                <w:bCs/>
                <w:color w:val="auto"/>
                <w:szCs w:val="21"/>
                <w:highlight w:val="none"/>
              </w:rPr>
              <w:t>，</w:t>
            </w:r>
            <w:r>
              <w:rPr>
                <w:rFonts w:hint="eastAsia" w:ascii="宋体" w:hAnsi="宋体" w:eastAsia="宋体" w:cs="宋体"/>
                <w:b/>
                <w:bCs/>
                <w:color w:val="auto"/>
                <w:szCs w:val="21"/>
                <w:highlight w:val="none"/>
              </w:rPr>
              <w:t>必须加盖</w:t>
            </w:r>
            <w:r>
              <w:rPr>
                <w:rFonts w:hint="eastAsia" w:ascii="宋体" w:hAnsi="宋体" w:cs="宋体"/>
                <w:b/>
                <w:bCs/>
                <w:color w:val="auto"/>
                <w:szCs w:val="21"/>
                <w:highlight w:val="none"/>
                <w:lang w:val="en-US" w:eastAsia="zh-CN"/>
              </w:rPr>
              <w:t>供应商</w:t>
            </w:r>
            <w:r>
              <w:rPr>
                <w:rFonts w:hint="eastAsia" w:ascii="宋体" w:hAnsi="宋体" w:eastAsia="宋体" w:cs="宋体"/>
                <w:b/>
                <w:bCs/>
                <w:color w:val="auto"/>
                <w:szCs w:val="21"/>
                <w:highlight w:val="none"/>
              </w:rPr>
              <w:t>电子公章</w:t>
            </w:r>
            <w:r>
              <w:rPr>
                <w:rFonts w:hint="eastAsia" w:ascii="宋体" w:hAnsi="宋体"/>
                <w:b/>
                <w:bCs/>
                <w:color w:val="auto"/>
                <w:szCs w:val="21"/>
                <w:highlight w:val="none"/>
              </w:rPr>
              <w:t>，否则</w:t>
            </w:r>
            <w:r>
              <w:rPr>
                <w:rFonts w:hint="eastAsia" w:ascii="宋体" w:hAnsi="宋体" w:cs="Courier New"/>
                <w:b/>
                <w:color w:val="auto"/>
                <w:szCs w:val="21"/>
                <w:highlight w:val="none"/>
              </w:rPr>
              <w:t>作无</w:t>
            </w:r>
            <w:r>
              <w:rPr>
                <w:rFonts w:hint="eastAsia" w:ascii="宋体" w:hAnsi="宋体"/>
                <w:b/>
                <w:bCs/>
                <w:color w:val="auto"/>
                <w:szCs w:val="21"/>
                <w:highlight w:val="none"/>
              </w:rPr>
              <w:t>效</w:t>
            </w:r>
            <w:r>
              <w:rPr>
                <w:rFonts w:hint="eastAsia" w:ascii="宋体" w:hAnsi="宋体"/>
                <w:b/>
                <w:bCs/>
                <w:color w:val="auto"/>
                <w:szCs w:val="21"/>
                <w:highlight w:val="none"/>
                <w:lang w:val="en-US" w:eastAsia="zh-CN"/>
              </w:rPr>
              <w:t>响应</w:t>
            </w:r>
            <w:r>
              <w:rPr>
                <w:rFonts w:hint="eastAsia" w:ascii="宋体" w:hAnsi="宋体"/>
                <w:b/>
                <w:bCs/>
                <w:color w:val="auto"/>
                <w:szCs w:val="21"/>
                <w:highlight w:val="none"/>
              </w:rPr>
              <w:t>处理。</w:t>
            </w:r>
          </w:p>
          <w:p w14:paraId="433A9885">
            <w:pPr>
              <w:pStyle w:val="2"/>
            </w:pPr>
            <w:r>
              <w:rPr>
                <w:rFonts w:hint="eastAsia" w:ascii="宋体" w:hAnsi="宋体" w:eastAsia="宋体" w:cs="宋体"/>
                <w:b/>
                <w:bCs/>
                <w:color w:val="auto"/>
                <w:kern w:val="2"/>
                <w:sz w:val="21"/>
                <w:szCs w:val="21"/>
                <w:highlight w:val="none"/>
                <w:lang w:val="en-US" w:eastAsia="zh-CN" w:bidi="ar-SA"/>
              </w:rPr>
              <w:t>2.联合体竞标时，第1-5项资格证明文件联合体各方均必须分别提供，并由联合体牵头人加盖电子公章，否则响应文件按无效响应处理。</w:t>
            </w:r>
          </w:p>
        </w:tc>
      </w:tr>
      <w:tr w14:paraId="455F3E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5" w:hRule="atLeast"/>
          <w:jc w:val="center"/>
        </w:trPr>
        <w:tc>
          <w:tcPr>
            <w:tcW w:w="1152" w:type="dxa"/>
            <w:vAlign w:val="center"/>
          </w:tcPr>
          <w:p w14:paraId="73157F29">
            <w:pPr>
              <w:spacing w:line="360" w:lineRule="auto"/>
              <w:jc w:val="center"/>
              <w:rPr>
                <w:rFonts w:hint="eastAsia" w:ascii="宋体" w:hAnsi="宋体" w:cs="宋体"/>
                <w:color w:val="auto"/>
                <w:szCs w:val="21"/>
              </w:rPr>
            </w:pPr>
            <w:r>
              <w:rPr>
                <w:rFonts w:hint="eastAsia" w:ascii="宋体" w:hAnsi="宋体" w:cs="宋体"/>
                <w:color w:val="auto"/>
                <w:szCs w:val="21"/>
              </w:rPr>
              <w:t>12.</w:t>
            </w:r>
            <w:r>
              <w:rPr>
                <w:rFonts w:ascii="宋体" w:hAnsi="宋体" w:cs="宋体"/>
                <w:color w:val="auto"/>
                <w:szCs w:val="21"/>
              </w:rPr>
              <w:t>1</w:t>
            </w:r>
            <w:r>
              <w:rPr>
                <w:rFonts w:hint="eastAsia" w:ascii="宋体" w:hAnsi="宋体" w:cs="宋体"/>
                <w:color w:val="auto"/>
                <w:szCs w:val="21"/>
              </w:rPr>
              <w:t>.</w:t>
            </w:r>
            <w:r>
              <w:rPr>
                <w:rFonts w:ascii="宋体" w:hAnsi="宋体" w:cs="宋体"/>
                <w:color w:val="auto"/>
                <w:szCs w:val="21"/>
              </w:rPr>
              <w:t>2</w:t>
            </w:r>
          </w:p>
        </w:tc>
        <w:tc>
          <w:tcPr>
            <w:tcW w:w="7912" w:type="dxa"/>
            <w:vAlign w:val="center"/>
          </w:tcPr>
          <w:p w14:paraId="46F99E34">
            <w:pPr>
              <w:spacing w:line="360" w:lineRule="auto"/>
              <w:rPr>
                <w:rFonts w:hint="eastAsia"/>
                <w:b/>
                <w:bCs/>
                <w:color w:val="auto"/>
              </w:rPr>
            </w:pPr>
            <w:r>
              <w:rPr>
                <w:rFonts w:hint="eastAsia"/>
                <w:b/>
                <w:bCs/>
                <w:color w:val="auto"/>
              </w:rPr>
              <w:t>报价文件</w:t>
            </w:r>
            <w:r>
              <w:rPr>
                <w:rFonts w:hint="eastAsia"/>
                <w:b/>
                <w:bCs/>
                <w:color w:val="auto"/>
                <w:lang w:val="en-US" w:eastAsia="zh-CN"/>
              </w:rPr>
              <w:t xml:space="preserve"> （1-3项必须提供）</w:t>
            </w:r>
          </w:p>
          <w:p w14:paraId="3542A4DF">
            <w:pPr>
              <w:spacing w:line="400" w:lineRule="exact"/>
              <w:rPr>
                <w:rFonts w:hint="eastAsia" w:ascii="宋体" w:hAnsi="宋体" w:eastAsia="宋体" w:cs="宋体"/>
                <w:color w:val="auto"/>
              </w:rPr>
            </w:pPr>
            <w:r>
              <w:rPr>
                <w:rFonts w:hint="eastAsia" w:ascii="宋体" w:hAnsi="宋体" w:eastAsia="宋体" w:cs="宋体"/>
                <w:color w:val="auto"/>
                <w:lang w:val="en-US" w:eastAsia="zh-CN"/>
              </w:rPr>
              <w:t>1</w:t>
            </w:r>
            <w:r>
              <w:rPr>
                <w:rFonts w:hint="eastAsia" w:ascii="宋体" w:hAnsi="宋体" w:cs="宋体"/>
                <w:b w:val="0"/>
                <w:bCs w:val="0"/>
                <w:color w:val="auto"/>
                <w:kern w:val="2"/>
                <w:sz w:val="21"/>
                <w:szCs w:val="21"/>
                <w:lang w:val="en-US" w:eastAsia="zh-CN" w:bidi="ar-SA"/>
              </w:rPr>
              <w:t>.磋商</w:t>
            </w:r>
            <w:r>
              <w:rPr>
                <w:rFonts w:hint="eastAsia" w:ascii="宋体" w:hAnsi="宋体" w:eastAsia="宋体" w:cs="宋体"/>
                <w:color w:val="auto"/>
              </w:rPr>
              <w:t>函</w:t>
            </w:r>
            <w:r>
              <w:rPr>
                <w:rFonts w:hint="eastAsia" w:ascii="宋体" w:hAnsi="宋体" w:cs="宋体"/>
                <w:color w:val="auto"/>
                <w:lang w:val="en-US" w:eastAsia="zh-CN"/>
              </w:rPr>
              <w:t>及</w:t>
            </w:r>
            <w:r>
              <w:rPr>
                <w:rFonts w:hint="eastAsia" w:ascii="宋体" w:hAnsi="宋体" w:eastAsia="宋体" w:cs="宋体"/>
                <w:color w:val="auto"/>
                <w:lang w:val="en-US" w:eastAsia="zh-CN"/>
              </w:rPr>
              <w:t>磋商函附录；</w:t>
            </w:r>
          </w:p>
          <w:p w14:paraId="7C2D2531">
            <w:pPr>
              <w:spacing w:line="400" w:lineRule="exact"/>
              <w:rPr>
                <w:rFonts w:hint="eastAsia" w:ascii="宋体" w:hAnsi="宋体" w:eastAsia="宋体" w:cs="宋体"/>
                <w:color w:val="auto"/>
              </w:rPr>
            </w:pPr>
            <w:r>
              <w:rPr>
                <w:rFonts w:hint="eastAsia" w:ascii="宋体" w:hAnsi="宋体" w:cs="宋体"/>
                <w:b w:val="0"/>
                <w:bCs w:val="0"/>
                <w:color w:val="auto"/>
                <w:kern w:val="2"/>
                <w:sz w:val="21"/>
                <w:szCs w:val="21"/>
                <w:lang w:val="en-US" w:eastAsia="zh-CN" w:bidi="ar-SA"/>
              </w:rPr>
              <w:t>2.</w:t>
            </w:r>
            <w:r>
              <w:rPr>
                <w:rFonts w:hint="eastAsia" w:ascii="宋体" w:hAnsi="宋体" w:eastAsia="宋体" w:cs="宋体"/>
                <w:color w:val="auto"/>
                <w:lang w:eastAsia="zh-CN"/>
              </w:rPr>
              <w:t>竞标</w:t>
            </w:r>
            <w:r>
              <w:rPr>
                <w:rFonts w:hint="eastAsia" w:ascii="宋体" w:hAnsi="宋体" w:eastAsia="宋体" w:cs="宋体"/>
                <w:color w:val="auto"/>
              </w:rPr>
              <w:t>报价表；</w:t>
            </w:r>
          </w:p>
          <w:p w14:paraId="26C4A826">
            <w:pPr>
              <w:spacing w:line="400" w:lineRule="exact"/>
              <w:rPr>
                <w:rFonts w:hint="eastAsia" w:ascii="宋体" w:hAnsi="宋体" w:eastAsia="宋体" w:cs="宋体"/>
                <w:color w:val="auto"/>
                <w:lang w:eastAsia="zh-CN"/>
              </w:rPr>
            </w:pPr>
            <w:r>
              <w:rPr>
                <w:rFonts w:hint="eastAsia" w:ascii="宋体" w:hAnsi="宋体" w:cs="宋体"/>
                <w:b w:val="0"/>
                <w:bCs w:val="0"/>
                <w:color w:val="auto"/>
                <w:kern w:val="2"/>
                <w:sz w:val="21"/>
                <w:szCs w:val="21"/>
                <w:lang w:val="en-US" w:eastAsia="zh-CN" w:bidi="ar-SA"/>
              </w:rPr>
              <w:t>3.已</w:t>
            </w:r>
            <w:r>
              <w:rPr>
                <w:rFonts w:hint="eastAsia" w:ascii="宋体" w:hAnsi="宋体" w:eastAsia="宋体" w:cs="宋体"/>
                <w:color w:val="auto"/>
              </w:rPr>
              <w:t>标价工程量清单</w:t>
            </w:r>
            <w:r>
              <w:rPr>
                <w:rFonts w:hint="eastAsia" w:ascii="宋体" w:hAnsi="宋体" w:eastAsia="宋体" w:cs="宋体"/>
                <w:color w:val="auto"/>
                <w:lang w:eastAsia="zh-CN"/>
              </w:rPr>
              <w:t>；</w:t>
            </w:r>
          </w:p>
          <w:p w14:paraId="575CDD12">
            <w:pPr>
              <w:pStyle w:val="35"/>
              <w:rPr>
                <w:rFonts w:hint="eastAsia" w:eastAsia="宋体"/>
                <w:color w:val="auto"/>
                <w:lang w:val="en-US" w:eastAsia="zh-CN"/>
              </w:rPr>
            </w:pPr>
            <w:r>
              <w:rPr>
                <w:rFonts w:hint="eastAsia" w:ascii="宋体" w:hAnsi="宋体" w:cs="宋体"/>
                <w:bCs w:val="0"/>
                <w:color w:val="auto"/>
                <w:spacing w:val="0"/>
                <w:kern w:val="2"/>
                <w:sz w:val="21"/>
                <w:szCs w:val="24"/>
                <w:lang w:val="en-US" w:eastAsia="zh-CN" w:bidi="ar-SA"/>
              </w:rPr>
              <w:t>4.</w:t>
            </w:r>
            <w:r>
              <w:rPr>
                <w:rFonts w:hint="eastAsia" w:ascii="宋体" w:hAnsi="宋体" w:eastAsia="宋体" w:cs="宋体"/>
                <w:bCs w:val="0"/>
                <w:color w:val="auto"/>
                <w:spacing w:val="0"/>
                <w:kern w:val="2"/>
                <w:sz w:val="21"/>
                <w:szCs w:val="24"/>
                <w:lang w:val="en-US" w:eastAsia="zh-CN" w:bidi="ar-SA"/>
              </w:rPr>
              <w:t>供应商认为需要提供的其他有关资料。</w:t>
            </w:r>
          </w:p>
        </w:tc>
      </w:tr>
      <w:tr w14:paraId="055D7D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52" w:type="dxa"/>
            <w:vAlign w:val="center"/>
          </w:tcPr>
          <w:p w14:paraId="3C8DDE6D">
            <w:pPr>
              <w:spacing w:line="360" w:lineRule="auto"/>
              <w:jc w:val="center"/>
              <w:rPr>
                <w:rFonts w:ascii="宋体" w:hAnsi="宋体" w:cs="宋体"/>
                <w:color w:val="auto"/>
                <w:szCs w:val="21"/>
              </w:rPr>
            </w:pPr>
            <w:r>
              <w:rPr>
                <w:rFonts w:hint="eastAsia" w:ascii="宋体" w:hAnsi="宋体" w:cs="宋体"/>
                <w:color w:val="auto"/>
                <w:szCs w:val="21"/>
              </w:rPr>
              <w:t>12.</w:t>
            </w:r>
            <w:r>
              <w:rPr>
                <w:rFonts w:ascii="宋体" w:hAnsi="宋体" w:cs="宋体"/>
                <w:color w:val="auto"/>
                <w:szCs w:val="21"/>
              </w:rPr>
              <w:t>1</w:t>
            </w:r>
            <w:r>
              <w:rPr>
                <w:rFonts w:hint="eastAsia" w:ascii="宋体" w:hAnsi="宋体" w:cs="宋体"/>
                <w:color w:val="auto"/>
                <w:szCs w:val="21"/>
              </w:rPr>
              <w:t>.</w:t>
            </w:r>
            <w:r>
              <w:rPr>
                <w:rFonts w:ascii="宋体" w:hAnsi="宋体" w:cs="宋体"/>
                <w:color w:val="auto"/>
                <w:szCs w:val="21"/>
              </w:rPr>
              <w:t>2</w:t>
            </w:r>
          </w:p>
        </w:tc>
        <w:tc>
          <w:tcPr>
            <w:tcW w:w="7912" w:type="dxa"/>
            <w:vAlign w:val="center"/>
          </w:tcPr>
          <w:p w14:paraId="17856088">
            <w:pPr>
              <w:keepNext w:val="0"/>
              <w:keepLines w:val="0"/>
              <w:pageBreakBefore w:val="0"/>
              <w:widowControl w:val="0"/>
              <w:kinsoku/>
              <w:wordWrap/>
              <w:overflowPunct/>
              <w:topLinePunct w:val="0"/>
              <w:autoSpaceDE/>
              <w:autoSpaceDN/>
              <w:bidi w:val="0"/>
              <w:adjustRightInd/>
              <w:spacing w:line="360" w:lineRule="auto"/>
              <w:textAlignment w:val="auto"/>
              <w:rPr>
                <w:rFonts w:ascii="宋体" w:hAnsi="宋体" w:cs="宋体"/>
                <w:b/>
                <w:bCs/>
                <w:color w:val="auto"/>
                <w:szCs w:val="21"/>
              </w:rPr>
            </w:pPr>
            <w:r>
              <w:rPr>
                <w:rFonts w:hint="eastAsia" w:ascii="宋体" w:hAnsi="宋体" w:cs="宋体"/>
                <w:b/>
                <w:bCs/>
                <w:color w:val="auto"/>
                <w:szCs w:val="21"/>
              </w:rPr>
              <w:t>商务技术文件</w:t>
            </w:r>
          </w:p>
          <w:p w14:paraId="69C3381F">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宋体" w:hAnsi="宋体" w:cs="宋体"/>
                <w:b/>
                <w:bCs/>
                <w:color w:val="auto"/>
                <w:szCs w:val="21"/>
              </w:rPr>
            </w:pPr>
            <w:r>
              <w:rPr>
                <w:rFonts w:hint="eastAsia" w:ascii="宋体" w:hAnsi="宋体" w:cs="宋体"/>
                <w:color w:val="auto"/>
                <w:szCs w:val="21"/>
                <w:lang w:val="en-US" w:eastAsia="zh-CN"/>
              </w:rPr>
              <w:t>1.</w:t>
            </w:r>
            <w:r>
              <w:rPr>
                <w:rFonts w:hint="eastAsia" w:ascii="宋体" w:hAnsi="宋体" w:cs="宋体"/>
                <w:color w:val="auto"/>
                <w:szCs w:val="21"/>
              </w:rPr>
              <w:t>无串通竞标行为的承诺函（格式后附）；</w:t>
            </w:r>
            <w:r>
              <w:rPr>
                <w:rFonts w:hint="eastAsia" w:ascii="宋体" w:hAnsi="宋体" w:cs="宋体"/>
                <w:b/>
                <w:bCs/>
                <w:color w:val="auto"/>
                <w:szCs w:val="21"/>
              </w:rPr>
              <w:t>（必须提供，否则响应文件按无效响应处理）</w:t>
            </w:r>
          </w:p>
          <w:p w14:paraId="346784A6">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宋体" w:hAnsi="宋体" w:cs="宋体"/>
                <w:b/>
                <w:bCs/>
                <w:color w:val="auto"/>
                <w:szCs w:val="21"/>
              </w:rPr>
            </w:pPr>
            <w:r>
              <w:rPr>
                <w:rFonts w:hint="eastAsia" w:ascii="宋体" w:hAnsi="宋体" w:cs="宋体"/>
                <w:color w:val="auto"/>
                <w:szCs w:val="21"/>
              </w:rPr>
              <w:t>2.法定代表人身份证明书及法定代表人有效身份证正反面复印件（格式后附）；</w:t>
            </w:r>
            <w:r>
              <w:rPr>
                <w:rFonts w:hint="eastAsia" w:ascii="宋体" w:hAnsi="宋体" w:cs="宋体"/>
                <w:b/>
                <w:bCs/>
                <w:color w:val="auto"/>
                <w:szCs w:val="21"/>
              </w:rPr>
              <w:t>（除自然人竞标外必须提供，否则响应文件按无效响应处理）</w:t>
            </w:r>
          </w:p>
          <w:p w14:paraId="59231210">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宋体" w:hAnsi="宋体" w:cs="宋体"/>
                <w:b/>
                <w:bCs/>
                <w:color w:val="auto"/>
                <w:szCs w:val="21"/>
              </w:rPr>
            </w:pPr>
            <w:r>
              <w:rPr>
                <w:rFonts w:hint="eastAsia" w:ascii="宋体" w:hAnsi="宋体" w:cs="宋体"/>
                <w:color w:val="auto"/>
                <w:szCs w:val="21"/>
                <w:lang w:val="en-US" w:eastAsia="zh-CN"/>
              </w:rPr>
              <w:t>3</w:t>
            </w:r>
            <w:r>
              <w:rPr>
                <w:rFonts w:hint="eastAsia" w:ascii="宋体" w:hAnsi="宋体" w:cs="宋体"/>
                <w:color w:val="auto"/>
                <w:szCs w:val="21"/>
              </w:rPr>
              <w:t>.法定代表人授权委托书及委托代理人有效身份证正反面复印件（格式后附）；</w:t>
            </w:r>
            <w:r>
              <w:rPr>
                <w:rFonts w:hint="eastAsia" w:ascii="宋体" w:hAnsi="宋体" w:cs="宋体"/>
                <w:b/>
                <w:bCs/>
                <w:color w:val="auto"/>
                <w:szCs w:val="21"/>
              </w:rPr>
              <w:t>（委托时必须提供，否则响应文件按无效响应处理）</w:t>
            </w:r>
          </w:p>
          <w:p w14:paraId="163F8D81">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宋体" w:hAnsi="宋体" w:eastAsia="宋体" w:cs="宋体"/>
                <w:b w:val="0"/>
                <w:bCs/>
                <w:color w:val="auto"/>
                <w:szCs w:val="21"/>
                <w:lang w:val="en-US" w:eastAsia="zh-CN"/>
              </w:rPr>
            </w:pPr>
            <w:r>
              <w:rPr>
                <w:rFonts w:hint="eastAsia" w:ascii="宋体" w:hAnsi="宋体" w:cs="宋体"/>
                <w:b w:val="0"/>
                <w:bCs/>
                <w:color w:val="auto"/>
                <w:szCs w:val="21"/>
                <w:lang w:val="en-US" w:eastAsia="zh-CN"/>
              </w:rPr>
              <w:t>4.供电系统总体实施方案</w:t>
            </w:r>
            <w:r>
              <w:rPr>
                <w:rFonts w:hint="eastAsia" w:ascii="宋体" w:hAnsi="宋体" w:eastAsia="宋体" w:cs="宋体"/>
                <w:b w:val="0"/>
                <w:bCs/>
                <w:color w:val="auto"/>
                <w:szCs w:val="21"/>
                <w:lang w:eastAsia="zh-CN"/>
              </w:rPr>
              <w:t>；</w:t>
            </w:r>
            <w:r>
              <w:rPr>
                <w:rFonts w:hint="eastAsia" w:ascii="宋体" w:hAnsi="宋体" w:cs="宋体"/>
                <w:b/>
                <w:bCs/>
                <w:color w:val="auto"/>
                <w:szCs w:val="21"/>
              </w:rPr>
              <w:t>（必须提供，否则响应文件按无效响应处理）</w:t>
            </w:r>
          </w:p>
          <w:p w14:paraId="635C64B9">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宋体" w:hAnsi="宋体" w:cs="宋体"/>
                <w:b/>
                <w:bCs/>
                <w:color w:val="auto"/>
                <w:szCs w:val="21"/>
              </w:rPr>
            </w:pPr>
            <w:r>
              <w:rPr>
                <w:rFonts w:hint="eastAsia" w:ascii="宋体" w:hAnsi="宋体" w:cs="宋体"/>
                <w:b w:val="0"/>
                <w:bCs/>
                <w:color w:val="auto"/>
                <w:szCs w:val="21"/>
                <w:lang w:val="en-US" w:eastAsia="zh-CN"/>
              </w:rPr>
              <w:t>5.核心设备技术响应表</w:t>
            </w:r>
            <w:r>
              <w:rPr>
                <w:rFonts w:hint="eastAsia" w:ascii="宋体" w:hAnsi="宋体" w:eastAsia="宋体" w:cs="宋体"/>
                <w:b w:val="0"/>
                <w:bCs/>
                <w:color w:val="auto"/>
                <w:szCs w:val="21"/>
                <w:lang w:eastAsia="zh-CN"/>
              </w:rPr>
              <w:t>；</w:t>
            </w:r>
            <w:r>
              <w:rPr>
                <w:rFonts w:hint="eastAsia" w:ascii="宋体" w:hAnsi="宋体" w:cs="宋体"/>
                <w:b/>
                <w:bCs/>
                <w:color w:val="auto"/>
                <w:szCs w:val="21"/>
              </w:rPr>
              <w:t>（必须提供，否则响应文件按无效响应处理）</w:t>
            </w:r>
          </w:p>
          <w:p w14:paraId="0D37D359">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宋体" w:hAnsi="宋体" w:eastAsia="宋体" w:cs="宋体"/>
                <w:b/>
                <w:bCs/>
                <w:color w:val="auto"/>
                <w:kern w:val="2"/>
                <w:sz w:val="21"/>
                <w:szCs w:val="21"/>
                <w:lang w:val="en-US" w:eastAsia="zh-CN" w:bidi="ar-SA"/>
              </w:rPr>
            </w:pPr>
            <w:r>
              <w:rPr>
                <w:rFonts w:hint="eastAsia" w:ascii="宋体" w:hAnsi="宋体" w:eastAsia="宋体" w:cs="宋体"/>
                <w:b w:val="0"/>
                <w:bCs/>
                <w:color w:val="auto"/>
                <w:kern w:val="2"/>
                <w:sz w:val="21"/>
                <w:szCs w:val="21"/>
                <w:lang w:val="en-US" w:eastAsia="zh-CN" w:bidi="ar-SA"/>
              </w:rPr>
              <w:t>6.施工组织实施方案；</w:t>
            </w:r>
            <w:r>
              <w:rPr>
                <w:rFonts w:hint="eastAsia" w:ascii="宋体" w:hAnsi="宋体" w:cs="宋体"/>
                <w:b/>
                <w:bCs/>
                <w:color w:val="auto"/>
                <w:szCs w:val="21"/>
                <w:lang w:val="en-US" w:eastAsia="zh-CN"/>
              </w:rPr>
              <w:t>（</w:t>
            </w:r>
            <w:r>
              <w:rPr>
                <w:rFonts w:hint="eastAsia" w:ascii="宋体" w:hAnsi="宋体" w:eastAsia="宋体" w:cs="宋体"/>
                <w:b/>
                <w:bCs/>
                <w:color w:val="auto"/>
                <w:kern w:val="2"/>
                <w:sz w:val="21"/>
                <w:szCs w:val="21"/>
                <w:lang w:val="en-US" w:eastAsia="zh-CN" w:bidi="ar-SA"/>
              </w:rPr>
              <w:t>必须提供，否则响应文件按无效响应处理）</w:t>
            </w:r>
          </w:p>
          <w:p w14:paraId="17555D5E">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宋体" w:hAnsi="宋体" w:eastAsia="宋体" w:cs="宋体"/>
                <w:b/>
                <w:bCs/>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7.调试、检测及竣工验收方案</w:t>
            </w:r>
            <w:r>
              <w:rPr>
                <w:rFonts w:hint="eastAsia" w:ascii="宋体" w:hAnsi="宋体" w:eastAsia="宋体" w:cs="宋体"/>
                <w:b w:val="0"/>
                <w:bCs/>
                <w:color w:val="auto"/>
                <w:kern w:val="2"/>
                <w:sz w:val="21"/>
                <w:szCs w:val="21"/>
                <w:lang w:val="en-US" w:eastAsia="zh-CN" w:bidi="ar-SA"/>
              </w:rPr>
              <w:t>；</w:t>
            </w:r>
            <w:r>
              <w:rPr>
                <w:rFonts w:hint="eastAsia" w:ascii="宋体" w:hAnsi="宋体" w:cs="宋体"/>
                <w:b/>
                <w:bCs/>
                <w:color w:val="auto"/>
                <w:szCs w:val="21"/>
                <w:lang w:val="en-US" w:eastAsia="zh-CN"/>
              </w:rPr>
              <w:t>（</w:t>
            </w:r>
            <w:r>
              <w:rPr>
                <w:rFonts w:hint="eastAsia" w:ascii="宋体" w:hAnsi="宋体" w:eastAsia="宋体" w:cs="宋体"/>
                <w:b/>
                <w:bCs/>
                <w:color w:val="auto"/>
                <w:kern w:val="2"/>
                <w:sz w:val="21"/>
                <w:szCs w:val="21"/>
                <w:lang w:val="en-US" w:eastAsia="zh-CN" w:bidi="ar-SA"/>
              </w:rPr>
              <w:t>必须提供，否则响应文件按无效响应处理）</w:t>
            </w:r>
          </w:p>
          <w:p w14:paraId="175D4A0A">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default"/>
                <w:lang w:val="en-US" w:eastAsia="zh-CN"/>
              </w:rPr>
            </w:pPr>
            <w:r>
              <w:rPr>
                <w:rFonts w:hint="eastAsia" w:ascii="宋体" w:hAnsi="宋体" w:eastAsia="宋体" w:cs="宋体"/>
                <w:b w:val="0"/>
                <w:bCs w:val="0"/>
                <w:color w:val="auto"/>
                <w:kern w:val="2"/>
                <w:sz w:val="21"/>
                <w:szCs w:val="21"/>
                <w:lang w:val="en-US" w:eastAsia="zh-CN" w:bidi="ar-SA"/>
              </w:rPr>
              <w:t>8.项目管理机构配备情况表；</w:t>
            </w:r>
            <w:r>
              <w:rPr>
                <w:rFonts w:hint="eastAsia" w:ascii="宋体" w:hAnsi="宋体" w:cs="宋体"/>
                <w:b/>
                <w:bCs/>
                <w:color w:val="auto"/>
                <w:szCs w:val="21"/>
                <w:lang w:val="en-US" w:eastAsia="zh-CN"/>
              </w:rPr>
              <w:t>（</w:t>
            </w:r>
            <w:r>
              <w:rPr>
                <w:rFonts w:hint="eastAsia" w:ascii="宋体" w:hAnsi="宋体" w:eastAsia="宋体" w:cs="宋体"/>
                <w:b/>
                <w:bCs/>
                <w:color w:val="auto"/>
                <w:kern w:val="2"/>
                <w:sz w:val="21"/>
                <w:szCs w:val="21"/>
                <w:lang w:val="en-US" w:eastAsia="zh-CN" w:bidi="ar-SA"/>
              </w:rPr>
              <w:t>必须提供，否则响应文件按无效响应处理）</w:t>
            </w:r>
          </w:p>
          <w:p w14:paraId="70BDD633">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宋体" w:hAnsi="宋体" w:eastAsia="宋体" w:cs="宋体"/>
                <w:b w:val="0"/>
                <w:bCs/>
                <w:color w:val="auto"/>
                <w:szCs w:val="21"/>
                <w:lang w:eastAsia="zh-CN"/>
              </w:rPr>
            </w:pPr>
            <w:r>
              <w:rPr>
                <w:rFonts w:hint="eastAsia" w:ascii="宋体" w:hAnsi="宋体" w:cs="宋体"/>
                <w:b w:val="0"/>
                <w:bCs/>
                <w:color w:val="auto"/>
                <w:szCs w:val="21"/>
                <w:lang w:val="en-US" w:eastAsia="zh-CN"/>
              </w:rPr>
              <w:t>9.</w:t>
            </w:r>
            <w:r>
              <w:rPr>
                <w:rFonts w:hint="eastAsia" w:ascii="宋体" w:hAnsi="宋体" w:eastAsia="宋体" w:cs="宋体"/>
                <w:b w:val="0"/>
                <w:bCs/>
                <w:color w:val="auto"/>
                <w:szCs w:val="21"/>
                <w:lang w:eastAsia="zh-CN"/>
              </w:rPr>
              <w:t>除竞争性磋商文件规定必须提供以外，供应商需要说明的其他文件和说明。</w:t>
            </w:r>
          </w:p>
          <w:p w14:paraId="2F28E961">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宋体" w:hAnsi="宋体" w:cs="宋体"/>
                <w:b/>
                <w:bCs/>
                <w:color w:val="auto"/>
                <w:szCs w:val="21"/>
              </w:rPr>
            </w:pPr>
            <w:r>
              <w:rPr>
                <w:rFonts w:hint="eastAsia" w:ascii="宋体" w:hAnsi="宋体" w:cs="宋体"/>
                <w:b/>
                <w:bCs/>
                <w:color w:val="auto"/>
                <w:szCs w:val="21"/>
              </w:rPr>
              <w:t>注：1.法定代表人授权委托书必须由法定代表人</w:t>
            </w:r>
            <w:r>
              <w:rPr>
                <w:rFonts w:hint="eastAsia" w:ascii="宋体" w:hAnsi="宋体" w:cs="宋体"/>
                <w:b/>
                <w:bCs/>
                <w:color w:val="auto"/>
                <w:szCs w:val="21"/>
                <w:lang w:val="en-US" w:eastAsia="zh-CN"/>
              </w:rPr>
              <w:t>（签字或者盖章或者电子签名）</w:t>
            </w:r>
            <w:r>
              <w:rPr>
                <w:rFonts w:hint="eastAsia" w:ascii="宋体" w:hAnsi="宋体" w:cs="宋体"/>
                <w:b/>
                <w:bCs/>
                <w:color w:val="auto"/>
                <w:szCs w:val="21"/>
              </w:rPr>
              <w:t>或委托代</w:t>
            </w:r>
            <w:r>
              <w:rPr>
                <w:rFonts w:hint="eastAsia" w:ascii="宋体" w:hAnsi="宋体" w:eastAsia="宋体" w:cs="宋体"/>
                <w:b/>
                <w:bCs/>
                <w:color w:val="auto"/>
                <w:szCs w:val="21"/>
              </w:rPr>
              <w:t>理人</w:t>
            </w:r>
            <w:r>
              <w:rPr>
                <w:rFonts w:hint="eastAsia" w:ascii="宋体" w:hAnsi="宋体" w:eastAsia="宋体" w:cs="宋体"/>
                <w:b/>
                <w:bCs/>
                <w:color w:val="auto"/>
                <w:szCs w:val="21"/>
                <w:lang w:val="en-US" w:eastAsia="zh-CN"/>
              </w:rPr>
              <w:t>（签字或者电子签名）</w:t>
            </w:r>
            <w:r>
              <w:rPr>
                <w:rFonts w:hint="eastAsia" w:ascii="宋体" w:hAnsi="宋体" w:eastAsia="宋体" w:cs="宋体"/>
                <w:b/>
                <w:bCs/>
                <w:color w:val="auto"/>
                <w:szCs w:val="21"/>
              </w:rPr>
              <w:t>，</w:t>
            </w:r>
            <w:r>
              <w:rPr>
                <w:rFonts w:hint="eastAsia" w:ascii="宋体" w:hAnsi="宋体" w:cs="宋体"/>
                <w:b/>
                <w:bCs/>
                <w:color w:val="auto"/>
                <w:szCs w:val="21"/>
              </w:rPr>
              <w:t>并加盖</w:t>
            </w:r>
            <w:r>
              <w:rPr>
                <w:rFonts w:hint="eastAsia" w:ascii="宋体" w:hAnsi="宋体" w:cs="宋体"/>
                <w:b/>
                <w:bCs/>
                <w:color w:val="auto"/>
                <w:szCs w:val="21"/>
                <w:lang w:eastAsia="zh-CN"/>
              </w:rPr>
              <w:t>供应商电子</w:t>
            </w:r>
            <w:r>
              <w:rPr>
                <w:rFonts w:hint="eastAsia" w:ascii="宋体" w:hAnsi="宋体" w:cs="宋体"/>
                <w:b/>
                <w:bCs/>
                <w:color w:val="auto"/>
                <w:szCs w:val="21"/>
              </w:rPr>
              <w:t>公章，</w:t>
            </w:r>
            <w:r>
              <w:rPr>
                <w:rFonts w:hint="eastAsia" w:ascii="宋体" w:hAnsi="宋体" w:cs="宋体"/>
                <w:b/>
                <w:color w:val="auto"/>
                <w:szCs w:val="21"/>
                <w:highlight w:val="none"/>
              </w:rPr>
              <w:t>否则响应文件按无效响应处理</w:t>
            </w:r>
            <w:r>
              <w:rPr>
                <w:rFonts w:hint="eastAsia" w:ascii="宋体" w:hAnsi="宋体" w:cs="宋体"/>
                <w:b/>
                <w:bCs/>
                <w:color w:val="auto"/>
                <w:szCs w:val="21"/>
              </w:rPr>
              <w:t>。</w:t>
            </w:r>
          </w:p>
          <w:p w14:paraId="317593A5">
            <w:pPr>
              <w:keepNext w:val="0"/>
              <w:keepLines w:val="0"/>
              <w:pageBreakBefore w:val="0"/>
              <w:widowControl w:val="0"/>
              <w:kinsoku/>
              <w:wordWrap/>
              <w:overflowPunct/>
              <w:topLinePunct w:val="0"/>
              <w:autoSpaceDE/>
              <w:autoSpaceDN/>
              <w:bidi w:val="0"/>
              <w:adjustRightInd/>
              <w:spacing w:line="360" w:lineRule="auto"/>
              <w:textAlignment w:val="auto"/>
              <w:rPr>
                <w:rFonts w:ascii="宋体" w:hAnsi="宋体" w:cs="宋体"/>
                <w:color w:val="auto"/>
                <w:szCs w:val="21"/>
              </w:rPr>
            </w:pPr>
            <w:r>
              <w:rPr>
                <w:rFonts w:hint="eastAsia" w:ascii="宋体" w:hAnsi="宋体" w:cs="宋体"/>
                <w:b/>
                <w:bCs/>
                <w:color w:val="auto"/>
                <w:szCs w:val="21"/>
              </w:rPr>
              <w:t>2.以上标明“必须提供”的材料属于复印件的扫描件的，必须加盖</w:t>
            </w:r>
            <w:r>
              <w:rPr>
                <w:rFonts w:hint="eastAsia" w:ascii="宋体" w:hAnsi="宋体" w:cs="宋体"/>
                <w:b/>
                <w:bCs/>
                <w:color w:val="auto"/>
                <w:szCs w:val="21"/>
                <w:lang w:eastAsia="zh-CN"/>
              </w:rPr>
              <w:t>供应商</w:t>
            </w:r>
            <w:r>
              <w:rPr>
                <w:rFonts w:hint="eastAsia" w:ascii="宋体" w:hAnsi="宋体" w:cs="宋体"/>
                <w:b/>
                <w:bCs/>
                <w:color w:val="auto"/>
                <w:szCs w:val="21"/>
              </w:rPr>
              <w:t>电子公章，</w:t>
            </w:r>
            <w:r>
              <w:rPr>
                <w:rFonts w:hint="eastAsia" w:ascii="宋体" w:hAnsi="宋体" w:cs="宋体"/>
                <w:b/>
                <w:color w:val="auto"/>
                <w:szCs w:val="21"/>
                <w:highlight w:val="none"/>
              </w:rPr>
              <w:t>否则响应文件按无效响应处理</w:t>
            </w:r>
            <w:r>
              <w:rPr>
                <w:rFonts w:hint="eastAsia" w:ascii="宋体" w:hAnsi="宋体" w:cs="宋体"/>
                <w:b/>
                <w:bCs/>
                <w:color w:val="auto"/>
                <w:szCs w:val="21"/>
              </w:rPr>
              <w:t>。</w:t>
            </w:r>
          </w:p>
        </w:tc>
      </w:tr>
      <w:tr w14:paraId="3E0A40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52" w:type="dxa"/>
            <w:vAlign w:val="center"/>
          </w:tcPr>
          <w:p w14:paraId="54C15CE9">
            <w:pPr>
              <w:spacing w:line="360" w:lineRule="auto"/>
              <w:jc w:val="center"/>
              <w:rPr>
                <w:rFonts w:hint="eastAsia" w:ascii="宋体" w:hAnsi="宋体" w:cs="宋体"/>
                <w:color w:val="auto"/>
                <w:szCs w:val="21"/>
              </w:rPr>
            </w:pPr>
            <w:r>
              <w:rPr>
                <w:rFonts w:hint="eastAsia" w:ascii="宋体" w:hAnsi="宋体" w:cs="宋体"/>
                <w:color w:val="auto"/>
                <w:szCs w:val="21"/>
              </w:rPr>
              <w:t>12.</w:t>
            </w:r>
            <w:r>
              <w:rPr>
                <w:rFonts w:ascii="宋体" w:hAnsi="宋体" w:cs="宋体"/>
                <w:color w:val="auto"/>
                <w:szCs w:val="21"/>
              </w:rPr>
              <w:t>2</w:t>
            </w:r>
          </w:p>
        </w:tc>
        <w:tc>
          <w:tcPr>
            <w:tcW w:w="7912" w:type="dxa"/>
            <w:vAlign w:val="center"/>
          </w:tcPr>
          <w:p w14:paraId="163E2A21">
            <w:pPr>
              <w:spacing w:line="360" w:lineRule="auto"/>
              <w:rPr>
                <w:rFonts w:hint="default" w:ascii="宋体" w:hAnsi="宋体" w:eastAsia="宋体" w:cs="宋体"/>
                <w:b/>
                <w:bCs/>
                <w:color w:val="auto"/>
                <w:szCs w:val="21"/>
                <w:lang w:val="en-US" w:eastAsia="zh-CN"/>
              </w:rPr>
            </w:pPr>
            <w:r>
              <w:rPr>
                <w:rFonts w:hint="eastAsia" w:ascii="宋体" w:hAnsi="宋体" w:cs="宋体"/>
                <w:color w:val="auto"/>
                <w:szCs w:val="21"/>
              </w:rPr>
              <w:t>响应文件电子版：</w:t>
            </w:r>
            <w:r>
              <w:rPr>
                <w:rFonts w:hint="eastAsia" w:ascii="宋体" w:hAnsi="宋体" w:cs="宋体"/>
                <w:color w:val="auto"/>
                <w:szCs w:val="21"/>
                <w:lang w:val="en-US" w:eastAsia="zh-CN"/>
              </w:rPr>
              <w:t>不需要提供。</w:t>
            </w:r>
          </w:p>
        </w:tc>
      </w:tr>
      <w:tr w14:paraId="0519DB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52" w:type="dxa"/>
            <w:vAlign w:val="center"/>
          </w:tcPr>
          <w:p w14:paraId="5FFF90B5">
            <w:pPr>
              <w:spacing w:line="360" w:lineRule="auto"/>
              <w:jc w:val="center"/>
              <w:rPr>
                <w:rFonts w:ascii="宋体" w:hAnsi="宋体" w:cs="宋体"/>
                <w:color w:val="auto"/>
                <w:szCs w:val="21"/>
              </w:rPr>
            </w:pPr>
            <w:r>
              <w:rPr>
                <w:rFonts w:hint="eastAsia" w:ascii="宋体" w:hAnsi="宋体" w:cs="宋体"/>
                <w:color w:val="auto"/>
                <w:szCs w:val="21"/>
              </w:rPr>
              <w:t>16.</w:t>
            </w:r>
            <w:r>
              <w:rPr>
                <w:rFonts w:ascii="宋体" w:hAnsi="宋体" w:cs="宋体"/>
                <w:color w:val="auto"/>
                <w:szCs w:val="21"/>
              </w:rPr>
              <w:t>2</w:t>
            </w:r>
          </w:p>
        </w:tc>
        <w:tc>
          <w:tcPr>
            <w:tcW w:w="7912" w:type="dxa"/>
            <w:vAlign w:val="center"/>
          </w:tcPr>
          <w:p w14:paraId="19ECC08A">
            <w:pPr>
              <w:pStyle w:val="10"/>
              <w:numPr>
                <w:ilvl w:val="0"/>
                <w:numId w:val="0"/>
              </w:numPr>
              <w:tabs>
                <w:tab w:val="left" w:pos="720"/>
                <w:tab w:val="left" w:pos="840"/>
                <w:tab w:val="clear" w:pos="360"/>
              </w:tabs>
              <w:snapToGrid w:val="0"/>
              <w:spacing w:line="360" w:lineRule="auto"/>
              <w:rPr>
                <w:rFonts w:ascii="宋体" w:hAnsi="宋体" w:cs="宋体"/>
                <w:color w:val="auto"/>
                <w:szCs w:val="21"/>
              </w:rPr>
            </w:pPr>
            <w:r>
              <w:rPr>
                <w:rFonts w:hint="eastAsia" w:ascii="宋体" w:hAnsi="宋体" w:cs="宋体"/>
                <w:color w:val="auto"/>
                <w:szCs w:val="21"/>
                <w:lang w:eastAsia="zh-CN"/>
              </w:rPr>
              <w:t>竞</w:t>
            </w:r>
            <w:r>
              <w:rPr>
                <w:rFonts w:hint="eastAsia" w:ascii="宋体" w:hAnsi="宋体" w:cs="宋体"/>
                <w:color w:val="auto"/>
                <w:szCs w:val="21"/>
              </w:rPr>
              <w:t>标有效期：自首次响应文件提交截止之日起</w:t>
            </w:r>
            <w:r>
              <w:rPr>
                <w:rFonts w:ascii="宋体" w:hAnsi="宋体" w:cs="宋体"/>
                <w:color w:val="auto"/>
                <w:szCs w:val="21"/>
                <w:u w:val="single"/>
              </w:rPr>
              <w:t xml:space="preserve"> </w:t>
            </w:r>
            <w:r>
              <w:rPr>
                <w:rFonts w:hint="eastAsia" w:ascii="宋体" w:hAnsi="宋体" w:cs="宋体"/>
                <w:color w:val="auto"/>
                <w:szCs w:val="21"/>
                <w:u w:val="single"/>
              </w:rPr>
              <w:t>60</w:t>
            </w:r>
            <w:r>
              <w:rPr>
                <w:rFonts w:ascii="宋体" w:hAnsi="宋体" w:cs="宋体"/>
                <w:color w:val="auto"/>
                <w:szCs w:val="21"/>
                <w:u w:val="single"/>
              </w:rPr>
              <w:t xml:space="preserve"> </w:t>
            </w:r>
            <w:r>
              <w:rPr>
                <w:rFonts w:hint="eastAsia" w:ascii="宋体" w:hAnsi="宋体" w:cs="宋体"/>
                <w:color w:val="auto"/>
                <w:szCs w:val="21"/>
              </w:rPr>
              <w:t>日。</w:t>
            </w:r>
          </w:p>
        </w:tc>
      </w:tr>
      <w:tr w14:paraId="51F835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52" w:type="dxa"/>
            <w:vAlign w:val="center"/>
          </w:tcPr>
          <w:p w14:paraId="2A8236DD">
            <w:pPr>
              <w:spacing w:line="360" w:lineRule="auto"/>
              <w:jc w:val="center"/>
              <w:rPr>
                <w:rFonts w:ascii="宋体" w:hAnsi="宋体" w:cs="宋体"/>
                <w:color w:val="auto"/>
                <w:szCs w:val="21"/>
              </w:rPr>
            </w:pPr>
            <w:r>
              <w:rPr>
                <w:rFonts w:hint="eastAsia" w:ascii="宋体" w:hAnsi="宋体" w:cs="宋体"/>
                <w:color w:val="auto"/>
                <w:szCs w:val="21"/>
              </w:rPr>
              <w:t>17.1</w:t>
            </w:r>
          </w:p>
        </w:tc>
        <w:tc>
          <w:tcPr>
            <w:tcW w:w="7912" w:type="dxa"/>
            <w:vAlign w:val="center"/>
          </w:tcPr>
          <w:p w14:paraId="48BA88E8">
            <w:pPr>
              <w:snapToGrid w:val="0"/>
              <w:spacing w:line="360" w:lineRule="auto"/>
              <w:rPr>
                <w:rFonts w:ascii="宋体" w:hAnsi="宋体" w:cs="宋体"/>
                <w:color w:val="auto"/>
                <w:szCs w:val="21"/>
              </w:rPr>
            </w:pPr>
            <w:r>
              <w:rPr>
                <w:rFonts w:hint="eastAsia" w:ascii="宋体" w:hAnsi="宋体" w:cs="宋体"/>
                <w:color w:val="auto"/>
                <w:szCs w:val="21"/>
              </w:rPr>
              <w:t>磋商保证金：无</w:t>
            </w:r>
          </w:p>
        </w:tc>
      </w:tr>
      <w:tr w14:paraId="5B4400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52" w:type="dxa"/>
            <w:vAlign w:val="center"/>
          </w:tcPr>
          <w:p w14:paraId="4BA5267D">
            <w:pPr>
              <w:spacing w:line="360" w:lineRule="auto"/>
              <w:jc w:val="center"/>
              <w:rPr>
                <w:rFonts w:ascii="宋体" w:hAnsi="宋体" w:cs="宋体"/>
                <w:color w:val="auto"/>
                <w:szCs w:val="21"/>
              </w:rPr>
            </w:pPr>
            <w:r>
              <w:rPr>
                <w:rFonts w:hint="eastAsia" w:ascii="宋体" w:hAnsi="宋体" w:cs="宋体"/>
                <w:color w:val="auto"/>
                <w:szCs w:val="21"/>
              </w:rPr>
              <w:t>20.1</w:t>
            </w:r>
          </w:p>
        </w:tc>
        <w:tc>
          <w:tcPr>
            <w:tcW w:w="7912" w:type="dxa"/>
            <w:vAlign w:val="center"/>
          </w:tcPr>
          <w:p w14:paraId="35265F10">
            <w:pPr>
              <w:snapToGrid w:val="0"/>
              <w:spacing w:line="360" w:lineRule="auto"/>
              <w:jc w:val="left"/>
              <w:rPr>
                <w:rFonts w:ascii="宋体" w:hAnsi="宋体" w:cs="宋体"/>
                <w:color w:val="auto"/>
                <w:szCs w:val="21"/>
                <w:u w:val="single"/>
              </w:rPr>
            </w:pPr>
            <w:r>
              <w:rPr>
                <w:rFonts w:hint="eastAsia" w:ascii="宋体" w:hAnsi="宋体" w:cs="宋体"/>
                <w:color w:val="auto"/>
                <w:szCs w:val="21"/>
              </w:rPr>
              <w:t>首次响应文件提交截止时间：详见竞争性磋商公告。</w:t>
            </w:r>
          </w:p>
          <w:p w14:paraId="0049ED89">
            <w:pPr>
              <w:snapToGrid w:val="0"/>
              <w:spacing w:line="360" w:lineRule="auto"/>
              <w:jc w:val="left"/>
              <w:rPr>
                <w:rFonts w:ascii="宋体" w:hAnsi="宋体" w:cs="宋体"/>
                <w:color w:val="auto"/>
                <w:szCs w:val="21"/>
              </w:rPr>
            </w:pPr>
            <w:r>
              <w:rPr>
                <w:rFonts w:hint="eastAsia" w:ascii="宋体" w:hAnsi="宋体" w:cs="宋体"/>
                <w:color w:val="auto"/>
                <w:szCs w:val="21"/>
              </w:rPr>
              <w:t>首次响应文件提交地点：详见竞争性磋商公告。</w:t>
            </w:r>
          </w:p>
        </w:tc>
      </w:tr>
      <w:tr w14:paraId="6E9764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52" w:type="dxa"/>
            <w:vAlign w:val="center"/>
          </w:tcPr>
          <w:p w14:paraId="18625E9A">
            <w:pPr>
              <w:spacing w:line="360" w:lineRule="auto"/>
              <w:jc w:val="center"/>
              <w:rPr>
                <w:rFonts w:ascii="宋体" w:hAnsi="宋体" w:cs="宋体"/>
                <w:color w:val="auto"/>
                <w:szCs w:val="21"/>
              </w:rPr>
            </w:pPr>
            <w:r>
              <w:rPr>
                <w:rFonts w:hint="eastAsia" w:ascii="宋体" w:hAnsi="宋体" w:cs="宋体"/>
                <w:color w:val="auto"/>
                <w:szCs w:val="21"/>
              </w:rPr>
              <w:t>24.1</w:t>
            </w:r>
          </w:p>
        </w:tc>
        <w:tc>
          <w:tcPr>
            <w:tcW w:w="7912" w:type="dxa"/>
            <w:vAlign w:val="center"/>
          </w:tcPr>
          <w:p w14:paraId="7922EBFF">
            <w:pPr>
              <w:snapToGrid w:val="0"/>
              <w:spacing w:line="360" w:lineRule="auto"/>
              <w:jc w:val="left"/>
              <w:rPr>
                <w:rFonts w:ascii="宋体" w:hAnsi="宋体" w:cs="宋体"/>
                <w:color w:val="auto"/>
                <w:szCs w:val="21"/>
                <w:u w:val="single"/>
              </w:rPr>
            </w:pPr>
            <w:r>
              <w:rPr>
                <w:rFonts w:hint="eastAsia" w:ascii="宋体" w:hAnsi="宋体" w:cs="宋体"/>
                <w:color w:val="auto"/>
                <w:szCs w:val="21"/>
              </w:rPr>
              <w:t>磋商小组的人数：</w:t>
            </w:r>
            <w:r>
              <w:rPr>
                <w:rFonts w:hint="eastAsia" w:ascii="宋体" w:hAnsi="宋体" w:cs="宋体"/>
                <w:color w:val="auto"/>
                <w:szCs w:val="21"/>
                <w:u w:val="single"/>
              </w:rPr>
              <w:t xml:space="preserve"> 3 </w:t>
            </w:r>
            <w:r>
              <w:rPr>
                <w:rFonts w:hint="eastAsia" w:ascii="宋体" w:hAnsi="宋体" w:cs="宋体"/>
                <w:color w:val="auto"/>
                <w:szCs w:val="21"/>
              </w:rPr>
              <w:t>人。</w:t>
            </w:r>
          </w:p>
        </w:tc>
      </w:tr>
      <w:tr w14:paraId="7BA797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jc w:val="center"/>
        </w:trPr>
        <w:tc>
          <w:tcPr>
            <w:tcW w:w="1152" w:type="dxa"/>
            <w:vAlign w:val="center"/>
          </w:tcPr>
          <w:p w14:paraId="677B2C4F">
            <w:pPr>
              <w:spacing w:line="360" w:lineRule="auto"/>
              <w:jc w:val="center"/>
              <w:rPr>
                <w:rFonts w:ascii="宋体" w:hAnsi="宋体" w:cs="宋体"/>
                <w:color w:val="auto"/>
                <w:szCs w:val="21"/>
              </w:rPr>
            </w:pPr>
            <w:r>
              <w:rPr>
                <w:rFonts w:ascii="宋体" w:hAnsi="宋体" w:cs="宋体"/>
                <w:color w:val="auto"/>
                <w:szCs w:val="21"/>
              </w:rPr>
              <w:t>28.1</w:t>
            </w:r>
          </w:p>
        </w:tc>
        <w:tc>
          <w:tcPr>
            <w:tcW w:w="7912" w:type="dxa"/>
            <w:vAlign w:val="center"/>
          </w:tcPr>
          <w:p w14:paraId="3FDD9127">
            <w:pPr>
              <w:snapToGrid w:val="0"/>
              <w:spacing w:line="360" w:lineRule="auto"/>
              <w:rPr>
                <w:rFonts w:ascii="宋体" w:hAnsi="宋体" w:cs="宋体"/>
                <w:color w:val="auto"/>
                <w:szCs w:val="21"/>
              </w:rPr>
            </w:pPr>
            <w:r>
              <w:rPr>
                <w:rFonts w:hint="eastAsia" w:ascii="宋体" w:hAnsi="宋体" w:cs="宋体"/>
                <w:color w:val="auto"/>
                <w:szCs w:val="21"/>
              </w:rPr>
              <w:t>履约保证金金额：无</w:t>
            </w:r>
          </w:p>
        </w:tc>
      </w:tr>
      <w:tr w14:paraId="6F4227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52" w:type="dxa"/>
            <w:vAlign w:val="center"/>
          </w:tcPr>
          <w:p w14:paraId="080908F0">
            <w:pPr>
              <w:spacing w:line="360" w:lineRule="auto"/>
              <w:jc w:val="center"/>
              <w:rPr>
                <w:rFonts w:ascii="宋体" w:hAnsi="宋体" w:cs="宋体"/>
                <w:color w:val="auto"/>
                <w:szCs w:val="21"/>
              </w:rPr>
            </w:pPr>
            <w:r>
              <w:rPr>
                <w:rFonts w:ascii="宋体" w:hAnsi="宋体" w:cs="宋体"/>
                <w:color w:val="auto"/>
                <w:szCs w:val="21"/>
              </w:rPr>
              <w:t>29.1</w:t>
            </w:r>
          </w:p>
        </w:tc>
        <w:tc>
          <w:tcPr>
            <w:tcW w:w="7912" w:type="dxa"/>
            <w:vAlign w:val="center"/>
          </w:tcPr>
          <w:p w14:paraId="01B6127D">
            <w:pPr>
              <w:autoSpaceDE w:val="0"/>
              <w:autoSpaceDN w:val="0"/>
              <w:snapToGrid w:val="0"/>
              <w:spacing w:line="360" w:lineRule="auto"/>
              <w:textAlignment w:val="bottom"/>
              <w:rPr>
                <w:rFonts w:ascii="宋体" w:hAnsi="宋体"/>
                <w:color w:val="auto"/>
                <w:szCs w:val="21"/>
              </w:rPr>
            </w:pPr>
            <w:r>
              <w:rPr>
                <w:rFonts w:hint="eastAsia" w:ascii="宋体" w:hAnsi="宋体"/>
                <w:color w:val="auto"/>
                <w:szCs w:val="21"/>
              </w:rPr>
              <w:t xml:space="preserve">签订合同携带的证明材料： </w:t>
            </w:r>
          </w:p>
          <w:p w14:paraId="18C98883">
            <w:pPr>
              <w:autoSpaceDE w:val="0"/>
              <w:autoSpaceDN w:val="0"/>
              <w:snapToGrid w:val="0"/>
              <w:spacing w:line="360" w:lineRule="auto"/>
              <w:textAlignment w:val="bottom"/>
              <w:rPr>
                <w:rFonts w:ascii="宋体" w:hAnsi="宋体"/>
                <w:color w:val="auto"/>
                <w:szCs w:val="21"/>
              </w:rPr>
            </w:pPr>
            <w:r>
              <w:rPr>
                <w:rFonts w:hint="eastAsia" w:ascii="宋体" w:hAnsi="宋体"/>
                <w:color w:val="auto"/>
                <w:szCs w:val="21"/>
              </w:rPr>
              <w:t>委托代理人负责签订合同的，须携带授权委托书及委托代理人身份证原件等其他资格证件。</w:t>
            </w:r>
          </w:p>
          <w:p w14:paraId="45C0FE3B">
            <w:pPr>
              <w:snapToGrid w:val="0"/>
              <w:spacing w:line="360" w:lineRule="auto"/>
              <w:rPr>
                <w:rFonts w:ascii="宋体" w:hAnsi="宋体" w:cs="宋体"/>
                <w:color w:val="auto"/>
                <w:szCs w:val="21"/>
              </w:rPr>
            </w:pPr>
            <w:r>
              <w:rPr>
                <w:rFonts w:hint="eastAsia" w:ascii="宋体" w:hAnsi="宋体"/>
                <w:color w:val="auto"/>
                <w:szCs w:val="21"/>
              </w:rPr>
              <w:t>法定代表人负责签订合同的，须携带法定代表人</w:t>
            </w:r>
            <w:r>
              <w:rPr>
                <w:rFonts w:ascii="宋体" w:hAnsi="宋体"/>
                <w:color w:val="auto"/>
                <w:szCs w:val="21"/>
              </w:rPr>
              <w:t>身份证明原件</w:t>
            </w:r>
            <w:r>
              <w:rPr>
                <w:rFonts w:hint="eastAsia" w:ascii="宋体" w:hAnsi="宋体"/>
                <w:color w:val="auto"/>
                <w:szCs w:val="21"/>
              </w:rPr>
              <w:t>及</w:t>
            </w:r>
            <w:r>
              <w:rPr>
                <w:rFonts w:ascii="宋体" w:hAnsi="宋体"/>
                <w:color w:val="auto"/>
                <w:szCs w:val="21"/>
              </w:rPr>
              <w:t>身份证原件</w:t>
            </w:r>
            <w:r>
              <w:rPr>
                <w:rFonts w:hint="eastAsia" w:ascii="宋体" w:hAnsi="宋体"/>
                <w:color w:val="auto"/>
                <w:szCs w:val="21"/>
              </w:rPr>
              <w:t>等其他证明材料。</w:t>
            </w:r>
          </w:p>
        </w:tc>
      </w:tr>
      <w:tr w14:paraId="774643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52" w:type="dxa"/>
            <w:vAlign w:val="center"/>
          </w:tcPr>
          <w:p w14:paraId="7D37999E">
            <w:pPr>
              <w:spacing w:line="360" w:lineRule="auto"/>
              <w:jc w:val="center"/>
              <w:rPr>
                <w:rFonts w:ascii="宋体" w:hAnsi="宋体" w:cs="宋体"/>
                <w:color w:val="auto"/>
                <w:szCs w:val="21"/>
              </w:rPr>
            </w:pPr>
            <w:r>
              <w:rPr>
                <w:rFonts w:hint="eastAsia" w:ascii="宋体" w:hAnsi="宋体" w:cs="宋体"/>
                <w:color w:val="auto"/>
                <w:szCs w:val="21"/>
              </w:rPr>
              <w:t>30</w:t>
            </w:r>
          </w:p>
        </w:tc>
        <w:tc>
          <w:tcPr>
            <w:tcW w:w="7912" w:type="dxa"/>
            <w:vAlign w:val="center"/>
          </w:tcPr>
          <w:p w14:paraId="11DA1EF2">
            <w:pPr>
              <w:pStyle w:val="16"/>
              <w:snapToGrid w:val="0"/>
              <w:spacing w:line="360" w:lineRule="auto"/>
              <w:rPr>
                <w:rFonts w:hAnsi="宋体" w:cs="宋体"/>
                <w:color w:val="auto"/>
                <w:kern w:val="2"/>
                <w:sz w:val="21"/>
              </w:rPr>
            </w:pPr>
            <w:r>
              <w:rPr>
                <w:rFonts w:hint="eastAsia" w:hAnsi="宋体" w:cs="宋体"/>
                <w:color w:val="auto"/>
                <w:kern w:val="2"/>
                <w:sz w:val="21"/>
              </w:rPr>
              <w:t>政府采购合同公告。</w:t>
            </w:r>
          </w:p>
          <w:p w14:paraId="6AA794D0">
            <w:pPr>
              <w:snapToGrid w:val="0"/>
              <w:spacing w:line="360" w:lineRule="auto"/>
              <w:rPr>
                <w:rFonts w:ascii="宋体" w:hAnsi="宋体"/>
                <w:color w:val="auto"/>
                <w:szCs w:val="21"/>
              </w:rPr>
            </w:pPr>
            <w:r>
              <w:rPr>
                <w:rFonts w:hint="eastAsia" w:ascii="宋体" w:hAnsi="宋体" w:cs="宋体"/>
                <w:color w:val="auto"/>
                <w:szCs w:val="21"/>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tc>
      </w:tr>
      <w:tr w14:paraId="40A3C9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52" w:type="dxa"/>
            <w:vAlign w:val="center"/>
          </w:tcPr>
          <w:p w14:paraId="1F836EF5">
            <w:pPr>
              <w:spacing w:line="360" w:lineRule="auto"/>
              <w:jc w:val="center"/>
              <w:rPr>
                <w:rFonts w:ascii="宋体" w:hAnsi="宋体" w:cs="宋体"/>
                <w:color w:val="auto"/>
                <w:szCs w:val="21"/>
              </w:rPr>
            </w:pPr>
            <w:r>
              <w:rPr>
                <w:rFonts w:hint="eastAsia" w:ascii="宋体" w:hAnsi="宋体" w:cs="宋体"/>
                <w:color w:val="auto"/>
                <w:szCs w:val="21"/>
              </w:rPr>
              <w:t>3</w:t>
            </w:r>
            <w:r>
              <w:rPr>
                <w:rFonts w:ascii="宋体" w:hAnsi="宋体" w:cs="宋体"/>
                <w:color w:val="auto"/>
                <w:szCs w:val="21"/>
              </w:rPr>
              <w:t>1.2</w:t>
            </w:r>
          </w:p>
        </w:tc>
        <w:tc>
          <w:tcPr>
            <w:tcW w:w="7912" w:type="dxa"/>
            <w:vAlign w:val="center"/>
          </w:tcPr>
          <w:p w14:paraId="11446E9E">
            <w:pPr>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接收质疑函方式：以书面形式。</w:t>
            </w:r>
          </w:p>
          <w:p w14:paraId="7A007C99">
            <w:pPr>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质疑联系部门及联系方式：</w:t>
            </w:r>
            <w:r>
              <w:rPr>
                <w:rFonts w:hint="eastAsia" w:ascii="宋体" w:hAnsi="宋体" w:cs="宋体"/>
                <w:color w:val="auto"/>
                <w:szCs w:val="21"/>
                <w:lang w:eastAsia="zh-CN"/>
              </w:rPr>
              <w:t>广西建汇工程咨询有限公司</w:t>
            </w:r>
            <w:r>
              <w:rPr>
                <w:rFonts w:hint="eastAsia" w:ascii="宋体" w:hAnsi="宋体" w:eastAsia="宋体" w:cs="宋体"/>
                <w:color w:val="auto"/>
                <w:szCs w:val="21"/>
              </w:rPr>
              <w:t>，联系电话：</w:t>
            </w:r>
            <w:r>
              <w:rPr>
                <w:rFonts w:hint="eastAsia" w:ascii="宋体" w:hAnsi="宋体" w:cs="宋体"/>
                <w:color w:val="auto"/>
                <w:sz w:val="21"/>
                <w:szCs w:val="21"/>
                <w:highlight w:val="none"/>
                <w:u w:val="none"/>
                <w:lang w:eastAsia="zh-CN"/>
              </w:rPr>
              <w:t>0775-2698633</w:t>
            </w:r>
            <w:r>
              <w:rPr>
                <w:rFonts w:hint="eastAsia" w:ascii="宋体" w:hAnsi="宋体" w:eastAsia="宋体" w:cs="宋体"/>
                <w:color w:val="auto"/>
                <w:szCs w:val="21"/>
              </w:rPr>
              <w:t>，通讯地址：</w:t>
            </w:r>
            <w:r>
              <w:rPr>
                <w:rFonts w:hint="eastAsia" w:ascii="宋体" w:hAnsi="宋体" w:cs="宋体"/>
                <w:color w:val="auto"/>
                <w:szCs w:val="21"/>
                <w:lang w:eastAsia="zh-CN"/>
              </w:rPr>
              <w:t>玉林市玉州区江滨路东55号山水名城8栋10号商铺</w:t>
            </w:r>
            <w:r>
              <w:rPr>
                <w:rFonts w:hint="eastAsia" w:ascii="宋体" w:hAnsi="宋体" w:eastAsia="宋体" w:cs="宋体"/>
                <w:color w:val="auto"/>
                <w:sz w:val="21"/>
                <w:szCs w:val="21"/>
                <w:highlight w:val="none"/>
                <w:u w:val="none"/>
              </w:rPr>
              <w:t>　</w:t>
            </w:r>
          </w:p>
          <w:p w14:paraId="72BF52C6">
            <w:pPr>
              <w:pStyle w:val="16"/>
              <w:snapToGrid w:val="0"/>
              <w:spacing w:line="360" w:lineRule="auto"/>
              <w:rPr>
                <w:rFonts w:hAnsi="宋体"/>
                <w:color w:val="auto"/>
              </w:rPr>
            </w:pPr>
            <w:r>
              <w:rPr>
                <w:rFonts w:hint="eastAsia" w:ascii="宋体" w:hAnsi="宋体" w:eastAsia="宋体" w:cs="宋体"/>
                <w:color w:val="auto"/>
                <w:szCs w:val="21"/>
              </w:rPr>
              <w:t>业务时间：上午8时00分到12时00分，下午</w:t>
            </w:r>
            <w:r>
              <w:rPr>
                <w:rFonts w:hint="eastAsia" w:hAnsi="宋体" w:cs="宋体"/>
                <w:color w:val="auto"/>
                <w:szCs w:val="21"/>
                <w:lang w:val="en-US" w:eastAsia="zh-CN"/>
              </w:rPr>
              <w:t>3</w:t>
            </w:r>
            <w:r>
              <w:rPr>
                <w:rFonts w:hint="eastAsia" w:ascii="宋体" w:hAnsi="宋体" w:eastAsia="宋体" w:cs="宋体"/>
                <w:color w:val="auto"/>
                <w:szCs w:val="21"/>
              </w:rPr>
              <w:t>时00分到</w:t>
            </w:r>
            <w:r>
              <w:rPr>
                <w:rFonts w:hint="eastAsia" w:hAnsi="宋体" w:cs="宋体"/>
                <w:color w:val="auto"/>
                <w:szCs w:val="21"/>
                <w:lang w:val="en-US" w:eastAsia="zh-CN"/>
              </w:rPr>
              <w:t>6</w:t>
            </w:r>
            <w:r>
              <w:rPr>
                <w:rFonts w:hint="eastAsia" w:ascii="宋体" w:hAnsi="宋体" w:eastAsia="宋体" w:cs="宋体"/>
                <w:color w:val="auto"/>
                <w:szCs w:val="21"/>
              </w:rPr>
              <w:t>时00分，业务时间以外、双休日和法定节假日不办理业务。</w:t>
            </w:r>
          </w:p>
        </w:tc>
      </w:tr>
      <w:tr w14:paraId="095BFF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52" w:type="dxa"/>
            <w:vAlign w:val="center"/>
          </w:tcPr>
          <w:p w14:paraId="5E66EA02">
            <w:pPr>
              <w:spacing w:line="360" w:lineRule="auto"/>
              <w:jc w:val="center"/>
              <w:rPr>
                <w:rFonts w:ascii="宋体" w:hAnsi="宋体" w:cs="宋体"/>
                <w:color w:val="auto"/>
                <w:szCs w:val="21"/>
              </w:rPr>
            </w:pPr>
            <w:r>
              <w:rPr>
                <w:rFonts w:ascii="宋体" w:hAnsi="宋体" w:cs="宋体"/>
                <w:color w:val="auto"/>
                <w:szCs w:val="21"/>
              </w:rPr>
              <w:t>32.1</w:t>
            </w:r>
          </w:p>
        </w:tc>
        <w:tc>
          <w:tcPr>
            <w:tcW w:w="7912" w:type="dxa"/>
            <w:vAlign w:val="center"/>
          </w:tcPr>
          <w:p w14:paraId="3CE5C70E">
            <w:pPr>
              <w:pStyle w:val="16"/>
              <w:snapToGrid w:val="0"/>
              <w:spacing w:line="360" w:lineRule="auto"/>
              <w:rPr>
                <w:rFonts w:hint="eastAsia" w:ascii="宋体" w:hAnsi="宋体" w:eastAsia="宋体" w:cs="宋体"/>
                <w:color w:val="auto"/>
                <w:sz w:val="21"/>
                <w:lang w:val="en-US" w:eastAsia="zh-CN"/>
              </w:rPr>
            </w:pPr>
            <w:r>
              <w:rPr>
                <w:rFonts w:hint="eastAsia" w:ascii="宋体" w:hAnsi="宋体" w:eastAsia="宋体" w:cs="宋体"/>
                <w:color w:val="auto"/>
                <w:sz w:val="21"/>
                <w:lang w:val="en-US" w:eastAsia="zh-CN"/>
              </w:rPr>
              <w:t>1.采购代理费支付方式：</w:t>
            </w:r>
          </w:p>
          <w:p w14:paraId="1591C8E6">
            <w:pPr>
              <w:pStyle w:val="16"/>
              <w:snapToGrid w:val="0"/>
              <w:spacing w:line="360" w:lineRule="auto"/>
              <w:rPr>
                <w:rFonts w:hint="eastAsia" w:ascii="宋体" w:hAnsi="宋体" w:eastAsia="宋体" w:cs="宋体"/>
                <w:color w:val="auto"/>
                <w:sz w:val="21"/>
                <w:lang w:val="en-US" w:eastAsia="zh-CN"/>
              </w:rPr>
            </w:pPr>
            <w:r>
              <w:rPr>
                <w:rFonts w:hint="eastAsia" w:ascii="宋体" w:hAnsi="宋体" w:eastAsia="宋体" w:cs="宋体"/>
                <w:color w:val="auto"/>
                <w:sz w:val="21"/>
                <w:lang w:val="en-US" w:eastAsia="zh-CN"/>
              </w:rPr>
              <w:t>本项目代理服务费由成交供应商领取成交通知书前，一次性向采购代理机构支付。</w:t>
            </w:r>
          </w:p>
          <w:p w14:paraId="66BF3ACC">
            <w:pPr>
              <w:pStyle w:val="16"/>
              <w:numPr>
                <w:ilvl w:val="0"/>
                <w:numId w:val="0"/>
              </w:numPr>
              <w:snapToGrid w:val="0"/>
              <w:spacing w:line="360" w:lineRule="auto"/>
              <w:rPr>
                <w:rFonts w:hint="eastAsia" w:hAnsi="宋体" w:cs="宋体"/>
                <w:color w:val="auto"/>
                <w:sz w:val="21"/>
                <w:highlight w:val="none"/>
                <w:lang w:val="en-US" w:eastAsia="zh-CN"/>
              </w:rPr>
            </w:pPr>
            <w:r>
              <w:rPr>
                <w:rFonts w:hint="eastAsia" w:ascii="宋体" w:hAnsi="宋体" w:eastAsia="宋体" w:cs="宋体"/>
                <w:color w:val="auto"/>
                <w:kern w:val="2"/>
                <w:sz w:val="21"/>
                <w:szCs w:val="20"/>
                <w:lang w:val="en-US" w:eastAsia="zh-CN" w:bidi="ar-SA"/>
              </w:rPr>
              <w:t>2.</w:t>
            </w:r>
            <w:r>
              <w:rPr>
                <w:rFonts w:hint="eastAsia" w:ascii="宋体" w:hAnsi="宋体" w:eastAsia="宋体" w:cs="宋体"/>
                <w:color w:val="auto"/>
                <w:sz w:val="21"/>
                <w:lang w:val="en-US" w:eastAsia="zh-CN"/>
              </w:rPr>
              <w:t>采购代理费收取标准：</w:t>
            </w:r>
            <w:r>
              <w:rPr>
                <w:rFonts w:hint="eastAsia"/>
                <w:color w:val="auto"/>
                <w:lang w:val="en-US" w:eastAsia="zh-CN"/>
              </w:rPr>
              <w:t>以成交金额为计费额，</w:t>
            </w:r>
            <w:r>
              <w:rPr>
                <w:rFonts w:hint="eastAsia" w:ascii="宋体" w:hAnsi="宋体" w:eastAsia="宋体" w:cs="宋体"/>
                <w:color w:val="auto"/>
                <w:sz w:val="21"/>
                <w:highlight w:val="none"/>
                <w:lang w:val="en-US" w:eastAsia="zh-CN"/>
              </w:rPr>
              <w:t>参照桂价费〔2011〕55号文件“工程类”收费标准采用差额定率累进法计算收取</w:t>
            </w:r>
            <w:r>
              <w:rPr>
                <w:rFonts w:hint="eastAsia" w:hAnsi="宋体" w:cs="宋体"/>
                <w:color w:val="auto"/>
                <w:sz w:val="21"/>
                <w:highlight w:val="none"/>
                <w:lang w:val="en-US" w:eastAsia="zh-CN"/>
              </w:rPr>
              <w:t>。</w:t>
            </w:r>
          </w:p>
          <w:p w14:paraId="5530B0EF">
            <w:pPr>
              <w:pStyle w:val="16"/>
              <w:numPr>
                <w:ilvl w:val="0"/>
                <w:numId w:val="0"/>
              </w:numPr>
              <w:snapToGrid w:val="0"/>
              <w:spacing w:line="360" w:lineRule="auto"/>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 xml:space="preserve">开户名称：广西建汇工程咨询有限公司玉林分公司   </w:t>
            </w:r>
          </w:p>
          <w:p w14:paraId="499CD0B0">
            <w:pPr>
              <w:pStyle w:val="16"/>
              <w:numPr>
                <w:ilvl w:val="0"/>
                <w:numId w:val="0"/>
              </w:numPr>
              <w:snapToGrid w:val="0"/>
              <w:spacing w:line="360" w:lineRule="auto"/>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 xml:space="preserve">开户银行：广西北部湾银行玉林分行       </w:t>
            </w:r>
          </w:p>
          <w:p w14:paraId="1E892B1F">
            <w:pPr>
              <w:numPr>
                <w:ilvl w:val="0"/>
                <w:numId w:val="0"/>
              </w:numPr>
              <w:rPr>
                <w:color w:val="auto"/>
              </w:rPr>
            </w:pPr>
            <w:r>
              <w:rPr>
                <w:rFonts w:hint="eastAsia" w:ascii="宋体" w:hAnsi="宋体" w:eastAsia="宋体" w:cs="宋体"/>
                <w:kern w:val="0"/>
                <w:sz w:val="21"/>
                <w:szCs w:val="21"/>
                <w:lang w:val="en-US" w:eastAsia="zh-CN" w:bidi="ar-SA"/>
              </w:rPr>
              <w:t>银行账号：8001 2693 0200 014</w:t>
            </w:r>
          </w:p>
        </w:tc>
      </w:tr>
      <w:tr w14:paraId="632775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152" w:type="dxa"/>
            <w:vAlign w:val="center"/>
          </w:tcPr>
          <w:p w14:paraId="7F3BE476">
            <w:pPr>
              <w:spacing w:line="360" w:lineRule="auto"/>
              <w:jc w:val="center"/>
              <w:rPr>
                <w:rFonts w:ascii="宋体" w:hAnsi="宋体" w:cs="宋体"/>
                <w:color w:val="auto"/>
                <w:szCs w:val="21"/>
              </w:rPr>
            </w:pPr>
            <w:r>
              <w:rPr>
                <w:rFonts w:hint="eastAsia" w:ascii="宋体" w:hAnsi="宋体" w:cs="宋体"/>
                <w:color w:val="auto"/>
                <w:szCs w:val="21"/>
              </w:rPr>
              <w:t>3</w:t>
            </w:r>
            <w:r>
              <w:rPr>
                <w:rFonts w:ascii="宋体" w:hAnsi="宋体" w:cs="宋体"/>
                <w:color w:val="auto"/>
                <w:szCs w:val="21"/>
              </w:rPr>
              <w:t>3.1</w:t>
            </w:r>
          </w:p>
        </w:tc>
        <w:tc>
          <w:tcPr>
            <w:tcW w:w="7912" w:type="dxa"/>
            <w:vAlign w:val="center"/>
          </w:tcPr>
          <w:p w14:paraId="2E72AA92">
            <w:pPr>
              <w:pStyle w:val="16"/>
              <w:keepNext w:val="0"/>
              <w:keepLines w:val="0"/>
              <w:pageBreakBefore w:val="0"/>
              <w:widowControl w:val="0"/>
              <w:kinsoku/>
              <w:wordWrap/>
              <w:overflowPunct/>
              <w:topLinePunct w:val="0"/>
              <w:autoSpaceDE/>
              <w:autoSpaceDN/>
              <w:bidi w:val="0"/>
              <w:adjustRightInd/>
              <w:snapToGrid w:val="0"/>
              <w:spacing w:line="360" w:lineRule="exact"/>
              <w:textAlignment w:val="auto"/>
              <w:rPr>
                <w:rFonts w:hint="eastAsia" w:hAnsi="宋体" w:cs="宋体"/>
                <w:color w:val="auto"/>
                <w:kern w:val="2"/>
                <w:sz w:val="21"/>
              </w:rPr>
            </w:pPr>
            <w:r>
              <w:rPr>
                <w:rFonts w:hint="eastAsia" w:hAnsi="宋体" w:cs="宋体"/>
                <w:b/>
                <w:bCs/>
                <w:color w:val="auto"/>
                <w:kern w:val="2"/>
                <w:sz w:val="21"/>
              </w:rPr>
              <w:t>解释权：</w:t>
            </w:r>
            <w:r>
              <w:rPr>
                <w:rFonts w:hint="eastAsia" w:hAnsi="宋体" w:cs="宋体"/>
                <w:color w:val="auto"/>
                <w:kern w:val="2"/>
                <w:sz w:val="21"/>
              </w:rPr>
              <w:t>构成本</w:t>
            </w:r>
            <w:r>
              <w:rPr>
                <w:rFonts w:hint="eastAsia" w:hAnsi="宋体" w:cs="宋体"/>
                <w:color w:val="auto"/>
                <w:kern w:val="2"/>
                <w:sz w:val="21"/>
                <w:lang w:eastAsia="zh-CN"/>
              </w:rPr>
              <w:t>采购</w:t>
            </w:r>
            <w:r>
              <w:rPr>
                <w:rFonts w:hint="eastAsia" w:hAnsi="宋体" w:cs="宋体"/>
                <w:color w:val="auto"/>
                <w:kern w:val="2"/>
                <w:sz w:val="21"/>
              </w:rPr>
              <w:t>文件的各个组成文件应互为解释，互为说明；除</w:t>
            </w:r>
            <w:r>
              <w:rPr>
                <w:rFonts w:hint="eastAsia" w:hAnsi="宋体" w:cs="宋体"/>
                <w:color w:val="auto"/>
                <w:kern w:val="2"/>
                <w:sz w:val="21"/>
                <w:lang w:eastAsia="zh-CN"/>
              </w:rPr>
              <w:t>采购</w:t>
            </w:r>
            <w:r>
              <w:rPr>
                <w:rFonts w:hint="eastAsia" w:hAnsi="宋体" w:cs="宋体"/>
                <w:color w:val="auto"/>
                <w:kern w:val="2"/>
                <w:sz w:val="21"/>
              </w:rPr>
              <w:t>文件中有特别规定外，仅适用于招标投标阶段的规定，按更正公告（澄清公告）、</w:t>
            </w:r>
            <w:r>
              <w:rPr>
                <w:rFonts w:hint="eastAsia" w:hAnsi="宋体" w:cs="宋体"/>
                <w:color w:val="auto"/>
                <w:kern w:val="2"/>
                <w:sz w:val="21"/>
                <w:lang w:eastAsia="zh-CN"/>
              </w:rPr>
              <w:t>磋商</w:t>
            </w:r>
            <w:r>
              <w:rPr>
                <w:rFonts w:hint="eastAsia" w:hAnsi="宋体" w:cs="宋体"/>
                <w:color w:val="auto"/>
                <w:kern w:val="2"/>
                <w:sz w:val="21"/>
              </w:rPr>
              <w:t>公告、采购需求、</w:t>
            </w:r>
            <w:r>
              <w:rPr>
                <w:rFonts w:hint="eastAsia" w:hAnsi="宋体" w:cs="宋体"/>
                <w:color w:val="auto"/>
                <w:kern w:val="2"/>
                <w:sz w:val="21"/>
                <w:lang w:eastAsia="zh-CN"/>
              </w:rPr>
              <w:t>供应商</w:t>
            </w:r>
            <w:r>
              <w:rPr>
                <w:rFonts w:hint="eastAsia" w:hAnsi="宋体" w:cs="宋体"/>
                <w:color w:val="auto"/>
                <w:kern w:val="2"/>
                <w:sz w:val="21"/>
              </w:rPr>
              <w:t>须知、评标方法及评标标准、拟签订的合同文本、</w:t>
            </w:r>
            <w:r>
              <w:rPr>
                <w:rFonts w:hint="eastAsia" w:hAnsi="宋体" w:cs="宋体"/>
                <w:color w:val="auto"/>
                <w:kern w:val="2"/>
                <w:sz w:val="21"/>
                <w:lang w:eastAsia="zh-CN"/>
              </w:rPr>
              <w:t>响应</w:t>
            </w:r>
            <w:r>
              <w:rPr>
                <w:rFonts w:hint="eastAsia" w:hAnsi="宋体" w:cs="宋体"/>
                <w:color w:val="auto"/>
                <w:kern w:val="2"/>
                <w:sz w:val="21"/>
              </w:rPr>
              <w:t>文件格式的先后顺序解释；同一组成文件中就同一事项的规定或者约定不一致的，以编排顺序在后者为准；同一组成文件不同版本之间有不一致的，以形成时间在后者为准；更正公告（澄清公告）与同步更新的</w:t>
            </w:r>
            <w:r>
              <w:rPr>
                <w:rFonts w:hint="eastAsia" w:hAnsi="宋体" w:cs="宋体"/>
                <w:color w:val="auto"/>
                <w:kern w:val="2"/>
                <w:sz w:val="21"/>
                <w:lang w:eastAsia="zh-CN"/>
              </w:rPr>
              <w:t>采购</w:t>
            </w:r>
            <w:r>
              <w:rPr>
                <w:rFonts w:hint="eastAsia" w:hAnsi="宋体" w:cs="宋体"/>
                <w:color w:val="auto"/>
                <w:kern w:val="2"/>
                <w:sz w:val="21"/>
              </w:rPr>
              <w:t>文件不一致时以更正公告（澄清公告）为准。按本款前述规定仍不能形成结论的，</w:t>
            </w:r>
            <w:r>
              <w:rPr>
                <w:rFonts w:hint="eastAsia" w:hAnsi="宋体" w:cs="宋体"/>
                <w:b/>
                <w:bCs/>
                <w:color w:val="auto"/>
                <w:kern w:val="2"/>
                <w:sz w:val="21"/>
              </w:rPr>
              <w:t>由采购人或者采购代理机构负责解释</w:t>
            </w:r>
            <w:r>
              <w:rPr>
                <w:rFonts w:hint="eastAsia" w:hAnsi="宋体" w:cs="宋体"/>
                <w:color w:val="auto"/>
                <w:kern w:val="2"/>
                <w:sz w:val="21"/>
              </w:rPr>
              <w:t>。</w:t>
            </w:r>
          </w:p>
          <w:p w14:paraId="037F03F3">
            <w:pPr>
              <w:pStyle w:val="16"/>
              <w:keepNext w:val="0"/>
              <w:keepLines w:val="0"/>
              <w:pageBreakBefore w:val="0"/>
              <w:widowControl w:val="0"/>
              <w:kinsoku/>
              <w:wordWrap/>
              <w:overflowPunct/>
              <w:topLinePunct w:val="0"/>
              <w:autoSpaceDE/>
              <w:autoSpaceDN/>
              <w:bidi w:val="0"/>
              <w:adjustRightInd/>
              <w:snapToGrid w:val="0"/>
              <w:spacing w:line="360" w:lineRule="exact"/>
              <w:textAlignment w:val="auto"/>
              <w:rPr>
                <w:rFonts w:hAnsi="宋体" w:cs="宋体"/>
                <w:color w:val="auto"/>
                <w:kern w:val="2"/>
                <w:sz w:val="21"/>
              </w:rPr>
            </w:pPr>
            <w:r>
              <w:rPr>
                <w:rFonts w:hint="eastAsia" w:hAnsi="宋体" w:cs="宋体"/>
                <w:b/>
                <w:bCs/>
                <w:color w:val="auto"/>
                <w:kern w:val="2"/>
                <w:sz w:val="21"/>
              </w:rPr>
              <w:t>法律责任：</w:t>
            </w:r>
            <w:r>
              <w:rPr>
                <w:rFonts w:hint="eastAsia" w:hAnsi="宋体" w:cs="宋体"/>
                <w:color w:val="auto"/>
                <w:kern w:val="2"/>
                <w:sz w:val="21"/>
              </w:rPr>
              <w:t>本采购文件根据《中华人民共和国政府采购法</w:t>
            </w:r>
            <w:r>
              <w:rPr>
                <w:rFonts w:hint="eastAsia" w:hAnsi="宋体" w:cs="宋体"/>
                <w:color w:val="auto"/>
                <w:kern w:val="2"/>
                <w:sz w:val="21"/>
                <w:lang w:eastAsia="zh-CN"/>
              </w:rPr>
              <w:t>》《</w:t>
            </w:r>
            <w:r>
              <w:rPr>
                <w:rFonts w:hint="eastAsia" w:hAnsi="宋体" w:cs="宋体"/>
                <w:color w:val="auto"/>
                <w:kern w:val="2"/>
                <w:sz w:val="21"/>
              </w:rPr>
              <w:t>中华人民共和国民法典》；《中华人民共和国政府采购法实施条例</w:t>
            </w:r>
            <w:r>
              <w:rPr>
                <w:rFonts w:hint="eastAsia" w:hAnsi="宋体" w:cs="宋体"/>
                <w:color w:val="auto"/>
                <w:kern w:val="2"/>
                <w:sz w:val="21"/>
                <w:lang w:eastAsia="zh-CN"/>
              </w:rPr>
              <w:t>》《</w:t>
            </w:r>
            <w:r>
              <w:rPr>
                <w:rFonts w:hint="eastAsia" w:hAnsi="宋体" w:cs="宋体"/>
                <w:color w:val="auto"/>
                <w:kern w:val="2"/>
                <w:sz w:val="21"/>
              </w:rPr>
              <w:t>政府采购非招标采购方式管理办法》等有关</w:t>
            </w:r>
            <w:r>
              <w:rPr>
                <w:rFonts w:hint="eastAsia" w:hAnsi="宋体" w:cs="宋体"/>
                <w:color w:val="auto"/>
                <w:kern w:val="2"/>
                <w:sz w:val="21"/>
                <w:lang w:eastAsia="zh-CN"/>
              </w:rPr>
              <w:t>法律法规</w:t>
            </w:r>
            <w:r>
              <w:rPr>
                <w:rFonts w:hint="eastAsia" w:hAnsi="宋体" w:cs="宋体"/>
                <w:color w:val="auto"/>
                <w:kern w:val="2"/>
                <w:sz w:val="21"/>
              </w:rPr>
              <w:t>编制，参与本项目的各政府采购当事人依法享有上述法律法规所赋予的权利与义务。</w:t>
            </w:r>
          </w:p>
        </w:tc>
      </w:tr>
      <w:tr w14:paraId="3D91C8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52" w:type="dxa"/>
            <w:vAlign w:val="center"/>
          </w:tcPr>
          <w:p w14:paraId="6D10080F">
            <w:pPr>
              <w:spacing w:line="360" w:lineRule="auto"/>
              <w:jc w:val="center"/>
              <w:rPr>
                <w:rFonts w:ascii="宋体" w:hAnsi="宋体" w:cs="宋体"/>
                <w:color w:val="auto"/>
                <w:szCs w:val="21"/>
              </w:rPr>
            </w:pPr>
            <w:r>
              <w:rPr>
                <w:rFonts w:hint="eastAsia" w:ascii="宋体" w:hAnsi="宋体" w:cs="宋体"/>
                <w:color w:val="auto"/>
                <w:szCs w:val="21"/>
              </w:rPr>
              <w:t>3</w:t>
            </w:r>
            <w:r>
              <w:rPr>
                <w:rFonts w:ascii="宋体" w:hAnsi="宋体" w:cs="宋体"/>
                <w:color w:val="auto"/>
                <w:szCs w:val="21"/>
              </w:rPr>
              <w:t>3.2</w:t>
            </w:r>
          </w:p>
        </w:tc>
        <w:tc>
          <w:tcPr>
            <w:tcW w:w="7912" w:type="dxa"/>
            <w:vAlign w:val="center"/>
          </w:tcPr>
          <w:p w14:paraId="0F16A03D">
            <w:pPr>
              <w:pStyle w:val="16"/>
              <w:keepNext w:val="0"/>
              <w:keepLines w:val="0"/>
              <w:pageBreakBefore w:val="0"/>
              <w:widowControl w:val="0"/>
              <w:kinsoku/>
              <w:wordWrap/>
              <w:overflowPunct/>
              <w:topLinePunct w:val="0"/>
              <w:autoSpaceDE/>
              <w:autoSpaceDN/>
              <w:bidi w:val="0"/>
              <w:adjustRightInd/>
              <w:snapToGrid w:val="0"/>
              <w:spacing w:line="360" w:lineRule="exact"/>
              <w:textAlignment w:val="auto"/>
              <w:rPr>
                <w:rFonts w:hint="eastAsia"/>
                <w:color w:val="auto"/>
                <w:lang w:val="en-US" w:eastAsia="zh-CN"/>
              </w:rPr>
            </w:pPr>
            <w:r>
              <w:rPr>
                <w:rFonts w:hint="eastAsia"/>
                <w:color w:val="auto"/>
                <w:lang w:val="en-US" w:eastAsia="zh-CN"/>
              </w:rPr>
              <w:t>1.本采购文件所称的“电子签章”“电子签名”，是指经广西政府采购云平台认可的CA认证的电子签名数据为表现形式的印章，可用于签署电子响应文件，电子印章与实物印章具有同等法律效力，不因其采用电子化表现形式而否定其法律效力。</w:t>
            </w:r>
          </w:p>
          <w:p w14:paraId="09BDDCF5">
            <w:pPr>
              <w:pStyle w:val="16"/>
              <w:keepNext w:val="0"/>
              <w:keepLines w:val="0"/>
              <w:pageBreakBefore w:val="0"/>
              <w:widowControl w:val="0"/>
              <w:kinsoku/>
              <w:wordWrap/>
              <w:overflowPunct/>
              <w:topLinePunct w:val="0"/>
              <w:autoSpaceDE/>
              <w:autoSpaceDN/>
              <w:bidi w:val="0"/>
              <w:adjustRightInd/>
              <w:snapToGrid w:val="0"/>
              <w:spacing w:line="360" w:lineRule="exact"/>
              <w:textAlignment w:val="auto"/>
              <w:rPr>
                <w:rFonts w:hint="eastAsia"/>
                <w:color w:val="auto"/>
              </w:rPr>
            </w:pPr>
            <w:r>
              <w:rPr>
                <w:rFonts w:hint="eastAsia"/>
                <w:color w:val="auto"/>
                <w:lang w:val="en-US" w:eastAsia="zh-CN"/>
              </w:rPr>
              <w:t>2</w:t>
            </w:r>
            <w:r>
              <w:rPr>
                <w:rFonts w:hint="eastAsia"/>
                <w:color w:val="auto"/>
              </w:rPr>
              <w:t>.本</w:t>
            </w:r>
            <w:r>
              <w:rPr>
                <w:rFonts w:hint="eastAsia"/>
                <w:color w:val="auto"/>
                <w:lang w:val="en-US" w:eastAsia="zh-CN"/>
              </w:rPr>
              <w:t>采购</w:t>
            </w:r>
            <w:r>
              <w:rPr>
                <w:rFonts w:hint="eastAsia"/>
                <w:color w:val="auto"/>
              </w:rPr>
              <w:t>文件中描述供应商的“签字”是指供应商通过指定电子化政府采购平台办理数字证书（CA认证）获得的以供应商法定代表人或者委托代理人姓名制作的电子印章或手写签字。</w:t>
            </w:r>
          </w:p>
          <w:p w14:paraId="457B54A7">
            <w:pPr>
              <w:pStyle w:val="16"/>
              <w:keepNext w:val="0"/>
              <w:keepLines w:val="0"/>
              <w:pageBreakBefore w:val="0"/>
              <w:widowControl w:val="0"/>
              <w:kinsoku/>
              <w:wordWrap/>
              <w:overflowPunct/>
              <w:topLinePunct w:val="0"/>
              <w:autoSpaceDE/>
              <w:autoSpaceDN/>
              <w:bidi w:val="0"/>
              <w:adjustRightInd/>
              <w:snapToGrid w:val="0"/>
              <w:spacing w:line="360" w:lineRule="exact"/>
              <w:textAlignment w:val="auto"/>
              <w:rPr>
                <w:rFonts w:hint="eastAsia"/>
                <w:color w:val="auto"/>
                <w:lang w:val="en-US" w:eastAsia="zh-CN"/>
              </w:rPr>
            </w:pPr>
            <w:r>
              <w:rPr>
                <w:rFonts w:hint="eastAsia"/>
                <w:color w:val="auto"/>
                <w:lang w:val="en-US" w:eastAsia="zh-CN"/>
              </w:rPr>
              <w:t>3.供应商为其他组织或者自然人时，本采购文件规定的法定代表人指负责人或者自然人。本采购文件所称负责人是指参加竞标的其他组织营业执照上的负责人，本采购文件所称自然人指参与竞标的自然人本人。</w:t>
            </w:r>
          </w:p>
          <w:p w14:paraId="62E7DCED">
            <w:pPr>
              <w:pStyle w:val="16"/>
              <w:keepNext w:val="0"/>
              <w:keepLines w:val="0"/>
              <w:pageBreakBefore w:val="0"/>
              <w:widowControl w:val="0"/>
              <w:kinsoku/>
              <w:wordWrap/>
              <w:overflowPunct/>
              <w:topLinePunct w:val="0"/>
              <w:autoSpaceDE/>
              <w:autoSpaceDN/>
              <w:bidi w:val="0"/>
              <w:adjustRightInd/>
              <w:snapToGrid w:val="0"/>
              <w:spacing w:line="360" w:lineRule="exact"/>
              <w:textAlignment w:val="auto"/>
              <w:rPr>
                <w:color w:val="auto"/>
              </w:rPr>
            </w:pPr>
            <w:r>
              <w:rPr>
                <w:rFonts w:hint="eastAsia"/>
                <w:color w:val="auto"/>
                <w:lang w:val="en-US" w:eastAsia="zh-CN"/>
              </w:rPr>
              <w:t>4</w:t>
            </w:r>
            <w:r>
              <w:rPr>
                <w:color w:val="auto"/>
              </w:rPr>
              <w:t>.</w:t>
            </w:r>
            <w:r>
              <w:rPr>
                <w:rFonts w:hint="eastAsia"/>
                <w:color w:val="auto"/>
              </w:rPr>
              <w:t>自然人竞标的，</w:t>
            </w:r>
            <w:r>
              <w:rPr>
                <w:rFonts w:hint="eastAsia"/>
                <w:color w:val="auto"/>
                <w:lang w:val="en-US" w:eastAsia="zh-CN"/>
              </w:rPr>
              <w:t>采购</w:t>
            </w:r>
            <w:r>
              <w:rPr>
                <w:rFonts w:hint="eastAsia"/>
                <w:color w:val="auto"/>
              </w:rPr>
              <w:t>文件规定盖公章处由自然人摁手指指印。</w:t>
            </w:r>
          </w:p>
          <w:p w14:paraId="21C99A72">
            <w:pPr>
              <w:pStyle w:val="16"/>
              <w:keepNext w:val="0"/>
              <w:keepLines w:val="0"/>
              <w:pageBreakBefore w:val="0"/>
              <w:widowControl w:val="0"/>
              <w:kinsoku/>
              <w:wordWrap/>
              <w:overflowPunct/>
              <w:topLinePunct w:val="0"/>
              <w:autoSpaceDE/>
              <w:autoSpaceDN/>
              <w:bidi w:val="0"/>
              <w:adjustRightInd/>
              <w:snapToGrid w:val="0"/>
              <w:spacing w:line="360" w:lineRule="exact"/>
              <w:textAlignment w:val="auto"/>
              <w:rPr>
                <w:rFonts w:hint="eastAsia"/>
                <w:color w:val="auto"/>
              </w:rPr>
            </w:pPr>
            <w:r>
              <w:rPr>
                <w:rFonts w:hint="eastAsia"/>
                <w:color w:val="auto"/>
                <w:lang w:val="en-US" w:eastAsia="zh-CN"/>
              </w:rPr>
              <w:t>5</w:t>
            </w:r>
            <w:r>
              <w:rPr>
                <w:rFonts w:hint="eastAsia"/>
                <w:color w:val="auto"/>
              </w:rPr>
              <w:t>.本</w:t>
            </w:r>
            <w:r>
              <w:rPr>
                <w:rFonts w:hint="eastAsia"/>
                <w:color w:val="auto"/>
                <w:lang w:val="en-US" w:eastAsia="zh-CN"/>
              </w:rPr>
              <w:t>采购</w:t>
            </w:r>
            <w:r>
              <w:rPr>
                <w:rFonts w:hint="eastAsia"/>
                <w:color w:val="auto"/>
              </w:rPr>
              <w:t>文件所称的“以上”“以下”“以内”“届满”，包括本数；所称的“不满”“超过”“以外”，不包括本数。</w:t>
            </w:r>
          </w:p>
          <w:p w14:paraId="4FBF0C37">
            <w:pPr>
              <w:pStyle w:val="16"/>
              <w:keepNext w:val="0"/>
              <w:keepLines w:val="0"/>
              <w:pageBreakBefore w:val="0"/>
              <w:widowControl w:val="0"/>
              <w:kinsoku/>
              <w:wordWrap/>
              <w:overflowPunct/>
              <w:topLinePunct w:val="0"/>
              <w:autoSpaceDE/>
              <w:autoSpaceDN/>
              <w:bidi w:val="0"/>
              <w:adjustRightInd/>
              <w:snapToGrid w:val="0"/>
              <w:spacing w:line="360" w:lineRule="exact"/>
              <w:textAlignment w:val="auto"/>
              <w:rPr>
                <w:color w:val="auto"/>
              </w:rPr>
            </w:pPr>
            <w:r>
              <w:rPr>
                <w:rFonts w:hint="eastAsia"/>
                <w:color w:val="auto"/>
                <w:lang w:val="en-US" w:eastAsia="zh-CN"/>
              </w:rPr>
              <w:t>6.</w:t>
            </w:r>
            <w:r>
              <w:rPr>
                <w:rFonts w:hint="eastAsia"/>
                <w:color w:val="auto"/>
              </w:rPr>
              <w:t>如果</w:t>
            </w:r>
            <w:r>
              <w:rPr>
                <w:rFonts w:hint="eastAsia"/>
                <w:color w:val="auto"/>
                <w:lang w:eastAsia="zh-CN"/>
              </w:rPr>
              <w:t>供应商</w:t>
            </w:r>
            <w:r>
              <w:rPr>
                <w:rFonts w:hint="eastAsia"/>
                <w:color w:val="auto"/>
              </w:rPr>
              <w:t>没办理有姓名制作的电子印章的，可在</w:t>
            </w:r>
            <w:r>
              <w:rPr>
                <w:rFonts w:hint="eastAsia"/>
                <w:color w:val="auto"/>
                <w:lang w:eastAsia="zh-CN"/>
              </w:rPr>
              <w:t>响应</w:t>
            </w:r>
            <w:r>
              <w:rPr>
                <w:rFonts w:hint="eastAsia"/>
                <w:color w:val="auto"/>
              </w:rPr>
              <w:t>文件中涉及到签字的位置线下签好字然后扫描做成PDF的格式即可。</w:t>
            </w:r>
          </w:p>
        </w:tc>
      </w:tr>
      <w:tr w14:paraId="10D652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86" w:hRule="atLeast"/>
          <w:jc w:val="center"/>
        </w:trPr>
        <w:tc>
          <w:tcPr>
            <w:tcW w:w="1152" w:type="dxa"/>
            <w:vAlign w:val="center"/>
          </w:tcPr>
          <w:p w14:paraId="30D38508">
            <w:pPr>
              <w:spacing w:line="360" w:lineRule="auto"/>
              <w:jc w:val="center"/>
              <w:rPr>
                <w:rFonts w:hint="default" w:ascii="宋体" w:hAnsi="宋体" w:eastAsia="宋体" w:cs="宋体"/>
                <w:color w:val="auto"/>
                <w:szCs w:val="21"/>
                <w:lang w:val="en-US" w:eastAsia="zh-CN"/>
              </w:rPr>
            </w:pPr>
            <w:r>
              <w:rPr>
                <w:rFonts w:hint="eastAsia" w:ascii="宋体" w:hAnsi="宋体" w:cs="宋体"/>
                <w:color w:val="auto"/>
                <w:szCs w:val="21"/>
                <w:lang w:val="en-US" w:eastAsia="zh-CN"/>
              </w:rPr>
              <w:t>33.2</w:t>
            </w:r>
          </w:p>
        </w:tc>
        <w:tc>
          <w:tcPr>
            <w:tcW w:w="7912" w:type="dxa"/>
            <w:vAlign w:val="center"/>
          </w:tcPr>
          <w:p w14:paraId="6FAA8F64">
            <w:pPr>
              <w:pStyle w:val="16"/>
              <w:keepNext w:val="0"/>
              <w:keepLines w:val="0"/>
              <w:pageBreakBefore w:val="0"/>
              <w:widowControl w:val="0"/>
              <w:kinsoku/>
              <w:wordWrap/>
              <w:overflowPunct/>
              <w:topLinePunct w:val="0"/>
              <w:autoSpaceDE/>
              <w:autoSpaceDN/>
              <w:bidi w:val="0"/>
              <w:adjustRightInd/>
              <w:snapToGrid w:val="0"/>
              <w:spacing w:line="360" w:lineRule="exact"/>
              <w:textAlignment w:val="auto"/>
              <w:rPr>
                <w:rFonts w:hint="eastAsia" w:ascii="宋体" w:hAnsi="宋体" w:eastAsia="宋体" w:cs="宋体"/>
                <w:color w:val="auto"/>
                <w:sz w:val="21"/>
                <w:lang w:val="en-US" w:eastAsia="zh-CN"/>
              </w:rPr>
            </w:pPr>
            <w:r>
              <w:rPr>
                <w:rFonts w:hint="eastAsia" w:hAnsi="宋体"/>
                <w:color w:val="auto"/>
                <w:sz w:val="21"/>
              </w:rPr>
              <w:t>农民工工资保证金：按照《保障农民工工资支付条例》及《广西壮族自治区人力资源和社会保障厅等8部门关于印发广西壮族自治区工程建设领域农民工工资专用账户管理暂行办法实施细则的通知》（桂人社规〔2022〕5号）有关规定执行。如开设了农民工工资专用账户的，应按规定比例足额将农民工工资保证金存入账户，也可以使用银行保函。工程竣工验收结算经审定后，按照规定程序，将农民工工资保证金没有使用或剩余的金额退还给承包人。</w:t>
            </w:r>
          </w:p>
        </w:tc>
      </w:tr>
      <w:tr w14:paraId="682837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70" w:hRule="atLeast"/>
          <w:jc w:val="center"/>
        </w:trPr>
        <w:tc>
          <w:tcPr>
            <w:tcW w:w="1152" w:type="dxa"/>
            <w:vAlign w:val="center"/>
          </w:tcPr>
          <w:p w14:paraId="56050C45">
            <w:pPr>
              <w:spacing w:line="360" w:lineRule="auto"/>
              <w:jc w:val="center"/>
              <w:rPr>
                <w:rFonts w:hint="default" w:ascii="宋体" w:hAnsi="宋体" w:cs="宋体"/>
                <w:color w:val="auto"/>
                <w:szCs w:val="21"/>
                <w:lang w:val="en-US" w:eastAsia="zh-CN"/>
              </w:rPr>
            </w:pPr>
            <w:r>
              <w:rPr>
                <w:rFonts w:hint="eastAsia" w:ascii="宋体" w:hAnsi="宋体" w:cs="宋体"/>
                <w:color w:val="auto"/>
                <w:szCs w:val="21"/>
                <w:lang w:val="en-US" w:eastAsia="zh-CN"/>
              </w:rPr>
              <w:t>33.2</w:t>
            </w:r>
          </w:p>
        </w:tc>
        <w:tc>
          <w:tcPr>
            <w:tcW w:w="7912" w:type="dxa"/>
            <w:vAlign w:val="center"/>
          </w:tcPr>
          <w:p w14:paraId="7CDB5D0C">
            <w:pPr>
              <w:snapToGrid w:val="0"/>
              <w:spacing w:line="360" w:lineRule="auto"/>
              <w:rPr>
                <w:rFonts w:hint="eastAsia" w:ascii="宋体" w:hAnsi="宋体" w:cs="宋体"/>
                <w:color w:val="auto"/>
                <w:kern w:val="0"/>
                <w:szCs w:val="21"/>
              </w:rPr>
            </w:pPr>
            <w:r>
              <w:rPr>
                <w:rFonts w:hint="eastAsia" w:ascii="宋体" w:hAnsi="宋体" w:cs="宋体"/>
                <w:color w:val="auto"/>
                <w:kern w:val="0"/>
                <w:szCs w:val="21"/>
              </w:rPr>
              <w:t>本采购项目涉及中小企业采购，现明确以下内容：</w:t>
            </w:r>
          </w:p>
          <w:p w14:paraId="1932A949">
            <w:pPr>
              <w:snapToGrid w:val="0"/>
              <w:spacing w:line="360" w:lineRule="auto"/>
              <w:rPr>
                <w:rFonts w:hint="eastAsia" w:ascii="宋体" w:hAnsi="宋体" w:cs="宋体"/>
                <w:color w:val="auto"/>
                <w:kern w:val="0"/>
                <w:szCs w:val="21"/>
              </w:rPr>
            </w:pPr>
            <w:r>
              <w:rPr>
                <w:rFonts w:hint="eastAsia" w:ascii="宋体" w:hAnsi="宋体" w:cs="宋体"/>
                <w:color w:val="auto"/>
                <w:kern w:val="0"/>
                <w:szCs w:val="21"/>
              </w:rPr>
              <w:t>1.本项目属于专门面向中小企业采购的项目，供应商应为中小微企业或监狱企业或残疾人福利性单位，相关标的详见本竞争性</w:t>
            </w:r>
            <w:r>
              <w:rPr>
                <w:rFonts w:hint="eastAsia" w:ascii="宋体" w:hAnsi="宋体" w:cs="宋体"/>
                <w:color w:val="auto"/>
                <w:kern w:val="0"/>
                <w:szCs w:val="21"/>
                <w:lang w:val="en-US" w:eastAsia="zh-CN"/>
              </w:rPr>
              <w:t>磋商</w:t>
            </w:r>
            <w:r>
              <w:rPr>
                <w:rFonts w:hint="eastAsia" w:ascii="宋体" w:hAnsi="宋体" w:cs="宋体"/>
                <w:color w:val="auto"/>
                <w:kern w:val="0"/>
                <w:szCs w:val="21"/>
              </w:rPr>
              <w:t>文件“第三章《采购需求》”；</w:t>
            </w:r>
          </w:p>
          <w:p w14:paraId="381FC4DB">
            <w:pPr>
              <w:snapToGrid w:val="0"/>
              <w:spacing w:line="360" w:lineRule="auto"/>
              <w:rPr>
                <w:rFonts w:hint="eastAsia" w:ascii="宋体" w:hAnsi="宋体" w:cs="宋体"/>
                <w:color w:val="auto"/>
                <w:kern w:val="0"/>
                <w:szCs w:val="21"/>
                <w:highlight w:val="none"/>
              </w:rPr>
            </w:pPr>
            <w:r>
              <w:rPr>
                <w:rFonts w:hint="eastAsia" w:ascii="宋体" w:hAnsi="宋体" w:cs="宋体"/>
                <w:color w:val="auto"/>
                <w:kern w:val="0"/>
                <w:szCs w:val="21"/>
              </w:rPr>
              <w:t>2.中</w:t>
            </w:r>
            <w:r>
              <w:rPr>
                <w:rFonts w:hint="eastAsia" w:ascii="宋体" w:hAnsi="宋体" w:cs="宋体"/>
                <w:color w:val="auto"/>
                <w:kern w:val="0"/>
                <w:szCs w:val="21"/>
                <w:highlight w:val="none"/>
              </w:rPr>
              <w:t>小企业预留预算金额：864806.46元；</w:t>
            </w:r>
            <w:bookmarkStart w:id="64" w:name="_Hlk193196347"/>
            <w:r>
              <w:rPr>
                <w:rFonts w:hint="eastAsia" w:ascii="宋体" w:hAnsi="宋体" w:cs="宋体"/>
                <w:color w:val="auto"/>
                <w:kern w:val="0"/>
                <w:szCs w:val="21"/>
                <w:highlight w:val="none"/>
              </w:rPr>
              <w:t>中小企业预留份额：100%</w:t>
            </w:r>
            <w:bookmarkEnd w:id="64"/>
            <w:r>
              <w:rPr>
                <w:rFonts w:hint="eastAsia" w:ascii="宋体" w:hAnsi="宋体" w:cs="宋体"/>
                <w:color w:val="auto"/>
                <w:kern w:val="0"/>
                <w:szCs w:val="21"/>
                <w:highlight w:val="none"/>
              </w:rPr>
              <w:t>；</w:t>
            </w:r>
          </w:p>
          <w:p w14:paraId="247B31DE">
            <w:pPr>
              <w:snapToGrid w:val="0"/>
              <w:spacing w:line="360" w:lineRule="auto"/>
              <w:rPr>
                <w:rFonts w:hint="eastAsia" w:ascii="宋体" w:hAnsi="宋体" w:cs="宋体"/>
                <w:color w:val="auto"/>
                <w:kern w:val="0"/>
                <w:szCs w:val="21"/>
              </w:rPr>
            </w:pPr>
            <w:r>
              <w:rPr>
                <w:rFonts w:hint="eastAsia" w:ascii="宋体" w:hAnsi="宋体" w:cs="宋体"/>
                <w:color w:val="auto"/>
                <w:kern w:val="0"/>
                <w:szCs w:val="21"/>
              </w:rPr>
              <w:t>3.本</w:t>
            </w:r>
            <w:r>
              <w:rPr>
                <w:rFonts w:hint="eastAsia" w:ascii="宋体" w:hAnsi="宋体" w:cs="宋体"/>
                <w:color w:val="auto"/>
                <w:kern w:val="0"/>
                <w:szCs w:val="21"/>
                <w:lang w:val="en-US" w:eastAsia="zh-CN"/>
              </w:rPr>
              <w:t>项目</w:t>
            </w:r>
            <w:r>
              <w:rPr>
                <w:rFonts w:hint="eastAsia" w:ascii="宋体" w:hAnsi="宋体" w:cs="宋体"/>
                <w:color w:val="auto"/>
                <w:kern w:val="0"/>
                <w:szCs w:val="21"/>
              </w:rPr>
              <w:t>接受联合体；本项目不允许分包；</w:t>
            </w:r>
          </w:p>
          <w:p w14:paraId="5D48F653">
            <w:pPr>
              <w:snapToGrid w:val="0"/>
              <w:spacing w:line="360" w:lineRule="auto"/>
              <w:rPr>
                <w:rFonts w:hint="eastAsia" w:ascii="宋体" w:hAnsi="宋体" w:cs="宋体"/>
                <w:color w:val="auto"/>
                <w:kern w:val="0"/>
                <w:szCs w:val="21"/>
              </w:rPr>
            </w:pPr>
            <w:r>
              <w:rPr>
                <w:rFonts w:hint="eastAsia" w:ascii="宋体" w:hAnsi="宋体" w:cs="宋体"/>
                <w:color w:val="auto"/>
                <w:kern w:val="0"/>
                <w:szCs w:val="21"/>
              </w:rPr>
              <w:t>4.本项目属于专门面向中小企业采购的项目，不再进行价格扣除及用扣除后的价格参加评审；</w:t>
            </w:r>
          </w:p>
          <w:p w14:paraId="20BC3C60">
            <w:pPr>
              <w:snapToGrid w:val="0"/>
              <w:spacing w:line="360" w:lineRule="auto"/>
              <w:rPr>
                <w:rFonts w:hint="eastAsia" w:ascii="宋体" w:hAnsi="宋体" w:cs="宋体"/>
                <w:color w:val="auto"/>
                <w:kern w:val="0"/>
                <w:szCs w:val="21"/>
              </w:rPr>
            </w:pPr>
            <w:r>
              <w:rPr>
                <w:rFonts w:hint="eastAsia" w:ascii="宋体" w:hAnsi="宋体" w:cs="宋体"/>
                <w:color w:val="auto"/>
                <w:kern w:val="0"/>
                <w:szCs w:val="21"/>
              </w:rPr>
              <w:t>5.因本项目属于专门面向中小企业采购的项目，规定依据《政府采购促进中小企业发展管理办法》规定享受扶持政策获得政府采购合同的，小微企业不得将合同分包给大中型企业，中型企业不得将合同分包给大型企业；</w:t>
            </w:r>
          </w:p>
          <w:p w14:paraId="548B328F">
            <w:pPr>
              <w:pStyle w:val="16"/>
              <w:keepNext w:val="0"/>
              <w:keepLines w:val="0"/>
              <w:pageBreakBefore w:val="0"/>
              <w:widowControl w:val="0"/>
              <w:kinsoku/>
              <w:wordWrap/>
              <w:overflowPunct/>
              <w:topLinePunct w:val="0"/>
              <w:autoSpaceDE/>
              <w:autoSpaceDN/>
              <w:bidi w:val="0"/>
              <w:adjustRightInd/>
              <w:snapToGrid w:val="0"/>
              <w:spacing w:line="360" w:lineRule="exact"/>
              <w:textAlignment w:val="auto"/>
              <w:rPr>
                <w:rFonts w:hint="eastAsia" w:hAnsi="宋体"/>
                <w:color w:val="auto"/>
                <w:sz w:val="21"/>
              </w:rPr>
            </w:pPr>
            <w:r>
              <w:rPr>
                <w:rFonts w:hint="eastAsia" w:ascii="宋体" w:hAnsi="宋体" w:cs="宋体"/>
                <w:color w:val="auto"/>
              </w:rPr>
              <w:t>6.本项目采购标的对应的中小企业划分标准所属行业：建筑业。</w:t>
            </w:r>
          </w:p>
        </w:tc>
      </w:tr>
    </w:tbl>
    <w:p w14:paraId="6B9CD7C3">
      <w:pPr>
        <w:jc w:val="both"/>
        <w:rPr>
          <w:rFonts w:hint="eastAsia" w:asciiTheme="majorEastAsia" w:hAnsiTheme="majorEastAsia" w:eastAsiaTheme="majorEastAsia" w:cstheme="majorEastAsia"/>
          <w:b/>
          <w:color w:val="auto"/>
          <w:sz w:val="32"/>
          <w:highlight w:val="none"/>
        </w:rPr>
      </w:pPr>
    </w:p>
    <w:p w14:paraId="33C9626D">
      <w:pPr>
        <w:ind w:firstLine="3534" w:firstLineChars="1100"/>
        <w:jc w:val="both"/>
        <w:rPr>
          <w:rFonts w:hint="eastAsia" w:ascii="宋体" w:hAnsi="宋体"/>
          <w:b/>
          <w:color w:val="auto"/>
          <w:sz w:val="32"/>
          <w:szCs w:val="32"/>
        </w:rPr>
      </w:pPr>
    </w:p>
    <w:p w14:paraId="319DD7B0">
      <w:pPr>
        <w:ind w:firstLine="3534" w:firstLineChars="1100"/>
        <w:jc w:val="both"/>
        <w:rPr>
          <w:rFonts w:hint="eastAsia" w:ascii="宋体" w:hAnsi="宋体"/>
          <w:b/>
          <w:color w:val="auto"/>
          <w:sz w:val="32"/>
          <w:szCs w:val="32"/>
        </w:rPr>
      </w:pPr>
    </w:p>
    <w:p w14:paraId="3F3D4AFC">
      <w:pPr>
        <w:ind w:firstLine="3534" w:firstLineChars="1100"/>
        <w:jc w:val="both"/>
        <w:rPr>
          <w:rFonts w:hint="eastAsia" w:ascii="宋体" w:hAnsi="宋体"/>
          <w:b/>
          <w:color w:val="auto"/>
          <w:sz w:val="32"/>
          <w:szCs w:val="32"/>
        </w:rPr>
      </w:pPr>
    </w:p>
    <w:p w14:paraId="236995EC">
      <w:pPr>
        <w:ind w:firstLine="3534" w:firstLineChars="1100"/>
        <w:jc w:val="both"/>
        <w:rPr>
          <w:rFonts w:hint="eastAsia" w:ascii="宋体" w:hAnsi="宋体"/>
          <w:b/>
          <w:color w:val="auto"/>
          <w:sz w:val="32"/>
          <w:szCs w:val="32"/>
        </w:rPr>
      </w:pPr>
    </w:p>
    <w:p w14:paraId="2810DAB4">
      <w:pPr>
        <w:ind w:firstLine="3534" w:firstLineChars="1100"/>
        <w:jc w:val="both"/>
        <w:rPr>
          <w:rFonts w:hint="eastAsia" w:ascii="宋体" w:hAnsi="宋体"/>
          <w:b/>
          <w:color w:val="auto"/>
          <w:sz w:val="32"/>
          <w:szCs w:val="32"/>
        </w:rPr>
      </w:pPr>
    </w:p>
    <w:p w14:paraId="76F9A0C0">
      <w:pPr>
        <w:ind w:firstLine="3534" w:firstLineChars="1100"/>
        <w:jc w:val="both"/>
        <w:rPr>
          <w:rFonts w:ascii="宋体" w:hAnsi="宋体"/>
          <w:b/>
          <w:color w:val="auto"/>
          <w:sz w:val="32"/>
          <w:szCs w:val="32"/>
        </w:rPr>
      </w:pPr>
      <w:r>
        <w:rPr>
          <w:rFonts w:hint="eastAsia" w:ascii="宋体" w:hAnsi="宋体"/>
          <w:b/>
          <w:color w:val="auto"/>
          <w:sz w:val="32"/>
          <w:szCs w:val="32"/>
        </w:rPr>
        <w:t>供应商须知正文</w:t>
      </w:r>
    </w:p>
    <w:p w14:paraId="032094A4">
      <w:pPr>
        <w:spacing w:line="400" w:lineRule="exact"/>
        <w:jc w:val="center"/>
        <w:rPr>
          <w:rFonts w:ascii="宋体" w:hAnsi="宋体"/>
          <w:b/>
          <w:color w:val="auto"/>
          <w:sz w:val="32"/>
          <w:szCs w:val="32"/>
        </w:rPr>
      </w:pPr>
    </w:p>
    <w:p w14:paraId="7E9309FA">
      <w:pPr>
        <w:spacing w:line="400" w:lineRule="exact"/>
        <w:jc w:val="center"/>
        <w:rPr>
          <w:rFonts w:ascii="宋体" w:hAnsi="宋体"/>
          <w:b/>
          <w:color w:val="auto"/>
          <w:sz w:val="32"/>
          <w:szCs w:val="32"/>
        </w:rPr>
      </w:pPr>
      <w:r>
        <w:rPr>
          <w:rFonts w:hint="eastAsia" w:ascii="宋体" w:hAnsi="宋体"/>
          <w:b/>
          <w:color w:val="auto"/>
          <w:sz w:val="32"/>
          <w:szCs w:val="32"/>
        </w:rPr>
        <w:t>一、总则</w:t>
      </w:r>
    </w:p>
    <w:p w14:paraId="0E97D1E4">
      <w:pPr>
        <w:spacing w:line="400" w:lineRule="exact"/>
        <w:rPr>
          <w:rFonts w:ascii="宋体" w:hAnsi="宋体"/>
          <w:color w:val="auto"/>
          <w:szCs w:val="21"/>
        </w:rPr>
      </w:pPr>
    </w:p>
    <w:p w14:paraId="6F6F9A63">
      <w:pPr>
        <w:spacing w:line="360" w:lineRule="auto"/>
        <w:ind w:firstLine="422" w:firstLineChars="200"/>
        <w:rPr>
          <w:rFonts w:hint="eastAsia" w:ascii="宋体" w:hAnsi="宋体" w:eastAsia="宋体" w:cs="宋体"/>
          <w:b/>
          <w:bCs/>
          <w:color w:val="auto"/>
          <w:kern w:val="2"/>
          <w:sz w:val="21"/>
          <w:szCs w:val="20"/>
          <w:lang w:val="en-US" w:eastAsia="zh-CN" w:bidi="ar-SA"/>
        </w:rPr>
      </w:pPr>
      <w:r>
        <w:rPr>
          <w:rFonts w:hint="eastAsia" w:ascii="宋体" w:hAnsi="宋体" w:eastAsia="宋体" w:cs="宋体"/>
          <w:b/>
          <w:bCs/>
          <w:color w:val="auto"/>
          <w:kern w:val="2"/>
          <w:sz w:val="21"/>
          <w:szCs w:val="20"/>
          <w:lang w:val="en-US" w:eastAsia="zh-CN" w:bidi="ar-SA"/>
        </w:rPr>
        <w:t>1.适用范围</w:t>
      </w:r>
    </w:p>
    <w:p w14:paraId="307CB67B">
      <w:pPr>
        <w:spacing w:line="360" w:lineRule="auto"/>
        <w:ind w:firstLine="420" w:firstLineChars="200"/>
        <w:rPr>
          <w:rFonts w:ascii="宋体" w:hAnsi="宋体" w:cs="宋体"/>
          <w:color w:val="auto"/>
          <w:szCs w:val="21"/>
        </w:rPr>
      </w:pPr>
      <w:r>
        <w:rPr>
          <w:rFonts w:hint="eastAsia" w:ascii="宋体" w:hAnsi="宋体" w:cs="宋体"/>
          <w:color w:val="auto"/>
          <w:szCs w:val="21"/>
        </w:rPr>
        <w:t>1.1本项目采购人、采购代理机构、供应商、磋商小组的相关行为均受《中华人民共和国政府采购法》《中华人民共和国政府采购法实施条例》</w:t>
      </w:r>
      <w:r>
        <w:rPr>
          <w:rFonts w:hint="eastAsia" w:ascii="宋体" w:hAnsi="宋体"/>
          <w:color w:val="auto"/>
          <w:szCs w:val="21"/>
        </w:rPr>
        <w:t>《政府采购竞争性磋商采购方式管理暂行办法》《财政部关于政府采购竞争性磋商采购方式管理暂行办法有关问题的补充通知》</w:t>
      </w:r>
      <w:r>
        <w:rPr>
          <w:rFonts w:hint="eastAsia" w:ascii="宋体" w:hAnsi="宋体" w:cs="宋体"/>
          <w:color w:val="auto"/>
          <w:szCs w:val="21"/>
        </w:rPr>
        <w:t>及本项目本级和上级财政部门政府采购有关规定的约束和保护。</w:t>
      </w:r>
    </w:p>
    <w:p w14:paraId="7BA77D3C">
      <w:pPr>
        <w:spacing w:line="360" w:lineRule="auto"/>
        <w:ind w:firstLine="420" w:firstLineChars="200"/>
        <w:rPr>
          <w:rFonts w:ascii="宋体" w:hAnsi="宋体" w:cs="宋体"/>
          <w:color w:val="auto"/>
          <w:szCs w:val="21"/>
        </w:rPr>
      </w:pPr>
      <w:r>
        <w:rPr>
          <w:rFonts w:hint="eastAsia" w:ascii="宋体" w:hAnsi="宋体" w:cs="宋体"/>
          <w:color w:val="auto"/>
          <w:szCs w:val="21"/>
        </w:rPr>
        <w:t>1.2</w:t>
      </w:r>
      <w:r>
        <w:rPr>
          <w:rFonts w:hint="eastAsia" w:ascii="宋体" w:hAnsi="宋体" w:cs="宋体"/>
          <w:color w:val="auto"/>
          <w:spacing w:val="-6"/>
          <w:szCs w:val="21"/>
        </w:rPr>
        <w:t>本竞争性磋商文件（以下简称磋商文件）适用于本项目的所有采购程序和环节（法律、法规另有规定的，从其规定）。</w:t>
      </w:r>
    </w:p>
    <w:p w14:paraId="62A1F049">
      <w:pPr>
        <w:spacing w:line="360" w:lineRule="auto"/>
        <w:ind w:firstLine="422" w:firstLineChars="200"/>
        <w:rPr>
          <w:rFonts w:hint="eastAsia" w:ascii="宋体" w:hAnsi="宋体" w:eastAsia="宋体" w:cs="宋体"/>
          <w:b/>
          <w:bCs/>
          <w:color w:val="auto"/>
          <w:kern w:val="2"/>
          <w:sz w:val="21"/>
          <w:szCs w:val="20"/>
          <w:lang w:val="en-US" w:eastAsia="zh-CN" w:bidi="ar-SA"/>
        </w:rPr>
      </w:pPr>
      <w:r>
        <w:rPr>
          <w:rFonts w:hint="eastAsia" w:ascii="宋体" w:hAnsi="宋体" w:eastAsia="宋体" w:cs="宋体"/>
          <w:b/>
          <w:bCs/>
          <w:color w:val="auto"/>
          <w:kern w:val="2"/>
          <w:sz w:val="21"/>
          <w:szCs w:val="20"/>
          <w:lang w:val="en-US" w:eastAsia="zh-CN" w:bidi="ar-SA"/>
        </w:rPr>
        <w:t>2.定义</w:t>
      </w:r>
    </w:p>
    <w:p w14:paraId="4EB00405">
      <w:pPr>
        <w:spacing w:line="360" w:lineRule="auto"/>
        <w:ind w:firstLine="420" w:firstLineChars="200"/>
        <w:rPr>
          <w:rFonts w:ascii="宋体" w:hAnsi="宋体" w:cs="宋体"/>
          <w:color w:val="auto"/>
          <w:szCs w:val="21"/>
        </w:rPr>
      </w:pPr>
      <w:r>
        <w:rPr>
          <w:rFonts w:hint="eastAsia" w:ascii="宋体" w:hAnsi="宋体" w:cs="宋体"/>
          <w:color w:val="auto"/>
          <w:szCs w:val="21"/>
        </w:rPr>
        <w:t>2.1“采购人”是指依法进行政府采购的国家机关、事业单位、团体组织。</w:t>
      </w:r>
    </w:p>
    <w:p w14:paraId="7DBEAED1">
      <w:pPr>
        <w:spacing w:line="360" w:lineRule="auto"/>
        <w:ind w:firstLine="420" w:firstLineChars="200"/>
        <w:rPr>
          <w:rFonts w:ascii="宋体" w:hAnsi="宋体" w:cs="宋体"/>
          <w:color w:val="auto"/>
          <w:szCs w:val="21"/>
          <w:u w:val="single"/>
        </w:rPr>
      </w:pPr>
      <w:r>
        <w:rPr>
          <w:rFonts w:hint="eastAsia" w:ascii="宋体" w:hAnsi="宋体" w:cs="宋体"/>
          <w:color w:val="auto"/>
          <w:szCs w:val="21"/>
        </w:rPr>
        <w:t>2.2“采购代理机构”是指政府采购代理机构（以下简称采购代理机构）是指集中采购机构以外、受采购人委托从事政府采购代理业务的社会中介机构。</w:t>
      </w:r>
    </w:p>
    <w:p w14:paraId="4590F78F">
      <w:pPr>
        <w:spacing w:line="360" w:lineRule="auto"/>
        <w:ind w:firstLine="420" w:firstLineChars="200"/>
        <w:rPr>
          <w:rFonts w:ascii="宋体" w:hAnsi="宋体" w:cs="宋体"/>
          <w:color w:val="auto"/>
          <w:szCs w:val="21"/>
        </w:rPr>
      </w:pPr>
      <w:r>
        <w:rPr>
          <w:rFonts w:hint="eastAsia" w:ascii="宋体" w:hAnsi="宋体" w:cs="宋体"/>
          <w:color w:val="auto"/>
          <w:szCs w:val="21"/>
        </w:rPr>
        <w:t>2.3“供应商”是指向采购人提供货物、工程或者服务的法人、其他组织或者自然人。</w:t>
      </w:r>
    </w:p>
    <w:p w14:paraId="123AF7DE">
      <w:pPr>
        <w:spacing w:line="360" w:lineRule="auto"/>
        <w:ind w:firstLine="420" w:firstLineChars="200"/>
        <w:rPr>
          <w:rFonts w:ascii="宋体" w:hAnsi="宋体" w:cs="宋体"/>
          <w:color w:val="auto"/>
          <w:szCs w:val="21"/>
        </w:rPr>
      </w:pPr>
      <w:r>
        <w:rPr>
          <w:rFonts w:hint="eastAsia" w:ascii="宋体" w:hAnsi="宋体"/>
          <w:color w:val="auto"/>
          <w:szCs w:val="21"/>
        </w:rPr>
        <w:t>2.4</w:t>
      </w:r>
      <w:r>
        <w:rPr>
          <w:rFonts w:hint="eastAsia" w:ascii="宋体" w:hAnsi="宋体" w:cs="宋体"/>
          <w:color w:val="auto"/>
          <w:szCs w:val="21"/>
          <w:highlight w:val="none"/>
        </w:rPr>
        <w:t>“工程”是指建设工程，</w:t>
      </w:r>
      <w:r>
        <w:rPr>
          <w:rFonts w:hint="eastAsia" w:ascii="宋体" w:hAnsi="宋体"/>
          <w:color w:val="auto"/>
          <w:szCs w:val="21"/>
          <w:highlight w:val="none"/>
        </w:rPr>
        <w:t>包括建筑物和构筑物的新建、改建、扩建、装修、拆除、修缮等</w:t>
      </w:r>
      <w:r>
        <w:rPr>
          <w:rFonts w:hint="eastAsia" w:ascii="宋体" w:hAnsi="宋体" w:cs="宋体"/>
          <w:color w:val="auto"/>
          <w:szCs w:val="21"/>
          <w:highlight w:val="none"/>
        </w:rPr>
        <w:t>。</w:t>
      </w:r>
    </w:p>
    <w:p w14:paraId="37C30719">
      <w:pPr>
        <w:spacing w:line="360" w:lineRule="auto"/>
        <w:ind w:firstLine="420" w:firstLineChars="200"/>
        <w:rPr>
          <w:rFonts w:ascii="宋体" w:hAnsi="宋体" w:cs="宋体"/>
          <w:color w:val="auto"/>
          <w:szCs w:val="21"/>
        </w:rPr>
      </w:pPr>
      <w:r>
        <w:rPr>
          <w:rFonts w:hint="eastAsia" w:ascii="宋体" w:hAnsi="宋体" w:cs="宋体"/>
          <w:color w:val="auto"/>
          <w:szCs w:val="21"/>
        </w:rPr>
        <w:t>2.</w:t>
      </w:r>
      <w:r>
        <w:rPr>
          <w:rFonts w:ascii="宋体" w:hAnsi="宋体" w:cs="宋体"/>
          <w:color w:val="auto"/>
          <w:szCs w:val="21"/>
        </w:rPr>
        <w:t>5</w:t>
      </w:r>
      <w:r>
        <w:rPr>
          <w:rFonts w:hint="eastAsia" w:ascii="宋体" w:hAnsi="宋体" w:cs="宋体"/>
          <w:color w:val="auto"/>
          <w:szCs w:val="21"/>
        </w:rPr>
        <w:t>“竞标”是指供应商按照本项目竞争性磋商公告规定的方式获取磋商文件、提交响应文件并希望获得标的的行为。</w:t>
      </w:r>
    </w:p>
    <w:p w14:paraId="03EA85C8">
      <w:pPr>
        <w:spacing w:line="360" w:lineRule="auto"/>
        <w:ind w:firstLine="420" w:firstLineChars="200"/>
        <w:rPr>
          <w:rFonts w:ascii="宋体" w:hAnsi="宋体" w:cs="宋体"/>
          <w:color w:val="auto"/>
          <w:szCs w:val="21"/>
        </w:rPr>
      </w:pPr>
      <w:r>
        <w:rPr>
          <w:rFonts w:hint="eastAsia" w:ascii="宋体" w:hAnsi="宋体" w:cs="宋体"/>
          <w:color w:val="auto"/>
          <w:szCs w:val="21"/>
        </w:rPr>
        <w:t>2.</w:t>
      </w:r>
      <w:r>
        <w:rPr>
          <w:rFonts w:ascii="宋体" w:hAnsi="宋体" w:cs="宋体"/>
          <w:color w:val="auto"/>
          <w:szCs w:val="21"/>
        </w:rPr>
        <w:t>6</w:t>
      </w:r>
      <w:r>
        <w:rPr>
          <w:rFonts w:hint="eastAsia" w:ascii="宋体" w:hAnsi="宋体" w:cs="宋体"/>
          <w:color w:val="auto"/>
          <w:szCs w:val="21"/>
        </w:rPr>
        <w:t>“响应文件”</w:t>
      </w:r>
      <w:r>
        <w:rPr>
          <w:rFonts w:hint="eastAsia" w:ascii="宋体" w:hAnsi="宋体" w:cs="宋体"/>
          <w:color w:val="auto"/>
          <w:spacing w:val="-6"/>
          <w:szCs w:val="21"/>
        </w:rPr>
        <w:t>是指：供应商根据本磋商文件要求，编制包含资格证明、报价商务技术等所有内容的文件。</w:t>
      </w:r>
    </w:p>
    <w:p w14:paraId="1ADA7C49">
      <w:pPr>
        <w:spacing w:line="360" w:lineRule="auto"/>
        <w:ind w:firstLine="420" w:firstLineChars="200"/>
        <w:rPr>
          <w:rFonts w:ascii="宋体" w:hAnsi="宋体" w:cs="宋体"/>
          <w:color w:val="auto"/>
          <w:szCs w:val="21"/>
        </w:rPr>
      </w:pPr>
      <w:r>
        <w:rPr>
          <w:rFonts w:hint="eastAsia" w:ascii="宋体" w:hAnsi="宋体" w:cs="宋体"/>
          <w:color w:val="auto"/>
          <w:szCs w:val="21"/>
        </w:rPr>
        <w:t>2.</w:t>
      </w:r>
      <w:r>
        <w:rPr>
          <w:rFonts w:ascii="宋体" w:hAnsi="宋体" w:cs="宋体"/>
          <w:color w:val="auto"/>
          <w:szCs w:val="21"/>
        </w:rPr>
        <w:t>7</w:t>
      </w:r>
      <w:r>
        <w:rPr>
          <w:rFonts w:hint="eastAsia" w:ascii="宋体" w:hAnsi="宋体" w:cs="宋体"/>
          <w:color w:val="auto"/>
          <w:szCs w:val="21"/>
        </w:rPr>
        <w:t>“实质性要求”是指磋商文件中已经指明不满足则响应文件按无效响应处理的条款，或者不能负偏离的条款，或者采购需求中带“▲”的条款。</w:t>
      </w:r>
    </w:p>
    <w:p w14:paraId="200C9D4A">
      <w:pPr>
        <w:spacing w:line="360" w:lineRule="auto"/>
        <w:ind w:firstLine="420" w:firstLineChars="200"/>
        <w:rPr>
          <w:rFonts w:ascii="宋体" w:hAnsi="宋体" w:cs="宋体"/>
          <w:color w:val="auto"/>
          <w:szCs w:val="21"/>
        </w:rPr>
      </w:pPr>
      <w:r>
        <w:rPr>
          <w:rFonts w:hint="eastAsia" w:ascii="宋体" w:hAnsi="宋体" w:cs="宋体"/>
          <w:color w:val="auto"/>
          <w:szCs w:val="21"/>
        </w:rPr>
        <w:t>2.</w:t>
      </w:r>
      <w:r>
        <w:rPr>
          <w:rFonts w:ascii="宋体" w:hAnsi="宋体" w:cs="宋体"/>
          <w:color w:val="auto"/>
          <w:szCs w:val="21"/>
        </w:rPr>
        <w:t>8</w:t>
      </w:r>
      <w:r>
        <w:rPr>
          <w:rFonts w:hint="eastAsia" w:ascii="宋体" w:hAnsi="宋体" w:cs="宋体"/>
          <w:color w:val="auto"/>
          <w:szCs w:val="21"/>
        </w:rPr>
        <w:t>“正偏离”，是指响应文件对磋商文件“采购需求”中有关条款作出的响应优于条款要求并有利于采购人的情形。</w:t>
      </w:r>
    </w:p>
    <w:p w14:paraId="4FC0499B">
      <w:pPr>
        <w:spacing w:line="360" w:lineRule="auto"/>
        <w:ind w:firstLine="420" w:firstLineChars="200"/>
        <w:rPr>
          <w:rFonts w:ascii="宋体" w:hAnsi="宋体" w:cs="宋体"/>
          <w:color w:val="auto"/>
          <w:szCs w:val="21"/>
        </w:rPr>
      </w:pPr>
      <w:r>
        <w:rPr>
          <w:rFonts w:ascii="宋体" w:hAnsi="宋体" w:cs="宋体"/>
          <w:color w:val="auto"/>
          <w:szCs w:val="21"/>
        </w:rPr>
        <w:t>2.9</w:t>
      </w:r>
      <w:r>
        <w:rPr>
          <w:rFonts w:hint="eastAsia" w:ascii="宋体" w:hAnsi="宋体" w:cs="宋体"/>
          <w:color w:val="auto"/>
          <w:szCs w:val="21"/>
        </w:rPr>
        <w:t>“负偏离”，是指响应文件对磋商文件“采购需求”中有关条款作出的响应不满足条款要求，导致采购人要求不能得到满足的情形。</w:t>
      </w:r>
    </w:p>
    <w:p w14:paraId="1548C447">
      <w:pPr>
        <w:spacing w:line="360" w:lineRule="auto"/>
        <w:ind w:firstLine="420" w:firstLineChars="200"/>
        <w:rPr>
          <w:rFonts w:ascii="宋体" w:hAnsi="宋体" w:cs="宋体"/>
          <w:color w:val="auto"/>
          <w:szCs w:val="21"/>
        </w:rPr>
      </w:pPr>
      <w:r>
        <w:rPr>
          <w:rFonts w:hint="eastAsia" w:ascii="宋体" w:hAnsi="宋体" w:cs="宋体"/>
          <w:color w:val="auto"/>
          <w:szCs w:val="21"/>
        </w:rPr>
        <w:t>2.10“允许负偏离的条款”是指采购需求中的不属于“实质性要求”的条款。</w:t>
      </w:r>
    </w:p>
    <w:p w14:paraId="71F3948D">
      <w:pPr>
        <w:spacing w:line="360" w:lineRule="auto"/>
        <w:ind w:firstLine="420" w:firstLineChars="200"/>
        <w:rPr>
          <w:rFonts w:ascii="宋体" w:hAnsi="宋体" w:cs="宋体"/>
          <w:color w:val="auto"/>
          <w:szCs w:val="21"/>
        </w:rPr>
      </w:pPr>
      <w:r>
        <w:rPr>
          <w:rFonts w:hint="eastAsia" w:ascii="宋体" w:hAnsi="宋体" w:cs="宋体"/>
          <w:color w:val="auto"/>
          <w:szCs w:val="21"/>
        </w:rPr>
        <w:t>2.</w:t>
      </w:r>
      <w:r>
        <w:rPr>
          <w:rFonts w:ascii="宋体" w:hAnsi="宋体" w:cs="宋体"/>
          <w:color w:val="auto"/>
          <w:szCs w:val="21"/>
        </w:rPr>
        <w:t>11</w:t>
      </w:r>
      <w:r>
        <w:rPr>
          <w:rFonts w:hint="eastAsia" w:ascii="宋体" w:hAnsi="宋体" w:cs="宋体"/>
          <w:color w:val="auto"/>
          <w:szCs w:val="21"/>
        </w:rPr>
        <w:t>“书面形式”是指合同书、信件和数据电文（包括电报、电传、传真、电子数据交换和电子邮件）等可以有形地表现所载内容的形式。</w:t>
      </w:r>
    </w:p>
    <w:p w14:paraId="0F2BCD97">
      <w:pPr>
        <w:spacing w:line="360" w:lineRule="auto"/>
        <w:ind w:firstLine="420" w:firstLineChars="200"/>
        <w:rPr>
          <w:rFonts w:ascii="宋体" w:hAnsi="宋体" w:cs="宋体"/>
          <w:color w:val="auto"/>
          <w:szCs w:val="21"/>
        </w:rPr>
      </w:pPr>
      <w:r>
        <w:rPr>
          <w:rFonts w:hint="eastAsia" w:ascii="宋体" w:hAnsi="宋体" w:cs="宋体"/>
          <w:color w:val="auto"/>
          <w:szCs w:val="21"/>
        </w:rPr>
        <w:t>2.</w:t>
      </w:r>
      <w:r>
        <w:rPr>
          <w:rFonts w:ascii="宋体" w:hAnsi="宋体" w:cs="宋体"/>
          <w:color w:val="auto"/>
          <w:szCs w:val="21"/>
        </w:rPr>
        <w:t>12</w:t>
      </w:r>
      <w:r>
        <w:rPr>
          <w:rFonts w:hint="eastAsia" w:ascii="宋体" w:hAnsi="宋体" w:cs="宋体"/>
          <w:color w:val="auto"/>
          <w:szCs w:val="21"/>
        </w:rPr>
        <w:t>“首次报价”是指供应商提交的首次响应文件中的报价。</w:t>
      </w:r>
    </w:p>
    <w:p w14:paraId="0B95856B">
      <w:pPr>
        <w:spacing w:line="360" w:lineRule="auto"/>
        <w:ind w:firstLine="420" w:firstLineChars="200"/>
        <w:rPr>
          <w:rFonts w:ascii="宋体" w:hAnsi="宋体" w:cs="宋体"/>
          <w:color w:val="auto"/>
          <w:szCs w:val="21"/>
        </w:rPr>
      </w:pPr>
      <w:r>
        <w:rPr>
          <w:rFonts w:hint="eastAsia" w:ascii="宋体" w:hAnsi="宋体" w:cs="宋体"/>
          <w:color w:val="auto"/>
          <w:szCs w:val="21"/>
        </w:rPr>
        <w:t>2.1</w:t>
      </w:r>
      <w:r>
        <w:rPr>
          <w:rFonts w:ascii="宋体" w:hAnsi="宋体" w:cs="宋体"/>
          <w:color w:val="auto"/>
          <w:szCs w:val="21"/>
        </w:rPr>
        <w:t>3</w:t>
      </w:r>
      <w:r>
        <w:rPr>
          <w:rFonts w:hint="eastAsia" w:ascii="宋体" w:hAnsi="宋体" w:cs="宋体"/>
          <w:color w:val="auto"/>
          <w:szCs w:val="21"/>
        </w:rPr>
        <w:t>“评审价”是指供应商提交的最后报价并经修正（如有）和政策功能价格扣除（如有）后的价格。</w:t>
      </w:r>
    </w:p>
    <w:p w14:paraId="653B3FE0">
      <w:pPr>
        <w:spacing w:line="360" w:lineRule="auto"/>
        <w:ind w:firstLine="422" w:firstLineChars="200"/>
        <w:rPr>
          <w:rFonts w:hint="eastAsia" w:ascii="宋体" w:hAnsi="宋体" w:eastAsia="宋体" w:cs="宋体"/>
          <w:b/>
          <w:bCs/>
          <w:color w:val="auto"/>
          <w:kern w:val="2"/>
          <w:sz w:val="21"/>
          <w:szCs w:val="20"/>
          <w:lang w:val="en-US" w:eastAsia="zh-CN" w:bidi="ar-SA"/>
        </w:rPr>
      </w:pPr>
      <w:r>
        <w:rPr>
          <w:rFonts w:hint="eastAsia" w:ascii="宋体" w:hAnsi="宋体" w:eastAsia="宋体" w:cs="宋体"/>
          <w:b/>
          <w:bCs/>
          <w:color w:val="auto"/>
          <w:kern w:val="2"/>
          <w:sz w:val="21"/>
          <w:szCs w:val="20"/>
          <w:lang w:val="en-US" w:eastAsia="zh-CN" w:bidi="ar-SA"/>
        </w:rPr>
        <w:t>3.供应商的资格条件</w:t>
      </w:r>
    </w:p>
    <w:p w14:paraId="2A1452D2">
      <w:pPr>
        <w:spacing w:line="360" w:lineRule="auto"/>
        <w:ind w:firstLine="420" w:firstLineChars="200"/>
        <w:rPr>
          <w:rFonts w:ascii="宋体" w:hAnsi="宋体" w:cs="宋体"/>
          <w:color w:val="auto"/>
          <w:szCs w:val="21"/>
        </w:rPr>
      </w:pPr>
      <w:r>
        <w:rPr>
          <w:rFonts w:hint="eastAsia" w:ascii="宋体" w:hAnsi="宋体" w:cs="宋体"/>
          <w:color w:val="auto"/>
          <w:szCs w:val="21"/>
        </w:rPr>
        <w:t>供应商的资格条件详见“供应商须知前附表”。</w:t>
      </w:r>
    </w:p>
    <w:p w14:paraId="63D242AB">
      <w:pPr>
        <w:spacing w:line="360" w:lineRule="auto"/>
        <w:ind w:firstLine="422" w:firstLineChars="200"/>
        <w:rPr>
          <w:rFonts w:hint="eastAsia" w:ascii="宋体" w:hAnsi="宋体" w:eastAsia="宋体" w:cs="宋体"/>
          <w:b/>
          <w:bCs/>
          <w:color w:val="auto"/>
          <w:kern w:val="2"/>
          <w:sz w:val="21"/>
          <w:szCs w:val="20"/>
          <w:lang w:val="en-US" w:eastAsia="zh-CN" w:bidi="ar-SA"/>
        </w:rPr>
      </w:pPr>
      <w:r>
        <w:rPr>
          <w:rFonts w:hint="eastAsia" w:ascii="宋体" w:hAnsi="宋体" w:eastAsia="宋体" w:cs="宋体"/>
          <w:b/>
          <w:bCs/>
          <w:color w:val="auto"/>
          <w:kern w:val="2"/>
          <w:sz w:val="21"/>
          <w:szCs w:val="20"/>
          <w:lang w:val="en-US" w:eastAsia="zh-CN" w:bidi="ar-SA"/>
        </w:rPr>
        <w:t>4.竞标费用</w:t>
      </w:r>
    </w:p>
    <w:p w14:paraId="56E4644A">
      <w:pPr>
        <w:spacing w:line="360" w:lineRule="auto"/>
        <w:ind w:firstLine="420" w:firstLineChars="200"/>
        <w:rPr>
          <w:rFonts w:ascii="宋体" w:hAnsi="宋体" w:cs="宋体"/>
          <w:color w:val="auto"/>
          <w:szCs w:val="21"/>
        </w:rPr>
      </w:pPr>
      <w:r>
        <w:rPr>
          <w:rFonts w:hint="eastAsia" w:ascii="宋体" w:hAnsi="宋体" w:cs="宋体"/>
          <w:color w:val="auto"/>
          <w:szCs w:val="21"/>
        </w:rPr>
        <w:t>供应商应承担参与本次采购活动有关的所有费用，包括但不限于获取磋商文件、勘查现场、编制和提交响应文件、参加磋商与应答、签订合同等，不论竞标结果如何，均应自行承担。</w:t>
      </w:r>
    </w:p>
    <w:p w14:paraId="50C941A3">
      <w:pPr>
        <w:spacing w:line="360" w:lineRule="auto"/>
        <w:ind w:firstLine="422" w:firstLineChars="200"/>
        <w:rPr>
          <w:rFonts w:hint="eastAsia" w:ascii="宋体" w:hAnsi="宋体" w:eastAsia="宋体" w:cs="宋体"/>
          <w:b/>
          <w:bCs/>
          <w:color w:val="auto"/>
          <w:kern w:val="2"/>
          <w:sz w:val="21"/>
          <w:szCs w:val="20"/>
          <w:lang w:val="en-US" w:eastAsia="zh-CN" w:bidi="ar-SA"/>
        </w:rPr>
      </w:pPr>
      <w:r>
        <w:rPr>
          <w:rFonts w:hint="eastAsia" w:ascii="宋体" w:hAnsi="宋体" w:eastAsia="宋体" w:cs="宋体"/>
          <w:b/>
          <w:bCs/>
          <w:color w:val="auto"/>
          <w:kern w:val="2"/>
          <w:sz w:val="21"/>
          <w:szCs w:val="20"/>
          <w:lang w:val="en-US" w:eastAsia="zh-CN" w:bidi="ar-SA"/>
        </w:rPr>
        <w:t>5.联合体竞标</w:t>
      </w:r>
    </w:p>
    <w:p w14:paraId="0C6E8270">
      <w:pPr>
        <w:spacing w:line="360" w:lineRule="auto"/>
        <w:ind w:firstLine="420" w:firstLineChars="200"/>
        <w:rPr>
          <w:rFonts w:ascii="宋体" w:hAnsi="宋体" w:cs="宋体"/>
          <w:color w:val="auto"/>
          <w:szCs w:val="21"/>
        </w:rPr>
      </w:pPr>
      <w:r>
        <w:rPr>
          <w:rFonts w:hint="eastAsia" w:ascii="宋体" w:hAnsi="宋体" w:cs="宋体"/>
          <w:color w:val="auto"/>
          <w:szCs w:val="21"/>
        </w:rPr>
        <w:t>5.1本项目是否接受联合体竞标，详见“供应商须知前附表”。</w:t>
      </w:r>
    </w:p>
    <w:p w14:paraId="1D17034E">
      <w:pPr>
        <w:spacing w:line="360" w:lineRule="auto"/>
        <w:ind w:firstLine="420" w:firstLineChars="200"/>
        <w:rPr>
          <w:rFonts w:ascii="宋体" w:hAnsi="宋体" w:cs="宋体"/>
          <w:color w:val="auto"/>
          <w:szCs w:val="21"/>
        </w:rPr>
      </w:pPr>
      <w:r>
        <w:rPr>
          <w:rFonts w:hint="eastAsia" w:ascii="宋体" w:hAnsi="宋体" w:cs="宋体"/>
          <w:color w:val="auto"/>
          <w:szCs w:val="21"/>
        </w:rPr>
        <w:t>5.2</w:t>
      </w:r>
      <w:r>
        <w:rPr>
          <w:rFonts w:hint="eastAsia" w:ascii="宋体" w:hAnsi="宋体"/>
          <w:color w:val="auto"/>
        </w:rPr>
        <w:t>如接受联合体竞标，</w:t>
      </w:r>
      <w:r>
        <w:rPr>
          <w:rFonts w:hint="eastAsia" w:ascii="宋体" w:hAnsi="宋体" w:cs="宋体"/>
          <w:color w:val="auto"/>
          <w:szCs w:val="21"/>
        </w:rPr>
        <w:t>联合体竞标要求详见“供应商须知前附表”。</w:t>
      </w:r>
    </w:p>
    <w:p w14:paraId="5C192940">
      <w:pPr>
        <w:spacing w:line="360" w:lineRule="auto"/>
        <w:ind w:firstLine="420" w:firstLineChars="200"/>
        <w:rPr>
          <w:rFonts w:ascii="宋体" w:hAnsi="宋体" w:cs="宋体"/>
          <w:color w:val="auto"/>
          <w:szCs w:val="21"/>
        </w:rPr>
      </w:pPr>
      <w:r>
        <w:rPr>
          <w:rFonts w:hint="eastAsia" w:ascii="宋体" w:hAnsi="宋体" w:cs="宋体"/>
          <w:color w:val="auto"/>
          <w:szCs w:val="21"/>
        </w:rPr>
        <w:t>5.3根据《政府采购促进中小企业发展暂行办法》第六条规定，“鼓励大中型企业和其他自然人、法人或者其他组织与小型、微型企业组成联合体共同参加非专门面向中小企业的政府采购活动。联合协议中约定，小型、微型企业的协议合同金额占到联合体协议合同总金额30%以上的，可给予联合体2%的价格扣除。联合体各方均为小型、微型企业的，联合体视同为小型、微型企业享受本办法第四条、第五条规定的扶持政策。组成联合体的大中型企业和其他自然人、法人或者其他组织，与小型、微型企业之间不得存在投资关系。”</w:t>
      </w:r>
    </w:p>
    <w:p w14:paraId="1932859C">
      <w:pPr>
        <w:spacing w:line="360" w:lineRule="auto"/>
        <w:ind w:firstLine="422" w:firstLineChars="200"/>
        <w:rPr>
          <w:rFonts w:ascii="黑体" w:hAnsi="黑体" w:eastAsia="黑体" w:cs="宋体"/>
          <w:b/>
          <w:bCs/>
          <w:color w:val="auto"/>
          <w:sz w:val="24"/>
        </w:rPr>
      </w:pPr>
      <w:r>
        <w:rPr>
          <w:rFonts w:hint="eastAsia" w:ascii="宋体" w:hAnsi="宋体" w:eastAsia="宋体" w:cs="宋体"/>
          <w:b/>
          <w:bCs/>
          <w:color w:val="auto"/>
          <w:kern w:val="2"/>
          <w:sz w:val="21"/>
          <w:szCs w:val="20"/>
          <w:lang w:val="en-US" w:eastAsia="zh-CN" w:bidi="ar-SA"/>
        </w:rPr>
        <w:t xml:space="preserve">6.转包与分包  </w:t>
      </w:r>
      <w:r>
        <w:rPr>
          <w:rFonts w:hint="eastAsia" w:ascii="黑体" w:hAnsi="黑体" w:eastAsia="黑体" w:cs="宋体"/>
          <w:b/>
          <w:bCs/>
          <w:color w:val="auto"/>
          <w:sz w:val="24"/>
        </w:rPr>
        <w:t xml:space="preserve">           </w:t>
      </w:r>
    </w:p>
    <w:p w14:paraId="3F08C0B2">
      <w:pPr>
        <w:spacing w:line="360" w:lineRule="auto"/>
        <w:ind w:firstLine="420" w:firstLineChars="200"/>
        <w:rPr>
          <w:rFonts w:ascii="宋体" w:hAnsi="宋体" w:cs="宋体"/>
          <w:color w:val="auto"/>
          <w:szCs w:val="21"/>
        </w:rPr>
      </w:pPr>
      <w:r>
        <w:rPr>
          <w:rFonts w:hint="eastAsia" w:ascii="宋体" w:hAnsi="宋体" w:cs="宋体"/>
          <w:color w:val="auto"/>
          <w:szCs w:val="21"/>
        </w:rPr>
        <w:t>6.1本项目不允许转包。</w:t>
      </w:r>
    </w:p>
    <w:p w14:paraId="1EB21EDB">
      <w:pPr>
        <w:spacing w:line="360" w:lineRule="auto"/>
        <w:ind w:firstLine="420" w:firstLineChars="200"/>
        <w:rPr>
          <w:rFonts w:ascii="宋体" w:hAnsi="宋体" w:cs="宋体"/>
          <w:color w:val="auto"/>
          <w:szCs w:val="21"/>
        </w:rPr>
      </w:pPr>
      <w:r>
        <w:rPr>
          <w:rFonts w:hint="eastAsia" w:ascii="宋体" w:hAnsi="宋体" w:cs="宋体"/>
          <w:color w:val="auto"/>
          <w:szCs w:val="21"/>
        </w:rPr>
        <w:t>6.2本项目是否允许分包详见“供应商须知前附表”，本项目不允许违法分包。</w:t>
      </w:r>
    </w:p>
    <w:p w14:paraId="04872DE1">
      <w:pPr>
        <w:spacing w:line="360" w:lineRule="auto"/>
        <w:ind w:firstLine="422" w:firstLineChars="200"/>
        <w:rPr>
          <w:rFonts w:hint="eastAsia" w:ascii="宋体" w:hAnsi="宋体" w:eastAsia="宋体" w:cs="宋体"/>
          <w:b/>
          <w:bCs/>
          <w:color w:val="auto"/>
          <w:kern w:val="2"/>
          <w:sz w:val="21"/>
          <w:szCs w:val="20"/>
          <w:lang w:val="en-US" w:eastAsia="zh-CN" w:bidi="ar-SA"/>
        </w:rPr>
      </w:pPr>
      <w:r>
        <w:rPr>
          <w:rFonts w:hint="eastAsia" w:ascii="宋体" w:hAnsi="宋体" w:eastAsia="宋体" w:cs="宋体"/>
          <w:b/>
          <w:bCs/>
          <w:color w:val="auto"/>
          <w:kern w:val="2"/>
          <w:sz w:val="21"/>
          <w:szCs w:val="20"/>
          <w:lang w:val="en-US" w:eastAsia="zh-CN" w:bidi="ar-SA"/>
        </w:rPr>
        <w:t>7.特别说明</w:t>
      </w:r>
    </w:p>
    <w:p w14:paraId="54FBB300">
      <w:pPr>
        <w:spacing w:line="360" w:lineRule="auto"/>
        <w:ind w:firstLine="420" w:firstLineChars="200"/>
        <w:rPr>
          <w:rFonts w:ascii="宋体" w:hAnsi="宋体" w:cs="宋体"/>
          <w:color w:val="auto"/>
          <w:szCs w:val="21"/>
        </w:rPr>
      </w:pPr>
      <w:bookmarkStart w:id="65" w:name="_8.1提供相同品牌产品且通过资格审查、符合性审查的不同投标人参加同一合"/>
      <w:bookmarkEnd w:id="65"/>
      <w:r>
        <w:rPr>
          <w:rFonts w:hint="eastAsia" w:ascii="宋体" w:hAnsi="宋体" w:cs="宋体"/>
          <w:color w:val="auto"/>
          <w:szCs w:val="21"/>
        </w:rPr>
        <w:t>7.</w:t>
      </w:r>
      <w:r>
        <w:rPr>
          <w:rFonts w:ascii="宋体" w:hAnsi="宋体" w:cs="宋体"/>
          <w:color w:val="auto"/>
          <w:szCs w:val="21"/>
        </w:rPr>
        <w:t>1</w:t>
      </w:r>
      <w:r>
        <w:rPr>
          <w:rFonts w:hint="eastAsia" w:ascii="宋体" w:hAnsi="宋体"/>
          <w:color w:val="auto"/>
          <w:szCs w:val="21"/>
        </w:rPr>
        <w:t>如果本磋商文件要求供应商提供资格、信誉、荣誉、业绩与企业认证等材料的，则供应商所提供的以上材料必须为供应商所拥有</w:t>
      </w:r>
      <w:r>
        <w:rPr>
          <w:rFonts w:hint="eastAsia" w:ascii="宋体" w:hAnsi="宋体" w:cs="宋体"/>
          <w:color w:val="auto"/>
          <w:szCs w:val="21"/>
        </w:rPr>
        <w:t>。</w:t>
      </w:r>
    </w:p>
    <w:p w14:paraId="710FACB4">
      <w:pPr>
        <w:spacing w:line="360" w:lineRule="auto"/>
        <w:ind w:firstLine="420" w:firstLineChars="200"/>
        <w:rPr>
          <w:rFonts w:ascii="宋体" w:hAnsi="宋体" w:cs="宋体"/>
          <w:color w:val="auto"/>
          <w:szCs w:val="21"/>
        </w:rPr>
      </w:pPr>
      <w:r>
        <w:rPr>
          <w:rFonts w:hint="eastAsia" w:ascii="宋体" w:hAnsi="宋体" w:cs="宋体"/>
          <w:color w:val="auto"/>
          <w:szCs w:val="21"/>
        </w:rPr>
        <w:t>7.</w:t>
      </w:r>
      <w:r>
        <w:rPr>
          <w:rFonts w:ascii="宋体" w:hAnsi="宋体" w:cs="宋体"/>
          <w:color w:val="auto"/>
          <w:szCs w:val="21"/>
        </w:rPr>
        <w:t>2</w:t>
      </w:r>
      <w:r>
        <w:rPr>
          <w:rFonts w:hint="eastAsia" w:ascii="宋体" w:hAnsi="宋体" w:cs="宋体"/>
          <w:color w:val="auto"/>
          <w:szCs w:val="21"/>
        </w:rPr>
        <w:t>供应商应仔细阅读磋商文件的所有内容，按照磋商文件的要求提交响应文件，并对所提供的全部资料的真实性承担法律责任。</w:t>
      </w:r>
    </w:p>
    <w:p w14:paraId="3D4B0093">
      <w:pPr>
        <w:spacing w:line="360" w:lineRule="auto"/>
        <w:ind w:firstLine="420" w:firstLineChars="200"/>
        <w:rPr>
          <w:rFonts w:ascii="宋体" w:hAnsi="宋体" w:cs="宋体"/>
          <w:color w:val="auto"/>
          <w:szCs w:val="21"/>
        </w:rPr>
      </w:pPr>
      <w:r>
        <w:rPr>
          <w:rFonts w:hint="eastAsia" w:ascii="宋体" w:hAnsi="宋体" w:cs="宋体"/>
          <w:color w:val="auto"/>
          <w:szCs w:val="21"/>
        </w:rPr>
        <w:t>7.</w:t>
      </w:r>
      <w:r>
        <w:rPr>
          <w:rFonts w:ascii="宋体" w:hAnsi="宋体" w:cs="宋体"/>
          <w:color w:val="auto"/>
          <w:szCs w:val="21"/>
        </w:rPr>
        <w:t>3</w:t>
      </w:r>
      <w:r>
        <w:rPr>
          <w:rFonts w:hint="eastAsia" w:ascii="宋体" w:hAnsi="宋体" w:cs="宋体"/>
          <w:color w:val="auto"/>
          <w:szCs w:val="21"/>
        </w:rPr>
        <w:t>供应商在竞标活动中提供任何疑似虚假材料，将报监管部门查处；签订合同后发现的，成交供应商须依照《中华人民共和国消费者权益保护法》规定赔偿采购人，且民事赔偿并不免除违法供应商的行政与刑事责任。</w:t>
      </w:r>
    </w:p>
    <w:p w14:paraId="0AAC633A">
      <w:pPr>
        <w:spacing w:line="360" w:lineRule="auto"/>
        <w:ind w:firstLine="420" w:firstLineChars="200"/>
        <w:rPr>
          <w:rFonts w:ascii="宋体" w:hAnsi="宋体" w:cs="宋体"/>
          <w:color w:val="auto"/>
          <w:szCs w:val="21"/>
        </w:rPr>
      </w:pPr>
      <w:r>
        <w:rPr>
          <w:rFonts w:hint="eastAsia" w:ascii="宋体" w:hAnsi="宋体" w:cs="宋体"/>
          <w:color w:val="auto"/>
          <w:szCs w:val="21"/>
        </w:rPr>
        <w:t>7.</w:t>
      </w:r>
      <w:r>
        <w:rPr>
          <w:rFonts w:ascii="宋体" w:hAnsi="宋体" w:cs="宋体"/>
          <w:color w:val="auto"/>
          <w:szCs w:val="21"/>
        </w:rPr>
        <w:t>4</w:t>
      </w:r>
      <w:r>
        <w:rPr>
          <w:rFonts w:hint="eastAsia" w:ascii="宋体" w:hAnsi="宋体" w:cs="宋体"/>
          <w:color w:val="auto"/>
          <w:szCs w:val="21"/>
        </w:rPr>
        <w:t>在政府采购活动中，采购人员及相关人员与供应商有下列利害关系之一的，应当回避：</w:t>
      </w:r>
    </w:p>
    <w:p w14:paraId="77A06E1F">
      <w:pPr>
        <w:spacing w:line="360" w:lineRule="auto"/>
        <w:ind w:firstLine="420" w:firstLineChars="200"/>
        <w:rPr>
          <w:rFonts w:ascii="宋体" w:hAnsi="宋体" w:cs="宋体"/>
          <w:color w:val="auto"/>
          <w:szCs w:val="21"/>
        </w:rPr>
      </w:pPr>
      <w:r>
        <w:rPr>
          <w:rFonts w:hint="eastAsia" w:ascii="宋体" w:hAnsi="宋体" w:cs="宋体"/>
          <w:color w:val="auto"/>
          <w:szCs w:val="21"/>
        </w:rPr>
        <w:t>（1）参加采购活动前3年内与供应商存在劳动关系；</w:t>
      </w:r>
    </w:p>
    <w:p w14:paraId="4B1AB0D0">
      <w:pPr>
        <w:spacing w:line="360" w:lineRule="auto"/>
        <w:ind w:firstLine="420" w:firstLineChars="200"/>
        <w:rPr>
          <w:rFonts w:ascii="宋体" w:hAnsi="宋体" w:cs="宋体"/>
          <w:color w:val="auto"/>
          <w:szCs w:val="21"/>
        </w:rPr>
      </w:pPr>
      <w:r>
        <w:rPr>
          <w:rFonts w:hint="eastAsia" w:ascii="宋体" w:hAnsi="宋体" w:cs="宋体"/>
          <w:color w:val="auto"/>
          <w:szCs w:val="21"/>
        </w:rPr>
        <w:t>（2）参加采购活动前3年内担任供应商的董事、监事；</w:t>
      </w:r>
    </w:p>
    <w:p w14:paraId="17767603">
      <w:pPr>
        <w:spacing w:line="360" w:lineRule="auto"/>
        <w:ind w:firstLine="420" w:firstLineChars="200"/>
        <w:rPr>
          <w:rFonts w:ascii="宋体" w:hAnsi="宋体" w:cs="宋体"/>
          <w:color w:val="auto"/>
          <w:szCs w:val="21"/>
        </w:rPr>
      </w:pPr>
      <w:r>
        <w:rPr>
          <w:rFonts w:hint="eastAsia" w:ascii="宋体" w:hAnsi="宋体" w:cs="宋体"/>
          <w:color w:val="auto"/>
          <w:szCs w:val="21"/>
        </w:rPr>
        <w:t>（3）参加采购活动前3年内是供应商的控股股东或者实际控制人；</w:t>
      </w:r>
    </w:p>
    <w:p w14:paraId="6C0CB397">
      <w:pPr>
        <w:spacing w:line="360" w:lineRule="auto"/>
        <w:ind w:firstLine="420" w:firstLineChars="200"/>
        <w:rPr>
          <w:rFonts w:ascii="宋体" w:hAnsi="宋体" w:cs="宋体"/>
          <w:color w:val="auto"/>
          <w:szCs w:val="21"/>
        </w:rPr>
      </w:pPr>
      <w:r>
        <w:rPr>
          <w:rFonts w:hint="eastAsia" w:ascii="宋体" w:hAnsi="宋体" w:cs="宋体"/>
          <w:color w:val="auto"/>
          <w:szCs w:val="21"/>
        </w:rPr>
        <w:t>（4）与供应商的法定代表人或者负责人有夫妻、直系血亲、三代以内旁系血亲或者近姻亲关系；</w:t>
      </w:r>
    </w:p>
    <w:p w14:paraId="185D77D5">
      <w:pPr>
        <w:spacing w:line="360" w:lineRule="auto"/>
        <w:ind w:firstLine="420" w:firstLineChars="200"/>
        <w:rPr>
          <w:rFonts w:ascii="宋体" w:hAnsi="宋体" w:cs="宋体"/>
          <w:color w:val="auto"/>
          <w:szCs w:val="21"/>
        </w:rPr>
      </w:pPr>
      <w:r>
        <w:rPr>
          <w:rFonts w:hint="eastAsia" w:ascii="宋体" w:hAnsi="宋体" w:cs="宋体"/>
          <w:color w:val="auto"/>
          <w:szCs w:val="21"/>
        </w:rPr>
        <w:t>（5）与供应商有其他可能影响政府采购活动公平、公正进行的关系。</w:t>
      </w:r>
    </w:p>
    <w:p w14:paraId="68B5DCC8">
      <w:pPr>
        <w:spacing w:line="360" w:lineRule="auto"/>
        <w:ind w:firstLine="420" w:firstLineChars="200"/>
        <w:rPr>
          <w:rFonts w:ascii="宋体" w:hAnsi="宋体" w:cs="宋体"/>
          <w:color w:val="auto"/>
          <w:szCs w:val="21"/>
        </w:rPr>
      </w:pPr>
      <w:r>
        <w:rPr>
          <w:rFonts w:hint="eastAsia" w:ascii="宋体" w:hAnsi="宋体" w:cs="宋体"/>
          <w:color w:val="auto"/>
          <w:szCs w:val="21"/>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4C54B58C">
      <w:pPr>
        <w:spacing w:line="360" w:lineRule="auto"/>
        <w:ind w:firstLine="420" w:firstLineChars="200"/>
        <w:rPr>
          <w:rFonts w:ascii="宋体" w:hAnsi="宋体" w:cs="宋体"/>
          <w:color w:val="auto"/>
          <w:szCs w:val="21"/>
        </w:rPr>
      </w:pPr>
      <w:r>
        <w:rPr>
          <w:rFonts w:hint="eastAsia" w:ascii="宋体" w:hAnsi="宋体" w:cs="宋体"/>
          <w:color w:val="auto"/>
          <w:szCs w:val="21"/>
        </w:rPr>
        <w:t>7.</w:t>
      </w:r>
      <w:r>
        <w:rPr>
          <w:rFonts w:ascii="宋体" w:hAnsi="宋体" w:cs="宋体"/>
          <w:color w:val="auto"/>
          <w:szCs w:val="21"/>
        </w:rPr>
        <w:t>5</w:t>
      </w:r>
      <w:r>
        <w:rPr>
          <w:rFonts w:hint="eastAsia" w:ascii="宋体" w:hAnsi="宋体" w:cs="宋体"/>
          <w:color w:val="auto"/>
          <w:szCs w:val="21"/>
        </w:rPr>
        <w:t>有下列情形之一的视为供应商相互串通竞标，响应文件将被视为无效：</w:t>
      </w:r>
    </w:p>
    <w:p w14:paraId="12AA78A3">
      <w:pPr>
        <w:spacing w:line="360" w:lineRule="auto"/>
        <w:ind w:firstLine="420" w:firstLineChars="200"/>
        <w:rPr>
          <w:rFonts w:ascii="宋体" w:hAnsi="宋体" w:cs="宋体"/>
          <w:color w:val="auto"/>
          <w:szCs w:val="21"/>
        </w:rPr>
      </w:pPr>
      <w:r>
        <w:rPr>
          <w:rFonts w:hint="eastAsia" w:ascii="宋体" w:hAnsi="宋体" w:cs="宋体"/>
          <w:color w:val="auto"/>
          <w:szCs w:val="21"/>
        </w:rPr>
        <w:t>（1）不同供应商的响应文件由同一单位或者个人编制；或者不同供应商报名的IP地址一致的；</w:t>
      </w:r>
    </w:p>
    <w:p w14:paraId="3D3D9FCE">
      <w:pPr>
        <w:spacing w:line="360" w:lineRule="auto"/>
        <w:ind w:firstLine="420" w:firstLineChars="200"/>
        <w:rPr>
          <w:rFonts w:ascii="宋体" w:hAnsi="宋体" w:cs="宋体"/>
          <w:color w:val="auto"/>
          <w:szCs w:val="21"/>
        </w:rPr>
      </w:pPr>
      <w:r>
        <w:rPr>
          <w:rFonts w:hint="eastAsia" w:ascii="宋体" w:hAnsi="宋体" w:cs="宋体"/>
          <w:color w:val="auto"/>
          <w:szCs w:val="21"/>
        </w:rPr>
        <w:t>（2）不同供应商委托同一单位或者个人办理竞标事宜；</w:t>
      </w:r>
    </w:p>
    <w:p w14:paraId="2670D522">
      <w:pPr>
        <w:spacing w:line="360" w:lineRule="auto"/>
        <w:ind w:firstLine="420" w:firstLineChars="200"/>
        <w:rPr>
          <w:rFonts w:ascii="宋体" w:hAnsi="宋体" w:cs="宋体"/>
          <w:color w:val="auto"/>
          <w:szCs w:val="21"/>
        </w:rPr>
      </w:pPr>
      <w:r>
        <w:rPr>
          <w:rFonts w:hint="eastAsia" w:ascii="宋体" w:hAnsi="宋体" w:cs="宋体"/>
          <w:color w:val="auto"/>
          <w:szCs w:val="21"/>
        </w:rPr>
        <w:t>（3）不同的供应商的响应文件载明的项目管理员为同一个人；</w:t>
      </w:r>
    </w:p>
    <w:p w14:paraId="47997752">
      <w:pPr>
        <w:spacing w:line="360" w:lineRule="auto"/>
        <w:ind w:firstLine="420" w:firstLineChars="200"/>
        <w:rPr>
          <w:rFonts w:ascii="宋体" w:hAnsi="宋体" w:cs="宋体"/>
          <w:color w:val="auto"/>
          <w:szCs w:val="21"/>
        </w:rPr>
      </w:pPr>
      <w:r>
        <w:rPr>
          <w:rFonts w:hint="eastAsia" w:ascii="宋体" w:hAnsi="宋体" w:cs="宋体"/>
          <w:color w:val="auto"/>
          <w:szCs w:val="21"/>
        </w:rPr>
        <w:t>（4）不同供应商的响应文件异常一致或者报价呈规律性差异；</w:t>
      </w:r>
    </w:p>
    <w:p w14:paraId="6F8CC44F">
      <w:pPr>
        <w:spacing w:line="360" w:lineRule="auto"/>
        <w:ind w:firstLine="420" w:firstLineChars="200"/>
        <w:rPr>
          <w:rFonts w:ascii="宋体" w:hAnsi="宋体" w:cs="宋体"/>
          <w:color w:val="auto"/>
          <w:szCs w:val="21"/>
        </w:rPr>
      </w:pPr>
      <w:r>
        <w:rPr>
          <w:rFonts w:hint="eastAsia" w:ascii="宋体" w:hAnsi="宋体" w:cs="宋体"/>
          <w:color w:val="auto"/>
          <w:szCs w:val="21"/>
        </w:rPr>
        <w:t>（5）不同供应商的响应文件相互混装；</w:t>
      </w:r>
    </w:p>
    <w:p w14:paraId="1C543C20">
      <w:pPr>
        <w:tabs>
          <w:tab w:val="left" w:pos="6931"/>
        </w:tabs>
        <w:spacing w:line="360" w:lineRule="auto"/>
        <w:ind w:firstLine="420" w:firstLineChars="200"/>
        <w:rPr>
          <w:rFonts w:ascii="宋体" w:hAnsi="宋体" w:cs="宋体"/>
          <w:color w:val="auto"/>
          <w:szCs w:val="21"/>
        </w:rPr>
      </w:pPr>
      <w:r>
        <w:rPr>
          <w:rFonts w:hint="eastAsia" w:ascii="宋体" w:hAnsi="宋体" w:cs="宋体"/>
          <w:color w:val="auto"/>
          <w:szCs w:val="21"/>
        </w:rPr>
        <w:t>（6）不同供应商的磋商保证金从同一单位或者个人账户转出。</w:t>
      </w:r>
      <w:r>
        <w:rPr>
          <w:rFonts w:ascii="宋体" w:hAnsi="宋体" w:cs="宋体"/>
          <w:color w:val="auto"/>
          <w:szCs w:val="21"/>
        </w:rPr>
        <w:tab/>
      </w:r>
    </w:p>
    <w:p w14:paraId="0C424591">
      <w:pPr>
        <w:spacing w:line="360" w:lineRule="auto"/>
        <w:ind w:firstLine="420" w:firstLineChars="200"/>
        <w:rPr>
          <w:rFonts w:ascii="宋体" w:hAnsi="宋体" w:cs="宋体"/>
          <w:color w:val="auto"/>
          <w:szCs w:val="21"/>
        </w:rPr>
      </w:pPr>
      <w:r>
        <w:rPr>
          <w:rFonts w:hint="eastAsia" w:ascii="宋体" w:hAnsi="宋体" w:cs="宋体"/>
          <w:color w:val="auto"/>
          <w:szCs w:val="21"/>
        </w:rPr>
        <w:t>7.</w:t>
      </w:r>
      <w:r>
        <w:rPr>
          <w:rFonts w:ascii="宋体" w:hAnsi="宋体" w:cs="宋体"/>
          <w:color w:val="auto"/>
          <w:szCs w:val="21"/>
        </w:rPr>
        <w:t>6</w:t>
      </w:r>
      <w:r>
        <w:rPr>
          <w:rFonts w:hint="eastAsia" w:ascii="宋体" w:hAnsi="宋体" w:cs="宋体"/>
          <w:color w:val="auto"/>
          <w:szCs w:val="21"/>
        </w:rPr>
        <w:t>供应商有下列情形之一的，属于恶意串通行为，将报同级监督管理部门：</w:t>
      </w:r>
    </w:p>
    <w:p w14:paraId="490C2020">
      <w:pPr>
        <w:spacing w:line="360" w:lineRule="auto"/>
        <w:ind w:firstLine="420" w:firstLineChars="200"/>
        <w:rPr>
          <w:rFonts w:ascii="宋体" w:hAnsi="宋体" w:cs="宋体"/>
          <w:color w:val="auto"/>
          <w:szCs w:val="21"/>
        </w:rPr>
      </w:pPr>
      <w:r>
        <w:rPr>
          <w:rFonts w:hint="eastAsia" w:ascii="宋体" w:hAnsi="宋体" w:cs="宋体"/>
          <w:color w:val="auto"/>
          <w:szCs w:val="21"/>
        </w:rPr>
        <w:t>（1）供应商直接或者间接从采购人或者采购代理机构处获得其他供应商的相关信息并修改其响应文件；</w:t>
      </w:r>
    </w:p>
    <w:p w14:paraId="2E1629C7">
      <w:pPr>
        <w:spacing w:line="360" w:lineRule="auto"/>
        <w:ind w:firstLine="420" w:firstLineChars="200"/>
        <w:rPr>
          <w:rFonts w:ascii="宋体" w:hAnsi="宋体" w:cs="宋体"/>
          <w:color w:val="auto"/>
          <w:szCs w:val="21"/>
        </w:rPr>
      </w:pPr>
      <w:r>
        <w:rPr>
          <w:rFonts w:hint="eastAsia" w:ascii="宋体" w:hAnsi="宋体" w:cs="宋体"/>
          <w:color w:val="auto"/>
          <w:szCs w:val="21"/>
        </w:rPr>
        <w:t>（2）供应商按照采购人或者采购代理机构的授意撤换、修改响应文件；</w:t>
      </w:r>
    </w:p>
    <w:p w14:paraId="312DF9BD">
      <w:pPr>
        <w:spacing w:line="360" w:lineRule="auto"/>
        <w:ind w:firstLine="420" w:firstLineChars="200"/>
        <w:rPr>
          <w:rFonts w:ascii="宋体" w:hAnsi="宋体" w:cs="宋体"/>
          <w:color w:val="auto"/>
          <w:szCs w:val="21"/>
        </w:rPr>
      </w:pPr>
      <w:r>
        <w:rPr>
          <w:rFonts w:hint="eastAsia" w:ascii="宋体" w:hAnsi="宋体" w:cs="宋体"/>
          <w:color w:val="auto"/>
          <w:szCs w:val="21"/>
        </w:rPr>
        <w:t>（3）供应商之间协商报价、技术方案等响应文件或者响应文件的实质性内容；</w:t>
      </w:r>
    </w:p>
    <w:p w14:paraId="122A24F0">
      <w:pPr>
        <w:spacing w:line="360" w:lineRule="auto"/>
        <w:ind w:firstLine="420" w:firstLineChars="200"/>
        <w:rPr>
          <w:rFonts w:ascii="宋体" w:hAnsi="宋体" w:cs="宋体"/>
          <w:color w:val="auto"/>
          <w:szCs w:val="21"/>
        </w:rPr>
      </w:pPr>
      <w:r>
        <w:rPr>
          <w:rFonts w:hint="eastAsia" w:ascii="宋体" w:hAnsi="宋体" w:cs="宋体"/>
          <w:color w:val="auto"/>
          <w:szCs w:val="21"/>
        </w:rPr>
        <w:t>（4）属于同一集团、协会、商会等组织成员的供应商按照该组织要求协同参加政府采购活动；</w:t>
      </w:r>
    </w:p>
    <w:p w14:paraId="4072A353">
      <w:pPr>
        <w:spacing w:line="360" w:lineRule="auto"/>
        <w:ind w:firstLine="420" w:firstLineChars="200"/>
        <w:rPr>
          <w:rFonts w:ascii="宋体" w:hAnsi="宋体" w:cs="宋体"/>
          <w:color w:val="auto"/>
          <w:szCs w:val="21"/>
        </w:rPr>
      </w:pPr>
      <w:r>
        <w:rPr>
          <w:rFonts w:hint="eastAsia" w:ascii="宋体" w:hAnsi="宋体" w:cs="宋体"/>
          <w:color w:val="auto"/>
          <w:szCs w:val="21"/>
        </w:rPr>
        <w:t>（5）供应商之间事先约定一致抬高或者压低报价，或者在政府采购活动中事先约定轮流以高价位或者低价位成交，或者事先约定由某一特定供应商成交，然后再参加竞标；</w:t>
      </w:r>
    </w:p>
    <w:p w14:paraId="59F15753">
      <w:pPr>
        <w:spacing w:line="360" w:lineRule="auto"/>
        <w:ind w:firstLine="420" w:firstLineChars="200"/>
        <w:rPr>
          <w:rFonts w:ascii="宋体" w:hAnsi="宋体" w:cs="宋体"/>
          <w:color w:val="auto"/>
          <w:szCs w:val="21"/>
        </w:rPr>
      </w:pPr>
      <w:r>
        <w:rPr>
          <w:rFonts w:hint="eastAsia" w:ascii="宋体" w:hAnsi="宋体" w:cs="宋体"/>
          <w:color w:val="auto"/>
          <w:szCs w:val="21"/>
        </w:rPr>
        <w:t>（6）供应商之间商定部分供应商放弃参加政府采购活动或者放弃成交；</w:t>
      </w:r>
    </w:p>
    <w:p w14:paraId="7C3B7B14">
      <w:pPr>
        <w:spacing w:line="360" w:lineRule="auto"/>
        <w:ind w:firstLine="420" w:firstLineChars="200"/>
        <w:rPr>
          <w:rFonts w:ascii="宋体" w:hAnsi="宋体" w:cs="宋体"/>
          <w:color w:val="auto"/>
          <w:szCs w:val="21"/>
        </w:rPr>
      </w:pPr>
      <w:r>
        <w:rPr>
          <w:rFonts w:hint="eastAsia" w:ascii="宋体" w:hAnsi="宋体" w:cs="宋体"/>
          <w:color w:val="auto"/>
          <w:szCs w:val="21"/>
        </w:rPr>
        <w:t>（7）供应商与采购人或者采购代理机构之间、供应商相互之间，为谋求特定供应商成交或者排斥其他供应商的其他串通行为。</w:t>
      </w:r>
    </w:p>
    <w:p w14:paraId="3BA6C0A3">
      <w:pPr>
        <w:jc w:val="center"/>
        <w:rPr>
          <w:rFonts w:hint="eastAsia" w:asciiTheme="majorEastAsia" w:hAnsiTheme="majorEastAsia" w:eastAsiaTheme="majorEastAsia" w:cstheme="majorEastAsia"/>
          <w:b/>
          <w:color w:val="auto"/>
          <w:sz w:val="32"/>
          <w:highlight w:val="none"/>
        </w:rPr>
      </w:pPr>
    </w:p>
    <w:p w14:paraId="47452CC5">
      <w:pPr>
        <w:pStyle w:val="16"/>
        <w:spacing w:line="240" w:lineRule="exact"/>
        <w:rPr>
          <w:rFonts w:hint="eastAsia" w:asciiTheme="majorEastAsia" w:hAnsiTheme="majorEastAsia" w:eastAsiaTheme="majorEastAsia" w:cstheme="majorEastAsia"/>
          <w:color w:val="auto"/>
          <w:highlight w:val="none"/>
        </w:rPr>
      </w:pPr>
    </w:p>
    <w:p w14:paraId="043AC21D">
      <w:pPr>
        <w:spacing w:line="360" w:lineRule="auto"/>
        <w:jc w:val="center"/>
        <w:rPr>
          <w:rFonts w:ascii="宋体" w:hAnsi="宋体"/>
          <w:b/>
          <w:bCs/>
          <w:color w:val="auto"/>
          <w:sz w:val="32"/>
          <w:szCs w:val="32"/>
        </w:rPr>
      </w:pPr>
      <w:r>
        <w:rPr>
          <w:rFonts w:hint="eastAsia" w:asciiTheme="majorEastAsia" w:hAnsiTheme="majorEastAsia" w:eastAsiaTheme="majorEastAsia" w:cstheme="majorEastAsia"/>
          <w:b/>
          <w:color w:val="auto"/>
          <w:sz w:val="32"/>
          <w:szCs w:val="32"/>
          <w:highlight w:val="none"/>
        </w:rPr>
        <w:br w:type="page"/>
      </w:r>
      <w:r>
        <w:rPr>
          <w:rFonts w:hint="eastAsia" w:ascii="宋体" w:hAnsi="宋体"/>
          <w:b/>
          <w:bCs/>
          <w:color w:val="auto"/>
          <w:sz w:val="32"/>
          <w:szCs w:val="32"/>
        </w:rPr>
        <w:t>二、磋商文件</w:t>
      </w:r>
    </w:p>
    <w:p w14:paraId="53655B02">
      <w:pPr>
        <w:spacing w:line="360" w:lineRule="auto"/>
        <w:jc w:val="center"/>
        <w:rPr>
          <w:rFonts w:ascii="宋体" w:hAnsi="宋体"/>
          <w:color w:val="auto"/>
          <w:szCs w:val="21"/>
        </w:rPr>
      </w:pPr>
    </w:p>
    <w:p w14:paraId="5A0543E2">
      <w:pPr>
        <w:spacing w:line="360" w:lineRule="auto"/>
        <w:ind w:firstLine="422" w:firstLineChars="200"/>
        <w:rPr>
          <w:rFonts w:hint="eastAsia" w:ascii="宋体" w:hAnsi="宋体" w:eastAsia="宋体" w:cs="宋体"/>
          <w:b/>
          <w:bCs/>
          <w:color w:val="auto"/>
          <w:kern w:val="2"/>
          <w:sz w:val="21"/>
          <w:szCs w:val="20"/>
          <w:lang w:val="en-US" w:eastAsia="zh-CN" w:bidi="ar-SA"/>
        </w:rPr>
      </w:pPr>
      <w:r>
        <w:rPr>
          <w:rFonts w:hint="eastAsia" w:ascii="宋体" w:hAnsi="宋体" w:eastAsia="宋体" w:cs="宋体"/>
          <w:b/>
          <w:bCs/>
          <w:color w:val="auto"/>
          <w:kern w:val="2"/>
          <w:sz w:val="21"/>
          <w:szCs w:val="20"/>
          <w:lang w:val="en-US" w:eastAsia="zh-CN" w:bidi="ar-SA"/>
        </w:rPr>
        <w:t>8.磋商文件的构成</w:t>
      </w:r>
    </w:p>
    <w:p w14:paraId="4F833CD0">
      <w:pPr>
        <w:spacing w:line="360" w:lineRule="auto"/>
        <w:ind w:firstLine="420" w:firstLineChars="200"/>
        <w:jc w:val="left"/>
        <w:rPr>
          <w:rFonts w:hint="eastAsia" w:ascii="宋体" w:hAnsi="宋体" w:eastAsia="宋体" w:cs="宋体"/>
          <w:color w:val="auto"/>
          <w:sz w:val="21"/>
          <w:szCs w:val="21"/>
        </w:rPr>
      </w:pPr>
      <w:r>
        <w:rPr>
          <w:rFonts w:hint="eastAsia" w:ascii="宋体" w:hAnsi="宋体" w:eastAsia="宋体" w:cs="宋体"/>
          <w:color w:val="auto"/>
          <w:sz w:val="21"/>
          <w:szCs w:val="21"/>
        </w:rPr>
        <w:t>（1）竞争性磋商公告；</w:t>
      </w:r>
    </w:p>
    <w:p w14:paraId="60ADC9F2">
      <w:pPr>
        <w:spacing w:line="360" w:lineRule="auto"/>
        <w:ind w:firstLine="420" w:firstLineChars="20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（2）供应商须知； </w:t>
      </w:r>
    </w:p>
    <w:p w14:paraId="6E734A69">
      <w:pPr>
        <w:spacing w:line="360" w:lineRule="auto"/>
        <w:ind w:firstLine="420" w:firstLineChars="200"/>
        <w:jc w:val="left"/>
        <w:rPr>
          <w:rFonts w:hint="eastAsia" w:ascii="宋体" w:hAnsi="宋体" w:eastAsia="宋体" w:cs="宋体"/>
          <w:color w:val="auto"/>
          <w:sz w:val="21"/>
          <w:szCs w:val="21"/>
        </w:rPr>
      </w:pPr>
      <w:r>
        <w:rPr>
          <w:rFonts w:hint="eastAsia" w:ascii="宋体" w:hAnsi="宋体" w:eastAsia="宋体" w:cs="宋体"/>
          <w:color w:val="auto"/>
          <w:sz w:val="21"/>
          <w:szCs w:val="21"/>
        </w:rPr>
        <w:t>（3）采购需求；</w:t>
      </w:r>
    </w:p>
    <w:p w14:paraId="70833C35">
      <w:pPr>
        <w:spacing w:line="360" w:lineRule="auto"/>
        <w:ind w:firstLine="420" w:firstLineChars="200"/>
        <w:jc w:val="left"/>
        <w:rPr>
          <w:rFonts w:hint="eastAsia" w:ascii="宋体" w:hAnsi="宋体" w:eastAsia="宋体" w:cs="宋体"/>
          <w:color w:val="auto"/>
          <w:sz w:val="21"/>
          <w:szCs w:val="21"/>
        </w:rPr>
      </w:pPr>
      <w:r>
        <w:rPr>
          <w:rFonts w:hint="eastAsia" w:ascii="宋体" w:hAnsi="宋体" w:eastAsia="宋体" w:cs="宋体"/>
          <w:color w:val="auto"/>
          <w:sz w:val="21"/>
          <w:szCs w:val="21"/>
        </w:rPr>
        <w:t>（4）评审程序、评审方法和评审标准；</w:t>
      </w:r>
    </w:p>
    <w:p w14:paraId="202C172F">
      <w:pPr>
        <w:spacing w:line="360" w:lineRule="auto"/>
        <w:ind w:firstLine="420" w:firstLineChars="20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（5）工程量清单及图纸</w:t>
      </w:r>
    </w:p>
    <w:p w14:paraId="41459421">
      <w:pPr>
        <w:spacing w:line="360" w:lineRule="auto"/>
        <w:ind w:firstLine="420" w:firstLineChars="200"/>
        <w:jc w:val="left"/>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6</w:t>
      </w:r>
      <w:r>
        <w:rPr>
          <w:rFonts w:hint="eastAsia" w:ascii="宋体" w:hAnsi="宋体" w:eastAsia="宋体" w:cs="宋体"/>
          <w:color w:val="auto"/>
          <w:sz w:val="21"/>
          <w:szCs w:val="21"/>
        </w:rPr>
        <w:t>）响应文件格式；</w:t>
      </w:r>
    </w:p>
    <w:p w14:paraId="525738BE">
      <w:pPr>
        <w:spacing w:line="360" w:lineRule="auto"/>
        <w:ind w:firstLine="420" w:firstLineChars="200"/>
        <w:jc w:val="left"/>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7</w:t>
      </w:r>
      <w:r>
        <w:rPr>
          <w:rFonts w:hint="eastAsia" w:ascii="宋体" w:hAnsi="宋体" w:eastAsia="宋体" w:cs="宋体"/>
          <w:color w:val="auto"/>
          <w:sz w:val="21"/>
          <w:szCs w:val="21"/>
        </w:rPr>
        <w:t>）合同文本。</w:t>
      </w:r>
    </w:p>
    <w:p w14:paraId="47AF4C0C">
      <w:pPr>
        <w:spacing w:line="360" w:lineRule="auto"/>
        <w:ind w:firstLine="422" w:firstLineChars="200"/>
        <w:rPr>
          <w:rFonts w:hint="eastAsia" w:ascii="宋体" w:hAnsi="宋体" w:eastAsia="宋体" w:cs="宋体"/>
          <w:b/>
          <w:bCs/>
          <w:color w:val="auto"/>
          <w:kern w:val="2"/>
          <w:sz w:val="21"/>
          <w:szCs w:val="20"/>
          <w:lang w:val="en-US" w:eastAsia="zh-CN" w:bidi="ar-SA"/>
        </w:rPr>
      </w:pPr>
      <w:r>
        <w:rPr>
          <w:rFonts w:hint="eastAsia" w:ascii="宋体" w:hAnsi="宋体" w:eastAsia="宋体" w:cs="宋体"/>
          <w:b/>
          <w:bCs/>
          <w:color w:val="auto"/>
          <w:kern w:val="2"/>
          <w:sz w:val="21"/>
          <w:szCs w:val="20"/>
          <w:lang w:val="en-US" w:eastAsia="zh-CN" w:bidi="ar-SA"/>
        </w:rPr>
        <w:t>9.供应商的询问</w:t>
      </w:r>
    </w:p>
    <w:p w14:paraId="5CBA29C0">
      <w:pPr>
        <w:spacing w:line="360" w:lineRule="auto"/>
        <w:ind w:firstLine="420" w:firstLineChars="200"/>
        <w:rPr>
          <w:rFonts w:ascii="宋体" w:hAnsi="宋体"/>
          <w:color w:val="auto"/>
          <w:szCs w:val="21"/>
        </w:rPr>
      </w:pPr>
      <w:r>
        <w:rPr>
          <w:rFonts w:hint="eastAsia" w:ascii="宋体" w:hAnsi="宋体"/>
          <w:color w:val="auto"/>
          <w:szCs w:val="21"/>
        </w:rPr>
        <w:t>供应商应认真阅读磋商文件的采购需求，如供应商对磋商文件有疑问的，如要求采购人作出澄清或者修改的，供应商尽可能在</w:t>
      </w:r>
      <w:r>
        <w:rPr>
          <w:rFonts w:ascii="宋体" w:hAnsi="宋体"/>
          <w:color w:val="auto"/>
          <w:szCs w:val="21"/>
        </w:rPr>
        <w:t>提交首次响应文件截止之日前</w:t>
      </w:r>
      <w:r>
        <w:rPr>
          <w:rFonts w:hint="eastAsia" w:ascii="宋体" w:hAnsi="宋体"/>
          <w:color w:val="auto"/>
          <w:szCs w:val="21"/>
        </w:rPr>
        <w:t>，以书面形式向</w:t>
      </w:r>
      <w:r>
        <w:rPr>
          <w:rFonts w:ascii="宋体" w:hAnsi="宋体"/>
          <w:color w:val="auto"/>
          <w:szCs w:val="21"/>
        </w:rPr>
        <w:t>采购人、采购代理机构</w:t>
      </w:r>
      <w:r>
        <w:rPr>
          <w:rFonts w:hint="eastAsia" w:ascii="宋体" w:hAnsi="宋体"/>
          <w:color w:val="auto"/>
          <w:szCs w:val="21"/>
        </w:rPr>
        <w:t>提出。</w:t>
      </w:r>
    </w:p>
    <w:p w14:paraId="144DB1BD">
      <w:pPr>
        <w:spacing w:line="360" w:lineRule="auto"/>
        <w:ind w:firstLine="422" w:firstLineChars="200"/>
        <w:rPr>
          <w:rFonts w:hint="eastAsia" w:ascii="宋体" w:hAnsi="宋体" w:eastAsia="宋体" w:cs="宋体"/>
          <w:b/>
          <w:bCs/>
          <w:color w:val="auto"/>
          <w:kern w:val="2"/>
          <w:sz w:val="21"/>
          <w:szCs w:val="20"/>
          <w:lang w:val="en-US" w:eastAsia="zh-CN" w:bidi="ar-SA"/>
        </w:rPr>
      </w:pPr>
      <w:r>
        <w:rPr>
          <w:rFonts w:hint="eastAsia" w:ascii="宋体" w:hAnsi="宋体" w:eastAsia="宋体" w:cs="宋体"/>
          <w:b/>
          <w:bCs/>
          <w:color w:val="auto"/>
          <w:kern w:val="2"/>
          <w:sz w:val="21"/>
          <w:szCs w:val="20"/>
          <w:lang w:val="en-US" w:eastAsia="zh-CN" w:bidi="ar-SA"/>
        </w:rPr>
        <w:t>10.磋商文件的澄清和修改</w:t>
      </w:r>
    </w:p>
    <w:p w14:paraId="730496FA">
      <w:pPr>
        <w:spacing w:line="360" w:lineRule="auto"/>
        <w:ind w:firstLine="420" w:firstLineChars="200"/>
        <w:rPr>
          <w:rFonts w:ascii="宋体" w:hAnsi="宋体"/>
          <w:color w:val="auto"/>
          <w:szCs w:val="21"/>
        </w:rPr>
      </w:pPr>
      <w:r>
        <w:rPr>
          <w:rFonts w:ascii="宋体" w:hAnsi="宋体"/>
          <w:color w:val="auto"/>
          <w:szCs w:val="21"/>
        </w:rPr>
        <w:t>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或者磋商小组在提交首次响应文件截止之日3个工作日前，以书面形式通知所有</w:t>
      </w:r>
      <w:r>
        <w:rPr>
          <w:rFonts w:hint="eastAsia" w:ascii="宋体" w:hAnsi="宋体"/>
          <w:color w:val="auto"/>
          <w:szCs w:val="21"/>
        </w:rPr>
        <w:t>获取</w:t>
      </w:r>
      <w:r>
        <w:rPr>
          <w:rFonts w:ascii="宋体" w:hAnsi="宋体"/>
          <w:color w:val="auto"/>
          <w:szCs w:val="21"/>
        </w:rPr>
        <w:t>磋商文件的供应商，不足3个工作日的，应当顺延提交首次响应文件截止之日。</w:t>
      </w:r>
    </w:p>
    <w:p w14:paraId="1E8BB591">
      <w:pPr>
        <w:spacing w:line="360" w:lineRule="auto"/>
        <w:rPr>
          <w:rFonts w:ascii="宋体" w:hAnsi="宋体"/>
          <w:color w:val="auto"/>
          <w:szCs w:val="21"/>
        </w:rPr>
      </w:pPr>
    </w:p>
    <w:p w14:paraId="2F63A107">
      <w:pPr>
        <w:spacing w:line="360" w:lineRule="auto"/>
        <w:jc w:val="center"/>
        <w:rPr>
          <w:rFonts w:ascii="宋体" w:hAnsi="宋体"/>
          <w:b/>
          <w:bCs/>
          <w:color w:val="auto"/>
          <w:szCs w:val="21"/>
        </w:rPr>
      </w:pPr>
      <w:r>
        <w:rPr>
          <w:rFonts w:hint="eastAsia" w:ascii="宋体" w:hAnsi="宋体"/>
          <w:b/>
          <w:bCs/>
          <w:color w:val="auto"/>
          <w:sz w:val="32"/>
          <w:szCs w:val="32"/>
        </w:rPr>
        <w:t>三、响应文件的编制</w:t>
      </w:r>
    </w:p>
    <w:p w14:paraId="36EB40BC">
      <w:pPr>
        <w:spacing w:line="360" w:lineRule="auto"/>
        <w:rPr>
          <w:rFonts w:ascii="宋体" w:hAnsi="宋体"/>
          <w:color w:val="auto"/>
          <w:szCs w:val="21"/>
        </w:rPr>
      </w:pPr>
    </w:p>
    <w:p w14:paraId="2F3E33B2">
      <w:pPr>
        <w:spacing w:line="360" w:lineRule="auto"/>
        <w:ind w:firstLine="422" w:firstLineChars="200"/>
        <w:rPr>
          <w:rFonts w:hint="eastAsia" w:ascii="宋体" w:hAnsi="宋体" w:eastAsia="宋体" w:cs="宋体"/>
          <w:b/>
          <w:bCs/>
          <w:color w:val="auto"/>
          <w:kern w:val="2"/>
          <w:sz w:val="21"/>
          <w:szCs w:val="20"/>
          <w:lang w:val="en-US" w:eastAsia="zh-CN" w:bidi="ar-SA"/>
        </w:rPr>
      </w:pPr>
      <w:r>
        <w:rPr>
          <w:rFonts w:hint="eastAsia" w:ascii="宋体" w:hAnsi="宋体" w:eastAsia="宋体" w:cs="宋体"/>
          <w:b/>
          <w:bCs/>
          <w:color w:val="auto"/>
          <w:kern w:val="2"/>
          <w:sz w:val="21"/>
          <w:szCs w:val="20"/>
          <w:lang w:val="en-US" w:eastAsia="zh-CN" w:bidi="ar-SA"/>
        </w:rPr>
        <w:t>11.响应文件的编制原则</w:t>
      </w:r>
    </w:p>
    <w:p w14:paraId="2D97C169">
      <w:pPr>
        <w:spacing w:line="360" w:lineRule="auto"/>
        <w:ind w:firstLine="420" w:firstLineChars="200"/>
        <w:rPr>
          <w:rFonts w:ascii="宋体" w:hAnsi="宋体" w:cs="宋体"/>
          <w:color w:val="auto"/>
          <w:szCs w:val="21"/>
        </w:rPr>
      </w:pPr>
      <w:r>
        <w:rPr>
          <w:rFonts w:hint="eastAsia" w:ascii="宋体" w:hAnsi="宋体" w:cs="宋体"/>
          <w:color w:val="auto"/>
          <w:szCs w:val="21"/>
        </w:rPr>
        <w:t>供应商必须按照磋商文件的要求编制响应文件，并对其提交的响应文件的真实性、合法性承担法律责任。响应文件必须对磋商文件作出实质性响应。</w:t>
      </w:r>
    </w:p>
    <w:p w14:paraId="69549D98">
      <w:pPr>
        <w:spacing w:line="360" w:lineRule="auto"/>
        <w:ind w:firstLine="422" w:firstLineChars="200"/>
        <w:rPr>
          <w:rFonts w:hint="eastAsia" w:ascii="宋体" w:hAnsi="宋体" w:eastAsia="宋体" w:cs="宋体"/>
          <w:b/>
          <w:bCs/>
          <w:color w:val="auto"/>
          <w:kern w:val="2"/>
          <w:sz w:val="21"/>
          <w:szCs w:val="20"/>
          <w:lang w:val="en-US" w:eastAsia="zh-CN" w:bidi="ar-SA"/>
        </w:rPr>
      </w:pPr>
      <w:r>
        <w:rPr>
          <w:rFonts w:hint="eastAsia" w:ascii="宋体" w:hAnsi="宋体" w:eastAsia="宋体" w:cs="宋体"/>
          <w:b/>
          <w:bCs/>
          <w:color w:val="auto"/>
          <w:kern w:val="2"/>
          <w:sz w:val="21"/>
          <w:szCs w:val="20"/>
          <w:lang w:val="en-US" w:eastAsia="zh-CN" w:bidi="ar-SA"/>
        </w:rPr>
        <w:t>12.响应文件的组成</w:t>
      </w:r>
    </w:p>
    <w:p w14:paraId="469455A7">
      <w:pPr>
        <w:spacing w:line="360" w:lineRule="auto"/>
        <w:ind w:firstLine="420" w:firstLineChars="200"/>
        <w:rPr>
          <w:rFonts w:ascii="宋体" w:hAnsi="宋体" w:cs="宋体"/>
          <w:color w:val="auto"/>
          <w:szCs w:val="21"/>
        </w:rPr>
      </w:pPr>
      <w:r>
        <w:rPr>
          <w:rFonts w:hint="eastAsia" w:ascii="宋体" w:hAnsi="宋体" w:cs="宋体"/>
          <w:color w:val="auto"/>
          <w:szCs w:val="21"/>
        </w:rPr>
        <w:t>12.1响应文件由资格证明文件、报价</w:t>
      </w:r>
      <w:r>
        <w:rPr>
          <w:rFonts w:hint="eastAsia" w:ascii="宋体" w:hAnsi="宋体" w:cs="宋体"/>
          <w:color w:val="auto"/>
          <w:szCs w:val="21"/>
          <w:lang w:eastAsia="zh-CN"/>
        </w:rPr>
        <w:t>文件、</w:t>
      </w:r>
      <w:r>
        <w:rPr>
          <w:rFonts w:hint="eastAsia" w:ascii="宋体" w:hAnsi="宋体" w:cs="宋体"/>
          <w:color w:val="auto"/>
          <w:szCs w:val="21"/>
        </w:rPr>
        <w:t>商务技术文件组成。</w:t>
      </w:r>
    </w:p>
    <w:p w14:paraId="256B1D19">
      <w:pPr>
        <w:spacing w:line="360" w:lineRule="auto"/>
        <w:ind w:left="840" w:leftChars="200" w:hanging="420" w:hangingChars="200"/>
        <w:rPr>
          <w:rFonts w:ascii="宋体" w:hAnsi="宋体" w:cs="宋体"/>
          <w:color w:val="auto"/>
          <w:szCs w:val="21"/>
        </w:rPr>
      </w:pPr>
      <w:r>
        <w:rPr>
          <w:rFonts w:hint="eastAsia" w:ascii="宋体" w:hAnsi="宋体" w:cs="宋体"/>
          <w:color w:val="auto"/>
          <w:szCs w:val="21"/>
        </w:rPr>
        <w:t>1</w:t>
      </w:r>
      <w:r>
        <w:rPr>
          <w:rFonts w:ascii="宋体" w:hAnsi="宋体" w:cs="宋体"/>
          <w:color w:val="auto"/>
          <w:szCs w:val="21"/>
        </w:rPr>
        <w:t>2.1.1</w:t>
      </w:r>
      <w:r>
        <w:rPr>
          <w:rFonts w:hint="eastAsia" w:ascii="宋体" w:hAnsi="宋体" w:cs="宋体"/>
          <w:color w:val="auto"/>
          <w:szCs w:val="21"/>
        </w:rPr>
        <w:t>资格证明文件：详见须知前附表</w:t>
      </w:r>
    </w:p>
    <w:p w14:paraId="4FFEF6BA">
      <w:pPr>
        <w:spacing w:line="360" w:lineRule="auto"/>
        <w:ind w:left="840" w:leftChars="200" w:hanging="420" w:hangingChars="200"/>
        <w:rPr>
          <w:rFonts w:ascii="宋体" w:hAnsi="宋体" w:cs="宋体"/>
          <w:color w:val="auto"/>
          <w:szCs w:val="21"/>
        </w:rPr>
      </w:pPr>
      <w:r>
        <w:rPr>
          <w:rFonts w:hint="eastAsia" w:ascii="宋体" w:hAnsi="宋体" w:cs="宋体"/>
          <w:color w:val="auto"/>
          <w:szCs w:val="21"/>
        </w:rPr>
        <w:t>1</w:t>
      </w:r>
      <w:r>
        <w:rPr>
          <w:rFonts w:ascii="宋体" w:hAnsi="宋体" w:cs="宋体"/>
          <w:color w:val="auto"/>
          <w:szCs w:val="21"/>
        </w:rPr>
        <w:t>2.1.2</w:t>
      </w:r>
      <w:r>
        <w:rPr>
          <w:rFonts w:hint="eastAsia" w:ascii="宋体" w:hAnsi="宋体" w:cs="宋体"/>
          <w:color w:val="auto"/>
          <w:szCs w:val="21"/>
        </w:rPr>
        <w:t>报价</w:t>
      </w:r>
      <w:r>
        <w:rPr>
          <w:rFonts w:hint="eastAsia" w:ascii="宋体" w:hAnsi="宋体" w:cs="宋体"/>
          <w:color w:val="auto"/>
          <w:szCs w:val="21"/>
          <w:lang w:eastAsia="zh-CN"/>
        </w:rPr>
        <w:t>文件、</w:t>
      </w:r>
      <w:r>
        <w:rPr>
          <w:rFonts w:hint="eastAsia" w:ascii="宋体" w:hAnsi="宋体" w:cs="宋体"/>
          <w:color w:val="auto"/>
          <w:szCs w:val="21"/>
        </w:rPr>
        <w:t>商务技术文件：详见须知前附表</w:t>
      </w:r>
    </w:p>
    <w:p w14:paraId="7034FA1E">
      <w:pPr>
        <w:spacing w:line="360" w:lineRule="auto"/>
        <w:ind w:left="840" w:leftChars="200" w:hanging="420" w:hangingChars="200"/>
        <w:rPr>
          <w:rFonts w:ascii="宋体" w:hAnsi="宋体" w:cs="宋体"/>
          <w:color w:val="auto"/>
          <w:szCs w:val="21"/>
        </w:rPr>
      </w:pPr>
      <w:r>
        <w:rPr>
          <w:rFonts w:hint="eastAsia" w:ascii="宋体" w:hAnsi="宋体" w:cs="宋体"/>
          <w:color w:val="auto"/>
          <w:szCs w:val="21"/>
        </w:rPr>
        <w:t>12.</w:t>
      </w:r>
      <w:r>
        <w:rPr>
          <w:rFonts w:ascii="宋体" w:hAnsi="宋体" w:cs="宋体"/>
          <w:color w:val="auto"/>
          <w:szCs w:val="21"/>
        </w:rPr>
        <w:t>2</w:t>
      </w:r>
      <w:r>
        <w:rPr>
          <w:rFonts w:hint="eastAsia" w:ascii="宋体" w:hAnsi="宋体" w:cs="宋体"/>
          <w:color w:val="auto"/>
          <w:szCs w:val="21"/>
        </w:rPr>
        <w:t>响应文件电子版：详见须知前附表</w:t>
      </w:r>
    </w:p>
    <w:p w14:paraId="4DC6122E">
      <w:pPr>
        <w:spacing w:line="360" w:lineRule="auto"/>
        <w:ind w:firstLine="422" w:firstLineChars="200"/>
        <w:rPr>
          <w:rFonts w:hint="eastAsia" w:ascii="宋体" w:hAnsi="宋体" w:eastAsia="宋体" w:cs="宋体"/>
          <w:b/>
          <w:bCs/>
          <w:color w:val="auto"/>
          <w:kern w:val="2"/>
          <w:sz w:val="21"/>
          <w:szCs w:val="20"/>
          <w:lang w:val="en-US" w:eastAsia="zh-CN" w:bidi="ar-SA"/>
        </w:rPr>
      </w:pPr>
      <w:r>
        <w:rPr>
          <w:rFonts w:hint="eastAsia" w:ascii="宋体" w:hAnsi="宋体" w:eastAsia="宋体" w:cs="宋体"/>
          <w:b/>
          <w:bCs/>
          <w:color w:val="auto"/>
          <w:kern w:val="2"/>
          <w:sz w:val="21"/>
          <w:szCs w:val="20"/>
          <w:lang w:val="en-US" w:eastAsia="zh-CN" w:bidi="ar-SA"/>
        </w:rPr>
        <w:t>13.计量单位</w:t>
      </w:r>
    </w:p>
    <w:p w14:paraId="5328065A">
      <w:pPr>
        <w:spacing w:line="360" w:lineRule="auto"/>
        <w:ind w:firstLine="420" w:firstLineChars="200"/>
        <w:rPr>
          <w:rFonts w:ascii="宋体" w:hAnsi="宋体" w:cs="宋体"/>
          <w:color w:val="auto"/>
          <w:szCs w:val="21"/>
        </w:rPr>
      </w:pPr>
      <w:r>
        <w:rPr>
          <w:rFonts w:hint="eastAsia" w:ascii="宋体" w:hAnsi="宋体" w:cs="宋体"/>
          <w:color w:val="auto"/>
          <w:szCs w:val="21"/>
        </w:rPr>
        <w:t>磋商文件已有明确规定的，使用磋商文件规定的计量单位；磋商文件没有规定的，应采用中华人民共和国法定计量单位，货币种类为人民币，否则视同未响应。</w:t>
      </w:r>
    </w:p>
    <w:p w14:paraId="02C1BE50">
      <w:pPr>
        <w:spacing w:line="360" w:lineRule="auto"/>
        <w:ind w:firstLine="422" w:firstLineChars="200"/>
        <w:rPr>
          <w:rFonts w:hint="eastAsia" w:ascii="宋体" w:hAnsi="宋体" w:eastAsia="宋体" w:cs="宋体"/>
          <w:b/>
          <w:bCs/>
          <w:color w:val="auto"/>
          <w:kern w:val="2"/>
          <w:sz w:val="21"/>
          <w:szCs w:val="20"/>
          <w:lang w:val="en-US" w:eastAsia="zh-CN" w:bidi="ar-SA"/>
        </w:rPr>
      </w:pPr>
      <w:r>
        <w:rPr>
          <w:rFonts w:hint="eastAsia" w:ascii="宋体" w:hAnsi="宋体" w:eastAsia="宋体" w:cs="宋体"/>
          <w:b/>
          <w:bCs/>
          <w:color w:val="auto"/>
          <w:kern w:val="2"/>
          <w:sz w:val="21"/>
          <w:szCs w:val="20"/>
          <w:lang w:val="en-US" w:eastAsia="zh-CN" w:bidi="ar-SA"/>
        </w:rPr>
        <w:t>14.竞标的风险</w:t>
      </w:r>
    </w:p>
    <w:p w14:paraId="0275E6BA">
      <w:pPr>
        <w:spacing w:line="360" w:lineRule="auto"/>
        <w:ind w:firstLine="420" w:firstLineChars="200"/>
        <w:rPr>
          <w:rFonts w:ascii="宋体" w:hAnsi="宋体" w:cs="宋体"/>
          <w:color w:val="auto"/>
          <w:szCs w:val="21"/>
        </w:rPr>
      </w:pPr>
      <w:r>
        <w:rPr>
          <w:rFonts w:hint="eastAsia" w:ascii="宋体" w:hAnsi="宋体" w:cs="宋体"/>
          <w:color w:val="auto"/>
          <w:szCs w:val="21"/>
        </w:rPr>
        <w:t>供应商没有按照磋商文件要求提供全部资料，或者供应商没有对磋商文件在各方面作出实质性响应可能导致其响应无效，是供应商应当考虑的风险。</w:t>
      </w:r>
    </w:p>
    <w:p w14:paraId="7A6E5B0C">
      <w:pPr>
        <w:spacing w:line="360" w:lineRule="auto"/>
        <w:ind w:firstLine="422" w:firstLineChars="200"/>
        <w:rPr>
          <w:rFonts w:hint="eastAsia" w:ascii="宋体" w:hAnsi="宋体" w:eastAsia="宋体" w:cs="宋体"/>
          <w:b/>
          <w:bCs/>
          <w:color w:val="auto"/>
          <w:kern w:val="2"/>
          <w:sz w:val="21"/>
          <w:szCs w:val="20"/>
          <w:lang w:val="en-US" w:eastAsia="zh-CN" w:bidi="ar-SA"/>
        </w:rPr>
      </w:pPr>
      <w:r>
        <w:rPr>
          <w:rFonts w:hint="eastAsia" w:ascii="宋体" w:hAnsi="宋体" w:eastAsia="宋体" w:cs="宋体"/>
          <w:b/>
          <w:bCs/>
          <w:color w:val="auto"/>
          <w:kern w:val="2"/>
          <w:sz w:val="21"/>
          <w:szCs w:val="20"/>
          <w:lang w:val="en-US" w:eastAsia="zh-CN" w:bidi="ar-SA"/>
        </w:rPr>
        <w:t>15.</w:t>
      </w:r>
      <w:bookmarkStart w:id="66" w:name="_Toc486196150"/>
      <w:bookmarkStart w:id="67" w:name="_Toc486922967"/>
      <w:bookmarkStart w:id="68" w:name="_Toc206525693"/>
      <w:bookmarkStart w:id="69" w:name="_Toc31759"/>
      <w:bookmarkStart w:id="70" w:name="_Toc207770846"/>
      <w:bookmarkStart w:id="71" w:name="_Toc239839874"/>
      <w:bookmarkStart w:id="72" w:name="_Toc230578068"/>
      <w:bookmarkStart w:id="73" w:name="_Toc185702560"/>
      <w:r>
        <w:rPr>
          <w:rFonts w:hint="eastAsia" w:ascii="宋体" w:hAnsi="宋体" w:eastAsia="宋体" w:cs="宋体"/>
          <w:b/>
          <w:bCs/>
          <w:color w:val="auto"/>
          <w:kern w:val="2"/>
          <w:sz w:val="21"/>
          <w:szCs w:val="20"/>
          <w:lang w:val="en-US" w:eastAsia="zh-CN" w:bidi="ar-SA"/>
        </w:rPr>
        <w:t>磋商报价</w:t>
      </w:r>
      <w:bookmarkEnd w:id="66"/>
      <w:bookmarkEnd w:id="67"/>
      <w:bookmarkEnd w:id="68"/>
      <w:bookmarkEnd w:id="69"/>
      <w:bookmarkEnd w:id="70"/>
      <w:bookmarkEnd w:id="71"/>
      <w:bookmarkEnd w:id="72"/>
      <w:bookmarkEnd w:id="73"/>
    </w:p>
    <w:p w14:paraId="0E20B7D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color w:val="auto"/>
        </w:rPr>
      </w:pPr>
      <w:r>
        <w:rPr>
          <w:rFonts w:hint="eastAsia"/>
          <w:color w:val="auto"/>
          <w:lang w:val="en-US" w:eastAsia="zh-CN"/>
        </w:rPr>
        <w:t>15.1 本项目磋商报价采用</w:t>
      </w:r>
      <w:r>
        <w:rPr>
          <w:rFonts w:hint="eastAsia"/>
          <w:b/>
          <w:bCs/>
          <w:color w:val="auto"/>
          <w:u w:val="single"/>
          <w:lang w:val="en-US" w:eastAsia="zh-CN"/>
        </w:rPr>
        <w:t xml:space="preserve"> 工程量清单 </w:t>
      </w:r>
      <w:r>
        <w:rPr>
          <w:rFonts w:hint="eastAsia"/>
          <w:color w:val="auto"/>
          <w:lang w:val="en-US" w:eastAsia="zh-CN"/>
        </w:rPr>
        <w:t xml:space="preserve">报价。 </w:t>
      </w:r>
    </w:p>
    <w:p w14:paraId="20F8B7C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color w:val="auto"/>
          <w:lang w:val="en-US" w:eastAsia="zh-CN"/>
        </w:rPr>
      </w:pPr>
      <w:r>
        <w:rPr>
          <w:rFonts w:hint="eastAsia"/>
          <w:color w:val="auto"/>
          <w:lang w:val="en-US" w:eastAsia="zh-CN"/>
        </w:rPr>
        <w:t>15.2本项目磋商价格是</w:t>
      </w:r>
      <w:r>
        <w:rPr>
          <w:rFonts w:hint="eastAsia"/>
          <w:b/>
          <w:bCs/>
          <w:color w:val="auto"/>
          <w:u w:val="single"/>
          <w:lang w:val="en-US" w:eastAsia="zh-CN"/>
        </w:rPr>
        <w:t>综合单价</w:t>
      </w:r>
      <w:r>
        <w:rPr>
          <w:rFonts w:hint="eastAsia"/>
          <w:color w:val="auto"/>
          <w:lang w:val="en-US" w:eastAsia="zh-CN"/>
        </w:rPr>
        <w:t xml:space="preserve">。 </w:t>
      </w:r>
    </w:p>
    <w:p w14:paraId="0164D6A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color w:val="auto"/>
        </w:rPr>
      </w:pPr>
      <w:r>
        <w:rPr>
          <w:rFonts w:hint="eastAsia"/>
          <w:color w:val="auto"/>
          <w:lang w:val="en-US" w:eastAsia="zh-CN"/>
        </w:rPr>
        <w:t xml:space="preserve">15.3 供应商的磋商报价须按竞争性磋商文件及澄清答疑中所确认的工程量清单及清单各项的顺序进行报价，否则，将视为实质上不响应竞争性磋商文件的要求。 </w:t>
      </w:r>
    </w:p>
    <w:p w14:paraId="2373881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color w:val="auto"/>
        </w:rPr>
      </w:pPr>
      <w:r>
        <w:rPr>
          <w:rFonts w:hint="eastAsia"/>
          <w:color w:val="auto"/>
          <w:lang w:val="en-US" w:eastAsia="zh-CN"/>
        </w:rPr>
        <w:t xml:space="preserve">15.4供应商在进行工程量清单报价时，应按照采购人的工程量清单进行报价。供应商对自己所填写的项目编码、项目名称及项目特征描述、计量单位、工程量负责。评标中，如项目编码、项目名称及项目特征描述、计量单位、工程量中的任何一项与招标工程量清单不一致的，磋商小组要求澄清、说明或补正，但供应商拒绝澄清、说明或补正的，或澄清、说明、补正不符合要求的，视为不响应竞争性磋商文件实质性内容，作废标处理。如是“工程量”与招标工程量不一致的澄清、说明或补正，必须在磋商小组规定的时间内（不超过 1 小时）以工程量清单的形式澄清、说明或补正，并修改磋商总报价，但修改后的总报价不能超本项目的最高限价，否则磋商无效。 </w:t>
      </w:r>
    </w:p>
    <w:p w14:paraId="30F6443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color w:val="auto"/>
        </w:rPr>
      </w:pPr>
      <w:r>
        <w:rPr>
          <w:rFonts w:hint="eastAsia"/>
          <w:color w:val="auto"/>
          <w:lang w:val="en-US" w:eastAsia="zh-CN"/>
        </w:rPr>
        <w:t>15.6本工程项目可再次报价，供应商的最终报价（可维持首次报价不变）与首次报价不同时，必须以工程量清单报价表的格式编制，不得以总价下浮的方式做最终报价，供应商须提前做好相关准备并按时递交最终报价文件。</w:t>
      </w:r>
    </w:p>
    <w:p w14:paraId="72E6F2D0">
      <w:pPr>
        <w:spacing w:line="360" w:lineRule="auto"/>
        <w:ind w:firstLine="422" w:firstLineChars="200"/>
        <w:rPr>
          <w:rFonts w:hint="eastAsia" w:ascii="宋体" w:hAnsi="宋体" w:eastAsia="宋体" w:cs="宋体"/>
          <w:b/>
          <w:bCs/>
          <w:color w:val="auto"/>
          <w:kern w:val="2"/>
          <w:sz w:val="21"/>
          <w:szCs w:val="20"/>
          <w:lang w:val="en-US" w:eastAsia="zh-CN" w:bidi="ar-SA"/>
        </w:rPr>
      </w:pPr>
      <w:r>
        <w:rPr>
          <w:rFonts w:hint="eastAsia" w:ascii="宋体" w:hAnsi="宋体" w:eastAsia="宋体" w:cs="宋体"/>
          <w:b/>
          <w:bCs/>
          <w:color w:val="auto"/>
          <w:kern w:val="2"/>
          <w:sz w:val="21"/>
          <w:szCs w:val="20"/>
          <w:lang w:val="en-US" w:eastAsia="zh-CN" w:bidi="ar-SA"/>
        </w:rPr>
        <w:t>16.竞标有效期</w:t>
      </w:r>
    </w:p>
    <w:p w14:paraId="40137E61">
      <w:pPr>
        <w:spacing w:line="360" w:lineRule="auto"/>
        <w:ind w:firstLine="420" w:firstLineChars="200"/>
        <w:rPr>
          <w:rFonts w:ascii="宋体" w:hAnsi="宋体" w:cs="宋体"/>
          <w:color w:val="auto"/>
          <w:szCs w:val="21"/>
        </w:rPr>
      </w:pPr>
      <w:r>
        <w:rPr>
          <w:rFonts w:hint="eastAsia" w:ascii="宋体" w:hAnsi="宋体" w:cs="宋体"/>
          <w:color w:val="auto"/>
          <w:szCs w:val="21"/>
        </w:rPr>
        <w:t>16.1竞标有效期是指为保证采购人有足够的时间在提交响应文件后完成评审、确定成交供应商、合同签订等工作而要求供应商提交的响应文件在一定时间内保持有效的期限。</w:t>
      </w:r>
    </w:p>
    <w:p w14:paraId="45A8B197">
      <w:pPr>
        <w:spacing w:line="360" w:lineRule="auto"/>
        <w:ind w:firstLine="420" w:firstLineChars="200"/>
        <w:rPr>
          <w:rFonts w:ascii="宋体" w:hAnsi="宋体" w:cs="宋体"/>
          <w:color w:val="auto"/>
          <w:szCs w:val="21"/>
        </w:rPr>
      </w:pPr>
      <w:r>
        <w:rPr>
          <w:rFonts w:hint="eastAsia" w:ascii="宋体" w:hAnsi="宋体" w:cs="宋体"/>
          <w:color w:val="auto"/>
          <w:szCs w:val="21"/>
        </w:rPr>
        <w:t>16.2 竞标有效期应由供应商按“供应商须知前附表”规定的期限作出响应。</w:t>
      </w:r>
    </w:p>
    <w:p w14:paraId="7280C3AB">
      <w:pPr>
        <w:spacing w:line="360" w:lineRule="auto"/>
        <w:ind w:firstLine="420" w:firstLineChars="200"/>
        <w:rPr>
          <w:rFonts w:ascii="宋体" w:hAnsi="宋体" w:cs="宋体"/>
          <w:color w:val="auto"/>
          <w:szCs w:val="21"/>
        </w:rPr>
      </w:pPr>
      <w:r>
        <w:rPr>
          <w:rFonts w:hint="eastAsia" w:ascii="宋体" w:hAnsi="宋体" w:cs="宋体"/>
          <w:color w:val="auto"/>
          <w:szCs w:val="21"/>
        </w:rPr>
        <w:t>16.3供应商的响应文件在竞标有效期内均保持有效。</w:t>
      </w:r>
    </w:p>
    <w:p w14:paraId="62911088">
      <w:pPr>
        <w:spacing w:line="360" w:lineRule="auto"/>
        <w:ind w:firstLine="422" w:firstLineChars="200"/>
        <w:rPr>
          <w:rFonts w:hint="eastAsia" w:ascii="宋体" w:hAnsi="宋体" w:eastAsia="宋体" w:cs="宋体"/>
          <w:b/>
          <w:bCs/>
          <w:color w:val="auto"/>
          <w:szCs w:val="21"/>
          <w:lang w:eastAsia="zh-CN"/>
        </w:rPr>
      </w:pPr>
      <w:r>
        <w:rPr>
          <w:rFonts w:hint="eastAsia" w:ascii="宋体" w:hAnsi="宋体" w:eastAsia="宋体" w:cs="宋体"/>
          <w:b/>
          <w:bCs/>
          <w:color w:val="auto"/>
          <w:szCs w:val="21"/>
        </w:rPr>
        <w:t>17.磋商保证金</w:t>
      </w:r>
      <w:r>
        <w:rPr>
          <w:rFonts w:hint="eastAsia" w:ascii="宋体" w:hAnsi="宋体" w:cs="宋体"/>
          <w:b/>
          <w:bCs/>
          <w:color w:val="auto"/>
          <w:szCs w:val="21"/>
          <w:lang w:eastAsia="zh-CN"/>
        </w:rPr>
        <w:t>：无</w:t>
      </w:r>
    </w:p>
    <w:p w14:paraId="1C7E94C3">
      <w:pPr>
        <w:spacing w:line="360" w:lineRule="auto"/>
        <w:ind w:firstLine="422" w:firstLineChars="200"/>
        <w:rPr>
          <w:rFonts w:hint="eastAsia" w:ascii="宋体" w:hAnsi="宋体" w:eastAsia="宋体" w:cs="宋体"/>
          <w:b/>
          <w:bCs/>
          <w:color w:val="auto"/>
          <w:szCs w:val="21"/>
        </w:rPr>
      </w:pPr>
      <w:r>
        <w:rPr>
          <w:rFonts w:hint="eastAsia" w:ascii="宋体" w:hAnsi="宋体" w:eastAsia="宋体" w:cs="宋体"/>
          <w:b/>
          <w:bCs/>
          <w:color w:val="auto"/>
          <w:szCs w:val="21"/>
        </w:rPr>
        <w:t>18.响应文件编制的要求</w:t>
      </w:r>
    </w:p>
    <w:p w14:paraId="1C29BCE2">
      <w:pPr>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18.1供应商应先安装“广西政府采购云平台电子交易客户端”（请自行前往广西政府采购云平台进行下载），并按照本项目磋商文件规定的格式和顺序和广西政府采购云平台的要求编制并加密。响应文件内容不完整、编排混乱导致响应文件被误读、漏读或者查找不到相关内容的，由此引发的后果由供应商承担。</w:t>
      </w:r>
    </w:p>
    <w:p w14:paraId="389C2379">
      <w:pPr>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18.2为确保网上操作合法、有效和安全，供应商应当在提交响应文件截止时间前完成在广西政府采购云平台的身份认证，确保在电子竞标过程中能够对相关数据电文进行加密和使用电子签章。</w:t>
      </w:r>
    </w:p>
    <w:p w14:paraId="667D637E">
      <w:pPr>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18.3响应文件须由供应商在规定位置签字、盖章（具体以供应商须知前附表或响应文件格式规定为准），否则按无效响应处理。</w:t>
      </w:r>
    </w:p>
    <w:p w14:paraId="7F7F7D3B">
      <w:pPr>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18.4响应文件中标注的供应商名称应与主体资格证明（如营业执照或者事业单位法人证书或者执业许可证或者登记证书等）及公章一致，供应商为自然人的，标注的供应商名称应与身份证姓名及签名一致，否则其响应文件按无效响应处理。</w:t>
      </w:r>
    </w:p>
    <w:p w14:paraId="15DC2F2A">
      <w:pPr>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18.5响应文件应尽量避免涂改、行间插字或者删除。如果出现上述情况，改动之处应由供应商的法定代表人或者其委托代理人签字（或者电子签名）或者加盖公章或者加盖电子签章。响应文件因涂改、行间插字或者删除导致字迹潦草或者表达不清所引起的后果由供应商承担。</w:t>
      </w:r>
    </w:p>
    <w:p w14:paraId="36E6347F">
      <w:pPr>
        <w:spacing w:line="360" w:lineRule="auto"/>
        <w:ind w:firstLine="422" w:firstLineChars="200"/>
        <w:rPr>
          <w:rFonts w:hint="eastAsia" w:ascii="宋体" w:hAnsi="宋体" w:eastAsia="宋体" w:cs="宋体"/>
          <w:b/>
          <w:bCs/>
          <w:color w:val="auto"/>
          <w:szCs w:val="21"/>
        </w:rPr>
      </w:pPr>
      <w:r>
        <w:rPr>
          <w:rFonts w:hint="eastAsia" w:ascii="宋体" w:hAnsi="宋体" w:eastAsia="宋体" w:cs="宋体"/>
          <w:b/>
          <w:bCs/>
          <w:color w:val="auto"/>
          <w:szCs w:val="21"/>
        </w:rPr>
        <w:t>19.电子备份响应文件</w:t>
      </w:r>
    </w:p>
    <w:p w14:paraId="76A8012E">
      <w:pPr>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lang w:val="en-US" w:eastAsia="zh-CN"/>
        </w:rPr>
        <w:t>电子备份响应文件是指通过“广西政府采购云电子投标客户端”在线编制生成且后缀名为 “bfbs”的文件，是否接受电子备份响应文件详见“供应商须知前附表”。</w:t>
      </w:r>
    </w:p>
    <w:p w14:paraId="37B43A08">
      <w:pPr>
        <w:spacing w:line="360" w:lineRule="auto"/>
        <w:ind w:firstLine="422" w:firstLineChars="200"/>
        <w:rPr>
          <w:rFonts w:hint="eastAsia" w:ascii="宋体" w:hAnsi="宋体" w:eastAsia="宋体" w:cs="宋体"/>
          <w:b/>
          <w:bCs/>
          <w:color w:val="auto"/>
          <w:szCs w:val="21"/>
        </w:rPr>
      </w:pPr>
      <w:r>
        <w:rPr>
          <w:rFonts w:hint="eastAsia" w:ascii="宋体" w:hAnsi="宋体" w:eastAsia="宋体" w:cs="宋体"/>
          <w:b/>
          <w:bCs/>
          <w:color w:val="auto"/>
          <w:szCs w:val="21"/>
        </w:rPr>
        <w:t>20.响应文件的</w:t>
      </w:r>
      <w:r>
        <w:rPr>
          <w:rFonts w:hint="eastAsia" w:ascii="宋体" w:hAnsi="宋体" w:eastAsia="宋体" w:cs="宋体"/>
          <w:b/>
          <w:bCs/>
          <w:color w:val="auto"/>
          <w:kern w:val="2"/>
          <w:sz w:val="21"/>
          <w:szCs w:val="20"/>
          <w:lang w:val="en-US" w:eastAsia="zh-CN" w:bidi="ar-SA"/>
        </w:rPr>
        <w:t>提交</w:t>
      </w:r>
    </w:p>
    <w:p w14:paraId="2332C1EE">
      <w:pPr>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 xml:space="preserve">20.1供应商必须按“供应商须知前附表”规定的时间及地点提交响应文件。电子响应文件应在制作完成后，在提交响应文件截止时间前通过有效数字证书（CA认证锁）进行电子签章、加密，然后通过网络将加密的电子响应文件提交至广西政府采购云平台。  </w:t>
      </w:r>
    </w:p>
    <w:p w14:paraId="751FFE35">
      <w:pPr>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20.2未在规定时间内提交或者未按照磋商文件要求加密的电子响应文件，广西政府采购云平台将拒收。</w:t>
      </w:r>
    </w:p>
    <w:p w14:paraId="5136D8BB">
      <w:pPr>
        <w:snapToGrid w:val="0"/>
        <w:spacing w:line="360" w:lineRule="auto"/>
        <w:ind w:firstLine="420"/>
        <w:jc w:val="left"/>
        <w:rPr>
          <w:rFonts w:hint="eastAsia" w:ascii="宋体" w:hAnsi="宋体" w:eastAsia="宋体" w:cs="Times New Roman"/>
          <w:b/>
          <w:bCs w:val="0"/>
          <w:color w:val="auto"/>
          <w:szCs w:val="21"/>
          <w:highlight w:val="none"/>
        </w:rPr>
      </w:pPr>
      <w:r>
        <w:rPr>
          <w:rFonts w:hint="eastAsia" w:ascii="宋体" w:hAnsi="宋体" w:eastAsia="宋体" w:cs="Times New Roman"/>
          <w:b/>
          <w:bCs w:val="0"/>
          <w:color w:val="auto"/>
          <w:szCs w:val="21"/>
          <w:highlight w:val="none"/>
        </w:rPr>
        <w:t>21.首次响应文件的补充、修改与撤回</w:t>
      </w:r>
    </w:p>
    <w:p w14:paraId="19287E5F">
      <w:pPr>
        <w:snapToGrid w:val="0"/>
        <w:spacing w:line="360" w:lineRule="auto"/>
        <w:ind w:firstLine="420"/>
        <w:jc w:val="left"/>
        <w:rPr>
          <w:rFonts w:hint="eastAsia" w:ascii="宋体" w:hAnsi="宋体"/>
          <w:color w:val="auto"/>
          <w:szCs w:val="21"/>
          <w:highlight w:val="none"/>
        </w:rPr>
      </w:pPr>
      <w:bookmarkStart w:id="74" w:name="_Toc254970684"/>
      <w:bookmarkStart w:id="75" w:name="_Toc254970543"/>
      <w:r>
        <w:rPr>
          <w:rFonts w:ascii="宋体" w:hAnsi="宋体" w:cs="宋体"/>
          <w:color w:val="auto"/>
          <w:szCs w:val="21"/>
          <w:highlight w:val="none"/>
        </w:rPr>
        <w:t>2</w:t>
      </w:r>
      <w:r>
        <w:rPr>
          <w:rFonts w:hint="eastAsia" w:ascii="宋体" w:hAnsi="宋体" w:cs="宋体"/>
          <w:color w:val="auto"/>
          <w:szCs w:val="21"/>
          <w:highlight w:val="none"/>
        </w:rPr>
        <w:t>1.1</w:t>
      </w:r>
      <w:r>
        <w:rPr>
          <w:rFonts w:hint="eastAsia" w:ascii="宋体" w:hAnsi="宋体"/>
          <w:bCs/>
          <w:color w:val="auto"/>
          <w:szCs w:val="21"/>
          <w:highlight w:val="none"/>
        </w:rPr>
        <w:t>供应商应当在</w:t>
      </w:r>
      <w:r>
        <w:rPr>
          <w:rFonts w:hint="eastAsia" w:hAnsi="宋体"/>
          <w:bCs/>
          <w:color w:val="auto"/>
          <w:szCs w:val="21"/>
          <w:highlight w:val="none"/>
        </w:rPr>
        <w:t>提交响应文件截止</w:t>
      </w:r>
      <w:r>
        <w:rPr>
          <w:rFonts w:hAnsi="宋体"/>
          <w:bCs/>
          <w:color w:val="auto"/>
          <w:szCs w:val="21"/>
          <w:highlight w:val="none"/>
        </w:rPr>
        <w:t>时间</w:t>
      </w:r>
      <w:r>
        <w:rPr>
          <w:rFonts w:hint="eastAsia" w:ascii="宋体" w:hAnsi="宋体"/>
          <w:bCs/>
          <w:color w:val="auto"/>
          <w:szCs w:val="21"/>
          <w:highlight w:val="none"/>
        </w:rPr>
        <w:t>前完成电子响应文件的提交（上传），</w:t>
      </w:r>
      <w:r>
        <w:rPr>
          <w:rFonts w:hint="eastAsia" w:hAnsi="宋体"/>
          <w:bCs/>
          <w:color w:val="auto"/>
          <w:szCs w:val="21"/>
          <w:highlight w:val="none"/>
        </w:rPr>
        <w:t>提交响应文件截止</w:t>
      </w:r>
      <w:r>
        <w:rPr>
          <w:rFonts w:hAnsi="宋体"/>
          <w:bCs/>
          <w:color w:val="auto"/>
          <w:szCs w:val="21"/>
          <w:highlight w:val="none"/>
        </w:rPr>
        <w:t>时间</w:t>
      </w:r>
      <w:r>
        <w:rPr>
          <w:rFonts w:hint="eastAsia" w:hAnsi="宋体"/>
          <w:bCs/>
          <w:color w:val="auto"/>
          <w:szCs w:val="21"/>
          <w:highlight w:val="none"/>
        </w:rPr>
        <w:t>前</w:t>
      </w:r>
      <w:r>
        <w:rPr>
          <w:rFonts w:hint="eastAsia" w:ascii="宋体" w:hAnsi="宋体"/>
          <w:bCs/>
          <w:color w:val="auto"/>
          <w:szCs w:val="21"/>
          <w:highlight w:val="none"/>
        </w:rPr>
        <w:t>可以补充、修改或者撤回响应文件。补充或者修改响应文件的，应当先行撤回原响应文件，补充、修改后重新提交（上传），</w:t>
      </w:r>
      <w:r>
        <w:rPr>
          <w:rFonts w:hint="eastAsia" w:hAnsi="宋体"/>
          <w:bCs/>
          <w:color w:val="auto"/>
          <w:szCs w:val="21"/>
          <w:highlight w:val="none"/>
        </w:rPr>
        <w:t>提交响应文件截止</w:t>
      </w:r>
      <w:r>
        <w:rPr>
          <w:rFonts w:hAnsi="宋体"/>
          <w:bCs/>
          <w:color w:val="auto"/>
          <w:szCs w:val="21"/>
          <w:highlight w:val="none"/>
        </w:rPr>
        <w:t>时间</w:t>
      </w:r>
      <w:r>
        <w:rPr>
          <w:rFonts w:hint="eastAsia" w:hAnsi="宋体"/>
          <w:bCs/>
          <w:color w:val="auto"/>
          <w:szCs w:val="21"/>
          <w:highlight w:val="none"/>
        </w:rPr>
        <w:t>前</w:t>
      </w:r>
      <w:r>
        <w:rPr>
          <w:rFonts w:hint="eastAsia" w:ascii="宋体" w:hAnsi="宋体"/>
          <w:bCs/>
          <w:color w:val="auto"/>
          <w:szCs w:val="21"/>
          <w:highlight w:val="none"/>
        </w:rPr>
        <w:t>未完成提交（上传）的，视为撤回响应文件。</w:t>
      </w:r>
      <w:r>
        <w:rPr>
          <w:rFonts w:hint="eastAsia" w:hAnsi="宋体"/>
          <w:bCs/>
          <w:color w:val="auto"/>
          <w:szCs w:val="21"/>
          <w:highlight w:val="none"/>
        </w:rPr>
        <w:t>提交响应文件截止</w:t>
      </w:r>
      <w:r>
        <w:rPr>
          <w:rFonts w:hAnsi="宋体"/>
          <w:bCs/>
          <w:color w:val="auto"/>
          <w:szCs w:val="21"/>
          <w:highlight w:val="none"/>
        </w:rPr>
        <w:t>时间</w:t>
      </w:r>
      <w:r>
        <w:rPr>
          <w:rFonts w:hint="eastAsia" w:ascii="宋体" w:hAnsi="宋体"/>
          <w:bCs/>
          <w:color w:val="auto"/>
          <w:szCs w:val="21"/>
          <w:highlight w:val="none"/>
        </w:rPr>
        <w:t>以后提交（上传）的响应文件，广西政府采购云平台将予以拒收。</w:t>
      </w:r>
      <w:r>
        <w:rPr>
          <w:rFonts w:hint="eastAsia" w:ascii="宋体" w:hAnsi="宋体" w:cs="宋体"/>
          <w:color w:val="auto"/>
          <w:szCs w:val="21"/>
          <w:highlight w:val="none"/>
        </w:rPr>
        <w:t>（补充、修改或者撤回方式可</w:t>
      </w:r>
      <w:r>
        <w:rPr>
          <w:rFonts w:hint="eastAsia" w:ascii="宋体" w:hAnsi="宋体" w:cs="宋体"/>
          <w:color w:val="auto"/>
          <w:szCs w:val="21"/>
          <w:highlight w:val="none"/>
          <w:lang w:eastAsia="zh-CN"/>
        </w:rPr>
        <w:t>登录</w:t>
      </w:r>
      <w:r>
        <w:rPr>
          <w:rFonts w:hint="eastAsia" w:ascii="宋体" w:hAnsi="宋体"/>
          <w:color w:val="auto"/>
          <w:szCs w:val="21"/>
          <w:highlight w:val="none"/>
        </w:rPr>
        <w:t>广西政府采购云</w:t>
      </w:r>
      <w:r>
        <w:rPr>
          <w:rFonts w:hint="eastAsia" w:ascii="宋体" w:hAnsi="宋体" w:cs="宋体"/>
          <w:color w:val="auto"/>
          <w:kern w:val="0"/>
          <w:szCs w:val="21"/>
          <w:highlight w:val="none"/>
        </w:rPr>
        <w:t>平台，</w:t>
      </w:r>
      <w:r>
        <w:rPr>
          <w:rFonts w:hint="eastAsia" w:ascii="宋体" w:hAnsi="宋体"/>
          <w:color w:val="auto"/>
          <w:szCs w:val="21"/>
          <w:highlight w:val="none"/>
        </w:rPr>
        <w:t>进入“服务中心”中查看</w:t>
      </w:r>
      <w:r>
        <w:rPr>
          <w:rFonts w:hint="eastAsia" w:ascii="宋体" w:hAnsi="宋体" w:cs="宋体"/>
          <w:color w:val="auto"/>
          <w:szCs w:val="21"/>
          <w:highlight w:val="none"/>
        </w:rPr>
        <w:t xml:space="preserve"> “电子投标文件制作与投送教程”）</w:t>
      </w:r>
    </w:p>
    <w:bookmarkEnd w:id="74"/>
    <w:bookmarkEnd w:id="75"/>
    <w:p w14:paraId="379BC232">
      <w:pPr>
        <w:pStyle w:val="38"/>
        <w:spacing w:before="0"/>
        <w:ind w:firstLine="420"/>
        <w:rPr>
          <w:rFonts w:hint="eastAsia" w:ascii="宋体" w:hAnsi="宋体" w:cs="宋体"/>
          <w:color w:val="auto"/>
          <w:sz w:val="21"/>
          <w:szCs w:val="21"/>
          <w:highlight w:val="none"/>
        </w:rPr>
      </w:pPr>
      <w:r>
        <w:rPr>
          <w:rFonts w:ascii="宋体" w:hAnsi="宋体" w:cs="宋体"/>
          <w:color w:val="auto"/>
          <w:sz w:val="21"/>
          <w:szCs w:val="21"/>
          <w:highlight w:val="none"/>
        </w:rPr>
        <w:t>2</w:t>
      </w:r>
      <w:r>
        <w:rPr>
          <w:rFonts w:hint="eastAsia" w:ascii="宋体" w:hAnsi="宋体" w:cs="宋体"/>
          <w:color w:val="auto"/>
          <w:sz w:val="21"/>
          <w:szCs w:val="21"/>
          <w:highlight w:val="none"/>
        </w:rPr>
        <w:t>1</w:t>
      </w:r>
      <w:r>
        <w:rPr>
          <w:rFonts w:ascii="宋体" w:hAnsi="宋体" w:cs="宋体"/>
          <w:color w:val="auto"/>
          <w:sz w:val="21"/>
          <w:szCs w:val="21"/>
          <w:highlight w:val="none"/>
        </w:rPr>
        <w:t>.</w:t>
      </w:r>
      <w:r>
        <w:rPr>
          <w:rFonts w:hint="eastAsia" w:ascii="宋体" w:hAnsi="宋体" w:cs="宋体"/>
          <w:color w:val="auto"/>
          <w:sz w:val="21"/>
          <w:szCs w:val="21"/>
          <w:highlight w:val="none"/>
        </w:rPr>
        <w:t>2在提交响应文件截止时间前，除供应商补充、修改或者撤回响应文件外，任何单位和个人不得解密或提取响应文件。</w:t>
      </w:r>
    </w:p>
    <w:p w14:paraId="13B7D820">
      <w:pPr>
        <w:snapToGrid w:val="0"/>
        <w:spacing w:line="360" w:lineRule="auto"/>
        <w:ind w:firstLine="420"/>
        <w:jc w:val="left"/>
        <w:rPr>
          <w:rFonts w:hint="eastAsia" w:ascii="宋体" w:hAnsi="宋体" w:eastAsia="宋体" w:cs="Times New Roman"/>
          <w:b/>
          <w:bCs w:val="0"/>
          <w:color w:val="auto"/>
          <w:szCs w:val="21"/>
          <w:highlight w:val="none"/>
        </w:rPr>
      </w:pPr>
      <w:bookmarkStart w:id="76" w:name="_Hlk45702405"/>
      <w:r>
        <w:rPr>
          <w:rFonts w:hint="eastAsia" w:ascii="宋体" w:hAnsi="宋体" w:eastAsia="宋体" w:cs="Times New Roman"/>
          <w:b/>
          <w:bCs w:val="0"/>
          <w:color w:val="auto"/>
          <w:szCs w:val="21"/>
          <w:highlight w:val="none"/>
        </w:rPr>
        <w:t>22.响应文件的退回</w:t>
      </w:r>
    </w:p>
    <w:p w14:paraId="23BA9A7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采购人和采购代理机构对已提交的响应文件概不退回。</w:t>
      </w:r>
    </w:p>
    <w:p w14:paraId="52DBF9A4">
      <w:pPr>
        <w:spacing w:line="360" w:lineRule="auto"/>
        <w:ind w:firstLine="422" w:firstLineChars="200"/>
        <w:rPr>
          <w:rFonts w:hint="eastAsia" w:ascii="宋体" w:hAnsi="宋体" w:eastAsia="宋体" w:cs="宋体"/>
          <w:b/>
          <w:bCs/>
          <w:color w:val="auto"/>
          <w:szCs w:val="21"/>
        </w:rPr>
      </w:pPr>
      <w:r>
        <w:rPr>
          <w:rFonts w:hint="eastAsia" w:ascii="宋体" w:hAnsi="宋体" w:eastAsia="宋体" w:cs="宋体"/>
          <w:b/>
          <w:bCs/>
          <w:color w:val="auto"/>
          <w:szCs w:val="21"/>
        </w:rPr>
        <w:t>23.截止时间后的撤回</w:t>
      </w:r>
    </w:p>
    <w:p w14:paraId="48E22782">
      <w:pPr>
        <w:spacing w:line="360" w:lineRule="auto"/>
        <w:ind w:firstLine="420" w:firstLineChars="200"/>
        <w:rPr>
          <w:rFonts w:hint="eastAsia" w:ascii="宋体" w:hAnsi="宋体"/>
          <w:b/>
          <w:bCs/>
          <w:color w:val="auto"/>
          <w:sz w:val="32"/>
          <w:szCs w:val="32"/>
        </w:rPr>
      </w:pPr>
      <w:r>
        <w:rPr>
          <w:rFonts w:hint="eastAsia" w:ascii="宋体" w:hAnsi="宋体" w:cs="宋体"/>
          <w:color w:val="auto"/>
          <w:highlight w:val="none"/>
        </w:rPr>
        <w:t>供应商在首次电子响应文件提交截止时间后向采购人、采购代理机构书面申请撤回电子响应文件的，除此之外采购人和采购代理机构对已开启的电子响应文件概不退回</w:t>
      </w:r>
      <w:r>
        <w:rPr>
          <w:rFonts w:hint="eastAsia" w:ascii="宋体" w:hAnsi="宋体" w:cs="宋体"/>
          <w:color w:val="auto"/>
          <w:szCs w:val="21"/>
          <w:highlight w:val="none"/>
        </w:rPr>
        <w:t>。</w:t>
      </w:r>
      <w:bookmarkEnd w:id="76"/>
    </w:p>
    <w:p w14:paraId="1AB3CBA8">
      <w:pPr>
        <w:spacing w:line="360" w:lineRule="auto"/>
        <w:ind w:left="420" w:firstLine="420"/>
        <w:jc w:val="center"/>
        <w:rPr>
          <w:rFonts w:ascii="宋体" w:hAnsi="宋体"/>
          <w:b/>
          <w:bCs/>
          <w:color w:val="auto"/>
          <w:sz w:val="32"/>
          <w:szCs w:val="32"/>
        </w:rPr>
      </w:pPr>
      <w:r>
        <w:rPr>
          <w:rFonts w:hint="eastAsia" w:ascii="宋体" w:hAnsi="宋体"/>
          <w:b/>
          <w:bCs/>
          <w:color w:val="auto"/>
          <w:sz w:val="32"/>
          <w:szCs w:val="32"/>
        </w:rPr>
        <w:t>四、评审及磋商</w:t>
      </w:r>
    </w:p>
    <w:p w14:paraId="4234BBDB">
      <w:pPr>
        <w:spacing w:line="360" w:lineRule="auto"/>
        <w:ind w:firstLine="422" w:firstLineChars="200"/>
        <w:rPr>
          <w:rFonts w:hint="eastAsia" w:ascii="宋体" w:hAnsi="宋体" w:eastAsia="宋体" w:cs="宋体"/>
          <w:b/>
          <w:bCs/>
          <w:color w:val="auto"/>
          <w:szCs w:val="21"/>
        </w:rPr>
      </w:pPr>
      <w:r>
        <w:rPr>
          <w:rFonts w:hint="eastAsia" w:ascii="宋体" w:hAnsi="宋体" w:eastAsia="宋体" w:cs="宋体"/>
          <w:b/>
          <w:bCs/>
          <w:color w:val="auto"/>
          <w:szCs w:val="21"/>
        </w:rPr>
        <w:t>24.磋商小组成立</w:t>
      </w:r>
    </w:p>
    <w:p w14:paraId="618C739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24.1磋商小组由采购人代表和评审专家共3人以上单数组成，具体人数见“供应商须知前附表”，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以上单数组成。</w:t>
      </w:r>
    </w:p>
    <w:p w14:paraId="7D8E95B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337FE68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24.3</w:t>
      </w:r>
      <w:r>
        <w:rPr>
          <w:rFonts w:hint="eastAsia" w:hAnsi="宋体"/>
          <w:bCs/>
          <w:color w:val="auto"/>
          <w:szCs w:val="21"/>
          <w:highlight w:val="none"/>
        </w:rPr>
        <w:t>采购代理机构</w:t>
      </w:r>
      <w:r>
        <w:rPr>
          <w:rFonts w:hint="eastAsia" w:hAnsi="宋体"/>
          <w:bCs/>
          <w:color w:val="auto"/>
          <w:highlight w:val="none"/>
        </w:rPr>
        <w:t>应当</w:t>
      </w:r>
      <w:r>
        <w:rPr>
          <w:rFonts w:hint="eastAsia" w:hAnsi="宋体"/>
          <w:bCs/>
          <w:color w:val="auto"/>
          <w:szCs w:val="21"/>
          <w:highlight w:val="none"/>
        </w:rPr>
        <w:t>基于广西政府采购云平台</w:t>
      </w:r>
      <w:r>
        <w:rPr>
          <w:rFonts w:hint="eastAsia" w:hAnsi="宋体"/>
          <w:bCs/>
          <w:color w:val="auto"/>
          <w:highlight w:val="none"/>
        </w:rPr>
        <w:t>抽（选）取</w:t>
      </w:r>
      <w:r>
        <w:rPr>
          <w:rFonts w:hint="eastAsia" w:hAnsi="宋体"/>
          <w:bCs/>
          <w:color w:val="auto"/>
          <w:szCs w:val="21"/>
          <w:highlight w:val="none"/>
        </w:rPr>
        <w:t>评审专家。</w:t>
      </w:r>
    </w:p>
    <w:p w14:paraId="1B770E27">
      <w:pPr>
        <w:spacing w:line="360" w:lineRule="auto"/>
        <w:ind w:firstLine="422" w:firstLineChars="200"/>
        <w:rPr>
          <w:rFonts w:hint="eastAsia" w:ascii="宋体" w:hAnsi="宋体" w:eastAsia="宋体" w:cs="宋体"/>
          <w:b/>
          <w:bCs/>
          <w:color w:val="auto"/>
          <w:szCs w:val="21"/>
        </w:rPr>
      </w:pPr>
      <w:r>
        <w:rPr>
          <w:rFonts w:hint="eastAsia" w:ascii="宋体" w:hAnsi="宋体" w:eastAsia="宋体" w:cs="宋体"/>
          <w:b/>
          <w:bCs/>
          <w:color w:val="auto"/>
          <w:szCs w:val="21"/>
        </w:rPr>
        <w:t>25.首次响应文件的开启</w:t>
      </w:r>
    </w:p>
    <w:p w14:paraId="15BEA328">
      <w:pPr>
        <w:spacing w:line="360" w:lineRule="auto"/>
        <w:ind w:firstLine="420" w:firstLineChars="200"/>
        <w:rPr>
          <w:rFonts w:hint="eastAsia" w:ascii="宋体" w:hAnsi="宋体" w:cs="宋体"/>
          <w:color w:val="auto"/>
          <w:szCs w:val="21"/>
          <w:highlight w:val="none"/>
        </w:rPr>
      </w:pPr>
      <w:r>
        <w:rPr>
          <w:rFonts w:hint="eastAsia" w:ascii="宋体" w:hAnsi="宋体" w:eastAsia="宋体" w:cs="宋体"/>
          <w:color w:val="auto"/>
          <w:szCs w:val="21"/>
          <w:highlight w:val="none"/>
        </w:rPr>
        <w:t>采购代理机构将在“供应商须知前附表”规定的时间通过电子交易平台组织响应文件开启，供应商的法定代表人或其委托代理人须携带加密时所用的CA锁，按平台提示和磋商文件的规定登录到广西政府采购云平台电子开标大厅签到，采购代理机构依托广西政府采购云平台向各供应商发出电子加密响应文件【开始解密】通知，由供应商按“供应商须知前附表”规定的时间内自行进行响应文件解密。</w:t>
      </w:r>
      <w:r>
        <w:rPr>
          <w:rFonts w:hint="eastAsia"/>
          <w:b/>
          <w:color w:val="auto"/>
          <w:highlight w:val="none"/>
        </w:rPr>
        <w:t>供应商未在</w:t>
      </w:r>
      <w:r>
        <w:rPr>
          <w:b/>
          <w:color w:val="auto"/>
          <w:highlight w:val="none"/>
        </w:rPr>
        <w:t>规定的时间内解密</w:t>
      </w:r>
      <w:r>
        <w:rPr>
          <w:rFonts w:hint="eastAsia"/>
          <w:b/>
          <w:color w:val="auto"/>
          <w:highlight w:val="none"/>
        </w:rPr>
        <w:t>响应文件</w:t>
      </w:r>
      <w:r>
        <w:rPr>
          <w:b/>
          <w:color w:val="auto"/>
          <w:highlight w:val="none"/>
        </w:rPr>
        <w:t>或</w:t>
      </w:r>
      <w:r>
        <w:rPr>
          <w:rFonts w:hint="eastAsia"/>
          <w:b/>
          <w:color w:val="auto"/>
          <w:highlight w:val="none"/>
        </w:rPr>
        <w:t>者</w:t>
      </w:r>
      <w:r>
        <w:rPr>
          <w:b/>
          <w:color w:val="auto"/>
          <w:highlight w:val="none"/>
        </w:rPr>
        <w:t>解密失败的</w:t>
      </w:r>
      <w:r>
        <w:rPr>
          <w:rFonts w:hint="eastAsia"/>
          <w:b/>
          <w:color w:val="auto"/>
          <w:highlight w:val="none"/>
        </w:rPr>
        <w:t>，供应商</w:t>
      </w:r>
      <w:r>
        <w:rPr>
          <w:rFonts w:hint="eastAsia" w:ascii="宋体" w:hAnsi="宋体"/>
          <w:b/>
          <w:color w:val="auto"/>
          <w:szCs w:val="21"/>
          <w:highlight w:val="none"/>
        </w:rPr>
        <w:t>的响应文件作无效处理</w:t>
      </w:r>
      <w:r>
        <w:rPr>
          <w:b/>
          <w:color w:val="auto"/>
          <w:highlight w:val="none"/>
        </w:rPr>
        <w:t>。</w:t>
      </w:r>
    </w:p>
    <w:p w14:paraId="4699DA0E">
      <w:pPr>
        <w:spacing w:line="360" w:lineRule="auto"/>
        <w:ind w:firstLine="422" w:firstLineChars="200"/>
        <w:rPr>
          <w:rFonts w:hint="eastAsia" w:ascii="宋体" w:hAnsi="宋体" w:eastAsia="宋体" w:cs="宋体"/>
          <w:b/>
          <w:bCs/>
          <w:color w:val="auto"/>
          <w:szCs w:val="21"/>
        </w:rPr>
      </w:pPr>
      <w:r>
        <w:rPr>
          <w:rFonts w:hint="eastAsia" w:ascii="宋体" w:hAnsi="宋体" w:eastAsia="宋体" w:cs="宋体"/>
          <w:b/>
          <w:bCs/>
          <w:color w:val="auto"/>
          <w:szCs w:val="21"/>
        </w:rPr>
        <w:t>26.评审程序、评审方法和评审标准</w:t>
      </w:r>
    </w:p>
    <w:p w14:paraId="10FD8ACF">
      <w:pPr>
        <w:spacing w:line="360" w:lineRule="auto"/>
        <w:ind w:firstLine="420" w:firstLineChars="200"/>
        <w:rPr>
          <w:rFonts w:ascii="宋体" w:hAnsi="宋体" w:cs="宋体"/>
          <w:color w:val="auto"/>
          <w:szCs w:val="21"/>
        </w:rPr>
      </w:pPr>
      <w:r>
        <w:rPr>
          <w:rFonts w:hint="eastAsia" w:ascii="宋体" w:hAnsi="宋体" w:cs="宋体"/>
          <w:color w:val="auto"/>
          <w:szCs w:val="21"/>
        </w:rPr>
        <w:t>2</w:t>
      </w:r>
      <w:r>
        <w:rPr>
          <w:rFonts w:ascii="宋体" w:hAnsi="宋体" w:cs="宋体"/>
          <w:color w:val="auto"/>
          <w:szCs w:val="21"/>
        </w:rPr>
        <w:t>6</w:t>
      </w:r>
      <w:r>
        <w:rPr>
          <w:rFonts w:hint="eastAsia" w:ascii="宋体" w:hAnsi="宋体" w:cs="宋体"/>
          <w:color w:val="auto"/>
          <w:szCs w:val="21"/>
        </w:rPr>
        <w:t>.1本项目的评审方法为综合评分法。</w:t>
      </w:r>
    </w:p>
    <w:p w14:paraId="08F7891D">
      <w:pPr>
        <w:spacing w:line="360" w:lineRule="auto"/>
        <w:ind w:firstLine="420" w:firstLineChars="200"/>
        <w:rPr>
          <w:rFonts w:ascii="宋体" w:hAnsi="宋体" w:cs="宋体"/>
          <w:color w:val="auto"/>
          <w:szCs w:val="21"/>
        </w:rPr>
      </w:pPr>
      <w:r>
        <w:rPr>
          <w:rFonts w:ascii="宋体" w:hAnsi="宋体" w:cs="宋体"/>
          <w:color w:val="auto"/>
          <w:szCs w:val="21"/>
        </w:rPr>
        <w:t>26.2</w:t>
      </w:r>
      <w:r>
        <w:rPr>
          <w:rFonts w:hint="eastAsia" w:ascii="宋体" w:hAnsi="宋体" w:cs="宋体"/>
          <w:color w:val="auto"/>
          <w:szCs w:val="21"/>
        </w:rPr>
        <w:t>磋商小组</w:t>
      </w:r>
      <w:r>
        <w:rPr>
          <w:rFonts w:ascii="宋体" w:hAnsi="宋体" w:cs="宋体"/>
          <w:color w:val="auto"/>
          <w:szCs w:val="21"/>
        </w:rPr>
        <w:t>按照</w:t>
      </w:r>
      <w:r>
        <w:rPr>
          <w:rFonts w:hint="eastAsia" w:ascii="宋体" w:hAnsi="宋体" w:cs="宋体"/>
          <w:color w:val="auto"/>
          <w:szCs w:val="21"/>
        </w:rPr>
        <w:t>“第四章 评审程序、评审方法和评审标准”</w:t>
      </w:r>
      <w:r>
        <w:rPr>
          <w:rFonts w:ascii="宋体" w:hAnsi="宋体" w:cs="宋体"/>
          <w:color w:val="auto"/>
          <w:szCs w:val="21"/>
        </w:rPr>
        <w:t>规定的方法、评审因素、标准和程序对</w:t>
      </w:r>
      <w:r>
        <w:rPr>
          <w:rFonts w:hint="eastAsia" w:ascii="宋体" w:hAnsi="宋体" w:cs="宋体"/>
          <w:color w:val="auto"/>
          <w:szCs w:val="21"/>
        </w:rPr>
        <w:t>响应</w:t>
      </w:r>
      <w:r>
        <w:rPr>
          <w:rFonts w:ascii="宋体" w:hAnsi="宋体" w:cs="宋体"/>
          <w:color w:val="auto"/>
          <w:szCs w:val="21"/>
        </w:rPr>
        <w:t>文件进行评审。</w:t>
      </w:r>
    </w:p>
    <w:p w14:paraId="22374BFF">
      <w:pPr>
        <w:spacing w:line="360" w:lineRule="auto"/>
        <w:ind w:firstLine="420" w:firstLineChars="200"/>
        <w:rPr>
          <w:rFonts w:ascii="宋体" w:hAnsi="宋体"/>
          <w:color w:val="auto"/>
          <w:szCs w:val="21"/>
          <w:highlight w:val="none"/>
        </w:rPr>
      </w:pPr>
      <w:r>
        <w:rPr>
          <w:rFonts w:hint="eastAsia" w:ascii="宋体" w:hAnsi="宋体" w:cs="宋体"/>
          <w:color w:val="auto"/>
          <w:highlight w:val="none"/>
        </w:rPr>
        <w:t>26.</w:t>
      </w:r>
      <w:r>
        <w:rPr>
          <w:rFonts w:hint="eastAsia" w:ascii="宋体" w:hAnsi="宋体" w:cs="宋体"/>
          <w:color w:val="auto"/>
          <w:highlight w:val="none"/>
          <w:lang w:val="en-US" w:eastAsia="zh-CN"/>
        </w:rPr>
        <w:t>3</w:t>
      </w:r>
      <w:r>
        <w:rPr>
          <w:rFonts w:hint="eastAsia" w:ascii="宋体" w:hAnsi="宋体" w:cs="宋体"/>
          <w:color w:val="auto"/>
          <w:highlight w:val="none"/>
        </w:rPr>
        <w:t>磋商小组成员要依法独立评审，并对评审意见承担个人责任。磋商小组成员对需要共同认定的事项存在争议的，按照少数服从多数的原则</w:t>
      </w:r>
      <w:r>
        <w:rPr>
          <w:rFonts w:hint="eastAsia" w:ascii="宋体" w:hAnsi="宋体" w:cs="宋体"/>
          <w:color w:val="auto"/>
          <w:highlight w:val="none"/>
          <w:lang w:eastAsia="zh-CN"/>
        </w:rPr>
        <w:t>作出</w:t>
      </w:r>
      <w:r>
        <w:rPr>
          <w:rFonts w:hint="eastAsia" w:ascii="宋体" w:hAnsi="宋体" w:cs="宋体"/>
          <w:color w:val="auto"/>
          <w:highlight w:val="none"/>
        </w:rPr>
        <w:t>结论。持不同意见的磋商小组成员应当在评审报告上签署不同意见并说明理由，否则视为同意。</w:t>
      </w:r>
    </w:p>
    <w:p w14:paraId="7AAFF200">
      <w:pPr>
        <w:spacing w:line="360" w:lineRule="auto"/>
        <w:ind w:firstLine="420" w:firstLineChars="200"/>
        <w:rPr>
          <w:rFonts w:hint="eastAsia" w:hAnsi="宋体"/>
          <w:color w:val="auto"/>
          <w:highlight w:val="none"/>
        </w:rPr>
      </w:pPr>
      <w:r>
        <w:rPr>
          <w:rFonts w:hint="eastAsia" w:ascii="宋体" w:hAnsi="宋体" w:cs="宋体"/>
          <w:color w:val="auto"/>
          <w:highlight w:val="none"/>
        </w:rPr>
        <w:t>2</w:t>
      </w:r>
      <w:r>
        <w:rPr>
          <w:rFonts w:ascii="宋体" w:hAnsi="宋体" w:cs="宋体"/>
          <w:color w:val="auto"/>
          <w:highlight w:val="none"/>
        </w:rPr>
        <w:t>6.</w:t>
      </w:r>
      <w:r>
        <w:rPr>
          <w:rFonts w:hint="eastAsia" w:ascii="宋体" w:hAnsi="宋体" w:cs="宋体"/>
          <w:color w:val="auto"/>
          <w:highlight w:val="none"/>
          <w:lang w:val="en-US" w:eastAsia="zh-CN"/>
        </w:rPr>
        <w:t>4</w:t>
      </w:r>
      <w:r>
        <w:rPr>
          <w:rFonts w:hint="eastAsia" w:hAnsi="宋体"/>
          <w:color w:val="auto"/>
          <w:highlight w:val="none"/>
        </w:rPr>
        <w:t>电子交易活动的中止。采购过程中出现以下情形，导致电子交易平台无法正常运行，或者无法保证电子交易的公平、公正和安全时，采购机构可中止电子交易活动：</w:t>
      </w:r>
    </w:p>
    <w:p w14:paraId="10EFC700">
      <w:pPr>
        <w:spacing w:line="360" w:lineRule="auto"/>
        <w:ind w:firstLine="420" w:firstLineChars="200"/>
        <w:rPr>
          <w:rFonts w:hint="eastAsia" w:hAnsi="宋体"/>
          <w:color w:val="auto"/>
          <w:highlight w:val="none"/>
        </w:rPr>
      </w:pPr>
      <w:r>
        <w:rPr>
          <w:rFonts w:hint="eastAsia" w:hAnsi="宋体"/>
          <w:color w:val="auto"/>
          <w:highlight w:val="none"/>
        </w:rPr>
        <w:t xml:space="preserve">（1）电子交易平台发生故障而无法登录访问的； </w:t>
      </w:r>
    </w:p>
    <w:p w14:paraId="412CC90D">
      <w:pPr>
        <w:spacing w:line="360" w:lineRule="auto"/>
        <w:ind w:firstLine="420" w:firstLineChars="200"/>
        <w:rPr>
          <w:rFonts w:hint="eastAsia" w:hAnsi="宋体"/>
          <w:color w:val="auto"/>
          <w:highlight w:val="none"/>
        </w:rPr>
      </w:pPr>
      <w:r>
        <w:rPr>
          <w:rFonts w:hint="eastAsia" w:ascii="宋体" w:hAnsi="宋体"/>
          <w:color w:val="auto"/>
          <w:highlight w:val="none"/>
        </w:rPr>
        <w:t>（2）</w:t>
      </w:r>
      <w:r>
        <w:rPr>
          <w:rFonts w:hint="eastAsia" w:hAnsi="宋体"/>
          <w:color w:val="auto"/>
          <w:highlight w:val="none"/>
        </w:rPr>
        <w:t>电子交易平台应用或数据库出现错误，不能进行正常操作的；</w:t>
      </w:r>
    </w:p>
    <w:p w14:paraId="56B202D8">
      <w:pPr>
        <w:spacing w:line="360" w:lineRule="auto"/>
        <w:ind w:firstLine="420" w:firstLineChars="200"/>
        <w:rPr>
          <w:rFonts w:hint="eastAsia" w:hAnsi="宋体"/>
          <w:color w:val="auto"/>
          <w:highlight w:val="none"/>
        </w:rPr>
      </w:pPr>
      <w:r>
        <w:rPr>
          <w:rFonts w:hint="eastAsia" w:ascii="宋体" w:hAnsi="宋体"/>
          <w:color w:val="auto"/>
          <w:highlight w:val="none"/>
        </w:rPr>
        <w:t>（3）</w:t>
      </w:r>
      <w:r>
        <w:rPr>
          <w:rFonts w:hint="eastAsia" w:hAnsi="宋体"/>
          <w:color w:val="auto"/>
          <w:highlight w:val="none"/>
        </w:rPr>
        <w:t>电子交易平台发现严重安全漏洞，有潜在泄密危险的；</w:t>
      </w:r>
    </w:p>
    <w:p w14:paraId="4183DA41">
      <w:pPr>
        <w:spacing w:line="360" w:lineRule="auto"/>
        <w:ind w:firstLine="420" w:firstLineChars="200"/>
        <w:rPr>
          <w:rFonts w:hint="eastAsia" w:hAnsi="宋体"/>
          <w:color w:val="auto"/>
          <w:highlight w:val="none"/>
        </w:rPr>
      </w:pPr>
      <w:r>
        <w:rPr>
          <w:rFonts w:hint="eastAsia" w:hAnsi="宋体"/>
          <w:color w:val="auto"/>
          <w:highlight w:val="none"/>
        </w:rPr>
        <w:t>（</w:t>
      </w:r>
      <w:r>
        <w:rPr>
          <w:rFonts w:hint="eastAsia" w:ascii="宋体" w:hAnsi="宋体"/>
          <w:color w:val="auto"/>
          <w:highlight w:val="none"/>
        </w:rPr>
        <w:t>4）</w:t>
      </w:r>
      <w:r>
        <w:rPr>
          <w:rFonts w:hint="eastAsia" w:hAnsi="宋体"/>
          <w:color w:val="auto"/>
          <w:highlight w:val="none"/>
        </w:rPr>
        <w:t xml:space="preserve">病毒发作导致不能进行正常操作的； </w:t>
      </w:r>
    </w:p>
    <w:p w14:paraId="6545E2D0">
      <w:pPr>
        <w:spacing w:line="360" w:lineRule="auto"/>
        <w:ind w:firstLine="420" w:firstLineChars="200"/>
        <w:rPr>
          <w:rFonts w:hint="eastAsia" w:hAnsi="宋体"/>
          <w:color w:val="auto"/>
          <w:highlight w:val="none"/>
        </w:rPr>
      </w:pPr>
      <w:r>
        <w:rPr>
          <w:rFonts w:hint="eastAsia" w:ascii="宋体" w:hAnsi="宋体"/>
          <w:color w:val="auto"/>
          <w:highlight w:val="none"/>
        </w:rPr>
        <w:t>（5）</w:t>
      </w:r>
      <w:r>
        <w:rPr>
          <w:rFonts w:hint="eastAsia" w:hAnsi="宋体"/>
          <w:color w:val="auto"/>
          <w:highlight w:val="none"/>
        </w:rPr>
        <w:t>其他无法保证电子交易的公平、公正和安全的情况。</w:t>
      </w:r>
    </w:p>
    <w:p w14:paraId="774ED1F8">
      <w:pPr>
        <w:spacing w:line="360" w:lineRule="auto"/>
        <w:ind w:firstLine="420" w:firstLineChars="200"/>
        <w:rPr>
          <w:color w:val="auto"/>
        </w:rPr>
      </w:pPr>
      <w:r>
        <w:rPr>
          <w:rFonts w:hint="eastAsia" w:ascii="宋体" w:hAnsi="宋体"/>
          <w:color w:val="auto"/>
          <w:highlight w:val="none"/>
        </w:rPr>
        <w:t>26.</w:t>
      </w:r>
      <w:r>
        <w:rPr>
          <w:rFonts w:hint="eastAsia" w:ascii="宋体" w:hAnsi="宋体"/>
          <w:color w:val="auto"/>
          <w:highlight w:val="none"/>
          <w:lang w:val="en-US" w:eastAsia="zh-CN"/>
        </w:rPr>
        <w:t>5</w:t>
      </w:r>
      <w:r>
        <w:rPr>
          <w:rFonts w:hint="eastAsia" w:hAnsi="宋体"/>
          <w:color w:val="auto"/>
          <w:highlight w:val="none"/>
        </w:rPr>
        <w:t>出现以上情形，不影响采购公平、公正性的，采购组织机构可以待上述情形消除后继续组织电子交易活动；影响或可能影响采购公平、公正性的，经采购代理机构确认，报采购人同意后，应当重新采购。采购代理机构必须对原有的资料及信息作出妥善保密处理，并报财政部门备案。</w:t>
      </w:r>
    </w:p>
    <w:p w14:paraId="02587573">
      <w:pPr>
        <w:spacing w:line="360" w:lineRule="auto"/>
        <w:ind w:firstLine="422" w:firstLineChars="200"/>
        <w:rPr>
          <w:rFonts w:hint="eastAsia" w:ascii="宋体" w:hAnsi="宋体" w:eastAsia="宋体" w:cs="宋体"/>
          <w:b/>
          <w:bCs/>
          <w:color w:val="auto"/>
          <w:szCs w:val="21"/>
        </w:rPr>
      </w:pPr>
      <w:r>
        <w:rPr>
          <w:rFonts w:hint="eastAsia" w:ascii="宋体" w:hAnsi="宋体" w:eastAsia="宋体" w:cs="宋体"/>
          <w:b/>
          <w:bCs/>
          <w:color w:val="auto"/>
          <w:szCs w:val="21"/>
        </w:rPr>
        <w:t>27.确定成交供应商及结果公告</w:t>
      </w:r>
    </w:p>
    <w:p w14:paraId="12A5F028">
      <w:pPr>
        <w:spacing w:line="360" w:lineRule="auto"/>
        <w:ind w:firstLine="420" w:firstLineChars="200"/>
        <w:rPr>
          <w:rFonts w:ascii="宋体" w:hAnsi="宋体" w:cs="宋体"/>
          <w:color w:val="auto"/>
          <w:szCs w:val="21"/>
        </w:rPr>
      </w:pPr>
      <w:r>
        <w:rPr>
          <w:rFonts w:ascii="宋体" w:hAnsi="宋体" w:cs="宋体"/>
          <w:color w:val="auto"/>
          <w:szCs w:val="21"/>
        </w:rPr>
        <w:t>27</w:t>
      </w:r>
      <w:r>
        <w:rPr>
          <w:rFonts w:hint="eastAsia" w:ascii="宋体" w:hAnsi="宋体" w:cs="宋体"/>
          <w:color w:val="auto"/>
          <w:szCs w:val="21"/>
        </w:rPr>
        <w:t>.1</w:t>
      </w:r>
      <w:r>
        <w:rPr>
          <w:rFonts w:hint="eastAsia" w:ascii="宋体" w:hAnsi="宋体" w:cs="宋体"/>
          <w:color w:val="auto"/>
          <w:kern w:val="0"/>
          <w:szCs w:val="21"/>
        </w:rPr>
        <w:t xml:space="preserve"> </w:t>
      </w:r>
      <w:r>
        <w:rPr>
          <w:rFonts w:hint="eastAsia" w:ascii="宋体" w:hAnsi="宋体" w:cs="宋体"/>
          <w:color w:val="auto"/>
          <w:szCs w:val="21"/>
        </w:rPr>
        <w:t>采购代理机构应当在评审结束后2个工作日内将评审报告送采购人确认。采购人应当在收到评审报告后5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6D28831C">
      <w:pPr>
        <w:spacing w:line="360" w:lineRule="auto"/>
        <w:ind w:firstLine="420" w:firstLineChars="200"/>
        <w:rPr>
          <w:rFonts w:ascii="宋体" w:hAnsi="宋体" w:cs="宋体"/>
          <w:color w:val="auto"/>
          <w:szCs w:val="21"/>
        </w:rPr>
      </w:pPr>
      <w:r>
        <w:rPr>
          <w:rFonts w:ascii="宋体" w:hAnsi="宋体" w:cs="宋体"/>
          <w:color w:val="auto"/>
          <w:szCs w:val="21"/>
        </w:rPr>
        <w:t>27</w:t>
      </w:r>
      <w:r>
        <w:rPr>
          <w:rFonts w:hint="eastAsia" w:ascii="宋体" w:hAnsi="宋体" w:cs="宋体"/>
          <w:color w:val="auto"/>
          <w:szCs w:val="21"/>
        </w:rPr>
        <w:t>.2采购代理机构应当在</w:t>
      </w:r>
      <w:r>
        <w:rPr>
          <w:rFonts w:hint="eastAsia" w:ascii="宋体" w:hAnsi="宋体" w:cs="宋体"/>
          <w:color w:val="auto"/>
          <w:kern w:val="0"/>
          <w:szCs w:val="21"/>
        </w:rPr>
        <w:t>成交</w:t>
      </w:r>
      <w:r>
        <w:rPr>
          <w:rFonts w:hint="eastAsia" w:ascii="宋体" w:hAnsi="宋体" w:cs="宋体"/>
          <w:color w:val="auto"/>
          <w:szCs w:val="21"/>
        </w:rPr>
        <w:t>供应商确定后2个工作日内，在省级以上财政部门指定的媒体上公告成交结果，同时向成交供应商发出成交通知书。</w:t>
      </w:r>
    </w:p>
    <w:p w14:paraId="25550305">
      <w:pPr>
        <w:spacing w:line="360" w:lineRule="auto"/>
        <w:ind w:firstLine="420" w:firstLineChars="200"/>
        <w:rPr>
          <w:rFonts w:ascii="宋体" w:hAnsi="宋体" w:cs="宋体"/>
          <w:color w:val="auto"/>
          <w:szCs w:val="21"/>
        </w:rPr>
      </w:pPr>
      <w:r>
        <w:rPr>
          <w:rFonts w:hint="eastAsia" w:ascii="宋体" w:hAnsi="宋体" w:cs="宋体"/>
          <w:color w:val="auto"/>
          <w:szCs w:val="21"/>
        </w:rPr>
        <w:t>2</w:t>
      </w:r>
      <w:r>
        <w:rPr>
          <w:rFonts w:ascii="宋体" w:hAnsi="宋体" w:cs="宋体"/>
          <w:color w:val="auto"/>
          <w:szCs w:val="21"/>
        </w:rPr>
        <w:t>7.3</w:t>
      </w:r>
      <w:r>
        <w:rPr>
          <w:rFonts w:hint="eastAsia" w:ascii="宋体" w:hAnsi="宋体" w:cs="宋体"/>
          <w:color w:val="auto"/>
          <w:szCs w:val="21"/>
        </w:rPr>
        <w:t xml:space="preserve"> 采购人、采购代理机构认为供应商对采购过程、成交结果提出的质疑成立且影响或者可能影响成交结果的，合格供应商符合法定数量时，可以从合格的成交候选人中另行确定成交供应商的，应当依法另行确定成交供应商；否则应当重新开展采购活动。</w:t>
      </w:r>
    </w:p>
    <w:p w14:paraId="475E0CBC">
      <w:pPr>
        <w:spacing w:line="360" w:lineRule="auto"/>
        <w:ind w:firstLine="420" w:firstLineChars="200"/>
        <w:rPr>
          <w:rFonts w:ascii="宋体" w:hAnsi="宋体" w:cs="宋体"/>
          <w:color w:val="auto"/>
          <w:szCs w:val="21"/>
        </w:rPr>
      </w:pPr>
      <w:r>
        <w:rPr>
          <w:rFonts w:ascii="宋体" w:hAnsi="宋体"/>
          <w:bCs/>
          <w:color w:val="auto"/>
          <w:szCs w:val="21"/>
        </w:rPr>
        <w:t>27.4</w:t>
      </w:r>
      <w:r>
        <w:rPr>
          <w:rFonts w:hint="eastAsia" w:ascii="宋体" w:hAnsi="宋体"/>
          <w:bCs/>
          <w:color w:val="auto"/>
          <w:szCs w:val="21"/>
        </w:rPr>
        <w:t>排名第一的成交候选人放弃成交、因不可抗力提出不能履行合同，采购人可以确定排名第二的成交候选人为成交供应商。排名第二的成交候选人因前款规定的同样原因不能签订合同的，采购人可以确定排名第三的成交候选人为成交供应商，以此类推。</w:t>
      </w:r>
    </w:p>
    <w:p w14:paraId="31055357">
      <w:pPr>
        <w:spacing w:line="360" w:lineRule="auto"/>
        <w:ind w:firstLine="422" w:firstLineChars="200"/>
        <w:rPr>
          <w:rFonts w:hint="eastAsia" w:ascii="宋体" w:hAnsi="宋体" w:eastAsia="宋体" w:cs="宋体"/>
          <w:b/>
          <w:bCs/>
          <w:color w:val="auto"/>
          <w:szCs w:val="21"/>
        </w:rPr>
      </w:pPr>
      <w:r>
        <w:rPr>
          <w:rFonts w:hint="eastAsia" w:ascii="宋体" w:hAnsi="宋体" w:eastAsia="宋体" w:cs="宋体"/>
          <w:b/>
          <w:bCs/>
          <w:color w:val="auto"/>
          <w:szCs w:val="21"/>
        </w:rPr>
        <w:t>28.履约保证金</w:t>
      </w:r>
    </w:p>
    <w:p w14:paraId="3F012DF0">
      <w:pPr>
        <w:spacing w:line="360" w:lineRule="auto"/>
        <w:ind w:firstLine="424" w:firstLineChars="202"/>
        <w:rPr>
          <w:rFonts w:ascii="宋体" w:hAnsi="宋体" w:cs="宋体"/>
          <w:color w:val="auto"/>
          <w:szCs w:val="21"/>
        </w:rPr>
      </w:pPr>
      <w:r>
        <w:rPr>
          <w:rFonts w:ascii="宋体" w:hAnsi="宋体" w:cs="宋体"/>
          <w:color w:val="auto"/>
          <w:szCs w:val="21"/>
        </w:rPr>
        <w:t>28</w:t>
      </w:r>
      <w:r>
        <w:rPr>
          <w:rFonts w:hint="eastAsia" w:ascii="宋体" w:hAnsi="宋体" w:cs="宋体"/>
          <w:color w:val="auto"/>
          <w:szCs w:val="21"/>
        </w:rPr>
        <w:t>.1</w:t>
      </w:r>
      <w:r>
        <w:rPr>
          <w:rFonts w:ascii="宋体" w:hAnsi="宋体" w:cs="宋体"/>
          <w:color w:val="auto"/>
          <w:szCs w:val="21"/>
        </w:rPr>
        <w:t xml:space="preserve"> </w:t>
      </w:r>
      <w:r>
        <w:rPr>
          <w:rFonts w:hint="eastAsia" w:ascii="宋体" w:hAnsi="宋体" w:cs="宋体"/>
          <w:color w:val="auto"/>
          <w:szCs w:val="21"/>
        </w:rPr>
        <w:t>履约保证金的金额、提交方式、退付的时间和条件详见 “供应商须知前附表”。成交供应商未按规定提交履约保证金的，视为拒绝</w:t>
      </w:r>
      <w:r>
        <w:rPr>
          <w:rFonts w:ascii="宋体" w:hAnsi="宋体"/>
          <w:color w:val="auto"/>
        </w:rPr>
        <w:t>与采购人</w:t>
      </w:r>
      <w:r>
        <w:rPr>
          <w:rFonts w:hint="eastAsia" w:ascii="宋体" w:hAnsi="宋体" w:cs="宋体"/>
          <w:color w:val="auto"/>
          <w:szCs w:val="21"/>
        </w:rPr>
        <w:t>签订合同，采购人可以按照评审报告推荐的成交候选人名单排序，确定下一候选人为成交供应商，也可以重新开展政府采购活动。</w:t>
      </w:r>
    </w:p>
    <w:p w14:paraId="74C368FA">
      <w:pPr>
        <w:spacing w:line="360" w:lineRule="auto"/>
        <w:ind w:firstLine="424" w:firstLineChars="202"/>
        <w:rPr>
          <w:rFonts w:ascii="宋体" w:hAnsi="宋体" w:cs="宋体"/>
          <w:color w:val="auto"/>
          <w:szCs w:val="21"/>
        </w:rPr>
      </w:pPr>
      <w:r>
        <w:rPr>
          <w:rFonts w:ascii="宋体" w:hAnsi="宋体" w:cs="宋体"/>
          <w:color w:val="auto"/>
          <w:szCs w:val="21"/>
        </w:rPr>
        <w:t>28</w:t>
      </w:r>
      <w:r>
        <w:rPr>
          <w:rFonts w:hint="eastAsia" w:ascii="宋体" w:hAnsi="宋体" w:cs="宋体"/>
          <w:color w:val="auto"/>
          <w:szCs w:val="21"/>
        </w:rPr>
        <w:t>.2签订合同后，如成交供应商不按双方签订的合同规定履约，则没收其全部履约保证金，履约保证金不足以赔偿损失的，按实际损失赔偿。</w:t>
      </w:r>
    </w:p>
    <w:p w14:paraId="13C1FE92">
      <w:pPr>
        <w:spacing w:line="360" w:lineRule="auto"/>
        <w:ind w:firstLine="424" w:firstLineChars="202"/>
        <w:rPr>
          <w:rFonts w:hint="eastAsia" w:ascii="宋体" w:hAnsi="宋体" w:eastAsia="宋体" w:cs="宋体"/>
          <w:b/>
          <w:bCs/>
          <w:color w:val="auto"/>
          <w:szCs w:val="21"/>
        </w:rPr>
      </w:pPr>
      <w:r>
        <w:rPr>
          <w:rFonts w:ascii="宋体" w:hAnsi="宋体" w:cs="宋体"/>
          <w:color w:val="auto"/>
          <w:szCs w:val="21"/>
        </w:rPr>
        <w:t>28</w:t>
      </w:r>
      <w:r>
        <w:rPr>
          <w:rFonts w:hint="eastAsia" w:ascii="宋体" w:hAnsi="宋体" w:cs="宋体"/>
          <w:color w:val="auto"/>
          <w:szCs w:val="21"/>
        </w:rPr>
        <w:t>.</w:t>
      </w:r>
      <w:r>
        <w:rPr>
          <w:rFonts w:ascii="宋体" w:hAnsi="宋体" w:cs="宋体"/>
          <w:color w:val="auto"/>
          <w:szCs w:val="21"/>
        </w:rPr>
        <w:t>3</w:t>
      </w:r>
      <w:r>
        <w:rPr>
          <w:rFonts w:hint="eastAsia" w:ascii="宋体" w:hAnsi="宋体" w:cs="宋体"/>
          <w:color w:val="auto"/>
          <w:szCs w:val="21"/>
        </w:rPr>
        <w:t>在履约保证金退还日期前，若成交供应商的开户名称、开户银行、</w:t>
      </w:r>
      <w:r>
        <w:rPr>
          <w:rFonts w:hint="eastAsia" w:ascii="宋体" w:hAnsi="宋体" w:cs="宋体"/>
          <w:color w:val="auto"/>
          <w:szCs w:val="21"/>
          <w:lang w:val="en-US" w:eastAsia="zh-CN"/>
        </w:rPr>
        <w:t>账</w:t>
      </w:r>
      <w:r>
        <w:rPr>
          <w:rFonts w:hint="eastAsia" w:ascii="宋体" w:hAnsi="宋体" w:cs="宋体"/>
          <w:color w:val="auto"/>
          <w:szCs w:val="21"/>
        </w:rPr>
        <w:t>号有变动的，请以书面形式通知履约保证金收取单位，否则</w:t>
      </w:r>
      <w:r>
        <w:rPr>
          <w:rFonts w:hint="eastAsia" w:ascii="宋体" w:hAnsi="宋体" w:eastAsia="宋体" w:cs="宋体"/>
          <w:b/>
          <w:bCs/>
          <w:color w:val="auto"/>
          <w:szCs w:val="21"/>
        </w:rPr>
        <w:t>由此产生的后果由成交供应商自行承担。</w:t>
      </w:r>
    </w:p>
    <w:p w14:paraId="3F0DA48E">
      <w:pPr>
        <w:spacing w:line="360" w:lineRule="auto"/>
        <w:ind w:firstLine="426" w:firstLineChars="202"/>
        <w:rPr>
          <w:rFonts w:hint="eastAsia" w:ascii="宋体" w:hAnsi="宋体" w:eastAsia="宋体" w:cs="宋体"/>
          <w:b/>
          <w:bCs/>
          <w:color w:val="auto"/>
          <w:szCs w:val="21"/>
        </w:rPr>
      </w:pPr>
      <w:r>
        <w:rPr>
          <w:rFonts w:hint="eastAsia" w:ascii="宋体" w:hAnsi="宋体" w:eastAsia="宋体" w:cs="宋体"/>
          <w:b/>
          <w:bCs/>
          <w:color w:val="auto"/>
          <w:szCs w:val="21"/>
        </w:rPr>
        <w:t>29.签订合同</w:t>
      </w:r>
    </w:p>
    <w:p w14:paraId="7D4FDED8">
      <w:pPr>
        <w:spacing w:line="360" w:lineRule="auto"/>
        <w:ind w:firstLine="424" w:firstLineChars="202"/>
        <w:rPr>
          <w:rFonts w:hint="eastAsia" w:ascii="宋体" w:hAnsi="宋体" w:cs="宋体"/>
          <w:color w:val="auto"/>
          <w:szCs w:val="21"/>
          <w:highlight w:val="none"/>
        </w:rPr>
      </w:pPr>
      <w:r>
        <w:rPr>
          <w:rFonts w:hint="eastAsia" w:ascii="宋体" w:hAnsi="宋体" w:cs="宋体"/>
          <w:color w:val="auto"/>
          <w:szCs w:val="21"/>
          <w:highlight w:val="none"/>
        </w:rPr>
        <w:t>29.1签订电子采购合同：成交供应商领取电子成交通知书后，在</w:t>
      </w:r>
      <w:r>
        <w:rPr>
          <w:rFonts w:hint="eastAsia" w:ascii="宋体" w:hAnsi="宋体" w:cs="宋体"/>
          <w:color w:val="auto"/>
          <w:szCs w:val="21"/>
          <w:highlight w:val="none"/>
          <w:lang w:val="zh-CN"/>
        </w:rPr>
        <w:t>规定的日期、时间、地点，由法定代表人或其授权代表与采购人代表签订电子采购合同。如成交供应商为联合体的，由联合体成员各方法定代表人或其授权代表与采购人代表签订合同。</w:t>
      </w:r>
    </w:p>
    <w:p w14:paraId="65ACB96D">
      <w:pPr>
        <w:spacing w:line="360" w:lineRule="auto"/>
        <w:ind w:firstLine="424" w:firstLineChars="202"/>
        <w:rPr>
          <w:rFonts w:hint="eastAsia" w:ascii="宋体" w:hAnsi="宋体" w:cs="宋体"/>
          <w:color w:val="auto"/>
          <w:szCs w:val="21"/>
          <w:highlight w:val="none"/>
        </w:rPr>
      </w:pPr>
      <w:r>
        <w:rPr>
          <w:rFonts w:hint="eastAsia" w:ascii="宋体" w:hAnsi="宋体" w:cs="宋体"/>
          <w:color w:val="auto"/>
          <w:szCs w:val="21"/>
          <w:highlight w:val="none"/>
        </w:rPr>
        <w:t>线下签订纸质合同：供应商领取成交通知书后，按“供应商须知前附表”规定向采购人出示相关证明材料，经采购人核验合格后方可签订合同。</w:t>
      </w:r>
    </w:p>
    <w:p w14:paraId="0A9DAD91">
      <w:pPr>
        <w:spacing w:line="360" w:lineRule="auto"/>
        <w:ind w:firstLine="424" w:firstLineChars="202"/>
        <w:rPr>
          <w:rFonts w:hint="eastAsia" w:ascii="宋体" w:hAnsi="宋体" w:cs="宋体"/>
          <w:color w:val="auto"/>
          <w:szCs w:val="21"/>
          <w:highlight w:val="none"/>
        </w:rPr>
      </w:pPr>
      <w:r>
        <w:rPr>
          <w:rFonts w:hint="eastAsia" w:ascii="宋体" w:hAnsi="宋体" w:cs="宋体"/>
          <w:color w:val="auto"/>
          <w:szCs w:val="21"/>
          <w:highlight w:val="none"/>
        </w:rPr>
        <w:t>29.2签订合同时间：按成交通知书规定的时间与采购人签订合同。</w:t>
      </w:r>
    </w:p>
    <w:p w14:paraId="3F43F005">
      <w:pPr>
        <w:spacing w:line="360" w:lineRule="auto"/>
        <w:ind w:firstLine="424" w:firstLineChars="202"/>
        <w:rPr>
          <w:rFonts w:hint="eastAsia" w:ascii="宋体" w:hAnsi="宋体" w:cs="宋体"/>
          <w:color w:val="auto"/>
          <w:szCs w:val="21"/>
          <w:highlight w:val="none"/>
        </w:rPr>
      </w:pPr>
      <w:r>
        <w:rPr>
          <w:rFonts w:hint="eastAsia" w:ascii="宋体" w:hAnsi="宋体" w:cs="宋体"/>
          <w:color w:val="auto"/>
          <w:szCs w:val="21"/>
          <w:highlight w:val="none"/>
        </w:rPr>
        <w:t>29.</w:t>
      </w:r>
      <w:r>
        <w:rPr>
          <w:rFonts w:ascii="宋体" w:hAnsi="宋体" w:cs="宋体"/>
          <w:color w:val="auto"/>
          <w:szCs w:val="21"/>
          <w:highlight w:val="none"/>
        </w:rPr>
        <w:t>3</w:t>
      </w:r>
      <w:r>
        <w:rPr>
          <w:rFonts w:hint="eastAsia" w:ascii="宋体" w:hAnsi="宋体" w:cs="宋体"/>
          <w:color w:val="auto"/>
          <w:szCs w:val="21"/>
          <w:highlight w:val="none"/>
        </w:rPr>
        <w:t>成交供应商拒绝签订政府采购合同（包括但不限于放弃成交、因不可抗力不能履行合同而放弃签订合同），采购人可以按照评审报告推荐的成交候选人名单排序，确定下一候选人为成交供应商，也可以重新开展政府采购活动。如采购人无正当理由拒签合同的，给成交供应商造成损失的，成交</w:t>
      </w:r>
      <w:r>
        <w:rPr>
          <w:rFonts w:hint="eastAsia" w:ascii="宋体" w:hAnsi="宋体" w:eastAsia="宋体" w:cs="宋体"/>
          <w:b/>
          <w:bCs/>
          <w:color w:val="auto"/>
          <w:szCs w:val="21"/>
        </w:rPr>
        <w:t>供应商</w:t>
      </w:r>
      <w:r>
        <w:rPr>
          <w:rFonts w:hint="eastAsia" w:ascii="宋体" w:hAnsi="宋体" w:cs="宋体"/>
          <w:color w:val="auto"/>
          <w:szCs w:val="21"/>
          <w:highlight w:val="none"/>
        </w:rPr>
        <w:t>可追究采购人承担相应的法律责任。</w:t>
      </w:r>
    </w:p>
    <w:p w14:paraId="382FBFF1">
      <w:pPr>
        <w:spacing w:line="360" w:lineRule="auto"/>
        <w:ind w:firstLine="424" w:firstLineChars="202"/>
        <w:rPr>
          <w:rFonts w:hint="eastAsia" w:ascii="宋体" w:hAnsi="宋体" w:cs="宋体"/>
          <w:color w:val="auto"/>
          <w:szCs w:val="21"/>
          <w:highlight w:val="none"/>
        </w:rPr>
      </w:pPr>
      <w:r>
        <w:rPr>
          <w:rFonts w:hint="eastAsia" w:ascii="宋体" w:hAnsi="宋体" w:cs="宋体"/>
          <w:color w:val="auto"/>
          <w:szCs w:val="21"/>
          <w:highlight w:val="none"/>
        </w:rPr>
        <w:t>29.4政府采购合同是政府采购项目验收的依据，成交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06B64766">
      <w:pPr>
        <w:spacing w:line="360" w:lineRule="auto"/>
        <w:ind w:firstLine="424" w:firstLineChars="202"/>
        <w:rPr>
          <w:rFonts w:hint="eastAsia" w:ascii="宋体" w:hAnsi="宋体" w:cs="宋体"/>
          <w:color w:val="auto"/>
          <w:szCs w:val="21"/>
          <w:highlight w:val="none"/>
        </w:rPr>
      </w:pPr>
      <w:r>
        <w:rPr>
          <w:rFonts w:hint="eastAsia" w:ascii="宋体" w:hAnsi="宋体" w:cs="宋体"/>
          <w:color w:val="auto"/>
          <w:szCs w:val="21"/>
          <w:highlight w:val="none"/>
        </w:rPr>
        <w:t>29.5采购人或成交供应商不得单方面向合同另一方提出任何磋商文件没有约定的条件或不合理的要求，作为签订合同的条件；也不得协商另行订立背离磋商文件和合同实质性内容的协议。</w:t>
      </w:r>
    </w:p>
    <w:p w14:paraId="1FCDA8F0">
      <w:pPr>
        <w:spacing w:line="360" w:lineRule="auto"/>
        <w:ind w:firstLine="424" w:firstLineChars="202"/>
        <w:rPr>
          <w:rFonts w:hint="eastAsia" w:ascii="宋体" w:hAnsi="宋体" w:cs="宋体"/>
          <w:color w:val="auto"/>
          <w:szCs w:val="21"/>
          <w:highlight w:val="none"/>
        </w:rPr>
      </w:pPr>
      <w:r>
        <w:rPr>
          <w:rFonts w:hint="eastAsia" w:ascii="宋体" w:hAnsi="宋体" w:cs="宋体"/>
          <w:color w:val="auto"/>
          <w:szCs w:val="21"/>
          <w:highlight w:val="none"/>
        </w:rPr>
        <w:t>29.6如签订合同并生效后，供应商无故拒绝或延期，除按照合同条款处理外，将承担相应的法律责任。</w:t>
      </w:r>
    </w:p>
    <w:p w14:paraId="1EBDACEA">
      <w:pPr>
        <w:spacing w:line="360" w:lineRule="auto"/>
        <w:ind w:firstLine="424" w:firstLineChars="202"/>
        <w:rPr>
          <w:rFonts w:hint="eastAsia" w:ascii="宋体" w:hAnsi="宋体" w:cs="宋体"/>
          <w:color w:val="auto"/>
          <w:szCs w:val="21"/>
          <w:highlight w:val="none"/>
        </w:rPr>
      </w:pPr>
      <w:r>
        <w:rPr>
          <w:rFonts w:hint="eastAsia" w:ascii="宋体" w:hAnsi="宋体" w:cs="宋体"/>
          <w:color w:val="auto"/>
          <w:szCs w:val="21"/>
          <w:highlight w:val="none"/>
        </w:rPr>
        <w:t>29.7政府采购合同履行中，采购人需追加与合同标的相同的货物、工程或者服务的，在不改变合同其他条款的前提下，可以与供应商协商签订补充合同，但所有补充合同的采购金额不得超过原合同采购金额的10%。</w:t>
      </w:r>
    </w:p>
    <w:p w14:paraId="4A92AFBF">
      <w:pPr>
        <w:spacing w:line="360" w:lineRule="auto"/>
        <w:ind w:firstLine="422" w:firstLineChars="200"/>
        <w:rPr>
          <w:rFonts w:hint="eastAsia" w:ascii="宋体" w:hAnsi="宋体" w:eastAsia="宋体" w:cs="宋体"/>
          <w:b/>
          <w:bCs/>
          <w:color w:val="auto"/>
          <w:szCs w:val="21"/>
        </w:rPr>
      </w:pPr>
      <w:r>
        <w:rPr>
          <w:rFonts w:hint="eastAsia" w:ascii="宋体" w:hAnsi="宋体" w:eastAsia="宋体" w:cs="宋体"/>
          <w:b/>
          <w:bCs/>
          <w:color w:val="auto"/>
          <w:szCs w:val="21"/>
        </w:rPr>
        <w:t>30.政府采购合同公告</w:t>
      </w:r>
    </w:p>
    <w:p w14:paraId="578975BD">
      <w:pPr>
        <w:spacing w:line="360" w:lineRule="auto"/>
        <w:ind w:firstLine="420" w:firstLineChars="200"/>
        <w:rPr>
          <w:rFonts w:ascii="宋体" w:hAnsi="宋体" w:cs="宋体"/>
          <w:color w:val="auto"/>
          <w:szCs w:val="21"/>
        </w:rPr>
      </w:pPr>
      <w:r>
        <w:rPr>
          <w:rFonts w:hint="eastAsia" w:ascii="宋体" w:hAnsi="宋体" w:cs="宋体"/>
          <w:color w:val="auto"/>
          <w:szCs w:val="21"/>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14:paraId="3C261863">
      <w:pPr>
        <w:spacing w:line="360" w:lineRule="auto"/>
        <w:ind w:firstLine="422" w:firstLineChars="200"/>
        <w:rPr>
          <w:rFonts w:hint="eastAsia" w:ascii="宋体" w:hAnsi="宋体" w:eastAsia="宋体" w:cs="宋体"/>
          <w:b/>
          <w:bCs/>
          <w:color w:val="auto"/>
          <w:szCs w:val="21"/>
        </w:rPr>
      </w:pPr>
      <w:r>
        <w:rPr>
          <w:rFonts w:hint="eastAsia" w:ascii="宋体" w:hAnsi="宋体" w:eastAsia="宋体" w:cs="宋体"/>
          <w:b/>
          <w:bCs/>
          <w:color w:val="auto"/>
          <w:szCs w:val="21"/>
        </w:rPr>
        <w:t>31. 询问、质疑和投诉</w:t>
      </w:r>
    </w:p>
    <w:p w14:paraId="033EDC9E">
      <w:pPr>
        <w:spacing w:line="360" w:lineRule="auto"/>
        <w:ind w:firstLine="420" w:firstLineChars="200"/>
        <w:rPr>
          <w:rFonts w:ascii="宋体" w:hAnsi="宋体" w:cs="宋体"/>
          <w:color w:val="auto"/>
        </w:rPr>
      </w:pPr>
      <w:r>
        <w:rPr>
          <w:rFonts w:hint="eastAsia" w:ascii="宋体" w:hAnsi="宋体" w:cs="宋体"/>
          <w:color w:val="auto"/>
        </w:rPr>
        <w:t>3</w:t>
      </w:r>
      <w:r>
        <w:rPr>
          <w:rFonts w:ascii="宋体" w:hAnsi="宋体" w:cs="宋体"/>
          <w:color w:val="auto"/>
        </w:rPr>
        <w:t>1</w:t>
      </w:r>
      <w:r>
        <w:rPr>
          <w:rFonts w:hint="eastAsia" w:ascii="宋体" w:hAnsi="宋体" w:cs="宋体"/>
          <w:color w:val="auto"/>
        </w:rPr>
        <w:t>.1供应商对政府采购活动事项有疑问的，可以向采购人、采购代理机构提出询问，采购人或者采购代理机构应当在3个工作日内对供应商依法提出的询问作出答复。</w:t>
      </w:r>
    </w:p>
    <w:p w14:paraId="7E132198">
      <w:pPr>
        <w:spacing w:line="360" w:lineRule="auto"/>
        <w:ind w:firstLine="420" w:firstLineChars="200"/>
        <w:rPr>
          <w:rFonts w:ascii="宋体" w:hAnsi="宋体" w:cs="宋体"/>
          <w:color w:val="auto"/>
        </w:rPr>
      </w:pPr>
      <w:r>
        <w:rPr>
          <w:rFonts w:hint="eastAsia" w:ascii="宋体" w:hAnsi="宋体" w:cs="宋体"/>
          <w:color w:val="auto"/>
        </w:rPr>
        <w:t>3</w:t>
      </w:r>
      <w:r>
        <w:rPr>
          <w:rFonts w:ascii="宋体" w:hAnsi="宋体" w:cs="宋体"/>
          <w:color w:val="auto"/>
        </w:rPr>
        <w:t>1</w:t>
      </w:r>
      <w:r>
        <w:rPr>
          <w:rFonts w:hint="eastAsia" w:ascii="宋体" w:hAnsi="宋体" w:cs="宋体"/>
          <w:color w:val="auto"/>
        </w:rPr>
        <w:t>.2供应商认为磋商文件、采购过程或者成交结果使自己的合法权益受到损害的，应当在知道或者应知其权益受到损害之日起7个工作日内，以书面形式向采购人、采购代理机构提出质疑，</w:t>
      </w:r>
      <w:r>
        <w:rPr>
          <w:rFonts w:ascii="宋体" w:hAnsi="宋体" w:cs="Arial"/>
          <w:color w:val="auto"/>
          <w:shd w:val="clear" w:color="auto" w:fill="FFFFFF"/>
        </w:rPr>
        <w:t>接收质疑函的方式、联系部门、联系电话和通讯地址等信息</w:t>
      </w:r>
      <w:r>
        <w:rPr>
          <w:rFonts w:hint="eastAsia" w:ascii="宋体" w:hAnsi="宋体" w:cs="Arial"/>
          <w:color w:val="auto"/>
          <w:shd w:val="clear" w:color="auto" w:fill="FFFFFF"/>
        </w:rPr>
        <w:t>详见</w:t>
      </w:r>
      <w:r>
        <w:rPr>
          <w:rFonts w:hint="eastAsia" w:ascii="宋体" w:hAnsi="宋体" w:cs="宋体"/>
          <w:color w:val="auto"/>
          <w:szCs w:val="21"/>
        </w:rPr>
        <w:t>“供应商须知前附表”</w:t>
      </w:r>
      <w:r>
        <w:rPr>
          <w:rFonts w:hint="eastAsia" w:ascii="宋体" w:hAnsi="宋体" w:cs="宋体"/>
          <w:color w:val="auto"/>
        </w:rPr>
        <w:t>。具体质疑起算时间如下：</w:t>
      </w:r>
    </w:p>
    <w:p w14:paraId="0FE63723">
      <w:pPr>
        <w:spacing w:line="360" w:lineRule="auto"/>
        <w:ind w:firstLine="420" w:firstLineChars="200"/>
        <w:rPr>
          <w:rFonts w:ascii="宋体" w:hAnsi="宋体" w:cs="宋体"/>
          <w:color w:val="auto"/>
        </w:rPr>
      </w:pPr>
      <w:r>
        <w:rPr>
          <w:rFonts w:hint="eastAsia" w:ascii="宋体" w:hAnsi="宋体" w:cs="宋体"/>
          <w:color w:val="auto"/>
        </w:rPr>
        <w:t>（1）对可以质疑的磋商文件提出质疑的，为收到磋商文件之日或者</w:t>
      </w:r>
      <w:r>
        <w:rPr>
          <w:rFonts w:hint="eastAsia" w:ascii="宋体" w:hAnsi="宋体"/>
          <w:color w:val="auto"/>
        </w:rPr>
        <w:t>竞争性磋商公告期限届满之日</w:t>
      </w:r>
      <w:r>
        <w:rPr>
          <w:rFonts w:hint="eastAsia" w:ascii="宋体" w:hAnsi="宋体" w:cs="宋体"/>
          <w:color w:val="auto"/>
        </w:rPr>
        <w:t>；</w:t>
      </w:r>
    </w:p>
    <w:p w14:paraId="6291AF5B">
      <w:pPr>
        <w:spacing w:line="360" w:lineRule="auto"/>
        <w:ind w:firstLine="420" w:firstLineChars="200"/>
        <w:rPr>
          <w:rFonts w:ascii="宋体" w:hAnsi="宋体" w:cs="宋体"/>
          <w:color w:val="auto"/>
        </w:rPr>
      </w:pPr>
      <w:r>
        <w:rPr>
          <w:rFonts w:hint="eastAsia" w:ascii="宋体" w:hAnsi="宋体" w:cs="宋体"/>
          <w:color w:val="auto"/>
        </w:rPr>
        <w:t>（2）对采购过程提出质疑的，为各采购程序环节结束之日；</w:t>
      </w:r>
    </w:p>
    <w:p w14:paraId="0EF04C41">
      <w:pPr>
        <w:spacing w:line="360" w:lineRule="auto"/>
        <w:ind w:firstLine="420" w:firstLineChars="200"/>
        <w:rPr>
          <w:rFonts w:ascii="宋体" w:hAnsi="宋体" w:cs="宋体"/>
          <w:color w:val="auto"/>
        </w:rPr>
      </w:pPr>
      <w:r>
        <w:rPr>
          <w:rFonts w:hint="eastAsia" w:ascii="宋体" w:hAnsi="宋体" w:cs="宋体"/>
          <w:color w:val="auto"/>
        </w:rPr>
        <w:t>（3）对成交结果提出质疑的，为成交结果公告期限届满之日。</w:t>
      </w:r>
    </w:p>
    <w:p w14:paraId="7A4AE8D7">
      <w:pPr>
        <w:spacing w:line="360" w:lineRule="auto"/>
        <w:ind w:firstLine="420" w:firstLineChars="200"/>
        <w:rPr>
          <w:rFonts w:ascii="宋体" w:hAnsi="宋体" w:cs="宋体"/>
          <w:color w:val="auto"/>
        </w:rPr>
      </w:pPr>
      <w:r>
        <w:rPr>
          <w:rFonts w:hint="eastAsia" w:ascii="宋体" w:hAnsi="宋体" w:cs="宋体"/>
          <w:color w:val="auto"/>
        </w:rPr>
        <w:t>3</w:t>
      </w:r>
      <w:r>
        <w:rPr>
          <w:rFonts w:ascii="宋体" w:hAnsi="宋体" w:cs="宋体"/>
          <w:color w:val="auto"/>
        </w:rPr>
        <w:t>1</w:t>
      </w:r>
      <w:r>
        <w:rPr>
          <w:rFonts w:hint="eastAsia" w:ascii="宋体" w:hAnsi="宋体" w:cs="宋体"/>
          <w:color w:val="auto"/>
        </w:rPr>
        <w:t>.3供应商提出的询问或者质疑超出采购人对采购代理机构委托授权范围的，采购代理机构应当告知供应商向采购人提出。政府采购评审专家应当配合采购人或者采购代理机构答复供应商的询问和质疑。</w:t>
      </w:r>
    </w:p>
    <w:p w14:paraId="668017BF">
      <w:pPr>
        <w:spacing w:line="360" w:lineRule="auto"/>
        <w:ind w:firstLine="420" w:firstLineChars="200"/>
        <w:rPr>
          <w:rFonts w:ascii="宋体" w:hAnsi="宋体" w:cs="宋体"/>
          <w:color w:val="auto"/>
        </w:rPr>
      </w:pPr>
      <w:r>
        <w:rPr>
          <w:rFonts w:hint="eastAsia" w:ascii="宋体" w:hAnsi="宋体" w:cs="宋体"/>
          <w:color w:val="auto"/>
        </w:rPr>
        <w:t>3</w:t>
      </w:r>
      <w:r>
        <w:rPr>
          <w:rFonts w:ascii="宋体" w:hAnsi="宋体" w:cs="宋体"/>
          <w:color w:val="auto"/>
        </w:rPr>
        <w:t>1</w:t>
      </w:r>
      <w:r>
        <w:rPr>
          <w:rFonts w:hint="eastAsia" w:ascii="宋体" w:hAnsi="宋体" w:cs="宋体"/>
          <w:color w:val="auto"/>
        </w:rPr>
        <w:t>.4 供应商提出质疑应当提交质疑函和必要的证明材料，针对同一采购程序环节的质疑必须在法定质疑期内一次性提出。质疑函应当包括下列内容</w:t>
      </w:r>
      <w:r>
        <w:rPr>
          <w:rFonts w:hint="eastAsia" w:hAnsi="宋体"/>
          <w:bCs/>
          <w:color w:val="auto"/>
        </w:rPr>
        <w:t>（质疑函格式后附）</w:t>
      </w:r>
      <w:r>
        <w:rPr>
          <w:rFonts w:hint="eastAsia" w:ascii="宋体" w:hAnsi="宋体" w:cs="宋体"/>
          <w:color w:val="auto"/>
        </w:rPr>
        <w:t>：</w:t>
      </w:r>
    </w:p>
    <w:p w14:paraId="41D0ACBB">
      <w:pPr>
        <w:spacing w:line="360" w:lineRule="auto"/>
        <w:ind w:firstLine="420" w:firstLineChars="200"/>
        <w:rPr>
          <w:rFonts w:ascii="宋体" w:hAnsi="宋体" w:cs="宋体"/>
          <w:color w:val="auto"/>
        </w:rPr>
      </w:pPr>
      <w:r>
        <w:rPr>
          <w:rFonts w:hint="eastAsia" w:ascii="宋体" w:hAnsi="宋体" w:cs="宋体"/>
          <w:color w:val="auto"/>
        </w:rPr>
        <w:t>（1）供应商的姓名或者名称、地址、邮编、联系人及联系电话；</w:t>
      </w:r>
    </w:p>
    <w:p w14:paraId="3B2AEC61">
      <w:pPr>
        <w:spacing w:line="360" w:lineRule="auto"/>
        <w:ind w:firstLine="420" w:firstLineChars="200"/>
        <w:rPr>
          <w:rFonts w:ascii="宋体" w:hAnsi="宋体" w:cs="宋体"/>
          <w:color w:val="auto"/>
        </w:rPr>
      </w:pPr>
      <w:r>
        <w:rPr>
          <w:rFonts w:hint="eastAsia" w:ascii="宋体" w:hAnsi="宋体" w:cs="宋体"/>
          <w:color w:val="auto"/>
        </w:rPr>
        <w:t>（2）质疑项目的名称、编号；</w:t>
      </w:r>
    </w:p>
    <w:p w14:paraId="6533A9AC">
      <w:pPr>
        <w:spacing w:line="360" w:lineRule="auto"/>
        <w:ind w:firstLine="420" w:firstLineChars="200"/>
        <w:rPr>
          <w:rFonts w:ascii="宋体" w:hAnsi="宋体" w:cs="宋体"/>
          <w:color w:val="auto"/>
        </w:rPr>
      </w:pPr>
      <w:r>
        <w:rPr>
          <w:rFonts w:hint="eastAsia" w:ascii="宋体" w:hAnsi="宋体" w:cs="宋体"/>
          <w:color w:val="auto"/>
        </w:rPr>
        <w:t>（3）具体、明确的质疑事项和与质疑事项相关的请求；</w:t>
      </w:r>
    </w:p>
    <w:p w14:paraId="0CCFCBDB">
      <w:pPr>
        <w:spacing w:line="360" w:lineRule="auto"/>
        <w:ind w:firstLine="420" w:firstLineChars="200"/>
        <w:rPr>
          <w:rFonts w:ascii="宋体" w:hAnsi="宋体" w:cs="宋体"/>
          <w:color w:val="auto"/>
        </w:rPr>
      </w:pPr>
      <w:r>
        <w:rPr>
          <w:rFonts w:hint="eastAsia" w:ascii="宋体" w:hAnsi="宋体" w:cs="宋体"/>
          <w:color w:val="auto"/>
        </w:rPr>
        <w:t>（4）事实依据；</w:t>
      </w:r>
    </w:p>
    <w:p w14:paraId="3DB8E806">
      <w:pPr>
        <w:spacing w:line="360" w:lineRule="auto"/>
        <w:ind w:firstLine="420" w:firstLineChars="200"/>
        <w:rPr>
          <w:rFonts w:ascii="宋体" w:hAnsi="宋体" w:cs="宋体"/>
          <w:color w:val="auto"/>
        </w:rPr>
      </w:pPr>
      <w:r>
        <w:rPr>
          <w:rFonts w:hint="eastAsia" w:ascii="宋体" w:hAnsi="宋体" w:cs="宋体"/>
          <w:color w:val="auto"/>
        </w:rPr>
        <w:t>（5）必要的法律依据；</w:t>
      </w:r>
    </w:p>
    <w:p w14:paraId="7E956BAA">
      <w:pPr>
        <w:spacing w:line="360" w:lineRule="auto"/>
        <w:ind w:firstLine="420" w:firstLineChars="200"/>
        <w:rPr>
          <w:rFonts w:ascii="宋体" w:hAnsi="宋体" w:cs="宋体"/>
          <w:color w:val="auto"/>
        </w:rPr>
      </w:pPr>
      <w:r>
        <w:rPr>
          <w:rFonts w:hint="eastAsia" w:ascii="宋体" w:hAnsi="宋体" w:cs="宋体"/>
          <w:color w:val="auto"/>
        </w:rPr>
        <w:t>（6）提出质疑的日期。</w:t>
      </w:r>
    </w:p>
    <w:p w14:paraId="37133D19">
      <w:pPr>
        <w:spacing w:line="360" w:lineRule="auto"/>
        <w:ind w:firstLine="420" w:firstLineChars="200"/>
        <w:rPr>
          <w:rFonts w:ascii="宋体" w:hAnsi="宋体" w:cs="宋体"/>
          <w:color w:val="auto"/>
        </w:rPr>
      </w:pPr>
      <w:r>
        <w:rPr>
          <w:rFonts w:hint="eastAsia" w:ascii="宋体" w:hAnsi="宋体" w:cs="宋体"/>
          <w:color w:val="auto"/>
        </w:rPr>
        <w:t>供应商为自然人的，应当由本人签字；供应商为法人或者其他组织的，应当由法定代表人、主要负责人，或者其委托代理人签字或者盖章，并加盖公章。</w:t>
      </w:r>
    </w:p>
    <w:p w14:paraId="5DD23489">
      <w:pPr>
        <w:spacing w:line="360" w:lineRule="auto"/>
        <w:ind w:firstLine="420" w:firstLineChars="200"/>
        <w:rPr>
          <w:rFonts w:ascii="宋体" w:hAnsi="宋体" w:cs="宋体"/>
          <w:color w:val="auto"/>
        </w:rPr>
      </w:pPr>
      <w:r>
        <w:rPr>
          <w:rFonts w:hint="eastAsia" w:ascii="宋体" w:hAnsi="宋体" w:cs="宋体"/>
          <w:color w:val="auto"/>
        </w:rPr>
        <w:t>3</w:t>
      </w:r>
      <w:r>
        <w:rPr>
          <w:rFonts w:ascii="宋体" w:hAnsi="宋体" w:cs="宋体"/>
          <w:color w:val="auto"/>
        </w:rPr>
        <w:t>1.5</w:t>
      </w:r>
      <w:r>
        <w:rPr>
          <w:rFonts w:hint="eastAsia" w:ascii="宋体" w:hAnsi="宋体" w:cs="宋体"/>
          <w:color w:val="auto"/>
        </w:rPr>
        <w:t>采购人、采购代理机构认为供应商质疑不成立，或者成立但未对成交结果构成影响的，继续开展采购活动；认为供应商质疑成立且影响或者可能影响成交结果的，按照下列情况处理：</w:t>
      </w:r>
    </w:p>
    <w:p w14:paraId="6432BF87">
      <w:pPr>
        <w:spacing w:line="360" w:lineRule="auto"/>
        <w:ind w:firstLine="420" w:firstLineChars="200"/>
        <w:rPr>
          <w:rFonts w:ascii="宋体" w:hAnsi="宋体" w:cs="宋体"/>
          <w:color w:val="auto"/>
        </w:rPr>
      </w:pPr>
      <w:r>
        <w:rPr>
          <w:rFonts w:hint="eastAsia" w:ascii="宋体" w:hAnsi="宋体" w:cs="宋体"/>
          <w:color w:val="auto"/>
        </w:rPr>
        <w:t>（一）对采购文件提出的质疑，依法通过澄清或者修改可以继续开展采购活动的，澄清或者修改采购文件后继续开展采购活动；否则应当修改采购文件后重新开展采购活动。</w:t>
      </w:r>
    </w:p>
    <w:p w14:paraId="70C073EB">
      <w:pPr>
        <w:spacing w:line="360" w:lineRule="auto"/>
        <w:ind w:firstLine="420" w:firstLineChars="200"/>
        <w:rPr>
          <w:rFonts w:ascii="宋体" w:hAnsi="宋体" w:cs="宋体"/>
          <w:color w:val="auto"/>
        </w:rPr>
      </w:pPr>
      <w:r>
        <w:rPr>
          <w:rFonts w:hint="eastAsia" w:ascii="宋体" w:hAnsi="宋体" w:cs="宋体"/>
          <w:color w:val="auto"/>
        </w:rPr>
        <w:t>（二）对采购过程或者成交结果提出的质疑，合格供应商符合法定数量时，可以从合格的成交候选人中另行确定成交供应商的，应当依法另行确定成交供应商；否则应当重新开展采购活动。</w:t>
      </w:r>
    </w:p>
    <w:p w14:paraId="0DD87422">
      <w:pPr>
        <w:spacing w:line="360" w:lineRule="auto"/>
        <w:ind w:firstLine="420" w:firstLineChars="200"/>
        <w:rPr>
          <w:rFonts w:ascii="宋体" w:hAnsi="宋体" w:cs="宋体"/>
          <w:color w:val="auto"/>
        </w:rPr>
      </w:pPr>
      <w:r>
        <w:rPr>
          <w:rFonts w:hint="eastAsia" w:ascii="宋体" w:hAnsi="宋体" w:cs="宋体"/>
          <w:color w:val="auto"/>
        </w:rPr>
        <w:t>质疑答复导致成交结果改变的，采购人或者采购代理机构应当将有关情况书面报告本级财政部门。</w:t>
      </w:r>
    </w:p>
    <w:p w14:paraId="43312AD7">
      <w:pPr>
        <w:spacing w:line="360" w:lineRule="auto"/>
        <w:ind w:firstLine="420" w:firstLineChars="200"/>
        <w:rPr>
          <w:rFonts w:ascii="宋体" w:hAnsi="宋体" w:cs="宋体"/>
          <w:color w:val="auto"/>
          <w:szCs w:val="21"/>
        </w:rPr>
      </w:pPr>
      <w:r>
        <w:rPr>
          <w:rFonts w:ascii="宋体" w:hAnsi="宋体" w:cs="宋体"/>
          <w:color w:val="auto"/>
        </w:rPr>
        <w:t>31</w:t>
      </w:r>
      <w:r>
        <w:rPr>
          <w:rFonts w:hint="eastAsia" w:ascii="宋体" w:hAnsi="宋体" w:cs="宋体"/>
          <w:color w:val="auto"/>
        </w:rPr>
        <w:t>.</w:t>
      </w:r>
      <w:r>
        <w:rPr>
          <w:rFonts w:ascii="宋体" w:hAnsi="宋体" w:cs="宋体"/>
          <w:color w:val="auto"/>
        </w:rPr>
        <w:t>6</w:t>
      </w:r>
      <w:r>
        <w:rPr>
          <w:rFonts w:hint="eastAsia" w:ascii="宋体" w:hAnsi="宋体" w:cs="宋体"/>
          <w:color w:val="auto"/>
        </w:rPr>
        <w:t>投诉的权利。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p>
    <w:p w14:paraId="4F726F21">
      <w:pPr>
        <w:spacing w:line="360" w:lineRule="auto"/>
        <w:ind w:firstLine="422" w:firstLineChars="200"/>
        <w:rPr>
          <w:rFonts w:hint="eastAsia" w:ascii="宋体" w:hAnsi="宋体" w:eastAsia="宋体" w:cs="宋体"/>
          <w:b/>
          <w:bCs/>
          <w:color w:val="auto"/>
          <w:szCs w:val="21"/>
        </w:rPr>
      </w:pPr>
      <w:r>
        <w:rPr>
          <w:rFonts w:hint="eastAsia" w:ascii="宋体" w:hAnsi="宋体" w:eastAsia="宋体" w:cs="宋体"/>
          <w:b/>
          <w:bCs/>
          <w:color w:val="auto"/>
          <w:szCs w:val="21"/>
        </w:rPr>
        <w:t>32.其他内容</w:t>
      </w:r>
    </w:p>
    <w:p w14:paraId="45119390">
      <w:pPr>
        <w:spacing w:line="360" w:lineRule="auto"/>
        <w:ind w:firstLine="420" w:firstLineChars="200"/>
        <w:rPr>
          <w:rFonts w:ascii="宋体" w:hAnsi="宋体" w:cs="宋体"/>
          <w:color w:val="auto"/>
        </w:rPr>
      </w:pPr>
      <w:r>
        <w:rPr>
          <w:rFonts w:ascii="宋体" w:hAnsi="宋体" w:cs="宋体"/>
          <w:color w:val="auto"/>
          <w:szCs w:val="21"/>
        </w:rPr>
        <w:t>32</w:t>
      </w:r>
      <w:r>
        <w:rPr>
          <w:rFonts w:hint="eastAsia" w:ascii="宋体" w:hAnsi="宋体" w:cs="宋体"/>
          <w:color w:val="auto"/>
          <w:szCs w:val="21"/>
        </w:rPr>
        <w:t>.1代理服务收费标准详见“供应商须知前附表”。</w:t>
      </w:r>
    </w:p>
    <w:p w14:paraId="055170B8">
      <w:pPr>
        <w:spacing w:line="360" w:lineRule="auto"/>
        <w:ind w:firstLine="422" w:firstLineChars="200"/>
        <w:rPr>
          <w:rFonts w:hint="eastAsia" w:ascii="宋体" w:hAnsi="宋体" w:eastAsia="宋体" w:cs="宋体"/>
          <w:b/>
          <w:bCs/>
          <w:color w:val="auto"/>
          <w:szCs w:val="21"/>
        </w:rPr>
      </w:pPr>
      <w:r>
        <w:rPr>
          <w:rFonts w:hint="eastAsia" w:ascii="宋体" w:hAnsi="宋体" w:eastAsia="宋体" w:cs="宋体"/>
          <w:b/>
          <w:bCs/>
          <w:color w:val="auto"/>
          <w:szCs w:val="21"/>
        </w:rPr>
        <w:t>33.需要补充的其他内容</w:t>
      </w:r>
    </w:p>
    <w:p w14:paraId="6427617E">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ascii="宋体" w:hAnsi="宋体" w:cs="宋体"/>
          <w:color w:val="auto"/>
        </w:rPr>
      </w:pPr>
      <w:r>
        <w:rPr>
          <w:rFonts w:hint="eastAsia" w:ascii="宋体" w:hAnsi="宋体" w:cs="宋体"/>
          <w:color w:val="auto"/>
        </w:rPr>
        <w:t>3</w:t>
      </w:r>
      <w:r>
        <w:rPr>
          <w:rFonts w:ascii="宋体" w:hAnsi="宋体" w:cs="宋体"/>
          <w:color w:val="auto"/>
        </w:rPr>
        <w:t>3.1</w:t>
      </w:r>
      <w:r>
        <w:rPr>
          <w:rFonts w:hint="eastAsia" w:ascii="宋体" w:hAnsi="宋体" w:cs="宋体"/>
          <w:color w:val="auto"/>
        </w:rPr>
        <w:t>本磋商文件解释规则详见“供应商须知前附表”。</w:t>
      </w:r>
    </w:p>
    <w:p w14:paraId="1653AB20">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宋体" w:hAnsi="宋体" w:cs="宋体"/>
          <w:color w:val="auto"/>
        </w:rPr>
      </w:pPr>
      <w:r>
        <w:rPr>
          <w:rFonts w:ascii="宋体" w:hAnsi="宋体" w:cs="宋体"/>
          <w:color w:val="auto"/>
        </w:rPr>
        <w:t>33.2</w:t>
      </w:r>
      <w:r>
        <w:rPr>
          <w:rFonts w:hint="eastAsia" w:ascii="宋体" w:hAnsi="宋体" w:cs="宋体"/>
          <w:color w:val="auto"/>
        </w:rPr>
        <w:t xml:space="preserve"> 其他事项详见“供应商须知前附表”。</w:t>
      </w:r>
    </w:p>
    <w:p w14:paraId="1B8FB98F">
      <w:pPr>
        <w:pStyle w:val="16"/>
        <w:keepNext w:val="0"/>
        <w:keepLines w:val="0"/>
        <w:pageBreakBefore w:val="0"/>
        <w:widowControl w:val="0"/>
        <w:kinsoku/>
        <w:wordWrap/>
        <w:overflowPunct/>
        <w:topLinePunct w:val="0"/>
        <w:autoSpaceDE/>
        <w:autoSpaceDN/>
        <w:bidi w:val="0"/>
        <w:adjustRightInd/>
        <w:snapToGrid/>
        <w:spacing w:line="480" w:lineRule="exact"/>
        <w:ind w:firstLine="420" w:firstLineChars="200"/>
        <w:contextualSpacing/>
        <w:textAlignment w:val="auto"/>
        <w:rPr>
          <w:rFonts w:hint="eastAsia" w:hAnsi="宋体" w:cs="宋体"/>
          <w:color w:val="auto"/>
          <w:sz w:val="21"/>
        </w:rPr>
      </w:pPr>
      <w:r>
        <w:rPr>
          <w:rFonts w:hint="eastAsia" w:hAnsi="宋体" w:cs="宋体"/>
          <w:color w:val="auto"/>
          <w:sz w:val="21"/>
          <w:lang w:val="en-US" w:eastAsia="zh-CN"/>
        </w:rPr>
        <w:t>33</w:t>
      </w:r>
      <w:r>
        <w:rPr>
          <w:rFonts w:hint="eastAsia" w:hAnsi="宋体" w:cs="宋体"/>
          <w:color w:val="auto"/>
          <w:sz w:val="21"/>
        </w:rPr>
        <w:t>.3</w:t>
      </w:r>
      <w:bookmarkStart w:id="77" w:name="_Hlk65857140"/>
      <w:r>
        <w:rPr>
          <w:rFonts w:hint="eastAsia" w:hAnsi="宋体" w:cs="宋体"/>
          <w:color w:val="auto"/>
          <w:sz w:val="21"/>
        </w:rPr>
        <w:t>本</w:t>
      </w:r>
      <w:r>
        <w:rPr>
          <w:rFonts w:hint="eastAsia" w:ascii="宋体" w:hAnsi="宋体" w:cs="宋体"/>
          <w:color w:val="auto"/>
        </w:rPr>
        <w:t>磋商</w:t>
      </w:r>
      <w:r>
        <w:rPr>
          <w:rFonts w:hint="eastAsia" w:hAnsi="宋体" w:cs="宋体"/>
          <w:color w:val="auto"/>
          <w:sz w:val="21"/>
        </w:rPr>
        <w:t>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w:t>
      </w:r>
      <w:bookmarkEnd w:id="77"/>
    </w:p>
    <w:p w14:paraId="079CEE48">
      <w:pPr>
        <w:pStyle w:val="22"/>
        <w:rPr>
          <w:rFonts w:hint="eastAsia"/>
          <w:color w:val="auto"/>
        </w:rPr>
      </w:pPr>
      <w:r>
        <w:rPr>
          <w:rFonts w:hAnsi="宋体"/>
          <w:b/>
          <w:color w:val="auto"/>
        </w:rPr>
        <w:br w:type="page"/>
      </w:r>
      <w:bookmarkStart w:id="78" w:name="_Toc30437"/>
      <w:bookmarkStart w:id="79" w:name="_Toc44229895"/>
    </w:p>
    <w:p w14:paraId="6619A920">
      <w:pPr>
        <w:spacing w:line="428" w:lineRule="exact"/>
        <w:rPr>
          <w:rFonts w:hint="eastAsia" w:ascii="Arial Unicode MS" w:hAnsi="Arial Unicode MS" w:eastAsia="Arial Unicode MS" w:cs="Arial Unicode MS"/>
          <w:color w:val="auto"/>
          <w:sz w:val="32"/>
          <w:szCs w:val="32"/>
          <w:highlight w:val="none"/>
        </w:rPr>
      </w:pPr>
      <w:r>
        <w:rPr>
          <w:rFonts w:hint="eastAsia" w:ascii="Arial Unicode MS" w:hAnsi="Arial Unicode MS" w:eastAsia="Arial Unicode MS" w:cs="Arial Unicode MS"/>
          <w:color w:val="auto"/>
          <w:sz w:val="32"/>
          <w:szCs w:val="32"/>
          <w:highlight w:val="none"/>
        </w:rPr>
        <w:t>附件</w:t>
      </w:r>
      <w:r>
        <w:rPr>
          <w:rFonts w:hint="eastAsia" w:ascii="Arial Unicode MS" w:hAnsi="Arial Unicode MS" w:eastAsia="Arial Unicode MS" w:cs="Arial Unicode MS"/>
          <w:color w:val="auto"/>
          <w:sz w:val="32"/>
          <w:szCs w:val="32"/>
          <w:highlight w:val="none"/>
          <w:lang w:val="en-US" w:eastAsia="zh-CN"/>
        </w:rPr>
        <w:t>1</w:t>
      </w:r>
      <w:r>
        <w:rPr>
          <w:rFonts w:hint="eastAsia" w:ascii="Arial Unicode MS" w:hAnsi="Arial Unicode MS" w:eastAsia="Arial Unicode MS" w:cs="Arial Unicode MS"/>
          <w:color w:val="auto"/>
          <w:sz w:val="32"/>
          <w:szCs w:val="32"/>
          <w:highlight w:val="none"/>
        </w:rPr>
        <w:t>：</w:t>
      </w:r>
    </w:p>
    <w:p w14:paraId="20D1E5B3">
      <w:pPr>
        <w:spacing w:line="428" w:lineRule="exact"/>
        <w:jc w:val="center"/>
        <w:rPr>
          <w:rFonts w:hint="eastAsia" w:ascii="Arial Unicode MS" w:hAnsi="Arial Unicode MS" w:eastAsia="Arial Unicode MS" w:cs="Arial Unicode MS"/>
          <w:color w:val="auto"/>
          <w:sz w:val="40"/>
          <w:szCs w:val="40"/>
          <w:highlight w:val="none"/>
        </w:rPr>
      </w:pPr>
      <w:r>
        <w:rPr>
          <w:rFonts w:hint="eastAsia" w:ascii="Arial Unicode MS" w:hAnsi="Arial Unicode MS" w:eastAsia="Arial Unicode MS" w:cs="Arial Unicode MS"/>
          <w:color w:val="auto"/>
          <w:sz w:val="40"/>
          <w:szCs w:val="40"/>
          <w:highlight w:val="none"/>
        </w:rPr>
        <w:t>中小微企业划型标准</w:t>
      </w:r>
    </w:p>
    <w:p w14:paraId="25755A5B">
      <w:pPr>
        <w:pStyle w:val="2"/>
        <w:rPr>
          <w:rFonts w:hint="eastAsia"/>
          <w:color w:val="auto"/>
          <w:lang w:eastAsia="zh-CN"/>
        </w:rPr>
      </w:pPr>
    </w:p>
    <w:tbl>
      <w:tblPr>
        <w:tblStyle w:val="28"/>
        <w:tblW w:w="9338" w:type="dxa"/>
        <w:tblInd w:w="250" w:type="dxa"/>
        <w:tblLayout w:type="fixed"/>
        <w:tblCellMar>
          <w:top w:w="0" w:type="dxa"/>
          <w:left w:w="108" w:type="dxa"/>
          <w:bottom w:w="0" w:type="dxa"/>
          <w:right w:w="108" w:type="dxa"/>
        </w:tblCellMar>
      </w:tblPr>
      <w:tblGrid>
        <w:gridCol w:w="1990"/>
        <w:gridCol w:w="1619"/>
        <w:gridCol w:w="1068"/>
        <w:gridCol w:w="1895"/>
        <w:gridCol w:w="1684"/>
        <w:gridCol w:w="1082"/>
      </w:tblGrid>
      <w:tr w14:paraId="24D3C7B2">
        <w:tblPrEx>
          <w:tblCellMar>
            <w:top w:w="0" w:type="dxa"/>
            <w:left w:w="108" w:type="dxa"/>
            <w:bottom w:w="0" w:type="dxa"/>
            <w:right w:w="108" w:type="dxa"/>
          </w:tblCellMar>
        </w:tblPrEx>
        <w:trPr>
          <w:trHeight w:val="285" w:hRule="atLeast"/>
        </w:trPr>
        <w:tc>
          <w:tcPr>
            <w:tcW w:w="1990" w:type="dxa"/>
            <w:tcBorders>
              <w:top w:val="single" w:color="auto" w:sz="4" w:space="0"/>
              <w:left w:val="single" w:color="auto" w:sz="4" w:space="0"/>
              <w:bottom w:val="single" w:color="auto" w:sz="4" w:space="0"/>
              <w:right w:val="single" w:color="auto" w:sz="4" w:space="0"/>
            </w:tcBorders>
            <w:noWrap w:val="0"/>
            <w:vAlign w:val="center"/>
          </w:tcPr>
          <w:p w14:paraId="67C5505A">
            <w:pPr>
              <w:widowControl/>
              <w:jc w:val="left"/>
              <w:rPr>
                <w:rFonts w:ascii="仿宋_GB2312" w:hAnsi="仿宋" w:eastAsia="仿宋_GB2312" w:cs="宋体"/>
                <w:b/>
                <w:color w:val="auto"/>
                <w:kern w:val="0"/>
                <w:sz w:val="24"/>
                <w:highlight w:val="none"/>
              </w:rPr>
            </w:pPr>
            <w:r>
              <w:rPr>
                <w:rFonts w:hint="eastAsia" w:ascii="仿宋_GB2312" w:hAnsi="仿宋" w:eastAsia="仿宋_GB2312" w:cs="宋体"/>
                <w:b/>
                <w:color w:val="auto"/>
                <w:kern w:val="0"/>
                <w:sz w:val="24"/>
                <w:highlight w:val="none"/>
              </w:rPr>
              <w:t>行业名称</w:t>
            </w:r>
          </w:p>
        </w:tc>
        <w:tc>
          <w:tcPr>
            <w:tcW w:w="1619" w:type="dxa"/>
            <w:tcBorders>
              <w:top w:val="single" w:color="auto" w:sz="4" w:space="0"/>
              <w:left w:val="nil"/>
              <w:bottom w:val="single" w:color="auto" w:sz="4" w:space="0"/>
              <w:right w:val="single" w:color="auto" w:sz="4" w:space="0"/>
            </w:tcBorders>
            <w:noWrap w:val="0"/>
            <w:vAlign w:val="center"/>
          </w:tcPr>
          <w:p w14:paraId="1C7A7C29">
            <w:pPr>
              <w:widowControl/>
              <w:jc w:val="left"/>
              <w:rPr>
                <w:rFonts w:ascii="仿宋_GB2312" w:hAnsi="仿宋" w:eastAsia="仿宋_GB2312" w:cs="宋体"/>
                <w:b/>
                <w:color w:val="auto"/>
                <w:kern w:val="0"/>
                <w:sz w:val="24"/>
                <w:highlight w:val="none"/>
              </w:rPr>
            </w:pPr>
            <w:r>
              <w:rPr>
                <w:rFonts w:hint="eastAsia" w:ascii="仿宋_GB2312" w:hAnsi="仿宋" w:eastAsia="仿宋_GB2312" w:cs="宋体"/>
                <w:b/>
                <w:color w:val="auto"/>
                <w:kern w:val="0"/>
                <w:sz w:val="24"/>
                <w:highlight w:val="none"/>
              </w:rPr>
              <w:t>指标名称</w:t>
            </w:r>
          </w:p>
        </w:tc>
        <w:tc>
          <w:tcPr>
            <w:tcW w:w="1068" w:type="dxa"/>
            <w:tcBorders>
              <w:top w:val="single" w:color="auto" w:sz="4" w:space="0"/>
              <w:left w:val="nil"/>
              <w:bottom w:val="single" w:color="auto" w:sz="4" w:space="0"/>
              <w:right w:val="single" w:color="auto" w:sz="4" w:space="0"/>
            </w:tcBorders>
            <w:noWrap w:val="0"/>
            <w:vAlign w:val="center"/>
          </w:tcPr>
          <w:p w14:paraId="3113DA37">
            <w:pPr>
              <w:widowControl/>
              <w:jc w:val="left"/>
              <w:rPr>
                <w:rFonts w:ascii="仿宋_GB2312" w:hAnsi="仿宋" w:eastAsia="仿宋_GB2312" w:cs="宋体"/>
                <w:b/>
                <w:color w:val="auto"/>
                <w:kern w:val="0"/>
                <w:sz w:val="24"/>
                <w:highlight w:val="none"/>
              </w:rPr>
            </w:pPr>
            <w:r>
              <w:rPr>
                <w:rFonts w:hint="eastAsia" w:ascii="仿宋_GB2312" w:hAnsi="仿宋" w:eastAsia="仿宋_GB2312" w:cs="宋体"/>
                <w:b/>
                <w:color w:val="auto"/>
                <w:kern w:val="0"/>
                <w:sz w:val="24"/>
                <w:highlight w:val="none"/>
              </w:rPr>
              <w:t>计量单位</w:t>
            </w:r>
          </w:p>
        </w:tc>
        <w:tc>
          <w:tcPr>
            <w:tcW w:w="1895" w:type="dxa"/>
            <w:tcBorders>
              <w:top w:val="single" w:color="auto" w:sz="4" w:space="0"/>
              <w:left w:val="nil"/>
              <w:bottom w:val="single" w:color="auto" w:sz="4" w:space="0"/>
              <w:right w:val="single" w:color="auto" w:sz="4" w:space="0"/>
            </w:tcBorders>
            <w:noWrap w:val="0"/>
            <w:vAlign w:val="center"/>
          </w:tcPr>
          <w:p w14:paraId="03722D26">
            <w:pPr>
              <w:widowControl/>
              <w:jc w:val="left"/>
              <w:rPr>
                <w:rFonts w:ascii="仿宋_GB2312" w:hAnsi="仿宋" w:eastAsia="仿宋_GB2312" w:cs="宋体"/>
                <w:b/>
                <w:color w:val="auto"/>
                <w:kern w:val="0"/>
                <w:sz w:val="24"/>
                <w:highlight w:val="none"/>
              </w:rPr>
            </w:pPr>
            <w:r>
              <w:rPr>
                <w:rFonts w:hint="eastAsia" w:ascii="仿宋_GB2312" w:hAnsi="仿宋" w:eastAsia="仿宋_GB2312" w:cs="宋体"/>
                <w:b/>
                <w:color w:val="auto"/>
                <w:kern w:val="0"/>
                <w:sz w:val="24"/>
                <w:highlight w:val="none"/>
              </w:rPr>
              <w:t>中型</w:t>
            </w:r>
          </w:p>
        </w:tc>
        <w:tc>
          <w:tcPr>
            <w:tcW w:w="1684" w:type="dxa"/>
            <w:tcBorders>
              <w:top w:val="single" w:color="auto" w:sz="4" w:space="0"/>
              <w:left w:val="nil"/>
              <w:bottom w:val="single" w:color="auto" w:sz="4" w:space="0"/>
              <w:right w:val="single" w:color="auto" w:sz="4" w:space="0"/>
            </w:tcBorders>
            <w:noWrap w:val="0"/>
            <w:vAlign w:val="center"/>
          </w:tcPr>
          <w:p w14:paraId="0A8F680F">
            <w:pPr>
              <w:widowControl/>
              <w:jc w:val="left"/>
              <w:rPr>
                <w:rFonts w:ascii="仿宋_GB2312" w:hAnsi="仿宋" w:eastAsia="仿宋_GB2312" w:cs="宋体"/>
                <w:b/>
                <w:color w:val="auto"/>
                <w:kern w:val="0"/>
                <w:sz w:val="24"/>
                <w:highlight w:val="none"/>
              </w:rPr>
            </w:pPr>
            <w:r>
              <w:rPr>
                <w:rFonts w:hint="eastAsia" w:ascii="仿宋_GB2312" w:hAnsi="仿宋" w:eastAsia="仿宋_GB2312" w:cs="宋体"/>
                <w:b/>
                <w:color w:val="auto"/>
                <w:kern w:val="0"/>
                <w:sz w:val="24"/>
                <w:highlight w:val="none"/>
              </w:rPr>
              <w:t>小型</w:t>
            </w:r>
          </w:p>
        </w:tc>
        <w:tc>
          <w:tcPr>
            <w:tcW w:w="1082" w:type="dxa"/>
            <w:tcBorders>
              <w:top w:val="single" w:color="auto" w:sz="4" w:space="0"/>
              <w:left w:val="nil"/>
              <w:bottom w:val="single" w:color="auto" w:sz="4" w:space="0"/>
              <w:right w:val="single" w:color="auto" w:sz="4" w:space="0"/>
            </w:tcBorders>
            <w:noWrap w:val="0"/>
            <w:vAlign w:val="center"/>
          </w:tcPr>
          <w:p w14:paraId="3CF096E7">
            <w:pPr>
              <w:widowControl/>
              <w:jc w:val="left"/>
              <w:rPr>
                <w:rFonts w:ascii="仿宋_GB2312" w:hAnsi="仿宋" w:eastAsia="仿宋_GB2312" w:cs="宋体"/>
                <w:b/>
                <w:color w:val="auto"/>
                <w:kern w:val="0"/>
                <w:sz w:val="24"/>
                <w:highlight w:val="none"/>
              </w:rPr>
            </w:pPr>
            <w:r>
              <w:rPr>
                <w:rFonts w:hint="eastAsia" w:ascii="仿宋_GB2312" w:hAnsi="仿宋" w:eastAsia="仿宋_GB2312" w:cs="宋体"/>
                <w:b/>
                <w:color w:val="auto"/>
                <w:kern w:val="0"/>
                <w:sz w:val="24"/>
                <w:highlight w:val="none"/>
              </w:rPr>
              <w:t>微型</w:t>
            </w:r>
          </w:p>
        </w:tc>
      </w:tr>
      <w:tr w14:paraId="3E9A5C27">
        <w:tblPrEx>
          <w:tblCellMar>
            <w:top w:w="0" w:type="dxa"/>
            <w:left w:w="108" w:type="dxa"/>
            <w:bottom w:w="0" w:type="dxa"/>
            <w:right w:w="108" w:type="dxa"/>
          </w:tblCellMar>
        </w:tblPrEx>
        <w:trPr>
          <w:trHeight w:val="225" w:hRule="atLeast"/>
        </w:trPr>
        <w:tc>
          <w:tcPr>
            <w:tcW w:w="1990" w:type="dxa"/>
            <w:tcBorders>
              <w:top w:val="nil"/>
              <w:left w:val="single" w:color="auto" w:sz="4" w:space="0"/>
              <w:bottom w:val="single" w:color="auto" w:sz="4" w:space="0"/>
              <w:right w:val="single" w:color="auto" w:sz="4" w:space="0"/>
            </w:tcBorders>
            <w:noWrap w:val="0"/>
            <w:vAlign w:val="bottom"/>
          </w:tcPr>
          <w:p w14:paraId="24CD2208">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农、林、牧、渔</w:t>
            </w:r>
          </w:p>
        </w:tc>
        <w:tc>
          <w:tcPr>
            <w:tcW w:w="1619" w:type="dxa"/>
            <w:tcBorders>
              <w:top w:val="nil"/>
              <w:left w:val="nil"/>
              <w:bottom w:val="single" w:color="auto" w:sz="4" w:space="0"/>
              <w:right w:val="single" w:color="auto" w:sz="4" w:space="0"/>
            </w:tcBorders>
            <w:noWrap w:val="0"/>
            <w:vAlign w:val="center"/>
          </w:tcPr>
          <w:p w14:paraId="6D0FF2F2">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1068" w:type="dxa"/>
            <w:tcBorders>
              <w:top w:val="nil"/>
              <w:left w:val="nil"/>
              <w:bottom w:val="single" w:color="auto" w:sz="4" w:space="0"/>
              <w:right w:val="single" w:color="auto" w:sz="4" w:space="0"/>
            </w:tcBorders>
            <w:noWrap w:val="0"/>
            <w:vAlign w:val="center"/>
          </w:tcPr>
          <w:p w14:paraId="2A0FBDAE">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95" w:type="dxa"/>
            <w:tcBorders>
              <w:top w:val="nil"/>
              <w:left w:val="nil"/>
              <w:bottom w:val="single" w:color="auto" w:sz="4" w:space="0"/>
              <w:right w:val="single" w:color="auto" w:sz="4" w:space="0"/>
            </w:tcBorders>
            <w:noWrap w:val="0"/>
            <w:vAlign w:val="center"/>
          </w:tcPr>
          <w:p w14:paraId="241F2A95">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500≤Y＜20000</w:t>
            </w:r>
          </w:p>
        </w:tc>
        <w:tc>
          <w:tcPr>
            <w:tcW w:w="1684" w:type="dxa"/>
            <w:tcBorders>
              <w:top w:val="nil"/>
              <w:left w:val="nil"/>
              <w:bottom w:val="single" w:color="auto" w:sz="4" w:space="0"/>
              <w:right w:val="single" w:color="auto" w:sz="4" w:space="0"/>
            </w:tcBorders>
            <w:noWrap w:val="0"/>
            <w:vAlign w:val="center"/>
          </w:tcPr>
          <w:p w14:paraId="25427E02">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50≤Y＜500</w:t>
            </w:r>
          </w:p>
        </w:tc>
        <w:tc>
          <w:tcPr>
            <w:tcW w:w="1082" w:type="dxa"/>
            <w:tcBorders>
              <w:top w:val="nil"/>
              <w:left w:val="nil"/>
              <w:bottom w:val="single" w:color="auto" w:sz="4" w:space="0"/>
              <w:right w:val="single" w:color="auto" w:sz="4" w:space="0"/>
            </w:tcBorders>
            <w:noWrap w:val="0"/>
            <w:vAlign w:val="center"/>
          </w:tcPr>
          <w:p w14:paraId="083353DB">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Y＜50</w:t>
            </w:r>
          </w:p>
        </w:tc>
      </w:tr>
      <w:tr w14:paraId="0B949467">
        <w:tblPrEx>
          <w:tblCellMar>
            <w:top w:w="0" w:type="dxa"/>
            <w:left w:w="108" w:type="dxa"/>
            <w:bottom w:w="0" w:type="dxa"/>
            <w:right w:w="108" w:type="dxa"/>
          </w:tblCellMar>
        </w:tblPrEx>
        <w:trPr>
          <w:trHeight w:val="225" w:hRule="atLeast"/>
        </w:trPr>
        <w:tc>
          <w:tcPr>
            <w:tcW w:w="1990" w:type="dxa"/>
            <w:vMerge w:val="restart"/>
            <w:tcBorders>
              <w:top w:val="nil"/>
              <w:left w:val="single" w:color="auto" w:sz="4" w:space="0"/>
              <w:bottom w:val="single" w:color="auto" w:sz="4" w:space="0"/>
              <w:right w:val="single" w:color="auto" w:sz="4" w:space="0"/>
            </w:tcBorders>
            <w:noWrap w:val="0"/>
            <w:vAlign w:val="bottom"/>
          </w:tcPr>
          <w:p w14:paraId="7EBE4963">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工业</w:t>
            </w:r>
          </w:p>
        </w:tc>
        <w:tc>
          <w:tcPr>
            <w:tcW w:w="1619" w:type="dxa"/>
            <w:tcBorders>
              <w:top w:val="nil"/>
              <w:left w:val="nil"/>
              <w:bottom w:val="single" w:color="auto" w:sz="4" w:space="0"/>
              <w:right w:val="single" w:color="auto" w:sz="4" w:space="0"/>
            </w:tcBorders>
            <w:noWrap w:val="0"/>
            <w:vAlign w:val="center"/>
          </w:tcPr>
          <w:p w14:paraId="7A20402D">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1068" w:type="dxa"/>
            <w:tcBorders>
              <w:top w:val="nil"/>
              <w:left w:val="nil"/>
              <w:bottom w:val="single" w:color="auto" w:sz="4" w:space="0"/>
              <w:right w:val="single" w:color="auto" w:sz="4" w:space="0"/>
            </w:tcBorders>
            <w:noWrap w:val="0"/>
            <w:vAlign w:val="center"/>
          </w:tcPr>
          <w:p w14:paraId="3A0493A4">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95" w:type="dxa"/>
            <w:tcBorders>
              <w:top w:val="nil"/>
              <w:left w:val="nil"/>
              <w:bottom w:val="single" w:color="auto" w:sz="4" w:space="0"/>
              <w:right w:val="single" w:color="auto" w:sz="4" w:space="0"/>
            </w:tcBorders>
            <w:noWrap w:val="0"/>
            <w:vAlign w:val="center"/>
          </w:tcPr>
          <w:p w14:paraId="127C8740">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300≤X＜1000</w:t>
            </w:r>
          </w:p>
        </w:tc>
        <w:tc>
          <w:tcPr>
            <w:tcW w:w="1684" w:type="dxa"/>
            <w:tcBorders>
              <w:top w:val="nil"/>
              <w:left w:val="nil"/>
              <w:bottom w:val="single" w:color="auto" w:sz="4" w:space="0"/>
              <w:right w:val="single" w:color="auto" w:sz="4" w:space="0"/>
            </w:tcBorders>
            <w:noWrap w:val="0"/>
            <w:vAlign w:val="center"/>
          </w:tcPr>
          <w:p w14:paraId="53F27B71">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20≤X＜300</w:t>
            </w:r>
          </w:p>
        </w:tc>
        <w:tc>
          <w:tcPr>
            <w:tcW w:w="1082" w:type="dxa"/>
            <w:tcBorders>
              <w:top w:val="nil"/>
              <w:left w:val="nil"/>
              <w:bottom w:val="single" w:color="auto" w:sz="4" w:space="0"/>
              <w:right w:val="single" w:color="auto" w:sz="4" w:space="0"/>
            </w:tcBorders>
            <w:noWrap w:val="0"/>
            <w:vAlign w:val="center"/>
          </w:tcPr>
          <w:p w14:paraId="18ED9914">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X＜20</w:t>
            </w:r>
          </w:p>
        </w:tc>
      </w:tr>
      <w:tr w14:paraId="46A56C81">
        <w:tblPrEx>
          <w:tblCellMar>
            <w:top w:w="0" w:type="dxa"/>
            <w:left w:w="108" w:type="dxa"/>
            <w:bottom w:w="0" w:type="dxa"/>
            <w:right w:w="108" w:type="dxa"/>
          </w:tblCellMar>
        </w:tblPrEx>
        <w:trPr>
          <w:trHeight w:val="225" w:hRule="atLeast"/>
        </w:trPr>
        <w:tc>
          <w:tcPr>
            <w:tcW w:w="1990" w:type="dxa"/>
            <w:vMerge w:val="continue"/>
            <w:tcBorders>
              <w:top w:val="nil"/>
              <w:left w:val="single" w:color="auto" w:sz="4" w:space="0"/>
              <w:bottom w:val="single" w:color="auto" w:sz="4" w:space="0"/>
              <w:right w:val="single" w:color="auto" w:sz="4" w:space="0"/>
            </w:tcBorders>
            <w:noWrap w:val="0"/>
            <w:vAlign w:val="center"/>
          </w:tcPr>
          <w:p w14:paraId="1EFC11EA">
            <w:pPr>
              <w:widowControl/>
              <w:jc w:val="left"/>
              <w:rPr>
                <w:rFonts w:ascii="仿宋_GB2312" w:hAnsi="仿宋" w:eastAsia="仿宋_GB2312" w:cs="宋体"/>
                <w:b/>
                <w:bCs/>
                <w:color w:val="auto"/>
                <w:kern w:val="0"/>
                <w:sz w:val="18"/>
                <w:szCs w:val="18"/>
                <w:highlight w:val="none"/>
              </w:rPr>
            </w:pPr>
          </w:p>
        </w:tc>
        <w:tc>
          <w:tcPr>
            <w:tcW w:w="1619" w:type="dxa"/>
            <w:tcBorders>
              <w:top w:val="nil"/>
              <w:left w:val="nil"/>
              <w:bottom w:val="single" w:color="auto" w:sz="4" w:space="0"/>
              <w:right w:val="single" w:color="auto" w:sz="4" w:space="0"/>
            </w:tcBorders>
            <w:noWrap w:val="0"/>
            <w:vAlign w:val="center"/>
          </w:tcPr>
          <w:p w14:paraId="411AB1C9">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1068" w:type="dxa"/>
            <w:tcBorders>
              <w:top w:val="nil"/>
              <w:left w:val="nil"/>
              <w:bottom w:val="single" w:color="auto" w:sz="4" w:space="0"/>
              <w:right w:val="single" w:color="auto" w:sz="4" w:space="0"/>
            </w:tcBorders>
            <w:noWrap w:val="0"/>
            <w:vAlign w:val="center"/>
          </w:tcPr>
          <w:p w14:paraId="586CFDCF">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95" w:type="dxa"/>
            <w:tcBorders>
              <w:top w:val="nil"/>
              <w:left w:val="nil"/>
              <w:bottom w:val="single" w:color="auto" w:sz="4" w:space="0"/>
              <w:right w:val="single" w:color="auto" w:sz="4" w:space="0"/>
            </w:tcBorders>
            <w:noWrap w:val="0"/>
            <w:vAlign w:val="center"/>
          </w:tcPr>
          <w:p w14:paraId="3B032210">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2000≤Y＜40000</w:t>
            </w:r>
          </w:p>
        </w:tc>
        <w:tc>
          <w:tcPr>
            <w:tcW w:w="1684" w:type="dxa"/>
            <w:tcBorders>
              <w:top w:val="nil"/>
              <w:left w:val="nil"/>
              <w:bottom w:val="single" w:color="auto" w:sz="4" w:space="0"/>
              <w:right w:val="single" w:color="auto" w:sz="4" w:space="0"/>
            </w:tcBorders>
            <w:noWrap w:val="0"/>
            <w:vAlign w:val="center"/>
          </w:tcPr>
          <w:p w14:paraId="5531578E">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300≤Y＜2000</w:t>
            </w:r>
          </w:p>
        </w:tc>
        <w:tc>
          <w:tcPr>
            <w:tcW w:w="1082" w:type="dxa"/>
            <w:tcBorders>
              <w:top w:val="nil"/>
              <w:left w:val="nil"/>
              <w:bottom w:val="single" w:color="auto" w:sz="4" w:space="0"/>
              <w:right w:val="single" w:color="auto" w:sz="4" w:space="0"/>
            </w:tcBorders>
            <w:noWrap w:val="0"/>
            <w:vAlign w:val="center"/>
          </w:tcPr>
          <w:p w14:paraId="492BA023">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Y＜300</w:t>
            </w:r>
          </w:p>
        </w:tc>
      </w:tr>
      <w:tr w14:paraId="009DA9CF">
        <w:tblPrEx>
          <w:tblCellMar>
            <w:top w:w="0" w:type="dxa"/>
            <w:left w:w="108" w:type="dxa"/>
            <w:bottom w:w="0" w:type="dxa"/>
            <w:right w:w="108" w:type="dxa"/>
          </w:tblCellMar>
        </w:tblPrEx>
        <w:trPr>
          <w:trHeight w:val="225" w:hRule="atLeast"/>
        </w:trPr>
        <w:tc>
          <w:tcPr>
            <w:tcW w:w="1990" w:type="dxa"/>
            <w:vMerge w:val="restart"/>
            <w:tcBorders>
              <w:top w:val="nil"/>
              <w:left w:val="single" w:color="auto" w:sz="4" w:space="0"/>
              <w:bottom w:val="single" w:color="auto" w:sz="4" w:space="0"/>
              <w:right w:val="single" w:color="auto" w:sz="4" w:space="0"/>
            </w:tcBorders>
            <w:noWrap w:val="0"/>
            <w:vAlign w:val="bottom"/>
          </w:tcPr>
          <w:p w14:paraId="782D13A2">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建筑业</w:t>
            </w:r>
          </w:p>
        </w:tc>
        <w:tc>
          <w:tcPr>
            <w:tcW w:w="1619" w:type="dxa"/>
            <w:tcBorders>
              <w:top w:val="nil"/>
              <w:left w:val="nil"/>
              <w:bottom w:val="single" w:color="auto" w:sz="4" w:space="0"/>
              <w:right w:val="single" w:color="auto" w:sz="4" w:space="0"/>
            </w:tcBorders>
            <w:noWrap w:val="0"/>
            <w:vAlign w:val="center"/>
          </w:tcPr>
          <w:p w14:paraId="7E450176">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1068" w:type="dxa"/>
            <w:tcBorders>
              <w:top w:val="nil"/>
              <w:left w:val="nil"/>
              <w:bottom w:val="single" w:color="auto" w:sz="4" w:space="0"/>
              <w:right w:val="single" w:color="auto" w:sz="4" w:space="0"/>
            </w:tcBorders>
            <w:noWrap w:val="0"/>
            <w:vAlign w:val="center"/>
          </w:tcPr>
          <w:p w14:paraId="00E7B38E">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95" w:type="dxa"/>
            <w:tcBorders>
              <w:top w:val="nil"/>
              <w:left w:val="nil"/>
              <w:bottom w:val="single" w:color="auto" w:sz="4" w:space="0"/>
              <w:right w:val="single" w:color="auto" w:sz="4" w:space="0"/>
            </w:tcBorders>
            <w:noWrap w:val="0"/>
            <w:vAlign w:val="center"/>
          </w:tcPr>
          <w:p w14:paraId="4E1D93B1">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6000≤Y＜80000</w:t>
            </w:r>
          </w:p>
        </w:tc>
        <w:tc>
          <w:tcPr>
            <w:tcW w:w="1684" w:type="dxa"/>
            <w:tcBorders>
              <w:top w:val="nil"/>
              <w:left w:val="nil"/>
              <w:bottom w:val="single" w:color="auto" w:sz="4" w:space="0"/>
              <w:right w:val="single" w:color="auto" w:sz="4" w:space="0"/>
            </w:tcBorders>
            <w:noWrap w:val="0"/>
            <w:vAlign w:val="center"/>
          </w:tcPr>
          <w:p w14:paraId="32E05675">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300≤Y＜6000</w:t>
            </w:r>
          </w:p>
        </w:tc>
        <w:tc>
          <w:tcPr>
            <w:tcW w:w="1082" w:type="dxa"/>
            <w:tcBorders>
              <w:top w:val="nil"/>
              <w:left w:val="nil"/>
              <w:bottom w:val="single" w:color="auto" w:sz="4" w:space="0"/>
              <w:right w:val="single" w:color="auto" w:sz="4" w:space="0"/>
            </w:tcBorders>
            <w:noWrap w:val="0"/>
            <w:vAlign w:val="center"/>
          </w:tcPr>
          <w:p w14:paraId="51F39C69">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Y＜300</w:t>
            </w:r>
          </w:p>
        </w:tc>
      </w:tr>
      <w:tr w14:paraId="3E9B6DA1">
        <w:tblPrEx>
          <w:tblCellMar>
            <w:top w:w="0" w:type="dxa"/>
            <w:left w:w="108" w:type="dxa"/>
            <w:bottom w:w="0" w:type="dxa"/>
            <w:right w:w="108" w:type="dxa"/>
          </w:tblCellMar>
        </w:tblPrEx>
        <w:trPr>
          <w:trHeight w:val="225" w:hRule="atLeast"/>
        </w:trPr>
        <w:tc>
          <w:tcPr>
            <w:tcW w:w="1990" w:type="dxa"/>
            <w:vMerge w:val="continue"/>
            <w:tcBorders>
              <w:top w:val="nil"/>
              <w:left w:val="single" w:color="auto" w:sz="4" w:space="0"/>
              <w:bottom w:val="single" w:color="auto" w:sz="4" w:space="0"/>
              <w:right w:val="single" w:color="auto" w:sz="4" w:space="0"/>
            </w:tcBorders>
            <w:noWrap w:val="0"/>
            <w:vAlign w:val="center"/>
          </w:tcPr>
          <w:p w14:paraId="2602AAA0">
            <w:pPr>
              <w:widowControl/>
              <w:jc w:val="left"/>
              <w:rPr>
                <w:rFonts w:ascii="仿宋_GB2312" w:hAnsi="仿宋" w:eastAsia="仿宋_GB2312" w:cs="宋体"/>
                <w:b/>
                <w:bCs/>
                <w:color w:val="auto"/>
                <w:kern w:val="0"/>
                <w:sz w:val="18"/>
                <w:szCs w:val="18"/>
                <w:highlight w:val="none"/>
              </w:rPr>
            </w:pPr>
          </w:p>
        </w:tc>
        <w:tc>
          <w:tcPr>
            <w:tcW w:w="1619" w:type="dxa"/>
            <w:tcBorders>
              <w:top w:val="nil"/>
              <w:left w:val="nil"/>
              <w:bottom w:val="single" w:color="auto" w:sz="4" w:space="0"/>
              <w:right w:val="single" w:color="auto" w:sz="4" w:space="0"/>
            </w:tcBorders>
            <w:noWrap w:val="0"/>
            <w:vAlign w:val="center"/>
          </w:tcPr>
          <w:p w14:paraId="4E95C2B4">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资产总额（Z）</w:t>
            </w:r>
          </w:p>
        </w:tc>
        <w:tc>
          <w:tcPr>
            <w:tcW w:w="1068" w:type="dxa"/>
            <w:tcBorders>
              <w:top w:val="nil"/>
              <w:left w:val="nil"/>
              <w:bottom w:val="single" w:color="auto" w:sz="4" w:space="0"/>
              <w:right w:val="single" w:color="auto" w:sz="4" w:space="0"/>
            </w:tcBorders>
            <w:noWrap w:val="0"/>
            <w:vAlign w:val="center"/>
          </w:tcPr>
          <w:p w14:paraId="1B1BC488">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95" w:type="dxa"/>
            <w:tcBorders>
              <w:top w:val="nil"/>
              <w:left w:val="nil"/>
              <w:bottom w:val="single" w:color="auto" w:sz="4" w:space="0"/>
              <w:right w:val="single" w:color="auto" w:sz="4" w:space="0"/>
            </w:tcBorders>
            <w:noWrap w:val="0"/>
            <w:vAlign w:val="center"/>
          </w:tcPr>
          <w:p w14:paraId="6B6D274A">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5000≤Z＜80000</w:t>
            </w:r>
          </w:p>
        </w:tc>
        <w:tc>
          <w:tcPr>
            <w:tcW w:w="1684" w:type="dxa"/>
            <w:tcBorders>
              <w:top w:val="nil"/>
              <w:left w:val="nil"/>
              <w:bottom w:val="single" w:color="auto" w:sz="4" w:space="0"/>
              <w:right w:val="single" w:color="auto" w:sz="4" w:space="0"/>
            </w:tcBorders>
            <w:noWrap w:val="0"/>
            <w:vAlign w:val="center"/>
          </w:tcPr>
          <w:p w14:paraId="142B88CF">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300≤Z＜5000</w:t>
            </w:r>
          </w:p>
        </w:tc>
        <w:tc>
          <w:tcPr>
            <w:tcW w:w="1082" w:type="dxa"/>
            <w:tcBorders>
              <w:top w:val="nil"/>
              <w:left w:val="nil"/>
              <w:bottom w:val="single" w:color="auto" w:sz="4" w:space="0"/>
              <w:right w:val="single" w:color="auto" w:sz="4" w:space="0"/>
            </w:tcBorders>
            <w:noWrap w:val="0"/>
            <w:vAlign w:val="center"/>
          </w:tcPr>
          <w:p w14:paraId="174F6C82">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Z＜300</w:t>
            </w:r>
          </w:p>
        </w:tc>
      </w:tr>
      <w:tr w14:paraId="12D27777">
        <w:tblPrEx>
          <w:tblCellMar>
            <w:top w:w="0" w:type="dxa"/>
            <w:left w:w="108" w:type="dxa"/>
            <w:bottom w:w="0" w:type="dxa"/>
            <w:right w:w="108" w:type="dxa"/>
          </w:tblCellMar>
        </w:tblPrEx>
        <w:trPr>
          <w:trHeight w:val="225" w:hRule="atLeast"/>
        </w:trPr>
        <w:tc>
          <w:tcPr>
            <w:tcW w:w="1990" w:type="dxa"/>
            <w:vMerge w:val="restart"/>
            <w:tcBorders>
              <w:top w:val="nil"/>
              <w:left w:val="single" w:color="auto" w:sz="4" w:space="0"/>
              <w:bottom w:val="single" w:color="auto" w:sz="4" w:space="0"/>
              <w:right w:val="single" w:color="auto" w:sz="4" w:space="0"/>
            </w:tcBorders>
            <w:noWrap w:val="0"/>
            <w:vAlign w:val="bottom"/>
          </w:tcPr>
          <w:p w14:paraId="6F3F0ACD">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批发业</w:t>
            </w:r>
          </w:p>
        </w:tc>
        <w:tc>
          <w:tcPr>
            <w:tcW w:w="1619" w:type="dxa"/>
            <w:tcBorders>
              <w:top w:val="nil"/>
              <w:left w:val="nil"/>
              <w:bottom w:val="single" w:color="auto" w:sz="4" w:space="0"/>
              <w:right w:val="single" w:color="auto" w:sz="4" w:space="0"/>
            </w:tcBorders>
            <w:noWrap w:val="0"/>
            <w:vAlign w:val="center"/>
          </w:tcPr>
          <w:p w14:paraId="7C94554F">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1068" w:type="dxa"/>
            <w:tcBorders>
              <w:top w:val="nil"/>
              <w:left w:val="nil"/>
              <w:bottom w:val="single" w:color="auto" w:sz="4" w:space="0"/>
              <w:right w:val="single" w:color="auto" w:sz="4" w:space="0"/>
            </w:tcBorders>
            <w:noWrap w:val="0"/>
            <w:vAlign w:val="center"/>
          </w:tcPr>
          <w:p w14:paraId="38FEFE7C">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95" w:type="dxa"/>
            <w:tcBorders>
              <w:top w:val="nil"/>
              <w:left w:val="nil"/>
              <w:bottom w:val="single" w:color="auto" w:sz="4" w:space="0"/>
              <w:right w:val="single" w:color="auto" w:sz="4" w:space="0"/>
            </w:tcBorders>
            <w:noWrap w:val="0"/>
            <w:vAlign w:val="center"/>
          </w:tcPr>
          <w:p w14:paraId="6FA448F9">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20≤X＜200</w:t>
            </w:r>
          </w:p>
        </w:tc>
        <w:tc>
          <w:tcPr>
            <w:tcW w:w="1684" w:type="dxa"/>
            <w:tcBorders>
              <w:top w:val="nil"/>
              <w:left w:val="nil"/>
              <w:bottom w:val="single" w:color="auto" w:sz="4" w:space="0"/>
              <w:right w:val="single" w:color="auto" w:sz="4" w:space="0"/>
            </w:tcBorders>
            <w:noWrap w:val="0"/>
            <w:vAlign w:val="center"/>
          </w:tcPr>
          <w:p w14:paraId="7F4C4864">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5≤X＜20</w:t>
            </w:r>
          </w:p>
        </w:tc>
        <w:tc>
          <w:tcPr>
            <w:tcW w:w="1082" w:type="dxa"/>
            <w:tcBorders>
              <w:top w:val="nil"/>
              <w:left w:val="nil"/>
              <w:bottom w:val="single" w:color="auto" w:sz="4" w:space="0"/>
              <w:right w:val="single" w:color="auto" w:sz="4" w:space="0"/>
            </w:tcBorders>
            <w:noWrap w:val="0"/>
            <w:vAlign w:val="center"/>
          </w:tcPr>
          <w:p w14:paraId="59C66B2D">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X＜5</w:t>
            </w:r>
          </w:p>
        </w:tc>
      </w:tr>
      <w:tr w14:paraId="0292B258">
        <w:tblPrEx>
          <w:tblCellMar>
            <w:top w:w="0" w:type="dxa"/>
            <w:left w:w="108" w:type="dxa"/>
            <w:bottom w:w="0" w:type="dxa"/>
            <w:right w:w="108" w:type="dxa"/>
          </w:tblCellMar>
        </w:tblPrEx>
        <w:trPr>
          <w:trHeight w:val="225" w:hRule="atLeast"/>
        </w:trPr>
        <w:tc>
          <w:tcPr>
            <w:tcW w:w="1990" w:type="dxa"/>
            <w:vMerge w:val="continue"/>
            <w:tcBorders>
              <w:top w:val="nil"/>
              <w:left w:val="single" w:color="auto" w:sz="4" w:space="0"/>
              <w:bottom w:val="single" w:color="auto" w:sz="4" w:space="0"/>
              <w:right w:val="single" w:color="auto" w:sz="4" w:space="0"/>
            </w:tcBorders>
            <w:noWrap w:val="0"/>
            <w:vAlign w:val="center"/>
          </w:tcPr>
          <w:p w14:paraId="4C6A0FD1">
            <w:pPr>
              <w:widowControl/>
              <w:jc w:val="left"/>
              <w:rPr>
                <w:rFonts w:ascii="仿宋_GB2312" w:hAnsi="仿宋" w:eastAsia="仿宋_GB2312" w:cs="宋体"/>
                <w:b/>
                <w:bCs/>
                <w:color w:val="auto"/>
                <w:kern w:val="0"/>
                <w:sz w:val="18"/>
                <w:szCs w:val="18"/>
                <w:highlight w:val="none"/>
              </w:rPr>
            </w:pPr>
          </w:p>
        </w:tc>
        <w:tc>
          <w:tcPr>
            <w:tcW w:w="1619" w:type="dxa"/>
            <w:tcBorders>
              <w:top w:val="nil"/>
              <w:left w:val="nil"/>
              <w:bottom w:val="single" w:color="auto" w:sz="4" w:space="0"/>
              <w:right w:val="single" w:color="auto" w:sz="4" w:space="0"/>
            </w:tcBorders>
            <w:noWrap w:val="0"/>
            <w:vAlign w:val="center"/>
          </w:tcPr>
          <w:p w14:paraId="274213A4">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1068" w:type="dxa"/>
            <w:tcBorders>
              <w:top w:val="nil"/>
              <w:left w:val="nil"/>
              <w:bottom w:val="single" w:color="auto" w:sz="4" w:space="0"/>
              <w:right w:val="single" w:color="auto" w:sz="4" w:space="0"/>
            </w:tcBorders>
            <w:noWrap w:val="0"/>
            <w:vAlign w:val="center"/>
          </w:tcPr>
          <w:p w14:paraId="5BE0EAE4">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95" w:type="dxa"/>
            <w:tcBorders>
              <w:top w:val="nil"/>
              <w:left w:val="nil"/>
              <w:bottom w:val="single" w:color="auto" w:sz="4" w:space="0"/>
              <w:right w:val="single" w:color="auto" w:sz="4" w:space="0"/>
            </w:tcBorders>
            <w:noWrap w:val="0"/>
            <w:vAlign w:val="center"/>
          </w:tcPr>
          <w:p w14:paraId="2AB6F9DB">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5000≤Y＜40000</w:t>
            </w:r>
          </w:p>
        </w:tc>
        <w:tc>
          <w:tcPr>
            <w:tcW w:w="1684" w:type="dxa"/>
            <w:tcBorders>
              <w:top w:val="nil"/>
              <w:left w:val="nil"/>
              <w:bottom w:val="single" w:color="auto" w:sz="4" w:space="0"/>
              <w:right w:val="single" w:color="auto" w:sz="4" w:space="0"/>
            </w:tcBorders>
            <w:noWrap w:val="0"/>
            <w:vAlign w:val="center"/>
          </w:tcPr>
          <w:p w14:paraId="4CF1C39A">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1000≤Y＜5000</w:t>
            </w:r>
          </w:p>
        </w:tc>
        <w:tc>
          <w:tcPr>
            <w:tcW w:w="1082" w:type="dxa"/>
            <w:tcBorders>
              <w:top w:val="nil"/>
              <w:left w:val="nil"/>
              <w:bottom w:val="single" w:color="auto" w:sz="4" w:space="0"/>
              <w:right w:val="single" w:color="auto" w:sz="4" w:space="0"/>
            </w:tcBorders>
            <w:noWrap w:val="0"/>
            <w:vAlign w:val="center"/>
          </w:tcPr>
          <w:p w14:paraId="719C5819">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Y＜1000</w:t>
            </w:r>
          </w:p>
        </w:tc>
      </w:tr>
      <w:tr w14:paraId="7A4EA425">
        <w:tblPrEx>
          <w:tblCellMar>
            <w:top w:w="0" w:type="dxa"/>
            <w:left w:w="108" w:type="dxa"/>
            <w:bottom w:w="0" w:type="dxa"/>
            <w:right w:w="108" w:type="dxa"/>
          </w:tblCellMar>
        </w:tblPrEx>
        <w:trPr>
          <w:trHeight w:val="225" w:hRule="atLeast"/>
        </w:trPr>
        <w:tc>
          <w:tcPr>
            <w:tcW w:w="1990" w:type="dxa"/>
            <w:vMerge w:val="restart"/>
            <w:tcBorders>
              <w:top w:val="nil"/>
              <w:left w:val="single" w:color="auto" w:sz="4" w:space="0"/>
              <w:bottom w:val="single" w:color="auto" w:sz="4" w:space="0"/>
              <w:right w:val="single" w:color="auto" w:sz="4" w:space="0"/>
            </w:tcBorders>
            <w:noWrap w:val="0"/>
            <w:vAlign w:val="bottom"/>
          </w:tcPr>
          <w:p w14:paraId="41D6DA04">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零售业</w:t>
            </w:r>
          </w:p>
        </w:tc>
        <w:tc>
          <w:tcPr>
            <w:tcW w:w="1619" w:type="dxa"/>
            <w:tcBorders>
              <w:top w:val="nil"/>
              <w:left w:val="nil"/>
              <w:bottom w:val="single" w:color="auto" w:sz="4" w:space="0"/>
              <w:right w:val="single" w:color="auto" w:sz="4" w:space="0"/>
            </w:tcBorders>
            <w:noWrap w:val="0"/>
            <w:vAlign w:val="center"/>
          </w:tcPr>
          <w:p w14:paraId="1C99D006">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1068" w:type="dxa"/>
            <w:tcBorders>
              <w:top w:val="nil"/>
              <w:left w:val="nil"/>
              <w:bottom w:val="single" w:color="auto" w:sz="4" w:space="0"/>
              <w:right w:val="single" w:color="auto" w:sz="4" w:space="0"/>
            </w:tcBorders>
            <w:noWrap w:val="0"/>
            <w:vAlign w:val="center"/>
          </w:tcPr>
          <w:p w14:paraId="4805BC5C">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95" w:type="dxa"/>
            <w:tcBorders>
              <w:top w:val="nil"/>
              <w:left w:val="nil"/>
              <w:bottom w:val="single" w:color="auto" w:sz="4" w:space="0"/>
              <w:right w:val="single" w:color="auto" w:sz="4" w:space="0"/>
            </w:tcBorders>
            <w:noWrap w:val="0"/>
            <w:vAlign w:val="center"/>
          </w:tcPr>
          <w:p w14:paraId="2F2EE1E8">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50≤X＜300</w:t>
            </w:r>
          </w:p>
        </w:tc>
        <w:tc>
          <w:tcPr>
            <w:tcW w:w="1684" w:type="dxa"/>
            <w:tcBorders>
              <w:top w:val="nil"/>
              <w:left w:val="nil"/>
              <w:bottom w:val="single" w:color="auto" w:sz="4" w:space="0"/>
              <w:right w:val="single" w:color="auto" w:sz="4" w:space="0"/>
            </w:tcBorders>
            <w:noWrap w:val="0"/>
            <w:vAlign w:val="center"/>
          </w:tcPr>
          <w:p w14:paraId="23BC4724">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10≤X＜50</w:t>
            </w:r>
          </w:p>
        </w:tc>
        <w:tc>
          <w:tcPr>
            <w:tcW w:w="1082" w:type="dxa"/>
            <w:tcBorders>
              <w:top w:val="nil"/>
              <w:left w:val="nil"/>
              <w:bottom w:val="single" w:color="auto" w:sz="4" w:space="0"/>
              <w:right w:val="single" w:color="auto" w:sz="4" w:space="0"/>
            </w:tcBorders>
            <w:noWrap w:val="0"/>
            <w:vAlign w:val="center"/>
          </w:tcPr>
          <w:p w14:paraId="5FAD8445">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X＜10</w:t>
            </w:r>
          </w:p>
        </w:tc>
      </w:tr>
      <w:tr w14:paraId="25FBAB96">
        <w:tblPrEx>
          <w:tblCellMar>
            <w:top w:w="0" w:type="dxa"/>
            <w:left w:w="108" w:type="dxa"/>
            <w:bottom w:w="0" w:type="dxa"/>
            <w:right w:w="108" w:type="dxa"/>
          </w:tblCellMar>
        </w:tblPrEx>
        <w:trPr>
          <w:trHeight w:val="225" w:hRule="atLeast"/>
        </w:trPr>
        <w:tc>
          <w:tcPr>
            <w:tcW w:w="1990" w:type="dxa"/>
            <w:vMerge w:val="continue"/>
            <w:tcBorders>
              <w:top w:val="nil"/>
              <w:left w:val="single" w:color="auto" w:sz="4" w:space="0"/>
              <w:bottom w:val="single" w:color="auto" w:sz="4" w:space="0"/>
              <w:right w:val="single" w:color="auto" w:sz="4" w:space="0"/>
            </w:tcBorders>
            <w:noWrap w:val="0"/>
            <w:vAlign w:val="center"/>
          </w:tcPr>
          <w:p w14:paraId="6451BE30">
            <w:pPr>
              <w:widowControl/>
              <w:jc w:val="left"/>
              <w:rPr>
                <w:rFonts w:ascii="仿宋_GB2312" w:hAnsi="仿宋" w:eastAsia="仿宋_GB2312" w:cs="宋体"/>
                <w:b/>
                <w:bCs/>
                <w:color w:val="auto"/>
                <w:kern w:val="0"/>
                <w:sz w:val="18"/>
                <w:szCs w:val="18"/>
                <w:highlight w:val="none"/>
              </w:rPr>
            </w:pPr>
          </w:p>
        </w:tc>
        <w:tc>
          <w:tcPr>
            <w:tcW w:w="1619" w:type="dxa"/>
            <w:tcBorders>
              <w:top w:val="nil"/>
              <w:left w:val="nil"/>
              <w:bottom w:val="single" w:color="auto" w:sz="4" w:space="0"/>
              <w:right w:val="single" w:color="auto" w:sz="4" w:space="0"/>
            </w:tcBorders>
            <w:noWrap w:val="0"/>
            <w:vAlign w:val="center"/>
          </w:tcPr>
          <w:p w14:paraId="496AC2BD">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1068" w:type="dxa"/>
            <w:tcBorders>
              <w:top w:val="nil"/>
              <w:left w:val="nil"/>
              <w:bottom w:val="single" w:color="auto" w:sz="4" w:space="0"/>
              <w:right w:val="single" w:color="auto" w:sz="4" w:space="0"/>
            </w:tcBorders>
            <w:noWrap w:val="0"/>
            <w:vAlign w:val="center"/>
          </w:tcPr>
          <w:p w14:paraId="4FC03AD1">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95" w:type="dxa"/>
            <w:tcBorders>
              <w:top w:val="nil"/>
              <w:left w:val="nil"/>
              <w:bottom w:val="single" w:color="auto" w:sz="4" w:space="0"/>
              <w:right w:val="single" w:color="auto" w:sz="4" w:space="0"/>
            </w:tcBorders>
            <w:noWrap w:val="0"/>
            <w:vAlign w:val="center"/>
          </w:tcPr>
          <w:p w14:paraId="350C4ECC">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500≤Y＜20000</w:t>
            </w:r>
          </w:p>
        </w:tc>
        <w:tc>
          <w:tcPr>
            <w:tcW w:w="1684" w:type="dxa"/>
            <w:tcBorders>
              <w:top w:val="nil"/>
              <w:left w:val="nil"/>
              <w:bottom w:val="single" w:color="auto" w:sz="4" w:space="0"/>
              <w:right w:val="single" w:color="auto" w:sz="4" w:space="0"/>
            </w:tcBorders>
            <w:noWrap w:val="0"/>
            <w:vAlign w:val="center"/>
          </w:tcPr>
          <w:p w14:paraId="7A9D0F25">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100≤Y＜500</w:t>
            </w:r>
          </w:p>
        </w:tc>
        <w:tc>
          <w:tcPr>
            <w:tcW w:w="1082" w:type="dxa"/>
            <w:tcBorders>
              <w:top w:val="nil"/>
              <w:left w:val="nil"/>
              <w:bottom w:val="single" w:color="auto" w:sz="4" w:space="0"/>
              <w:right w:val="single" w:color="auto" w:sz="4" w:space="0"/>
            </w:tcBorders>
            <w:noWrap w:val="0"/>
            <w:vAlign w:val="center"/>
          </w:tcPr>
          <w:p w14:paraId="31F6178E">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Y＜100</w:t>
            </w:r>
          </w:p>
        </w:tc>
      </w:tr>
      <w:tr w14:paraId="391D9B98">
        <w:tblPrEx>
          <w:tblCellMar>
            <w:top w:w="0" w:type="dxa"/>
            <w:left w:w="108" w:type="dxa"/>
            <w:bottom w:w="0" w:type="dxa"/>
            <w:right w:w="108" w:type="dxa"/>
          </w:tblCellMar>
        </w:tblPrEx>
        <w:trPr>
          <w:trHeight w:val="225" w:hRule="atLeast"/>
        </w:trPr>
        <w:tc>
          <w:tcPr>
            <w:tcW w:w="1990" w:type="dxa"/>
            <w:vMerge w:val="restart"/>
            <w:tcBorders>
              <w:top w:val="nil"/>
              <w:left w:val="single" w:color="auto" w:sz="4" w:space="0"/>
              <w:bottom w:val="single" w:color="auto" w:sz="4" w:space="0"/>
              <w:right w:val="single" w:color="auto" w:sz="4" w:space="0"/>
            </w:tcBorders>
            <w:noWrap w:val="0"/>
            <w:vAlign w:val="bottom"/>
          </w:tcPr>
          <w:p w14:paraId="034B4575">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交通运输业</w:t>
            </w:r>
          </w:p>
        </w:tc>
        <w:tc>
          <w:tcPr>
            <w:tcW w:w="1619" w:type="dxa"/>
            <w:tcBorders>
              <w:top w:val="nil"/>
              <w:left w:val="nil"/>
              <w:bottom w:val="single" w:color="auto" w:sz="4" w:space="0"/>
              <w:right w:val="single" w:color="auto" w:sz="4" w:space="0"/>
            </w:tcBorders>
            <w:noWrap w:val="0"/>
            <w:vAlign w:val="center"/>
          </w:tcPr>
          <w:p w14:paraId="375CBAE0">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1068" w:type="dxa"/>
            <w:tcBorders>
              <w:top w:val="nil"/>
              <w:left w:val="nil"/>
              <w:bottom w:val="single" w:color="auto" w:sz="4" w:space="0"/>
              <w:right w:val="single" w:color="auto" w:sz="4" w:space="0"/>
            </w:tcBorders>
            <w:noWrap w:val="0"/>
            <w:vAlign w:val="center"/>
          </w:tcPr>
          <w:p w14:paraId="3E65E513">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95" w:type="dxa"/>
            <w:tcBorders>
              <w:top w:val="nil"/>
              <w:left w:val="nil"/>
              <w:bottom w:val="single" w:color="auto" w:sz="4" w:space="0"/>
              <w:right w:val="single" w:color="auto" w:sz="4" w:space="0"/>
            </w:tcBorders>
            <w:noWrap w:val="0"/>
            <w:vAlign w:val="center"/>
          </w:tcPr>
          <w:p w14:paraId="131E0D01">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300≤X＜1000</w:t>
            </w:r>
          </w:p>
        </w:tc>
        <w:tc>
          <w:tcPr>
            <w:tcW w:w="1684" w:type="dxa"/>
            <w:tcBorders>
              <w:top w:val="nil"/>
              <w:left w:val="nil"/>
              <w:bottom w:val="single" w:color="auto" w:sz="4" w:space="0"/>
              <w:right w:val="single" w:color="auto" w:sz="4" w:space="0"/>
            </w:tcBorders>
            <w:noWrap w:val="0"/>
            <w:vAlign w:val="center"/>
          </w:tcPr>
          <w:p w14:paraId="09ACA727">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20≤X＜300</w:t>
            </w:r>
          </w:p>
        </w:tc>
        <w:tc>
          <w:tcPr>
            <w:tcW w:w="1082" w:type="dxa"/>
            <w:tcBorders>
              <w:top w:val="nil"/>
              <w:left w:val="nil"/>
              <w:bottom w:val="single" w:color="auto" w:sz="4" w:space="0"/>
              <w:right w:val="single" w:color="auto" w:sz="4" w:space="0"/>
            </w:tcBorders>
            <w:noWrap w:val="0"/>
            <w:vAlign w:val="center"/>
          </w:tcPr>
          <w:p w14:paraId="445976BF">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X＜20</w:t>
            </w:r>
          </w:p>
        </w:tc>
      </w:tr>
      <w:tr w14:paraId="6AF79E45">
        <w:tblPrEx>
          <w:tblCellMar>
            <w:top w:w="0" w:type="dxa"/>
            <w:left w:w="108" w:type="dxa"/>
            <w:bottom w:w="0" w:type="dxa"/>
            <w:right w:w="108" w:type="dxa"/>
          </w:tblCellMar>
        </w:tblPrEx>
        <w:trPr>
          <w:trHeight w:val="225" w:hRule="atLeast"/>
        </w:trPr>
        <w:tc>
          <w:tcPr>
            <w:tcW w:w="1990" w:type="dxa"/>
            <w:vMerge w:val="continue"/>
            <w:tcBorders>
              <w:top w:val="nil"/>
              <w:left w:val="single" w:color="auto" w:sz="4" w:space="0"/>
              <w:bottom w:val="single" w:color="auto" w:sz="4" w:space="0"/>
              <w:right w:val="single" w:color="auto" w:sz="4" w:space="0"/>
            </w:tcBorders>
            <w:noWrap w:val="0"/>
            <w:vAlign w:val="center"/>
          </w:tcPr>
          <w:p w14:paraId="2B0B2D44">
            <w:pPr>
              <w:widowControl/>
              <w:jc w:val="left"/>
              <w:rPr>
                <w:rFonts w:ascii="仿宋_GB2312" w:hAnsi="仿宋" w:eastAsia="仿宋_GB2312" w:cs="宋体"/>
                <w:b/>
                <w:bCs/>
                <w:color w:val="auto"/>
                <w:kern w:val="0"/>
                <w:sz w:val="18"/>
                <w:szCs w:val="18"/>
                <w:highlight w:val="none"/>
              </w:rPr>
            </w:pPr>
          </w:p>
        </w:tc>
        <w:tc>
          <w:tcPr>
            <w:tcW w:w="1619" w:type="dxa"/>
            <w:tcBorders>
              <w:top w:val="nil"/>
              <w:left w:val="nil"/>
              <w:bottom w:val="single" w:color="auto" w:sz="4" w:space="0"/>
              <w:right w:val="single" w:color="auto" w:sz="4" w:space="0"/>
            </w:tcBorders>
            <w:noWrap w:val="0"/>
            <w:vAlign w:val="center"/>
          </w:tcPr>
          <w:p w14:paraId="4C57626F">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1068" w:type="dxa"/>
            <w:tcBorders>
              <w:top w:val="nil"/>
              <w:left w:val="nil"/>
              <w:bottom w:val="single" w:color="auto" w:sz="4" w:space="0"/>
              <w:right w:val="single" w:color="auto" w:sz="4" w:space="0"/>
            </w:tcBorders>
            <w:noWrap w:val="0"/>
            <w:vAlign w:val="center"/>
          </w:tcPr>
          <w:p w14:paraId="7000B096">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95" w:type="dxa"/>
            <w:tcBorders>
              <w:top w:val="nil"/>
              <w:left w:val="nil"/>
              <w:bottom w:val="single" w:color="auto" w:sz="4" w:space="0"/>
              <w:right w:val="single" w:color="auto" w:sz="4" w:space="0"/>
            </w:tcBorders>
            <w:noWrap w:val="0"/>
            <w:vAlign w:val="center"/>
          </w:tcPr>
          <w:p w14:paraId="67EE446E">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3000≤Y＜30000</w:t>
            </w:r>
          </w:p>
        </w:tc>
        <w:tc>
          <w:tcPr>
            <w:tcW w:w="1684" w:type="dxa"/>
            <w:tcBorders>
              <w:top w:val="nil"/>
              <w:left w:val="nil"/>
              <w:bottom w:val="single" w:color="auto" w:sz="4" w:space="0"/>
              <w:right w:val="single" w:color="auto" w:sz="4" w:space="0"/>
            </w:tcBorders>
            <w:noWrap w:val="0"/>
            <w:vAlign w:val="center"/>
          </w:tcPr>
          <w:p w14:paraId="396F7691">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200≤Y＜3000</w:t>
            </w:r>
          </w:p>
        </w:tc>
        <w:tc>
          <w:tcPr>
            <w:tcW w:w="1082" w:type="dxa"/>
            <w:tcBorders>
              <w:top w:val="nil"/>
              <w:left w:val="nil"/>
              <w:bottom w:val="single" w:color="auto" w:sz="4" w:space="0"/>
              <w:right w:val="single" w:color="auto" w:sz="4" w:space="0"/>
            </w:tcBorders>
            <w:noWrap w:val="0"/>
            <w:vAlign w:val="center"/>
          </w:tcPr>
          <w:p w14:paraId="7C6B2F3E">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Y＜200</w:t>
            </w:r>
          </w:p>
        </w:tc>
      </w:tr>
      <w:tr w14:paraId="4343D3D2">
        <w:tblPrEx>
          <w:tblCellMar>
            <w:top w:w="0" w:type="dxa"/>
            <w:left w:w="108" w:type="dxa"/>
            <w:bottom w:w="0" w:type="dxa"/>
            <w:right w:w="108" w:type="dxa"/>
          </w:tblCellMar>
        </w:tblPrEx>
        <w:trPr>
          <w:trHeight w:val="225" w:hRule="atLeast"/>
        </w:trPr>
        <w:tc>
          <w:tcPr>
            <w:tcW w:w="1990" w:type="dxa"/>
            <w:vMerge w:val="restart"/>
            <w:tcBorders>
              <w:top w:val="nil"/>
              <w:left w:val="single" w:color="auto" w:sz="4" w:space="0"/>
              <w:bottom w:val="single" w:color="auto" w:sz="4" w:space="0"/>
              <w:right w:val="single" w:color="auto" w:sz="4" w:space="0"/>
            </w:tcBorders>
            <w:noWrap w:val="0"/>
            <w:vAlign w:val="bottom"/>
          </w:tcPr>
          <w:p w14:paraId="116F0BDE">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仓储业</w:t>
            </w:r>
          </w:p>
        </w:tc>
        <w:tc>
          <w:tcPr>
            <w:tcW w:w="1619" w:type="dxa"/>
            <w:tcBorders>
              <w:top w:val="nil"/>
              <w:left w:val="nil"/>
              <w:bottom w:val="single" w:color="auto" w:sz="4" w:space="0"/>
              <w:right w:val="single" w:color="auto" w:sz="4" w:space="0"/>
            </w:tcBorders>
            <w:noWrap w:val="0"/>
            <w:vAlign w:val="center"/>
          </w:tcPr>
          <w:p w14:paraId="30BDAF56">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1068" w:type="dxa"/>
            <w:tcBorders>
              <w:top w:val="nil"/>
              <w:left w:val="nil"/>
              <w:bottom w:val="single" w:color="auto" w:sz="4" w:space="0"/>
              <w:right w:val="single" w:color="auto" w:sz="4" w:space="0"/>
            </w:tcBorders>
            <w:noWrap w:val="0"/>
            <w:vAlign w:val="center"/>
          </w:tcPr>
          <w:p w14:paraId="41A33FA9">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95" w:type="dxa"/>
            <w:tcBorders>
              <w:top w:val="nil"/>
              <w:left w:val="nil"/>
              <w:bottom w:val="single" w:color="auto" w:sz="4" w:space="0"/>
              <w:right w:val="single" w:color="auto" w:sz="4" w:space="0"/>
            </w:tcBorders>
            <w:noWrap w:val="0"/>
            <w:vAlign w:val="center"/>
          </w:tcPr>
          <w:p w14:paraId="7436E2EE">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100≤X＜200</w:t>
            </w:r>
          </w:p>
        </w:tc>
        <w:tc>
          <w:tcPr>
            <w:tcW w:w="1684" w:type="dxa"/>
            <w:tcBorders>
              <w:top w:val="nil"/>
              <w:left w:val="nil"/>
              <w:bottom w:val="single" w:color="auto" w:sz="4" w:space="0"/>
              <w:right w:val="single" w:color="auto" w:sz="4" w:space="0"/>
            </w:tcBorders>
            <w:noWrap w:val="0"/>
            <w:vAlign w:val="center"/>
          </w:tcPr>
          <w:p w14:paraId="1BB8366C">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20≤X＜100</w:t>
            </w:r>
          </w:p>
        </w:tc>
        <w:tc>
          <w:tcPr>
            <w:tcW w:w="1082" w:type="dxa"/>
            <w:tcBorders>
              <w:top w:val="nil"/>
              <w:left w:val="nil"/>
              <w:bottom w:val="single" w:color="auto" w:sz="4" w:space="0"/>
              <w:right w:val="single" w:color="auto" w:sz="4" w:space="0"/>
            </w:tcBorders>
            <w:noWrap w:val="0"/>
            <w:vAlign w:val="center"/>
          </w:tcPr>
          <w:p w14:paraId="55C225E6">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X＜20</w:t>
            </w:r>
          </w:p>
        </w:tc>
      </w:tr>
      <w:tr w14:paraId="21A87BA2">
        <w:tblPrEx>
          <w:tblCellMar>
            <w:top w:w="0" w:type="dxa"/>
            <w:left w:w="108" w:type="dxa"/>
            <w:bottom w:w="0" w:type="dxa"/>
            <w:right w:w="108" w:type="dxa"/>
          </w:tblCellMar>
        </w:tblPrEx>
        <w:trPr>
          <w:trHeight w:val="225" w:hRule="atLeast"/>
        </w:trPr>
        <w:tc>
          <w:tcPr>
            <w:tcW w:w="1990" w:type="dxa"/>
            <w:vMerge w:val="continue"/>
            <w:tcBorders>
              <w:top w:val="nil"/>
              <w:left w:val="single" w:color="auto" w:sz="4" w:space="0"/>
              <w:bottom w:val="single" w:color="auto" w:sz="4" w:space="0"/>
              <w:right w:val="single" w:color="auto" w:sz="4" w:space="0"/>
            </w:tcBorders>
            <w:noWrap w:val="0"/>
            <w:vAlign w:val="center"/>
          </w:tcPr>
          <w:p w14:paraId="5D2CC9BD">
            <w:pPr>
              <w:widowControl/>
              <w:jc w:val="left"/>
              <w:rPr>
                <w:rFonts w:ascii="仿宋_GB2312" w:hAnsi="仿宋" w:eastAsia="仿宋_GB2312" w:cs="宋体"/>
                <w:b/>
                <w:bCs/>
                <w:color w:val="auto"/>
                <w:kern w:val="0"/>
                <w:sz w:val="18"/>
                <w:szCs w:val="18"/>
                <w:highlight w:val="none"/>
              </w:rPr>
            </w:pPr>
          </w:p>
        </w:tc>
        <w:tc>
          <w:tcPr>
            <w:tcW w:w="1619" w:type="dxa"/>
            <w:tcBorders>
              <w:top w:val="nil"/>
              <w:left w:val="nil"/>
              <w:bottom w:val="single" w:color="auto" w:sz="4" w:space="0"/>
              <w:right w:val="single" w:color="auto" w:sz="4" w:space="0"/>
            </w:tcBorders>
            <w:noWrap w:val="0"/>
            <w:vAlign w:val="center"/>
          </w:tcPr>
          <w:p w14:paraId="3DF0BB83">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1068" w:type="dxa"/>
            <w:tcBorders>
              <w:top w:val="nil"/>
              <w:left w:val="nil"/>
              <w:bottom w:val="single" w:color="auto" w:sz="4" w:space="0"/>
              <w:right w:val="single" w:color="auto" w:sz="4" w:space="0"/>
            </w:tcBorders>
            <w:noWrap w:val="0"/>
            <w:vAlign w:val="center"/>
          </w:tcPr>
          <w:p w14:paraId="40AE52D1">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95" w:type="dxa"/>
            <w:tcBorders>
              <w:top w:val="nil"/>
              <w:left w:val="nil"/>
              <w:bottom w:val="single" w:color="auto" w:sz="4" w:space="0"/>
              <w:right w:val="single" w:color="auto" w:sz="4" w:space="0"/>
            </w:tcBorders>
            <w:noWrap w:val="0"/>
            <w:vAlign w:val="center"/>
          </w:tcPr>
          <w:p w14:paraId="02E3691B">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1000≤Y＜30000</w:t>
            </w:r>
          </w:p>
        </w:tc>
        <w:tc>
          <w:tcPr>
            <w:tcW w:w="1684" w:type="dxa"/>
            <w:tcBorders>
              <w:top w:val="nil"/>
              <w:left w:val="nil"/>
              <w:bottom w:val="single" w:color="auto" w:sz="4" w:space="0"/>
              <w:right w:val="single" w:color="auto" w:sz="4" w:space="0"/>
            </w:tcBorders>
            <w:noWrap w:val="0"/>
            <w:vAlign w:val="center"/>
          </w:tcPr>
          <w:p w14:paraId="4AF4D8F1">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100≤Y＜1000</w:t>
            </w:r>
          </w:p>
        </w:tc>
        <w:tc>
          <w:tcPr>
            <w:tcW w:w="1082" w:type="dxa"/>
            <w:tcBorders>
              <w:top w:val="nil"/>
              <w:left w:val="nil"/>
              <w:bottom w:val="single" w:color="auto" w:sz="4" w:space="0"/>
              <w:right w:val="single" w:color="auto" w:sz="4" w:space="0"/>
            </w:tcBorders>
            <w:noWrap w:val="0"/>
            <w:vAlign w:val="center"/>
          </w:tcPr>
          <w:p w14:paraId="71FE0A69">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Y＜100</w:t>
            </w:r>
          </w:p>
        </w:tc>
      </w:tr>
      <w:tr w14:paraId="5CC308B5">
        <w:tblPrEx>
          <w:tblCellMar>
            <w:top w:w="0" w:type="dxa"/>
            <w:left w:w="108" w:type="dxa"/>
            <w:bottom w:w="0" w:type="dxa"/>
            <w:right w:w="108" w:type="dxa"/>
          </w:tblCellMar>
        </w:tblPrEx>
        <w:trPr>
          <w:trHeight w:val="225" w:hRule="atLeast"/>
        </w:trPr>
        <w:tc>
          <w:tcPr>
            <w:tcW w:w="1990" w:type="dxa"/>
            <w:vMerge w:val="restart"/>
            <w:tcBorders>
              <w:top w:val="nil"/>
              <w:left w:val="single" w:color="auto" w:sz="4" w:space="0"/>
              <w:bottom w:val="single" w:color="auto" w:sz="4" w:space="0"/>
              <w:right w:val="single" w:color="auto" w:sz="4" w:space="0"/>
            </w:tcBorders>
            <w:noWrap w:val="0"/>
            <w:vAlign w:val="bottom"/>
          </w:tcPr>
          <w:p w14:paraId="0746BD6F">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邮政业</w:t>
            </w:r>
          </w:p>
        </w:tc>
        <w:tc>
          <w:tcPr>
            <w:tcW w:w="1619" w:type="dxa"/>
            <w:tcBorders>
              <w:top w:val="nil"/>
              <w:left w:val="nil"/>
              <w:bottom w:val="single" w:color="auto" w:sz="4" w:space="0"/>
              <w:right w:val="single" w:color="auto" w:sz="4" w:space="0"/>
            </w:tcBorders>
            <w:noWrap w:val="0"/>
            <w:vAlign w:val="center"/>
          </w:tcPr>
          <w:p w14:paraId="3171EA3E">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1068" w:type="dxa"/>
            <w:tcBorders>
              <w:top w:val="nil"/>
              <w:left w:val="nil"/>
              <w:bottom w:val="single" w:color="auto" w:sz="4" w:space="0"/>
              <w:right w:val="single" w:color="auto" w:sz="4" w:space="0"/>
            </w:tcBorders>
            <w:noWrap w:val="0"/>
            <w:vAlign w:val="center"/>
          </w:tcPr>
          <w:p w14:paraId="6192DC49">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95" w:type="dxa"/>
            <w:tcBorders>
              <w:top w:val="nil"/>
              <w:left w:val="nil"/>
              <w:bottom w:val="single" w:color="auto" w:sz="4" w:space="0"/>
              <w:right w:val="single" w:color="auto" w:sz="4" w:space="0"/>
            </w:tcBorders>
            <w:noWrap w:val="0"/>
            <w:vAlign w:val="center"/>
          </w:tcPr>
          <w:p w14:paraId="258E9180">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300≤X＜1000</w:t>
            </w:r>
          </w:p>
        </w:tc>
        <w:tc>
          <w:tcPr>
            <w:tcW w:w="1684" w:type="dxa"/>
            <w:tcBorders>
              <w:top w:val="nil"/>
              <w:left w:val="nil"/>
              <w:bottom w:val="single" w:color="auto" w:sz="4" w:space="0"/>
              <w:right w:val="single" w:color="auto" w:sz="4" w:space="0"/>
            </w:tcBorders>
            <w:noWrap w:val="0"/>
            <w:vAlign w:val="center"/>
          </w:tcPr>
          <w:p w14:paraId="50ADA671">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20≤X＜300</w:t>
            </w:r>
          </w:p>
        </w:tc>
        <w:tc>
          <w:tcPr>
            <w:tcW w:w="1082" w:type="dxa"/>
            <w:tcBorders>
              <w:top w:val="nil"/>
              <w:left w:val="nil"/>
              <w:bottom w:val="single" w:color="auto" w:sz="4" w:space="0"/>
              <w:right w:val="single" w:color="auto" w:sz="4" w:space="0"/>
            </w:tcBorders>
            <w:noWrap w:val="0"/>
            <w:vAlign w:val="center"/>
          </w:tcPr>
          <w:p w14:paraId="6E7B3839">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X＜20</w:t>
            </w:r>
          </w:p>
        </w:tc>
      </w:tr>
      <w:tr w14:paraId="2D0F00E1">
        <w:tblPrEx>
          <w:tblCellMar>
            <w:top w:w="0" w:type="dxa"/>
            <w:left w:w="108" w:type="dxa"/>
            <w:bottom w:w="0" w:type="dxa"/>
            <w:right w:w="108" w:type="dxa"/>
          </w:tblCellMar>
        </w:tblPrEx>
        <w:trPr>
          <w:trHeight w:val="225" w:hRule="atLeast"/>
        </w:trPr>
        <w:tc>
          <w:tcPr>
            <w:tcW w:w="1990" w:type="dxa"/>
            <w:vMerge w:val="continue"/>
            <w:tcBorders>
              <w:top w:val="nil"/>
              <w:left w:val="single" w:color="auto" w:sz="4" w:space="0"/>
              <w:bottom w:val="single" w:color="auto" w:sz="4" w:space="0"/>
              <w:right w:val="single" w:color="auto" w:sz="4" w:space="0"/>
            </w:tcBorders>
            <w:noWrap w:val="0"/>
            <w:vAlign w:val="center"/>
          </w:tcPr>
          <w:p w14:paraId="6C1E4B07">
            <w:pPr>
              <w:widowControl/>
              <w:jc w:val="left"/>
              <w:rPr>
                <w:rFonts w:ascii="仿宋_GB2312" w:hAnsi="仿宋" w:eastAsia="仿宋_GB2312" w:cs="宋体"/>
                <w:b/>
                <w:bCs/>
                <w:color w:val="auto"/>
                <w:kern w:val="0"/>
                <w:sz w:val="18"/>
                <w:szCs w:val="18"/>
                <w:highlight w:val="none"/>
              </w:rPr>
            </w:pPr>
          </w:p>
        </w:tc>
        <w:tc>
          <w:tcPr>
            <w:tcW w:w="1619" w:type="dxa"/>
            <w:tcBorders>
              <w:top w:val="nil"/>
              <w:left w:val="nil"/>
              <w:bottom w:val="single" w:color="auto" w:sz="4" w:space="0"/>
              <w:right w:val="single" w:color="auto" w:sz="4" w:space="0"/>
            </w:tcBorders>
            <w:noWrap w:val="0"/>
            <w:vAlign w:val="center"/>
          </w:tcPr>
          <w:p w14:paraId="684C6298">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1068" w:type="dxa"/>
            <w:tcBorders>
              <w:top w:val="nil"/>
              <w:left w:val="nil"/>
              <w:bottom w:val="single" w:color="auto" w:sz="4" w:space="0"/>
              <w:right w:val="single" w:color="auto" w:sz="4" w:space="0"/>
            </w:tcBorders>
            <w:noWrap w:val="0"/>
            <w:vAlign w:val="center"/>
          </w:tcPr>
          <w:p w14:paraId="0B7E5276">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95" w:type="dxa"/>
            <w:tcBorders>
              <w:top w:val="nil"/>
              <w:left w:val="nil"/>
              <w:bottom w:val="single" w:color="auto" w:sz="4" w:space="0"/>
              <w:right w:val="single" w:color="auto" w:sz="4" w:space="0"/>
            </w:tcBorders>
            <w:noWrap w:val="0"/>
            <w:vAlign w:val="center"/>
          </w:tcPr>
          <w:p w14:paraId="3F585D01">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2000≤Y＜30000</w:t>
            </w:r>
          </w:p>
        </w:tc>
        <w:tc>
          <w:tcPr>
            <w:tcW w:w="1684" w:type="dxa"/>
            <w:tcBorders>
              <w:top w:val="nil"/>
              <w:left w:val="nil"/>
              <w:bottom w:val="single" w:color="auto" w:sz="4" w:space="0"/>
              <w:right w:val="single" w:color="auto" w:sz="4" w:space="0"/>
            </w:tcBorders>
            <w:noWrap w:val="0"/>
            <w:vAlign w:val="center"/>
          </w:tcPr>
          <w:p w14:paraId="367D8C2B">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100≤Y＜2000</w:t>
            </w:r>
          </w:p>
        </w:tc>
        <w:tc>
          <w:tcPr>
            <w:tcW w:w="1082" w:type="dxa"/>
            <w:tcBorders>
              <w:top w:val="nil"/>
              <w:left w:val="nil"/>
              <w:bottom w:val="single" w:color="auto" w:sz="4" w:space="0"/>
              <w:right w:val="single" w:color="auto" w:sz="4" w:space="0"/>
            </w:tcBorders>
            <w:noWrap w:val="0"/>
            <w:vAlign w:val="center"/>
          </w:tcPr>
          <w:p w14:paraId="2C3027C3">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Y＜100</w:t>
            </w:r>
          </w:p>
        </w:tc>
      </w:tr>
      <w:tr w14:paraId="79A31912">
        <w:tblPrEx>
          <w:tblCellMar>
            <w:top w:w="0" w:type="dxa"/>
            <w:left w:w="108" w:type="dxa"/>
            <w:bottom w:w="0" w:type="dxa"/>
            <w:right w:w="108" w:type="dxa"/>
          </w:tblCellMar>
        </w:tblPrEx>
        <w:trPr>
          <w:trHeight w:val="225" w:hRule="atLeast"/>
        </w:trPr>
        <w:tc>
          <w:tcPr>
            <w:tcW w:w="1990" w:type="dxa"/>
            <w:vMerge w:val="restart"/>
            <w:tcBorders>
              <w:top w:val="nil"/>
              <w:left w:val="single" w:color="auto" w:sz="4" w:space="0"/>
              <w:bottom w:val="single" w:color="auto" w:sz="4" w:space="0"/>
              <w:right w:val="single" w:color="auto" w:sz="4" w:space="0"/>
            </w:tcBorders>
            <w:noWrap w:val="0"/>
            <w:vAlign w:val="bottom"/>
          </w:tcPr>
          <w:p w14:paraId="3F621119">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住宿业</w:t>
            </w:r>
          </w:p>
        </w:tc>
        <w:tc>
          <w:tcPr>
            <w:tcW w:w="1619" w:type="dxa"/>
            <w:tcBorders>
              <w:top w:val="nil"/>
              <w:left w:val="nil"/>
              <w:bottom w:val="single" w:color="auto" w:sz="4" w:space="0"/>
              <w:right w:val="single" w:color="auto" w:sz="4" w:space="0"/>
            </w:tcBorders>
            <w:noWrap w:val="0"/>
            <w:vAlign w:val="center"/>
          </w:tcPr>
          <w:p w14:paraId="07119CE5">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1068" w:type="dxa"/>
            <w:tcBorders>
              <w:top w:val="nil"/>
              <w:left w:val="nil"/>
              <w:bottom w:val="single" w:color="auto" w:sz="4" w:space="0"/>
              <w:right w:val="single" w:color="auto" w:sz="4" w:space="0"/>
            </w:tcBorders>
            <w:noWrap w:val="0"/>
            <w:vAlign w:val="center"/>
          </w:tcPr>
          <w:p w14:paraId="23439B06">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95" w:type="dxa"/>
            <w:tcBorders>
              <w:top w:val="nil"/>
              <w:left w:val="nil"/>
              <w:bottom w:val="single" w:color="auto" w:sz="4" w:space="0"/>
              <w:right w:val="single" w:color="auto" w:sz="4" w:space="0"/>
            </w:tcBorders>
            <w:noWrap w:val="0"/>
            <w:vAlign w:val="center"/>
          </w:tcPr>
          <w:p w14:paraId="1E650B7F">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100≤X＜300</w:t>
            </w:r>
          </w:p>
        </w:tc>
        <w:tc>
          <w:tcPr>
            <w:tcW w:w="1684" w:type="dxa"/>
            <w:tcBorders>
              <w:top w:val="nil"/>
              <w:left w:val="nil"/>
              <w:bottom w:val="single" w:color="auto" w:sz="4" w:space="0"/>
              <w:right w:val="single" w:color="auto" w:sz="4" w:space="0"/>
            </w:tcBorders>
            <w:noWrap w:val="0"/>
            <w:vAlign w:val="center"/>
          </w:tcPr>
          <w:p w14:paraId="50D197C6">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10≤X＜100</w:t>
            </w:r>
          </w:p>
        </w:tc>
        <w:tc>
          <w:tcPr>
            <w:tcW w:w="1082" w:type="dxa"/>
            <w:tcBorders>
              <w:top w:val="nil"/>
              <w:left w:val="nil"/>
              <w:bottom w:val="single" w:color="auto" w:sz="4" w:space="0"/>
              <w:right w:val="single" w:color="auto" w:sz="4" w:space="0"/>
            </w:tcBorders>
            <w:noWrap w:val="0"/>
            <w:vAlign w:val="center"/>
          </w:tcPr>
          <w:p w14:paraId="49452500">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X＜10</w:t>
            </w:r>
          </w:p>
        </w:tc>
      </w:tr>
      <w:tr w14:paraId="2F65912E">
        <w:tblPrEx>
          <w:tblCellMar>
            <w:top w:w="0" w:type="dxa"/>
            <w:left w:w="108" w:type="dxa"/>
            <w:bottom w:w="0" w:type="dxa"/>
            <w:right w:w="108" w:type="dxa"/>
          </w:tblCellMar>
        </w:tblPrEx>
        <w:trPr>
          <w:trHeight w:val="225" w:hRule="atLeast"/>
        </w:trPr>
        <w:tc>
          <w:tcPr>
            <w:tcW w:w="1990" w:type="dxa"/>
            <w:vMerge w:val="continue"/>
            <w:tcBorders>
              <w:top w:val="nil"/>
              <w:left w:val="single" w:color="auto" w:sz="4" w:space="0"/>
              <w:bottom w:val="single" w:color="auto" w:sz="4" w:space="0"/>
              <w:right w:val="single" w:color="auto" w:sz="4" w:space="0"/>
            </w:tcBorders>
            <w:noWrap w:val="0"/>
            <w:vAlign w:val="center"/>
          </w:tcPr>
          <w:p w14:paraId="51D258FC">
            <w:pPr>
              <w:widowControl/>
              <w:jc w:val="left"/>
              <w:rPr>
                <w:rFonts w:ascii="仿宋_GB2312" w:hAnsi="仿宋" w:eastAsia="仿宋_GB2312" w:cs="宋体"/>
                <w:b/>
                <w:bCs/>
                <w:color w:val="auto"/>
                <w:kern w:val="0"/>
                <w:sz w:val="18"/>
                <w:szCs w:val="18"/>
                <w:highlight w:val="none"/>
              </w:rPr>
            </w:pPr>
          </w:p>
        </w:tc>
        <w:tc>
          <w:tcPr>
            <w:tcW w:w="1619" w:type="dxa"/>
            <w:tcBorders>
              <w:top w:val="nil"/>
              <w:left w:val="nil"/>
              <w:bottom w:val="single" w:color="auto" w:sz="4" w:space="0"/>
              <w:right w:val="single" w:color="auto" w:sz="4" w:space="0"/>
            </w:tcBorders>
            <w:noWrap w:val="0"/>
            <w:vAlign w:val="center"/>
          </w:tcPr>
          <w:p w14:paraId="11D00516">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1068" w:type="dxa"/>
            <w:tcBorders>
              <w:top w:val="nil"/>
              <w:left w:val="nil"/>
              <w:bottom w:val="single" w:color="auto" w:sz="4" w:space="0"/>
              <w:right w:val="single" w:color="auto" w:sz="4" w:space="0"/>
            </w:tcBorders>
            <w:noWrap w:val="0"/>
            <w:vAlign w:val="center"/>
          </w:tcPr>
          <w:p w14:paraId="7FC14539">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95" w:type="dxa"/>
            <w:tcBorders>
              <w:top w:val="nil"/>
              <w:left w:val="nil"/>
              <w:bottom w:val="single" w:color="auto" w:sz="4" w:space="0"/>
              <w:right w:val="single" w:color="auto" w:sz="4" w:space="0"/>
            </w:tcBorders>
            <w:noWrap w:val="0"/>
            <w:vAlign w:val="center"/>
          </w:tcPr>
          <w:p w14:paraId="43836A2E">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2000≤Y＜10000</w:t>
            </w:r>
          </w:p>
        </w:tc>
        <w:tc>
          <w:tcPr>
            <w:tcW w:w="1684" w:type="dxa"/>
            <w:tcBorders>
              <w:top w:val="nil"/>
              <w:left w:val="nil"/>
              <w:bottom w:val="single" w:color="auto" w:sz="4" w:space="0"/>
              <w:right w:val="single" w:color="auto" w:sz="4" w:space="0"/>
            </w:tcBorders>
            <w:noWrap w:val="0"/>
            <w:vAlign w:val="center"/>
          </w:tcPr>
          <w:p w14:paraId="39290D41">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100≤Y＜2000</w:t>
            </w:r>
          </w:p>
        </w:tc>
        <w:tc>
          <w:tcPr>
            <w:tcW w:w="1082" w:type="dxa"/>
            <w:tcBorders>
              <w:top w:val="nil"/>
              <w:left w:val="nil"/>
              <w:bottom w:val="single" w:color="auto" w:sz="4" w:space="0"/>
              <w:right w:val="single" w:color="auto" w:sz="4" w:space="0"/>
            </w:tcBorders>
            <w:noWrap w:val="0"/>
            <w:vAlign w:val="center"/>
          </w:tcPr>
          <w:p w14:paraId="53798E64">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Y＜100</w:t>
            </w:r>
          </w:p>
        </w:tc>
      </w:tr>
      <w:tr w14:paraId="6E4BCB09">
        <w:tblPrEx>
          <w:tblCellMar>
            <w:top w:w="0" w:type="dxa"/>
            <w:left w:w="108" w:type="dxa"/>
            <w:bottom w:w="0" w:type="dxa"/>
            <w:right w:w="108" w:type="dxa"/>
          </w:tblCellMar>
        </w:tblPrEx>
        <w:trPr>
          <w:trHeight w:val="225" w:hRule="atLeast"/>
        </w:trPr>
        <w:tc>
          <w:tcPr>
            <w:tcW w:w="1990" w:type="dxa"/>
            <w:vMerge w:val="restart"/>
            <w:tcBorders>
              <w:top w:val="nil"/>
              <w:left w:val="single" w:color="auto" w:sz="4" w:space="0"/>
              <w:bottom w:val="single" w:color="auto" w:sz="4" w:space="0"/>
              <w:right w:val="single" w:color="auto" w:sz="4" w:space="0"/>
            </w:tcBorders>
            <w:noWrap w:val="0"/>
            <w:vAlign w:val="bottom"/>
          </w:tcPr>
          <w:p w14:paraId="6948FDB5">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餐饮业</w:t>
            </w:r>
          </w:p>
        </w:tc>
        <w:tc>
          <w:tcPr>
            <w:tcW w:w="1619" w:type="dxa"/>
            <w:tcBorders>
              <w:top w:val="nil"/>
              <w:left w:val="nil"/>
              <w:bottom w:val="single" w:color="auto" w:sz="4" w:space="0"/>
              <w:right w:val="single" w:color="auto" w:sz="4" w:space="0"/>
            </w:tcBorders>
            <w:noWrap w:val="0"/>
            <w:vAlign w:val="center"/>
          </w:tcPr>
          <w:p w14:paraId="6F99BE9D">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1068" w:type="dxa"/>
            <w:tcBorders>
              <w:top w:val="nil"/>
              <w:left w:val="nil"/>
              <w:bottom w:val="single" w:color="auto" w:sz="4" w:space="0"/>
              <w:right w:val="single" w:color="auto" w:sz="4" w:space="0"/>
            </w:tcBorders>
            <w:noWrap w:val="0"/>
            <w:vAlign w:val="center"/>
          </w:tcPr>
          <w:p w14:paraId="66D27E60">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95" w:type="dxa"/>
            <w:tcBorders>
              <w:top w:val="nil"/>
              <w:left w:val="nil"/>
              <w:bottom w:val="single" w:color="auto" w:sz="4" w:space="0"/>
              <w:right w:val="single" w:color="auto" w:sz="4" w:space="0"/>
            </w:tcBorders>
            <w:noWrap w:val="0"/>
            <w:vAlign w:val="center"/>
          </w:tcPr>
          <w:p w14:paraId="27277EB8">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100≤X＜300</w:t>
            </w:r>
          </w:p>
        </w:tc>
        <w:tc>
          <w:tcPr>
            <w:tcW w:w="1684" w:type="dxa"/>
            <w:tcBorders>
              <w:top w:val="nil"/>
              <w:left w:val="nil"/>
              <w:bottom w:val="single" w:color="auto" w:sz="4" w:space="0"/>
              <w:right w:val="single" w:color="auto" w:sz="4" w:space="0"/>
            </w:tcBorders>
            <w:noWrap w:val="0"/>
            <w:vAlign w:val="center"/>
          </w:tcPr>
          <w:p w14:paraId="0B88DEDB">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10≤X＜100</w:t>
            </w:r>
          </w:p>
        </w:tc>
        <w:tc>
          <w:tcPr>
            <w:tcW w:w="1082" w:type="dxa"/>
            <w:tcBorders>
              <w:top w:val="nil"/>
              <w:left w:val="nil"/>
              <w:bottom w:val="single" w:color="auto" w:sz="4" w:space="0"/>
              <w:right w:val="single" w:color="auto" w:sz="4" w:space="0"/>
            </w:tcBorders>
            <w:noWrap w:val="0"/>
            <w:vAlign w:val="center"/>
          </w:tcPr>
          <w:p w14:paraId="6B6D8F26">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X＜10</w:t>
            </w:r>
          </w:p>
        </w:tc>
      </w:tr>
      <w:tr w14:paraId="19B53B04">
        <w:tblPrEx>
          <w:tblCellMar>
            <w:top w:w="0" w:type="dxa"/>
            <w:left w:w="108" w:type="dxa"/>
            <w:bottom w:w="0" w:type="dxa"/>
            <w:right w:w="108" w:type="dxa"/>
          </w:tblCellMar>
        </w:tblPrEx>
        <w:trPr>
          <w:trHeight w:val="225" w:hRule="atLeast"/>
        </w:trPr>
        <w:tc>
          <w:tcPr>
            <w:tcW w:w="1990" w:type="dxa"/>
            <w:vMerge w:val="continue"/>
            <w:tcBorders>
              <w:top w:val="nil"/>
              <w:left w:val="single" w:color="auto" w:sz="4" w:space="0"/>
              <w:bottom w:val="single" w:color="auto" w:sz="4" w:space="0"/>
              <w:right w:val="single" w:color="auto" w:sz="4" w:space="0"/>
            </w:tcBorders>
            <w:noWrap w:val="0"/>
            <w:vAlign w:val="center"/>
          </w:tcPr>
          <w:p w14:paraId="2501E546">
            <w:pPr>
              <w:widowControl/>
              <w:jc w:val="left"/>
              <w:rPr>
                <w:rFonts w:ascii="仿宋_GB2312" w:hAnsi="仿宋" w:eastAsia="仿宋_GB2312" w:cs="宋体"/>
                <w:b/>
                <w:bCs/>
                <w:color w:val="auto"/>
                <w:kern w:val="0"/>
                <w:sz w:val="18"/>
                <w:szCs w:val="18"/>
                <w:highlight w:val="none"/>
              </w:rPr>
            </w:pPr>
          </w:p>
        </w:tc>
        <w:tc>
          <w:tcPr>
            <w:tcW w:w="1619" w:type="dxa"/>
            <w:tcBorders>
              <w:top w:val="nil"/>
              <w:left w:val="nil"/>
              <w:bottom w:val="single" w:color="auto" w:sz="4" w:space="0"/>
              <w:right w:val="single" w:color="auto" w:sz="4" w:space="0"/>
            </w:tcBorders>
            <w:noWrap w:val="0"/>
            <w:vAlign w:val="center"/>
          </w:tcPr>
          <w:p w14:paraId="12437751">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1068" w:type="dxa"/>
            <w:tcBorders>
              <w:top w:val="nil"/>
              <w:left w:val="nil"/>
              <w:bottom w:val="single" w:color="auto" w:sz="4" w:space="0"/>
              <w:right w:val="single" w:color="auto" w:sz="4" w:space="0"/>
            </w:tcBorders>
            <w:noWrap w:val="0"/>
            <w:vAlign w:val="center"/>
          </w:tcPr>
          <w:p w14:paraId="7490A0D3">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95" w:type="dxa"/>
            <w:tcBorders>
              <w:top w:val="nil"/>
              <w:left w:val="nil"/>
              <w:bottom w:val="single" w:color="auto" w:sz="4" w:space="0"/>
              <w:right w:val="single" w:color="auto" w:sz="4" w:space="0"/>
            </w:tcBorders>
            <w:noWrap w:val="0"/>
            <w:vAlign w:val="center"/>
          </w:tcPr>
          <w:p w14:paraId="0D3AE468">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2000≤Y＜10000</w:t>
            </w:r>
          </w:p>
        </w:tc>
        <w:tc>
          <w:tcPr>
            <w:tcW w:w="1684" w:type="dxa"/>
            <w:tcBorders>
              <w:top w:val="nil"/>
              <w:left w:val="nil"/>
              <w:bottom w:val="single" w:color="auto" w:sz="4" w:space="0"/>
              <w:right w:val="single" w:color="auto" w:sz="4" w:space="0"/>
            </w:tcBorders>
            <w:noWrap w:val="0"/>
            <w:vAlign w:val="center"/>
          </w:tcPr>
          <w:p w14:paraId="7852568A">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100≤Y＜2000</w:t>
            </w:r>
          </w:p>
        </w:tc>
        <w:tc>
          <w:tcPr>
            <w:tcW w:w="1082" w:type="dxa"/>
            <w:tcBorders>
              <w:top w:val="nil"/>
              <w:left w:val="nil"/>
              <w:bottom w:val="single" w:color="auto" w:sz="4" w:space="0"/>
              <w:right w:val="single" w:color="auto" w:sz="4" w:space="0"/>
            </w:tcBorders>
            <w:noWrap w:val="0"/>
            <w:vAlign w:val="center"/>
          </w:tcPr>
          <w:p w14:paraId="642803CD">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Y＜100</w:t>
            </w:r>
          </w:p>
        </w:tc>
      </w:tr>
      <w:tr w14:paraId="5A3CDCAB">
        <w:tblPrEx>
          <w:tblCellMar>
            <w:top w:w="0" w:type="dxa"/>
            <w:left w:w="108" w:type="dxa"/>
            <w:bottom w:w="0" w:type="dxa"/>
            <w:right w:w="108" w:type="dxa"/>
          </w:tblCellMar>
        </w:tblPrEx>
        <w:trPr>
          <w:trHeight w:val="225" w:hRule="atLeast"/>
        </w:trPr>
        <w:tc>
          <w:tcPr>
            <w:tcW w:w="1990" w:type="dxa"/>
            <w:vMerge w:val="restart"/>
            <w:tcBorders>
              <w:top w:val="nil"/>
              <w:left w:val="single" w:color="auto" w:sz="4" w:space="0"/>
              <w:bottom w:val="single" w:color="auto" w:sz="4" w:space="0"/>
              <w:right w:val="single" w:color="auto" w:sz="4" w:space="0"/>
            </w:tcBorders>
            <w:noWrap w:val="0"/>
            <w:vAlign w:val="bottom"/>
          </w:tcPr>
          <w:p w14:paraId="103306A7">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信息传输业</w:t>
            </w:r>
          </w:p>
        </w:tc>
        <w:tc>
          <w:tcPr>
            <w:tcW w:w="1619" w:type="dxa"/>
            <w:tcBorders>
              <w:top w:val="nil"/>
              <w:left w:val="nil"/>
              <w:bottom w:val="single" w:color="auto" w:sz="4" w:space="0"/>
              <w:right w:val="single" w:color="auto" w:sz="4" w:space="0"/>
            </w:tcBorders>
            <w:noWrap w:val="0"/>
            <w:vAlign w:val="center"/>
          </w:tcPr>
          <w:p w14:paraId="6CB17CCD">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1068" w:type="dxa"/>
            <w:tcBorders>
              <w:top w:val="nil"/>
              <w:left w:val="nil"/>
              <w:bottom w:val="single" w:color="auto" w:sz="4" w:space="0"/>
              <w:right w:val="single" w:color="auto" w:sz="4" w:space="0"/>
            </w:tcBorders>
            <w:noWrap w:val="0"/>
            <w:vAlign w:val="center"/>
          </w:tcPr>
          <w:p w14:paraId="6852F904">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95" w:type="dxa"/>
            <w:tcBorders>
              <w:top w:val="nil"/>
              <w:left w:val="nil"/>
              <w:bottom w:val="single" w:color="auto" w:sz="4" w:space="0"/>
              <w:right w:val="single" w:color="auto" w:sz="4" w:space="0"/>
            </w:tcBorders>
            <w:noWrap w:val="0"/>
            <w:vAlign w:val="center"/>
          </w:tcPr>
          <w:p w14:paraId="131CF39B">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100≤X＜2000</w:t>
            </w:r>
          </w:p>
        </w:tc>
        <w:tc>
          <w:tcPr>
            <w:tcW w:w="1684" w:type="dxa"/>
            <w:tcBorders>
              <w:top w:val="nil"/>
              <w:left w:val="nil"/>
              <w:bottom w:val="single" w:color="auto" w:sz="4" w:space="0"/>
              <w:right w:val="single" w:color="auto" w:sz="4" w:space="0"/>
            </w:tcBorders>
            <w:noWrap w:val="0"/>
            <w:vAlign w:val="center"/>
          </w:tcPr>
          <w:p w14:paraId="60B3816A">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10≤X＜100</w:t>
            </w:r>
          </w:p>
        </w:tc>
        <w:tc>
          <w:tcPr>
            <w:tcW w:w="1082" w:type="dxa"/>
            <w:tcBorders>
              <w:top w:val="nil"/>
              <w:left w:val="nil"/>
              <w:bottom w:val="single" w:color="auto" w:sz="4" w:space="0"/>
              <w:right w:val="single" w:color="auto" w:sz="4" w:space="0"/>
            </w:tcBorders>
            <w:noWrap w:val="0"/>
            <w:vAlign w:val="center"/>
          </w:tcPr>
          <w:p w14:paraId="0F6DD789">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X＜10</w:t>
            </w:r>
          </w:p>
        </w:tc>
      </w:tr>
      <w:tr w14:paraId="6ABC5E56">
        <w:tblPrEx>
          <w:tblCellMar>
            <w:top w:w="0" w:type="dxa"/>
            <w:left w:w="108" w:type="dxa"/>
            <w:bottom w:w="0" w:type="dxa"/>
            <w:right w:w="108" w:type="dxa"/>
          </w:tblCellMar>
        </w:tblPrEx>
        <w:trPr>
          <w:trHeight w:val="225" w:hRule="atLeast"/>
        </w:trPr>
        <w:tc>
          <w:tcPr>
            <w:tcW w:w="1990" w:type="dxa"/>
            <w:vMerge w:val="continue"/>
            <w:tcBorders>
              <w:top w:val="nil"/>
              <w:left w:val="single" w:color="auto" w:sz="4" w:space="0"/>
              <w:bottom w:val="single" w:color="auto" w:sz="4" w:space="0"/>
              <w:right w:val="single" w:color="auto" w:sz="4" w:space="0"/>
            </w:tcBorders>
            <w:noWrap w:val="0"/>
            <w:vAlign w:val="center"/>
          </w:tcPr>
          <w:p w14:paraId="7FD0F444">
            <w:pPr>
              <w:widowControl/>
              <w:jc w:val="left"/>
              <w:rPr>
                <w:rFonts w:ascii="仿宋_GB2312" w:hAnsi="仿宋" w:eastAsia="仿宋_GB2312" w:cs="宋体"/>
                <w:b/>
                <w:bCs/>
                <w:color w:val="auto"/>
                <w:kern w:val="0"/>
                <w:sz w:val="18"/>
                <w:szCs w:val="18"/>
                <w:highlight w:val="none"/>
              </w:rPr>
            </w:pPr>
          </w:p>
        </w:tc>
        <w:tc>
          <w:tcPr>
            <w:tcW w:w="1619" w:type="dxa"/>
            <w:tcBorders>
              <w:top w:val="nil"/>
              <w:left w:val="nil"/>
              <w:bottom w:val="single" w:color="auto" w:sz="4" w:space="0"/>
              <w:right w:val="single" w:color="auto" w:sz="4" w:space="0"/>
            </w:tcBorders>
            <w:noWrap w:val="0"/>
            <w:vAlign w:val="center"/>
          </w:tcPr>
          <w:p w14:paraId="2D9BD472">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1068" w:type="dxa"/>
            <w:tcBorders>
              <w:top w:val="nil"/>
              <w:left w:val="nil"/>
              <w:bottom w:val="single" w:color="auto" w:sz="4" w:space="0"/>
              <w:right w:val="single" w:color="auto" w:sz="4" w:space="0"/>
            </w:tcBorders>
            <w:noWrap w:val="0"/>
            <w:vAlign w:val="center"/>
          </w:tcPr>
          <w:p w14:paraId="5E6F16E7">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95" w:type="dxa"/>
            <w:tcBorders>
              <w:top w:val="nil"/>
              <w:left w:val="nil"/>
              <w:bottom w:val="single" w:color="auto" w:sz="4" w:space="0"/>
              <w:right w:val="single" w:color="auto" w:sz="4" w:space="0"/>
            </w:tcBorders>
            <w:noWrap w:val="0"/>
            <w:vAlign w:val="center"/>
          </w:tcPr>
          <w:p w14:paraId="78EBBC07">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1000≤Y＜100000</w:t>
            </w:r>
          </w:p>
        </w:tc>
        <w:tc>
          <w:tcPr>
            <w:tcW w:w="1684" w:type="dxa"/>
            <w:tcBorders>
              <w:top w:val="nil"/>
              <w:left w:val="nil"/>
              <w:bottom w:val="single" w:color="auto" w:sz="4" w:space="0"/>
              <w:right w:val="single" w:color="auto" w:sz="4" w:space="0"/>
            </w:tcBorders>
            <w:noWrap w:val="0"/>
            <w:vAlign w:val="center"/>
          </w:tcPr>
          <w:p w14:paraId="3A6E95B8">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100≤Y＜1000</w:t>
            </w:r>
          </w:p>
        </w:tc>
        <w:tc>
          <w:tcPr>
            <w:tcW w:w="1082" w:type="dxa"/>
            <w:tcBorders>
              <w:top w:val="nil"/>
              <w:left w:val="nil"/>
              <w:bottom w:val="single" w:color="auto" w:sz="4" w:space="0"/>
              <w:right w:val="single" w:color="auto" w:sz="4" w:space="0"/>
            </w:tcBorders>
            <w:noWrap w:val="0"/>
            <w:vAlign w:val="center"/>
          </w:tcPr>
          <w:p w14:paraId="460C5E78">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Y＜100</w:t>
            </w:r>
          </w:p>
        </w:tc>
      </w:tr>
      <w:tr w14:paraId="1273EA83">
        <w:tblPrEx>
          <w:tblCellMar>
            <w:top w:w="0" w:type="dxa"/>
            <w:left w:w="108" w:type="dxa"/>
            <w:bottom w:w="0" w:type="dxa"/>
            <w:right w:w="108" w:type="dxa"/>
          </w:tblCellMar>
        </w:tblPrEx>
        <w:trPr>
          <w:trHeight w:val="225" w:hRule="atLeast"/>
        </w:trPr>
        <w:tc>
          <w:tcPr>
            <w:tcW w:w="1990" w:type="dxa"/>
            <w:vMerge w:val="restart"/>
            <w:tcBorders>
              <w:top w:val="nil"/>
              <w:left w:val="single" w:color="auto" w:sz="4" w:space="0"/>
              <w:bottom w:val="single" w:color="auto" w:sz="4" w:space="0"/>
              <w:right w:val="single" w:color="auto" w:sz="4" w:space="0"/>
            </w:tcBorders>
            <w:noWrap w:val="0"/>
            <w:vAlign w:val="bottom"/>
          </w:tcPr>
          <w:p w14:paraId="048D4147">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软件和信息技术服务业</w:t>
            </w:r>
          </w:p>
        </w:tc>
        <w:tc>
          <w:tcPr>
            <w:tcW w:w="1619" w:type="dxa"/>
            <w:tcBorders>
              <w:top w:val="nil"/>
              <w:left w:val="nil"/>
              <w:bottom w:val="single" w:color="auto" w:sz="4" w:space="0"/>
              <w:right w:val="single" w:color="auto" w:sz="4" w:space="0"/>
            </w:tcBorders>
            <w:noWrap w:val="0"/>
            <w:vAlign w:val="center"/>
          </w:tcPr>
          <w:p w14:paraId="24A4635C">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1068" w:type="dxa"/>
            <w:tcBorders>
              <w:top w:val="nil"/>
              <w:left w:val="nil"/>
              <w:bottom w:val="single" w:color="auto" w:sz="4" w:space="0"/>
              <w:right w:val="single" w:color="auto" w:sz="4" w:space="0"/>
            </w:tcBorders>
            <w:noWrap w:val="0"/>
            <w:vAlign w:val="center"/>
          </w:tcPr>
          <w:p w14:paraId="768D3884">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95" w:type="dxa"/>
            <w:tcBorders>
              <w:top w:val="nil"/>
              <w:left w:val="nil"/>
              <w:bottom w:val="single" w:color="auto" w:sz="4" w:space="0"/>
              <w:right w:val="single" w:color="auto" w:sz="4" w:space="0"/>
            </w:tcBorders>
            <w:noWrap w:val="0"/>
            <w:vAlign w:val="center"/>
          </w:tcPr>
          <w:p w14:paraId="667E8A0A">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100≤X＜300</w:t>
            </w:r>
          </w:p>
        </w:tc>
        <w:tc>
          <w:tcPr>
            <w:tcW w:w="1684" w:type="dxa"/>
            <w:tcBorders>
              <w:top w:val="nil"/>
              <w:left w:val="nil"/>
              <w:bottom w:val="single" w:color="auto" w:sz="4" w:space="0"/>
              <w:right w:val="single" w:color="auto" w:sz="4" w:space="0"/>
            </w:tcBorders>
            <w:noWrap w:val="0"/>
            <w:vAlign w:val="center"/>
          </w:tcPr>
          <w:p w14:paraId="17CACAC7">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10≤X＜100</w:t>
            </w:r>
          </w:p>
        </w:tc>
        <w:tc>
          <w:tcPr>
            <w:tcW w:w="1082" w:type="dxa"/>
            <w:tcBorders>
              <w:top w:val="nil"/>
              <w:left w:val="nil"/>
              <w:bottom w:val="single" w:color="auto" w:sz="4" w:space="0"/>
              <w:right w:val="single" w:color="auto" w:sz="4" w:space="0"/>
            </w:tcBorders>
            <w:noWrap w:val="0"/>
            <w:vAlign w:val="center"/>
          </w:tcPr>
          <w:p w14:paraId="49BAA0FC">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X＜10</w:t>
            </w:r>
          </w:p>
        </w:tc>
      </w:tr>
      <w:tr w14:paraId="1DAFF659">
        <w:tblPrEx>
          <w:tblCellMar>
            <w:top w:w="0" w:type="dxa"/>
            <w:left w:w="108" w:type="dxa"/>
            <w:bottom w:w="0" w:type="dxa"/>
            <w:right w:w="108" w:type="dxa"/>
          </w:tblCellMar>
        </w:tblPrEx>
        <w:trPr>
          <w:trHeight w:val="225" w:hRule="atLeast"/>
        </w:trPr>
        <w:tc>
          <w:tcPr>
            <w:tcW w:w="1990" w:type="dxa"/>
            <w:vMerge w:val="continue"/>
            <w:tcBorders>
              <w:top w:val="nil"/>
              <w:left w:val="single" w:color="auto" w:sz="4" w:space="0"/>
              <w:bottom w:val="single" w:color="auto" w:sz="4" w:space="0"/>
              <w:right w:val="single" w:color="auto" w:sz="4" w:space="0"/>
            </w:tcBorders>
            <w:noWrap w:val="0"/>
            <w:vAlign w:val="center"/>
          </w:tcPr>
          <w:p w14:paraId="27790C4F">
            <w:pPr>
              <w:widowControl/>
              <w:jc w:val="left"/>
              <w:rPr>
                <w:rFonts w:ascii="仿宋_GB2312" w:hAnsi="仿宋" w:eastAsia="仿宋_GB2312" w:cs="宋体"/>
                <w:b/>
                <w:bCs/>
                <w:color w:val="auto"/>
                <w:kern w:val="0"/>
                <w:sz w:val="18"/>
                <w:szCs w:val="18"/>
                <w:highlight w:val="none"/>
              </w:rPr>
            </w:pPr>
          </w:p>
        </w:tc>
        <w:tc>
          <w:tcPr>
            <w:tcW w:w="1619" w:type="dxa"/>
            <w:tcBorders>
              <w:top w:val="nil"/>
              <w:left w:val="nil"/>
              <w:bottom w:val="single" w:color="auto" w:sz="4" w:space="0"/>
              <w:right w:val="single" w:color="auto" w:sz="4" w:space="0"/>
            </w:tcBorders>
            <w:noWrap w:val="0"/>
            <w:vAlign w:val="center"/>
          </w:tcPr>
          <w:p w14:paraId="1B88AFA6">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1068" w:type="dxa"/>
            <w:tcBorders>
              <w:top w:val="nil"/>
              <w:left w:val="nil"/>
              <w:bottom w:val="single" w:color="auto" w:sz="4" w:space="0"/>
              <w:right w:val="single" w:color="auto" w:sz="4" w:space="0"/>
            </w:tcBorders>
            <w:noWrap w:val="0"/>
            <w:vAlign w:val="center"/>
          </w:tcPr>
          <w:p w14:paraId="2B2D6010">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95" w:type="dxa"/>
            <w:tcBorders>
              <w:top w:val="nil"/>
              <w:left w:val="nil"/>
              <w:bottom w:val="single" w:color="auto" w:sz="4" w:space="0"/>
              <w:right w:val="single" w:color="auto" w:sz="4" w:space="0"/>
            </w:tcBorders>
            <w:noWrap w:val="0"/>
            <w:vAlign w:val="center"/>
          </w:tcPr>
          <w:p w14:paraId="2D14BB98">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1000≤Y＜10000</w:t>
            </w:r>
          </w:p>
        </w:tc>
        <w:tc>
          <w:tcPr>
            <w:tcW w:w="1684" w:type="dxa"/>
            <w:tcBorders>
              <w:top w:val="nil"/>
              <w:left w:val="nil"/>
              <w:bottom w:val="single" w:color="auto" w:sz="4" w:space="0"/>
              <w:right w:val="single" w:color="auto" w:sz="4" w:space="0"/>
            </w:tcBorders>
            <w:noWrap w:val="0"/>
            <w:vAlign w:val="center"/>
          </w:tcPr>
          <w:p w14:paraId="7674AA01">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50≤Y＜1000</w:t>
            </w:r>
          </w:p>
        </w:tc>
        <w:tc>
          <w:tcPr>
            <w:tcW w:w="1082" w:type="dxa"/>
            <w:tcBorders>
              <w:top w:val="nil"/>
              <w:left w:val="nil"/>
              <w:bottom w:val="single" w:color="auto" w:sz="4" w:space="0"/>
              <w:right w:val="single" w:color="auto" w:sz="4" w:space="0"/>
            </w:tcBorders>
            <w:noWrap w:val="0"/>
            <w:vAlign w:val="center"/>
          </w:tcPr>
          <w:p w14:paraId="608D8AAB">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Y＜50</w:t>
            </w:r>
          </w:p>
        </w:tc>
      </w:tr>
      <w:tr w14:paraId="71E345A9">
        <w:tblPrEx>
          <w:tblCellMar>
            <w:top w:w="0" w:type="dxa"/>
            <w:left w:w="108" w:type="dxa"/>
            <w:bottom w:w="0" w:type="dxa"/>
            <w:right w:w="108" w:type="dxa"/>
          </w:tblCellMar>
        </w:tblPrEx>
        <w:trPr>
          <w:trHeight w:val="225" w:hRule="atLeast"/>
        </w:trPr>
        <w:tc>
          <w:tcPr>
            <w:tcW w:w="1990" w:type="dxa"/>
            <w:vMerge w:val="restart"/>
            <w:tcBorders>
              <w:top w:val="nil"/>
              <w:left w:val="single" w:color="auto" w:sz="4" w:space="0"/>
              <w:bottom w:val="single" w:color="auto" w:sz="4" w:space="0"/>
              <w:right w:val="single" w:color="auto" w:sz="4" w:space="0"/>
            </w:tcBorders>
            <w:noWrap w:val="0"/>
            <w:vAlign w:val="bottom"/>
          </w:tcPr>
          <w:p w14:paraId="7526504D">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房地产开发经营</w:t>
            </w:r>
          </w:p>
        </w:tc>
        <w:tc>
          <w:tcPr>
            <w:tcW w:w="1619" w:type="dxa"/>
            <w:tcBorders>
              <w:top w:val="nil"/>
              <w:left w:val="nil"/>
              <w:bottom w:val="single" w:color="auto" w:sz="4" w:space="0"/>
              <w:right w:val="single" w:color="auto" w:sz="4" w:space="0"/>
            </w:tcBorders>
            <w:noWrap w:val="0"/>
            <w:vAlign w:val="center"/>
          </w:tcPr>
          <w:p w14:paraId="7638468D">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1068" w:type="dxa"/>
            <w:tcBorders>
              <w:top w:val="nil"/>
              <w:left w:val="nil"/>
              <w:bottom w:val="single" w:color="auto" w:sz="4" w:space="0"/>
              <w:right w:val="single" w:color="auto" w:sz="4" w:space="0"/>
            </w:tcBorders>
            <w:noWrap w:val="0"/>
            <w:vAlign w:val="center"/>
          </w:tcPr>
          <w:p w14:paraId="51FE2366">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95" w:type="dxa"/>
            <w:tcBorders>
              <w:top w:val="nil"/>
              <w:left w:val="nil"/>
              <w:bottom w:val="single" w:color="auto" w:sz="4" w:space="0"/>
              <w:right w:val="single" w:color="auto" w:sz="4" w:space="0"/>
            </w:tcBorders>
            <w:noWrap w:val="0"/>
            <w:vAlign w:val="center"/>
          </w:tcPr>
          <w:p w14:paraId="55C74639">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1000≤Y＜200000</w:t>
            </w:r>
          </w:p>
        </w:tc>
        <w:tc>
          <w:tcPr>
            <w:tcW w:w="1684" w:type="dxa"/>
            <w:tcBorders>
              <w:top w:val="nil"/>
              <w:left w:val="nil"/>
              <w:bottom w:val="single" w:color="auto" w:sz="4" w:space="0"/>
              <w:right w:val="single" w:color="auto" w:sz="4" w:space="0"/>
            </w:tcBorders>
            <w:noWrap w:val="0"/>
            <w:vAlign w:val="center"/>
          </w:tcPr>
          <w:p w14:paraId="5F790960">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100≤X＜1000</w:t>
            </w:r>
          </w:p>
        </w:tc>
        <w:tc>
          <w:tcPr>
            <w:tcW w:w="1082" w:type="dxa"/>
            <w:tcBorders>
              <w:top w:val="nil"/>
              <w:left w:val="nil"/>
              <w:bottom w:val="single" w:color="auto" w:sz="4" w:space="0"/>
              <w:right w:val="single" w:color="auto" w:sz="4" w:space="0"/>
            </w:tcBorders>
            <w:noWrap w:val="0"/>
            <w:vAlign w:val="center"/>
          </w:tcPr>
          <w:p w14:paraId="49C50706">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X＜100</w:t>
            </w:r>
          </w:p>
        </w:tc>
      </w:tr>
      <w:tr w14:paraId="054BE051">
        <w:tblPrEx>
          <w:tblCellMar>
            <w:top w:w="0" w:type="dxa"/>
            <w:left w:w="108" w:type="dxa"/>
            <w:bottom w:w="0" w:type="dxa"/>
            <w:right w:w="108" w:type="dxa"/>
          </w:tblCellMar>
        </w:tblPrEx>
        <w:trPr>
          <w:trHeight w:val="225" w:hRule="atLeast"/>
        </w:trPr>
        <w:tc>
          <w:tcPr>
            <w:tcW w:w="1990" w:type="dxa"/>
            <w:vMerge w:val="continue"/>
            <w:tcBorders>
              <w:top w:val="nil"/>
              <w:left w:val="single" w:color="auto" w:sz="4" w:space="0"/>
              <w:bottom w:val="single" w:color="auto" w:sz="4" w:space="0"/>
              <w:right w:val="single" w:color="auto" w:sz="4" w:space="0"/>
            </w:tcBorders>
            <w:noWrap w:val="0"/>
            <w:vAlign w:val="center"/>
          </w:tcPr>
          <w:p w14:paraId="1163FEAC">
            <w:pPr>
              <w:widowControl/>
              <w:jc w:val="left"/>
              <w:rPr>
                <w:rFonts w:ascii="仿宋_GB2312" w:hAnsi="仿宋" w:eastAsia="仿宋_GB2312" w:cs="宋体"/>
                <w:b/>
                <w:bCs/>
                <w:color w:val="auto"/>
                <w:kern w:val="0"/>
                <w:sz w:val="18"/>
                <w:szCs w:val="18"/>
                <w:highlight w:val="none"/>
              </w:rPr>
            </w:pPr>
          </w:p>
        </w:tc>
        <w:tc>
          <w:tcPr>
            <w:tcW w:w="1619" w:type="dxa"/>
            <w:tcBorders>
              <w:top w:val="nil"/>
              <w:left w:val="nil"/>
              <w:bottom w:val="single" w:color="auto" w:sz="4" w:space="0"/>
              <w:right w:val="single" w:color="auto" w:sz="4" w:space="0"/>
            </w:tcBorders>
            <w:noWrap w:val="0"/>
            <w:vAlign w:val="center"/>
          </w:tcPr>
          <w:p w14:paraId="08ABFCFA">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资产总额（Z）</w:t>
            </w:r>
          </w:p>
        </w:tc>
        <w:tc>
          <w:tcPr>
            <w:tcW w:w="1068" w:type="dxa"/>
            <w:tcBorders>
              <w:top w:val="nil"/>
              <w:left w:val="nil"/>
              <w:bottom w:val="single" w:color="auto" w:sz="4" w:space="0"/>
              <w:right w:val="single" w:color="auto" w:sz="4" w:space="0"/>
            </w:tcBorders>
            <w:noWrap w:val="0"/>
            <w:vAlign w:val="center"/>
          </w:tcPr>
          <w:p w14:paraId="6FE0AC67">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95" w:type="dxa"/>
            <w:tcBorders>
              <w:top w:val="nil"/>
              <w:left w:val="nil"/>
              <w:bottom w:val="single" w:color="auto" w:sz="4" w:space="0"/>
              <w:right w:val="single" w:color="auto" w:sz="4" w:space="0"/>
            </w:tcBorders>
            <w:noWrap w:val="0"/>
            <w:vAlign w:val="center"/>
          </w:tcPr>
          <w:p w14:paraId="1D00FFB4">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5000≤Z＜10000</w:t>
            </w:r>
          </w:p>
        </w:tc>
        <w:tc>
          <w:tcPr>
            <w:tcW w:w="1684" w:type="dxa"/>
            <w:tcBorders>
              <w:top w:val="nil"/>
              <w:left w:val="nil"/>
              <w:bottom w:val="single" w:color="auto" w:sz="4" w:space="0"/>
              <w:right w:val="single" w:color="auto" w:sz="4" w:space="0"/>
            </w:tcBorders>
            <w:noWrap w:val="0"/>
            <w:vAlign w:val="center"/>
          </w:tcPr>
          <w:p w14:paraId="08561BDF">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2000≤Y＜5000</w:t>
            </w:r>
          </w:p>
        </w:tc>
        <w:tc>
          <w:tcPr>
            <w:tcW w:w="1082" w:type="dxa"/>
            <w:tcBorders>
              <w:top w:val="nil"/>
              <w:left w:val="nil"/>
              <w:bottom w:val="single" w:color="auto" w:sz="4" w:space="0"/>
              <w:right w:val="single" w:color="auto" w:sz="4" w:space="0"/>
            </w:tcBorders>
            <w:noWrap w:val="0"/>
            <w:vAlign w:val="center"/>
          </w:tcPr>
          <w:p w14:paraId="76A464E1">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Y＜2000</w:t>
            </w:r>
          </w:p>
        </w:tc>
      </w:tr>
      <w:tr w14:paraId="477D8F74">
        <w:tblPrEx>
          <w:tblCellMar>
            <w:top w:w="0" w:type="dxa"/>
            <w:left w:w="108" w:type="dxa"/>
            <w:bottom w:w="0" w:type="dxa"/>
            <w:right w:w="108" w:type="dxa"/>
          </w:tblCellMar>
        </w:tblPrEx>
        <w:trPr>
          <w:trHeight w:val="225" w:hRule="atLeast"/>
        </w:trPr>
        <w:tc>
          <w:tcPr>
            <w:tcW w:w="1990" w:type="dxa"/>
            <w:vMerge w:val="restart"/>
            <w:tcBorders>
              <w:top w:val="nil"/>
              <w:left w:val="single" w:color="auto" w:sz="4" w:space="0"/>
              <w:bottom w:val="single" w:color="auto" w:sz="4" w:space="0"/>
              <w:right w:val="single" w:color="auto" w:sz="4" w:space="0"/>
            </w:tcBorders>
            <w:noWrap w:val="0"/>
            <w:vAlign w:val="bottom"/>
          </w:tcPr>
          <w:p w14:paraId="1A6C18E9">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物业管理</w:t>
            </w:r>
          </w:p>
        </w:tc>
        <w:tc>
          <w:tcPr>
            <w:tcW w:w="1619" w:type="dxa"/>
            <w:tcBorders>
              <w:top w:val="nil"/>
              <w:left w:val="nil"/>
              <w:bottom w:val="single" w:color="auto" w:sz="4" w:space="0"/>
              <w:right w:val="single" w:color="auto" w:sz="4" w:space="0"/>
            </w:tcBorders>
            <w:noWrap w:val="0"/>
            <w:vAlign w:val="center"/>
          </w:tcPr>
          <w:p w14:paraId="06CC43E0">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1068" w:type="dxa"/>
            <w:tcBorders>
              <w:top w:val="nil"/>
              <w:left w:val="nil"/>
              <w:bottom w:val="single" w:color="auto" w:sz="4" w:space="0"/>
              <w:right w:val="single" w:color="auto" w:sz="4" w:space="0"/>
            </w:tcBorders>
            <w:noWrap w:val="0"/>
            <w:vAlign w:val="center"/>
          </w:tcPr>
          <w:p w14:paraId="660165C4">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95" w:type="dxa"/>
            <w:tcBorders>
              <w:top w:val="nil"/>
              <w:left w:val="nil"/>
              <w:bottom w:val="single" w:color="auto" w:sz="4" w:space="0"/>
              <w:right w:val="single" w:color="auto" w:sz="4" w:space="0"/>
            </w:tcBorders>
            <w:noWrap w:val="0"/>
            <w:vAlign w:val="center"/>
          </w:tcPr>
          <w:p w14:paraId="74EBAB1A">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300≤X＜1000</w:t>
            </w:r>
          </w:p>
        </w:tc>
        <w:tc>
          <w:tcPr>
            <w:tcW w:w="1684" w:type="dxa"/>
            <w:tcBorders>
              <w:top w:val="nil"/>
              <w:left w:val="nil"/>
              <w:bottom w:val="single" w:color="auto" w:sz="4" w:space="0"/>
              <w:right w:val="single" w:color="auto" w:sz="4" w:space="0"/>
            </w:tcBorders>
            <w:noWrap w:val="0"/>
            <w:vAlign w:val="center"/>
          </w:tcPr>
          <w:p w14:paraId="5BB1C005">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100≤X＜300</w:t>
            </w:r>
          </w:p>
        </w:tc>
        <w:tc>
          <w:tcPr>
            <w:tcW w:w="1082" w:type="dxa"/>
            <w:tcBorders>
              <w:top w:val="nil"/>
              <w:left w:val="nil"/>
              <w:bottom w:val="single" w:color="auto" w:sz="4" w:space="0"/>
              <w:right w:val="single" w:color="auto" w:sz="4" w:space="0"/>
            </w:tcBorders>
            <w:noWrap w:val="0"/>
            <w:vAlign w:val="center"/>
          </w:tcPr>
          <w:p w14:paraId="0AA22D19">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X＜100</w:t>
            </w:r>
          </w:p>
        </w:tc>
      </w:tr>
      <w:tr w14:paraId="4071D678">
        <w:tblPrEx>
          <w:tblCellMar>
            <w:top w:w="0" w:type="dxa"/>
            <w:left w:w="108" w:type="dxa"/>
            <w:bottom w:w="0" w:type="dxa"/>
            <w:right w:w="108" w:type="dxa"/>
          </w:tblCellMar>
        </w:tblPrEx>
        <w:trPr>
          <w:trHeight w:val="225" w:hRule="atLeast"/>
        </w:trPr>
        <w:tc>
          <w:tcPr>
            <w:tcW w:w="1990" w:type="dxa"/>
            <w:vMerge w:val="continue"/>
            <w:tcBorders>
              <w:top w:val="nil"/>
              <w:left w:val="single" w:color="auto" w:sz="4" w:space="0"/>
              <w:bottom w:val="single" w:color="auto" w:sz="4" w:space="0"/>
              <w:right w:val="single" w:color="auto" w:sz="4" w:space="0"/>
            </w:tcBorders>
            <w:noWrap w:val="0"/>
            <w:vAlign w:val="center"/>
          </w:tcPr>
          <w:p w14:paraId="45AA8FB7">
            <w:pPr>
              <w:widowControl/>
              <w:jc w:val="left"/>
              <w:rPr>
                <w:rFonts w:ascii="仿宋_GB2312" w:hAnsi="仿宋" w:eastAsia="仿宋_GB2312" w:cs="宋体"/>
                <w:b/>
                <w:bCs/>
                <w:color w:val="auto"/>
                <w:kern w:val="0"/>
                <w:sz w:val="18"/>
                <w:szCs w:val="18"/>
                <w:highlight w:val="none"/>
              </w:rPr>
            </w:pPr>
          </w:p>
        </w:tc>
        <w:tc>
          <w:tcPr>
            <w:tcW w:w="1619" w:type="dxa"/>
            <w:tcBorders>
              <w:top w:val="nil"/>
              <w:left w:val="nil"/>
              <w:bottom w:val="single" w:color="auto" w:sz="4" w:space="0"/>
              <w:right w:val="single" w:color="auto" w:sz="4" w:space="0"/>
            </w:tcBorders>
            <w:noWrap w:val="0"/>
            <w:vAlign w:val="center"/>
          </w:tcPr>
          <w:p w14:paraId="0AA9C430">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营业收入（Y）</w:t>
            </w:r>
          </w:p>
        </w:tc>
        <w:tc>
          <w:tcPr>
            <w:tcW w:w="1068" w:type="dxa"/>
            <w:tcBorders>
              <w:top w:val="nil"/>
              <w:left w:val="nil"/>
              <w:bottom w:val="single" w:color="auto" w:sz="4" w:space="0"/>
              <w:right w:val="single" w:color="auto" w:sz="4" w:space="0"/>
            </w:tcBorders>
            <w:noWrap w:val="0"/>
            <w:vAlign w:val="center"/>
          </w:tcPr>
          <w:p w14:paraId="7F6EBCA2">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95" w:type="dxa"/>
            <w:tcBorders>
              <w:top w:val="nil"/>
              <w:left w:val="nil"/>
              <w:bottom w:val="single" w:color="auto" w:sz="4" w:space="0"/>
              <w:right w:val="single" w:color="auto" w:sz="4" w:space="0"/>
            </w:tcBorders>
            <w:noWrap w:val="0"/>
            <w:vAlign w:val="center"/>
          </w:tcPr>
          <w:p w14:paraId="70189B9C">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1000≤Y＜5000</w:t>
            </w:r>
          </w:p>
        </w:tc>
        <w:tc>
          <w:tcPr>
            <w:tcW w:w="1684" w:type="dxa"/>
            <w:tcBorders>
              <w:top w:val="nil"/>
              <w:left w:val="nil"/>
              <w:bottom w:val="single" w:color="auto" w:sz="4" w:space="0"/>
              <w:right w:val="single" w:color="auto" w:sz="4" w:space="0"/>
            </w:tcBorders>
            <w:noWrap w:val="0"/>
            <w:vAlign w:val="center"/>
          </w:tcPr>
          <w:p w14:paraId="68FECA5D">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500≤Y＜1000</w:t>
            </w:r>
          </w:p>
        </w:tc>
        <w:tc>
          <w:tcPr>
            <w:tcW w:w="1082" w:type="dxa"/>
            <w:tcBorders>
              <w:top w:val="nil"/>
              <w:left w:val="nil"/>
              <w:bottom w:val="single" w:color="auto" w:sz="4" w:space="0"/>
              <w:right w:val="single" w:color="auto" w:sz="4" w:space="0"/>
            </w:tcBorders>
            <w:noWrap w:val="0"/>
            <w:vAlign w:val="center"/>
          </w:tcPr>
          <w:p w14:paraId="10F788D9">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Y＜500</w:t>
            </w:r>
          </w:p>
        </w:tc>
      </w:tr>
      <w:tr w14:paraId="2A1CD6BA">
        <w:tblPrEx>
          <w:tblCellMar>
            <w:top w:w="0" w:type="dxa"/>
            <w:left w:w="108" w:type="dxa"/>
            <w:bottom w:w="0" w:type="dxa"/>
            <w:right w:w="108" w:type="dxa"/>
          </w:tblCellMar>
        </w:tblPrEx>
        <w:trPr>
          <w:trHeight w:val="225" w:hRule="atLeast"/>
        </w:trPr>
        <w:tc>
          <w:tcPr>
            <w:tcW w:w="1990" w:type="dxa"/>
            <w:vMerge w:val="restart"/>
            <w:tcBorders>
              <w:top w:val="nil"/>
              <w:left w:val="single" w:color="auto" w:sz="4" w:space="0"/>
              <w:bottom w:val="single" w:color="auto" w:sz="4" w:space="0"/>
              <w:right w:val="single" w:color="auto" w:sz="4" w:space="0"/>
            </w:tcBorders>
            <w:noWrap w:val="0"/>
            <w:vAlign w:val="bottom"/>
          </w:tcPr>
          <w:p w14:paraId="5D9E626F">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租赁和商务服务业</w:t>
            </w:r>
          </w:p>
        </w:tc>
        <w:tc>
          <w:tcPr>
            <w:tcW w:w="1619" w:type="dxa"/>
            <w:tcBorders>
              <w:top w:val="nil"/>
              <w:left w:val="nil"/>
              <w:bottom w:val="single" w:color="auto" w:sz="4" w:space="0"/>
              <w:right w:val="single" w:color="auto" w:sz="4" w:space="0"/>
            </w:tcBorders>
            <w:noWrap w:val="0"/>
            <w:vAlign w:val="center"/>
          </w:tcPr>
          <w:p w14:paraId="2A5889C4">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1068" w:type="dxa"/>
            <w:tcBorders>
              <w:top w:val="nil"/>
              <w:left w:val="nil"/>
              <w:bottom w:val="single" w:color="auto" w:sz="4" w:space="0"/>
              <w:right w:val="single" w:color="auto" w:sz="4" w:space="0"/>
            </w:tcBorders>
            <w:noWrap w:val="0"/>
            <w:vAlign w:val="center"/>
          </w:tcPr>
          <w:p w14:paraId="675BF0A3">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95" w:type="dxa"/>
            <w:tcBorders>
              <w:top w:val="nil"/>
              <w:left w:val="nil"/>
              <w:bottom w:val="single" w:color="auto" w:sz="4" w:space="0"/>
              <w:right w:val="single" w:color="auto" w:sz="4" w:space="0"/>
            </w:tcBorders>
            <w:noWrap w:val="0"/>
            <w:vAlign w:val="center"/>
          </w:tcPr>
          <w:p w14:paraId="266155A7">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100≤X＜300</w:t>
            </w:r>
          </w:p>
        </w:tc>
        <w:tc>
          <w:tcPr>
            <w:tcW w:w="1684" w:type="dxa"/>
            <w:tcBorders>
              <w:top w:val="nil"/>
              <w:left w:val="nil"/>
              <w:bottom w:val="single" w:color="auto" w:sz="4" w:space="0"/>
              <w:right w:val="single" w:color="auto" w:sz="4" w:space="0"/>
            </w:tcBorders>
            <w:noWrap w:val="0"/>
            <w:vAlign w:val="center"/>
          </w:tcPr>
          <w:p w14:paraId="22713F25">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10≤X＜100</w:t>
            </w:r>
          </w:p>
        </w:tc>
        <w:tc>
          <w:tcPr>
            <w:tcW w:w="1082" w:type="dxa"/>
            <w:tcBorders>
              <w:top w:val="nil"/>
              <w:left w:val="nil"/>
              <w:bottom w:val="single" w:color="auto" w:sz="4" w:space="0"/>
              <w:right w:val="single" w:color="auto" w:sz="4" w:space="0"/>
            </w:tcBorders>
            <w:noWrap w:val="0"/>
            <w:vAlign w:val="center"/>
          </w:tcPr>
          <w:p w14:paraId="5A59CD9F">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X＜10</w:t>
            </w:r>
          </w:p>
        </w:tc>
      </w:tr>
      <w:tr w14:paraId="21D74A48">
        <w:tblPrEx>
          <w:tblCellMar>
            <w:top w:w="0" w:type="dxa"/>
            <w:left w:w="108" w:type="dxa"/>
            <w:bottom w:w="0" w:type="dxa"/>
            <w:right w:w="108" w:type="dxa"/>
          </w:tblCellMar>
        </w:tblPrEx>
        <w:trPr>
          <w:trHeight w:val="225" w:hRule="atLeast"/>
        </w:trPr>
        <w:tc>
          <w:tcPr>
            <w:tcW w:w="1990" w:type="dxa"/>
            <w:vMerge w:val="continue"/>
            <w:tcBorders>
              <w:top w:val="nil"/>
              <w:left w:val="single" w:color="auto" w:sz="4" w:space="0"/>
              <w:bottom w:val="single" w:color="auto" w:sz="4" w:space="0"/>
              <w:right w:val="single" w:color="auto" w:sz="4" w:space="0"/>
            </w:tcBorders>
            <w:noWrap w:val="0"/>
            <w:vAlign w:val="center"/>
          </w:tcPr>
          <w:p w14:paraId="304FB4F0">
            <w:pPr>
              <w:widowControl/>
              <w:jc w:val="left"/>
              <w:rPr>
                <w:rFonts w:ascii="仿宋_GB2312" w:hAnsi="仿宋" w:eastAsia="仿宋_GB2312" w:cs="宋体"/>
                <w:b/>
                <w:bCs/>
                <w:color w:val="auto"/>
                <w:kern w:val="0"/>
                <w:sz w:val="18"/>
                <w:szCs w:val="18"/>
                <w:highlight w:val="none"/>
              </w:rPr>
            </w:pPr>
          </w:p>
        </w:tc>
        <w:tc>
          <w:tcPr>
            <w:tcW w:w="1619" w:type="dxa"/>
            <w:tcBorders>
              <w:top w:val="nil"/>
              <w:left w:val="nil"/>
              <w:bottom w:val="single" w:color="auto" w:sz="4" w:space="0"/>
              <w:right w:val="single" w:color="auto" w:sz="4" w:space="0"/>
            </w:tcBorders>
            <w:noWrap w:val="0"/>
            <w:vAlign w:val="center"/>
          </w:tcPr>
          <w:p w14:paraId="5EEFB1DB">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资产总额（Z）</w:t>
            </w:r>
          </w:p>
        </w:tc>
        <w:tc>
          <w:tcPr>
            <w:tcW w:w="1068" w:type="dxa"/>
            <w:tcBorders>
              <w:top w:val="nil"/>
              <w:left w:val="nil"/>
              <w:bottom w:val="single" w:color="auto" w:sz="4" w:space="0"/>
              <w:right w:val="single" w:color="auto" w:sz="4" w:space="0"/>
            </w:tcBorders>
            <w:noWrap w:val="0"/>
            <w:vAlign w:val="center"/>
          </w:tcPr>
          <w:p w14:paraId="79FB60D7">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95" w:type="dxa"/>
            <w:tcBorders>
              <w:top w:val="nil"/>
              <w:left w:val="nil"/>
              <w:bottom w:val="single" w:color="auto" w:sz="4" w:space="0"/>
              <w:right w:val="single" w:color="auto" w:sz="4" w:space="0"/>
            </w:tcBorders>
            <w:noWrap w:val="0"/>
            <w:vAlign w:val="center"/>
          </w:tcPr>
          <w:p w14:paraId="591AF061">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8000≤Z＜120000</w:t>
            </w:r>
          </w:p>
        </w:tc>
        <w:tc>
          <w:tcPr>
            <w:tcW w:w="1684" w:type="dxa"/>
            <w:tcBorders>
              <w:top w:val="nil"/>
              <w:left w:val="nil"/>
              <w:bottom w:val="single" w:color="auto" w:sz="4" w:space="0"/>
              <w:right w:val="single" w:color="auto" w:sz="4" w:space="0"/>
            </w:tcBorders>
            <w:noWrap w:val="0"/>
            <w:vAlign w:val="center"/>
          </w:tcPr>
          <w:p w14:paraId="6EAF81F7">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100≤Z＜8000</w:t>
            </w:r>
          </w:p>
        </w:tc>
        <w:tc>
          <w:tcPr>
            <w:tcW w:w="1082" w:type="dxa"/>
            <w:tcBorders>
              <w:top w:val="nil"/>
              <w:left w:val="nil"/>
              <w:bottom w:val="single" w:color="auto" w:sz="4" w:space="0"/>
              <w:right w:val="single" w:color="auto" w:sz="4" w:space="0"/>
            </w:tcBorders>
            <w:noWrap w:val="0"/>
            <w:vAlign w:val="center"/>
          </w:tcPr>
          <w:p w14:paraId="4B38B910">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Y＜100</w:t>
            </w:r>
          </w:p>
        </w:tc>
      </w:tr>
      <w:tr w14:paraId="6B54510F">
        <w:tblPrEx>
          <w:tblCellMar>
            <w:top w:w="0" w:type="dxa"/>
            <w:left w:w="108" w:type="dxa"/>
            <w:bottom w:w="0" w:type="dxa"/>
            <w:right w:w="108" w:type="dxa"/>
          </w:tblCellMar>
        </w:tblPrEx>
        <w:trPr>
          <w:trHeight w:val="225" w:hRule="atLeast"/>
        </w:trPr>
        <w:tc>
          <w:tcPr>
            <w:tcW w:w="1990" w:type="dxa"/>
            <w:tcBorders>
              <w:top w:val="nil"/>
              <w:left w:val="single" w:color="auto" w:sz="4" w:space="0"/>
              <w:bottom w:val="single" w:color="auto" w:sz="4" w:space="0"/>
              <w:right w:val="single" w:color="auto" w:sz="4" w:space="0"/>
            </w:tcBorders>
            <w:noWrap w:val="0"/>
            <w:vAlign w:val="bottom"/>
          </w:tcPr>
          <w:p w14:paraId="56CC5C25">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其他未列明行业</w:t>
            </w:r>
          </w:p>
        </w:tc>
        <w:tc>
          <w:tcPr>
            <w:tcW w:w="1619" w:type="dxa"/>
            <w:tcBorders>
              <w:top w:val="nil"/>
              <w:left w:val="nil"/>
              <w:bottom w:val="single" w:color="auto" w:sz="4" w:space="0"/>
              <w:right w:val="single" w:color="auto" w:sz="4" w:space="0"/>
            </w:tcBorders>
            <w:noWrap w:val="0"/>
            <w:vAlign w:val="center"/>
          </w:tcPr>
          <w:p w14:paraId="0556A471">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从业人员（X）</w:t>
            </w:r>
          </w:p>
        </w:tc>
        <w:tc>
          <w:tcPr>
            <w:tcW w:w="1068" w:type="dxa"/>
            <w:tcBorders>
              <w:top w:val="nil"/>
              <w:left w:val="nil"/>
              <w:bottom w:val="single" w:color="auto" w:sz="4" w:space="0"/>
              <w:right w:val="single" w:color="auto" w:sz="4" w:space="0"/>
            </w:tcBorders>
            <w:noWrap w:val="0"/>
            <w:vAlign w:val="center"/>
          </w:tcPr>
          <w:p w14:paraId="68E42843">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95" w:type="dxa"/>
            <w:tcBorders>
              <w:top w:val="nil"/>
              <w:left w:val="nil"/>
              <w:bottom w:val="single" w:color="auto" w:sz="4" w:space="0"/>
              <w:right w:val="single" w:color="auto" w:sz="4" w:space="0"/>
            </w:tcBorders>
            <w:noWrap w:val="0"/>
            <w:vAlign w:val="center"/>
          </w:tcPr>
          <w:p w14:paraId="2158814B">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100≤X＜300</w:t>
            </w:r>
          </w:p>
        </w:tc>
        <w:tc>
          <w:tcPr>
            <w:tcW w:w="1684" w:type="dxa"/>
            <w:tcBorders>
              <w:top w:val="nil"/>
              <w:left w:val="nil"/>
              <w:bottom w:val="single" w:color="auto" w:sz="4" w:space="0"/>
              <w:right w:val="single" w:color="auto" w:sz="4" w:space="0"/>
            </w:tcBorders>
            <w:noWrap w:val="0"/>
            <w:vAlign w:val="center"/>
          </w:tcPr>
          <w:p w14:paraId="041AC9A3">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10≤X＜100</w:t>
            </w:r>
          </w:p>
        </w:tc>
        <w:tc>
          <w:tcPr>
            <w:tcW w:w="1082" w:type="dxa"/>
            <w:tcBorders>
              <w:top w:val="nil"/>
              <w:left w:val="nil"/>
              <w:bottom w:val="single" w:color="auto" w:sz="4" w:space="0"/>
              <w:right w:val="single" w:color="auto" w:sz="4" w:space="0"/>
            </w:tcBorders>
            <w:noWrap w:val="0"/>
            <w:vAlign w:val="center"/>
          </w:tcPr>
          <w:p w14:paraId="2AE9915A">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X＜10</w:t>
            </w:r>
          </w:p>
        </w:tc>
      </w:tr>
    </w:tbl>
    <w:p w14:paraId="51150045">
      <w:pPr>
        <w:rPr>
          <w:rFonts w:hint="eastAsia" w:ascii="宋体" w:hAnsi="宋体" w:cs="宋体"/>
          <w:color w:val="auto"/>
          <w:lang w:eastAsia="zh-CN"/>
        </w:rPr>
      </w:pPr>
    </w:p>
    <w:p w14:paraId="61796CEE">
      <w:pPr>
        <w:pStyle w:val="18"/>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说明：</w:t>
      </w:r>
    </w:p>
    <w:p w14:paraId="143CF621">
      <w:pPr>
        <w:pStyle w:val="18"/>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上述标准参照《关于印发中小企业划型标准规定的通知》（工信部联企业【2011】300 号），中型和小型企业必须同时满足所列指标的下限，否则下划一档；微型企业只须满足所列指标中的一项即可。</w:t>
      </w:r>
    </w:p>
    <w:p w14:paraId="009A8CE1">
      <w:pPr>
        <w:numPr>
          <w:ilvl w:val="0"/>
          <w:numId w:val="0"/>
        </w:numPr>
        <w:spacing w:line="360" w:lineRule="auto"/>
        <w:jc w:val="center"/>
        <w:outlineLvl w:val="0"/>
        <w:rPr>
          <w:rFonts w:hint="eastAsia" w:ascii="宋体" w:hAnsi="宋体"/>
          <w:b/>
          <w:bCs/>
          <w:color w:val="auto"/>
          <w:sz w:val="32"/>
          <w:szCs w:val="32"/>
          <w:lang w:val="en-US" w:eastAsia="zh-CN"/>
        </w:rPr>
      </w:pPr>
    </w:p>
    <w:p w14:paraId="2050E9D4">
      <w:pPr>
        <w:numPr>
          <w:ilvl w:val="0"/>
          <w:numId w:val="0"/>
        </w:numPr>
        <w:spacing w:line="360" w:lineRule="auto"/>
        <w:jc w:val="center"/>
        <w:outlineLvl w:val="0"/>
        <w:rPr>
          <w:rFonts w:hint="eastAsia" w:ascii="宋体" w:hAnsi="宋体"/>
          <w:b/>
          <w:bCs/>
          <w:color w:val="auto"/>
          <w:sz w:val="32"/>
          <w:szCs w:val="32"/>
          <w:lang w:val="en-US" w:eastAsia="zh-CN"/>
        </w:rPr>
      </w:pPr>
    </w:p>
    <w:p w14:paraId="6B461578">
      <w:pPr>
        <w:pStyle w:val="35"/>
        <w:rPr>
          <w:rFonts w:hint="eastAsia"/>
          <w:color w:val="auto"/>
          <w:lang w:val="en-US" w:eastAsia="zh-CN"/>
        </w:rPr>
      </w:pPr>
    </w:p>
    <w:p w14:paraId="28018E25">
      <w:pPr>
        <w:numPr>
          <w:ilvl w:val="0"/>
          <w:numId w:val="0"/>
        </w:numPr>
        <w:spacing w:line="360" w:lineRule="auto"/>
        <w:jc w:val="center"/>
        <w:outlineLvl w:val="0"/>
        <w:rPr>
          <w:rFonts w:hint="eastAsia" w:ascii="宋体" w:hAnsi="宋体"/>
          <w:b/>
          <w:bCs/>
          <w:color w:val="auto"/>
          <w:sz w:val="32"/>
          <w:szCs w:val="32"/>
          <w:lang w:val="en-US" w:eastAsia="zh-CN"/>
        </w:rPr>
      </w:pPr>
      <w:bookmarkStart w:id="80" w:name="_Toc10843"/>
      <w:r>
        <w:rPr>
          <w:rFonts w:hint="eastAsia" w:ascii="宋体" w:hAnsi="宋体"/>
          <w:b/>
          <w:bCs/>
          <w:color w:val="auto"/>
          <w:sz w:val="32"/>
          <w:szCs w:val="32"/>
          <w:lang w:val="en-US" w:eastAsia="zh-CN"/>
        </w:rPr>
        <w:t>第三章采购需求</w:t>
      </w:r>
      <w:bookmarkEnd w:id="78"/>
      <w:bookmarkEnd w:id="79"/>
      <w:bookmarkEnd w:id="80"/>
    </w:p>
    <w:p w14:paraId="79562DBF">
      <w:pPr>
        <w:spacing w:after="0" w:line="360" w:lineRule="auto"/>
        <w:ind w:firstLine="420" w:firstLineChars="200"/>
        <w:contextualSpacing/>
        <w:rPr>
          <w:rFonts w:hint="eastAsia" w:ascii="宋体" w:hAnsi="宋体" w:eastAsia="宋体" w:cs="宋体"/>
          <w:color w:val="auto"/>
          <w:sz w:val="21"/>
          <w:szCs w:val="21"/>
        </w:rPr>
      </w:pPr>
      <w:r>
        <w:rPr>
          <w:rFonts w:hint="eastAsia" w:ascii="Times New Roman" w:hAnsi="Times New Roman" w:eastAsia="宋体" w:cs="Times New Roman"/>
          <w:color w:val="auto"/>
          <w:sz w:val="21"/>
        </w:rPr>
        <w:t>1. 为落实政府采购政策需满足的要求</w:t>
      </w:r>
    </w:p>
    <w:p w14:paraId="1E06EC4F">
      <w:pPr>
        <w:spacing w:after="0" w:line="360" w:lineRule="auto"/>
        <w:ind w:firstLine="424" w:firstLineChars="202"/>
        <w:contextualSpacing/>
        <w:rPr>
          <w:rFonts w:hint="eastAsia" w:ascii="宋体" w:hAnsi="宋体" w:eastAsia="宋体" w:cs="宋体"/>
          <w:color w:val="auto"/>
          <w:sz w:val="21"/>
          <w:szCs w:val="21"/>
        </w:rPr>
      </w:pPr>
      <w:r>
        <w:rPr>
          <w:rFonts w:hint="eastAsia" w:ascii="宋体" w:hAnsi="宋体" w:eastAsia="宋体" w:cs="宋体"/>
          <w:color w:val="auto"/>
          <w:sz w:val="21"/>
          <w:szCs w:val="21"/>
        </w:rPr>
        <w:t>本竞争性</w:t>
      </w:r>
      <w:r>
        <w:rPr>
          <w:rFonts w:hint="eastAsia" w:ascii="宋体" w:hAnsi="宋体" w:cs="宋体"/>
          <w:color w:val="auto"/>
          <w:sz w:val="21"/>
          <w:szCs w:val="21"/>
          <w:lang w:val="en-US" w:eastAsia="zh-CN"/>
        </w:rPr>
        <w:t>磋商</w:t>
      </w:r>
      <w:r>
        <w:rPr>
          <w:rFonts w:hint="eastAsia" w:ascii="宋体" w:hAnsi="宋体" w:eastAsia="宋体" w:cs="宋体"/>
          <w:color w:val="auto"/>
          <w:sz w:val="21"/>
          <w:szCs w:val="21"/>
        </w:rPr>
        <w:t>采购文件所称中小企业必须符合《政府采购促进中小企业发展管理办法》（财库〔2020〕46号）的规定。</w:t>
      </w:r>
    </w:p>
    <w:p w14:paraId="578C88AF">
      <w:pPr>
        <w:spacing w:after="0" w:line="360" w:lineRule="auto"/>
        <w:ind w:firstLine="424" w:firstLineChars="202"/>
        <w:contextualSpacing/>
        <w:rPr>
          <w:rFonts w:hint="eastAsia" w:ascii="宋体" w:hAnsi="宋体" w:eastAsia="宋体" w:cs="宋体"/>
          <w:color w:val="auto"/>
          <w:sz w:val="21"/>
          <w:szCs w:val="21"/>
        </w:rPr>
      </w:pPr>
      <w:r>
        <w:rPr>
          <w:rFonts w:hint="eastAsia" w:ascii="宋体" w:hAnsi="宋体" w:eastAsia="宋体" w:cs="宋体"/>
          <w:color w:val="auto"/>
          <w:sz w:val="21"/>
          <w:szCs w:val="21"/>
        </w:rPr>
        <w:t>2. “实质性要求”是指采购需求中带“▲”的条款或者不能负偏离的条款或者已经指明不满足按响应文件按无效处理的条款。</w:t>
      </w:r>
    </w:p>
    <w:p w14:paraId="37F237A7">
      <w:pPr>
        <w:spacing w:after="0" w:line="360" w:lineRule="auto"/>
        <w:ind w:firstLine="424" w:firstLineChars="202"/>
        <w:contextualSpacing/>
        <w:rPr>
          <w:rFonts w:hint="eastAsia" w:ascii="Times New Roman" w:hAnsi="Times New Roman" w:eastAsia="宋体" w:cs="Times New Roman"/>
          <w:color w:val="auto"/>
          <w:sz w:val="21"/>
        </w:rPr>
      </w:pPr>
      <w:r>
        <w:rPr>
          <w:rFonts w:hint="eastAsia" w:ascii="宋体" w:hAnsi="宋体" w:eastAsia="宋体" w:cs="宋体"/>
          <w:color w:val="auto"/>
          <w:sz w:val="21"/>
          <w:szCs w:val="21"/>
        </w:rPr>
        <w:t>3.</w:t>
      </w:r>
      <w:r>
        <w:rPr>
          <w:rFonts w:hint="eastAsia" w:ascii="Times New Roman" w:hAnsi="Times New Roman" w:eastAsia="宋体" w:cs="Times New Roman"/>
          <w:color w:val="auto"/>
          <w:sz w:val="21"/>
        </w:rPr>
        <w:t>供应商必须自行为其竞标产品侵犯他人的知识产权或者专利成果的行为承担相应法律责任。</w:t>
      </w:r>
    </w:p>
    <w:p w14:paraId="6C88B355">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color w:val="auto"/>
          <w:u w:val="single"/>
        </w:rPr>
      </w:pPr>
      <w:r>
        <w:rPr>
          <w:rFonts w:hint="eastAsia" w:ascii="宋体" w:hAnsi="宋体" w:cs="宋体"/>
          <w:color w:val="auto"/>
          <w:lang w:val="en-US" w:eastAsia="zh-CN"/>
        </w:rPr>
        <w:t>4.</w:t>
      </w:r>
      <w:r>
        <w:rPr>
          <w:rFonts w:hint="eastAsia" w:ascii="宋体" w:hAnsi="宋体" w:eastAsia="宋体" w:cs="宋体"/>
          <w:color w:val="auto"/>
        </w:rPr>
        <w:t>采购标的所属行业：</w:t>
      </w:r>
      <w:r>
        <w:rPr>
          <w:rFonts w:hint="eastAsia" w:ascii="宋体" w:hAnsi="宋体" w:eastAsia="宋体" w:cs="宋体"/>
          <w:color w:val="auto"/>
          <w:u w:val="single"/>
        </w:rPr>
        <w:t>建筑业</w:t>
      </w:r>
    </w:p>
    <w:p w14:paraId="3C657DB1">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cs="宋体"/>
          <w:color w:val="auto"/>
          <w:u w:val="none"/>
          <w:lang w:val="en-US" w:eastAsia="zh-CN"/>
        </w:rPr>
      </w:pPr>
      <w:r>
        <w:rPr>
          <w:rFonts w:hint="eastAsia" w:ascii="宋体" w:hAnsi="宋体" w:cs="宋体"/>
          <w:color w:val="auto"/>
          <w:u w:val="none"/>
          <w:lang w:val="en-US" w:eastAsia="zh-CN"/>
        </w:rPr>
        <w:t>5.预算金额：864806.46元</w:t>
      </w:r>
    </w:p>
    <w:p w14:paraId="3B3728EB">
      <w:pPr>
        <w:pStyle w:val="26"/>
        <w:rPr>
          <w:rFonts w:hint="default"/>
          <w:color w:val="auto"/>
          <w:lang w:val="en-US" w:eastAsia="zh-CN"/>
        </w:rPr>
      </w:pPr>
    </w:p>
    <w:tbl>
      <w:tblPr>
        <w:tblStyle w:val="28"/>
        <w:tblW w:w="1015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14"/>
        <w:gridCol w:w="1827"/>
        <w:gridCol w:w="6"/>
        <w:gridCol w:w="881"/>
        <w:gridCol w:w="845"/>
        <w:gridCol w:w="5984"/>
      </w:tblGrid>
      <w:tr w14:paraId="4F6198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7" w:hRule="atLeast"/>
          <w:jc w:val="center"/>
        </w:trPr>
        <w:tc>
          <w:tcPr>
            <w:tcW w:w="614" w:type="dxa"/>
            <w:vAlign w:val="center"/>
          </w:tcPr>
          <w:p w14:paraId="5F02720C">
            <w:pPr>
              <w:tabs>
                <w:tab w:val="left" w:pos="180"/>
                <w:tab w:val="left" w:pos="1620"/>
              </w:tabs>
              <w:spacing w:after="0" w:line="360" w:lineRule="auto"/>
              <w:jc w:val="center"/>
              <w:rPr>
                <w:rFonts w:hint="eastAsia" w:ascii="宋体" w:hAnsi="宋体" w:eastAsia="宋体" w:cs="宋体"/>
                <w:color w:val="auto"/>
                <w:sz w:val="21"/>
                <w:szCs w:val="21"/>
                <w14:ligatures w14:val="none"/>
              </w:rPr>
            </w:pPr>
            <w:r>
              <w:rPr>
                <w:rFonts w:hint="eastAsia" w:ascii="宋体" w:hAnsi="宋体" w:eastAsia="宋体" w:cs="宋体"/>
                <w:color w:val="auto"/>
                <w:sz w:val="21"/>
                <w:szCs w:val="21"/>
                <w14:ligatures w14:val="none"/>
              </w:rPr>
              <w:t>序号</w:t>
            </w:r>
          </w:p>
        </w:tc>
        <w:tc>
          <w:tcPr>
            <w:tcW w:w="1827" w:type="dxa"/>
            <w:vAlign w:val="center"/>
          </w:tcPr>
          <w:p w14:paraId="2FA82F01">
            <w:pPr>
              <w:tabs>
                <w:tab w:val="left" w:pos="180"/>
                <w:tab w:val="left" w:pos="1620"/>
              </w:tabs>
              <w:spacing w:after="0" w:line="360" w:lineRule="auto"/>
              <w:jc w:val="center"/>
              <w:rPr>
                <w:rFonts w:hint="eastAsia" w:ascii="宋体" w:hAnsi="宋体" w:eastAsia="宋体" w:cs="Times New Roman"/>
                <w:color w:val="auto"/>
                <w:sz w:val="21"/>
                <w:szCs w:val="21"/>
                <w14:ligatures w14:val="none"/>
              </w:rPr>
            </w:pPr>
            <w:r>
              <w:rPr>
                <w:rFonts w:hint="eastAsia" w:ascii="宋体" w:hAnsi="宋体" w:eastAsia="宋体" w:cs="Times New Roman"/>
                <w:color w:val="auto"/>
                <w:sz w:val="21"/>
                <w:szCs w:val="21"/>
                <w14:ligatures w14:val="none"/>
              </w:rPr>
              <w:t>标的名称</w:t>
            </w:r>
          </w:p>
        </w:tc>
        <w:tc>
          <w:tcPr>
            <w:tcW w:w="887" w:type="dxa"/>
            <w:gridSpan w:val="2"/>
            <w:vAlign w:val="center"/>
          </w:tcPr>
          <w:p w14:paraId="467BC540">
            <w:pPr>
              <w:tabs>
                <w:tab w:val="left" w:pos="180"/>
                <w:tab w:val="left" w:pos="1620"/>
              </w:tabs>
              <w:spacing w:after="0" w:line="360" w:lineRule="auto"/>
              <w:jc w:val="center"/>
              <w:rPr>
                <w:rFonts w:hint="eastAsia" w:ascii="宋体" w:hAnsi="宋体" w:eastAsia="宋体" w:cs="宋体"/>
                <w:color w:val="auto"/>
                <w:sz w:val="21"/>
                <w:szCs w:val="21"/>
                <w14:ligatures w14:val="none"/>
              </w:rPr>
            </w:pPr>
            <w:r>
              <w:rPr>
                <w:rFonts w:hint="eastAsia" w:ascii="宋体" w:hAnsi="宋体" w:eastAsia="宋体" w:cs="宋体"/>
                <w:color w:val="auto"/>
                <w:sz w:val="21"/>
                <w:szCs w:val="21"/>
                <w14:ligatures w14:val="none"/>
              </w:rPr>
              <w:t>数量及单位</w:t>
            </w:r>
          </w:p>
        </w:tc>
        <w:tc>
          <w:tcPr>
            <w:tcW w:w="845" w:type="dxa"/>
            <w:vAlign w:val="center"/>
          </w:tcPr>
          <w:p w14:paraId="6296B426">
            <w:pPr>
              <w:tabs>
                <w:tab w:val="left" w:pos="180"/>
                <w:tab w:val="left" w:pos="1620"/>
              </w:tabs>
              <w:spacing w:after="0" w:line="360" w:lineRule="auto"/>
              <w:jc w:val="center"/>
              <w:rPr>
                <w:rFonts w:hint="eastAsia" w:ascii="宋体" w:hAnsi="宋体" w:eastAsia="宋体" w:cs="宋体"/>
                <w:color w:val="auto"/>
                <w:sz w:val="21"/>
                <w:szCs w:val="21"/>
                <w14:ligatures w14:val="none"/>
              </w:rPr>
            </w:pPr>
            <w:r>
              <w:rPr>
                <w:rFonts w:hint="eastAsia" w:ascii="宋体" w:hAnsi="宋体" w:eastAsia="宋体" w:cs="宋体"/>
                <w:color w:val="auto"/>
                <w:sz w:val="21"/>
                <w:szCs w:val="21"/>
                <w14:ligatures w14:val="none"/>
              </w:rPr>
              <w:t>所属</w:t>
            </w:r>
          </w:p>
          <w:p w14:paraId="5133D70B">
            <w:pPr>
              <w:tabs>
                <w:tab w:val="left" w:pos="180"/>
                <w:tab w:val="left" w:pos="1620"/>
              </w:tabs>
              <w:spacing w:after="0" w:line="360" w:lineRule="auto"/>
              <w:jc w:val="center"/>
              <w:rPr>
                <w:rFonts w:hint="eastAsia" w:ascii="宋体" w:hAnsi="宋体" w:eastAsia="宋体" w:cs="宋体"/>
                <w:color w:val="auto"/>
                <w:sz w:val="21"/>
                <w:szCs w:val="21"/>
                <w14:ligatures w14:val="none"/>
              </w:rPr>
            </w:pPr>
            <w:r>
              <w:rPr>
                <w:rFonts w:hint="eastAsia" w:ascii="宋体" w:hAnsi="宋体" w:eastAsia="宋体" w:cs="宋体"/>
                <w:color w:val="auto"/>
                <w:sz w:val="21"/>
                <w:szCs w:val="21"/>
                <w14:ligatures w14:val="none"/>
              </w:rPr>
              <w:t>行业</w:t>
            </w:r>
          </w:p>
        </w:tc>
        <w:tc>
          <w:tcPr>
            <w:tcW w:w="5984" w:type="dxa"/>
            <w:vAlign w:val="center"/>
          </w:tcPr>
          <w:p w14:paraId="71F0AD50">
            <w:pPr>
              <w:tabs>
                <w:tab w:val="left" w:pos="180"/>
                <w:tab w:val="left" w:pos="1620"/>
              </w:tabs>
              <w:spacing w:after="0" w:line="360" w:lineRule="auto"/>
              <w:jc w:val="center"/>
              <w:rPr>
                <w:rFonts w:hint="eastAsia" w:ascii="宋体" w:hAnsi="宋体" w:eastAsia="宋体" w:cs="宋体"/>
                <w:color w:val="auto"/>
                <w:sz w:val="21"/>
                <w:szCs w:val="21"/>
                <w14:ligatures w14:val="none"/>
              </w:rPr>
            </w:pPr>
            <w:r>
              <w:rPr>
                <w:rFonts w:hint="eastAsia" w:ascii="宋体" w:hAnsi="宋体" w:eastAsia="宋体" w:cs="宋体"/>
                <w:color w:val="auto"/>
                <w:sz w:val="21"/>
                <w:szCs w:val="21"/>
                <w14:ligatures w14:val="none"/>
              </w:rPr>
              <w:t>技术要求</w:t>
            </w:r>
          </w:p>
        </w:tc>
      </w:tr>
      <w:tr w14:paraId="340C3F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67" w:hRule="atLeast"/>
          <w:jc w:val="center"/>
        </w:trPr>
        <w:tc>
          <w:tcPr>
            <w:tcW w:w="614" w:type="dxa"/>
            <w:vAlign w:val="center"/>
          </w:tcPr>
          <w:p w14:paraId="6FCA6417">
            <w:pPr>
              <w:tabs>
                <w:tab w:val="left" w:pos="180"/>
                <w:tab w:val="left" w:pos="1620"/>
              </w:tabs>
              <w:spacing w:after="0" w:line="360" w:lineRule="auto"/>
              <w:jc w:val="center"/>
              <w:rPr>
                <w:rFonts w:hint="eastAsia" w:ascii="宋体" w:hAnsi="宋体" w:eastAsia="宋体" w:cs="宋体"/>
                <w:color w:val="auto"/>
                <w:sz w:val="21"/>
                <w:szCs w:val="21"/>
                <w14:ligatures w14:val="none"/>
              </w:rPr>
            </w:pPr>
            <w:r>
              <w:rPr>
                <w:rFonts w:hint="eastAsia" w:ascii="宋体" w:hAnsi="宋体" w:eastAsia="宋体" w:cs="宋体"/>
                <w:color w:val="auto"/>
                <w:sz w:val="21"/>
                <w:szCs w:val="21"/>
                <w14:ligatures w14:val="none"/>
              </w:rPr>
              <w:t>1</w:t>
            </w:r>
          </w:p>
        </w:tc>
        <w:tc>
          <w:tcPr>
            <w:tcW w:w="1827" w:type="dxa"/>
            <w:vAlign w:val="center"/>
          </w:tcPr>
          <w:p w14:paraId="20132EF3">
            <w:pPr>
              <w:tabs>
                <w:tab w:val="left" w:pos="180"/>
                <w:tab w:val="left" w:pos="1620"/>
              </w:tabs>
              <w:spacing w:after="0" w:line="360" w:lineRule="auto"/>
              <w:jc w:val="center"/>
              <w:rPr>
                <w:rFonts w:hint="eastAsia" w:ascii="宋体" w:hAnsi="宋体" w:eastAsia="宋体" w:cs="宋体"/>
                <w:color w:val="auto"/>
                <w:sz w:val="21"/>
                <w:szCs w:val="21"/>
                <w:lang w:eastAsia="zh-CN"/>
                <w14:ligatures w14:val="none"/>
              </w:rPr>
            </w:pPr>
            <w:r>
              <w:rPr>
                <w:rFonts w:hint="eastAsia" w:ascii="宋体" w:hAnsi="宋体" w:cs="宋体"/>
                <w:color w:val="auto"/>
                <w:sz w:val="21"/>
                <w:szCs w:val="21"/>
                <w:lang w:eastAsia="zh-CN"/>
                <w14:ligatures w14:val="none"/>
              </w:rPr>
              <w:t>陆川县人民医院高压、低压供电系统改造工程项目</w:t>
            </w:r>
          </w:p>
        </w:tc>
        <w:tc>
          <w:tcPr>
            <w:tcW w:w="887" w:type="dxa"/>
            <w:gridSpan w:val="2"/>
            <w:vAlign w:val="center"/>
          </w:tcPr>
          <w:p w14:paraId="5E29C069">
            <w:pPr>
              <w:tabs>
                <w:tab w:val="left" w:pos="180"/>
                <w:tab w:val="left" w:pos="1620"/>
              </w:tabs>
              <w:spacing w:after="0" w:line="360" w:lineRule="auto"/>
              <w:jc w:val="center"/>
              <w:rPr>
                <w:rFonts w:hint="eastAsia" w:ascii="宋体" w:hAnsi="宋体" w:eastAsia="宋体" w:cs="宋体"/>
                <w:color w:val="auto"/>
                <w:sz w:val="21"/>
                <w:szCs w:val="21"/>
                <w14:ligatures w14:val="none"/>
              </w:rPr>
            </w:pPr>
            <w:r>
              <w:rPr>
                <w:rFonts w:hint="eastAsia" w:ascii="宋体" w:hAnsi="宋体" w:eastAsia="宋体" w:cs="宋体"/>
                <w:color w:val="auto"/>
                <w:sz w:val="21"/>
                <w:szCs w:val="21"/>
                <w14:ligatures w14:val="none"/>
              </w:rPr>
              <w:t>1项</w:t>
            </w:r>
          </w:p>
        </w:tc>
        <w:tc>
          <w:tcPr>
            <w:tcW w:w="845" w:type="dxa"/>
            <w:vAlign w:val="center"/>
          </w:tcPr>
          <w:p w14:paraId="7C5472F8">
            <w:pPr>
              <w:tabs>
                <w:tab w:val="left" w:pos="180"/>
                <w:tab w:val="left" w:pos="1620"/>
              </w:tabs>
              <w:spacing w:after="0" w:line="360" w:lineRule="auto"/>
              <w:jc w:val="center"/>
              <w:rPr>
                <w:rFonts w:hint="eastAsia" w:ascii="宋体" w:hAnsi="宋体" w:eastAsia="宋体" w:cs="宋体"/>
                <w:color w:val="auto"/>
                <w:sz w:val="21"/>
                <w:szCs w:val="21"/>
                <w14:ligatures w14:val="none"/>
              </w:rPr>
            </w:pPr>
            <w:r>
              <w:rPr>
                <w:rFonts w:hint="eastAsia" w:ascii="宋体" w:hAnsi="宋体" w:eastAsia="宋体" w:cs="宋体"/>
                <w:color w:val="auto"/>
                <w:sz w:val="21"/>
                <w:szCs w:val="21"/>
                <w14:ligatures w14:val="none"/>
              </w:rPr>
              <w:t>建筑业</w:t>
            </w:r>
          </w:p>
        </w:tc>
        <w:tc>
          <w:tcPr>
            <w:tcW w:w="5984" w:type="dxa"/>
            <w:vAlign w:val="center"/>
          </w:tcPr>
          <w:p w14:paraId="092BC1DC">
            <w:pPr>
              <w:spacing w:after="0" w:line="360" w:lineRule="auto"/>
              <w:rPr>
                <w:rFonts w:hint="eastAsia" w:ascii="宋体" w:hAnsi="宋体" w:eastAsia="宋体" w:cs="宋体"/>
                <w:b/>
                <w:bCs/>
                <w:color w:val="auto"/>
                <w:sz w:val="21"/>
                <w:szCs w:val="21"/>
                <w14:ligatures w14:val="none"/>
              </w:rPr>
            </w:pPr>
            <w:bookmarkStart w:id="81" w:name="heading_1"/>
            <w:r>
              <w:rPr>
                <w:rFonts w:hint="eastAsia" w:ascii="宋体" w:hAnsi="宋体" w:eastAsia="宋体" w:cs="宋体"/>
                <w:b/>
                <w:bCs/>
                <w:color w:val="auto"/>
                <w:sz w:val="21"/>
                <w:szCs w:val="21"/>
                <w14:ligatures w14:val="none"/>
              </w:rPr>
              <w:t>项目概况</w:t>
            </w:r>
            <w:bookmarkEnd w:id="81"/>
          </w:p>
          <w:p w14:paraId="2D4B930E">
            <w:pPr>
              <w:spacing w:after="0" w:line="360" w:lineRule="auto"/>
              <w:ind w:firstLine="420" w:firstLineChars="200"/>
              <w:rPr>
                <w:rFonts w:hint="eastAsia" w:ascii="宋体" w:hAnsi="宋体" w:eastAsia="宋体" w:cs="宋体"/>
                <w:color w:val="auto"/>
                <w:sz w:val="21"/>
                <w:szCs w:val="21"/>
                <w14:ligatures w14:val="none"/>
              </w:rPr>
            </w:pPr>
            <w:r>
              <w:rPr>
                <w:rFonts w:hint="eastAsia" w:ascii="宋体" w:hAnsi="宋体" w:eastAsia="宋体" w:cs="宋体"/>
                <w:color w:val="auto"/>
                <w:sz w:val="21"/>
                <w:szCs w:val="21"/>
                <w14:ligatures w14:val="none"/>
              </w:rPr>
              <w:t>本项目立足医院医疗用电不间断、高安全、高稳定的核心需求，实施高压供电扩容升级、宿舍楼低压配电系统翻新，优化全院高低压供电架构，实现医疗用电与生活用电独立分区供电，解决原有变压器过载、线路老化、供电隐患多、运维不便等问题。</w:t>
            </w:r>
            <w:r>
              <w:rPr>
                <w:rFonts w:hint="eastAsia" w:ascii="宋体" w:hAnsi="宋体" w:cs="宋体"/>
                <w:color w:val="auto"/>
                <w:sz w:val="21"/>
                <w:szCs w:val="21"/>
                <w:lang w:val="en-US" w:eastAsia="zh-CN"/>
                <w14:ligatures w14:val="none"/>
              </w:rPr>
              <w:t>供应商响应</w:t>
            </w:r>
            <w:r>
              <w:rPr>
                <w:rFonts w:hint="eastAsia" w:ascii="宋体" w:hAnsi="宋体" w:eastAsia="宋体" w:cs="宋体"/>
                <w:color w:val="auto"/>
                <w:sz w:val="21"/>
                <w:szCs w:val="21"/>
                <w14:ligatures w14:val="none"/>
              </w:rPr>
              <w:t>实施方案应当包含以下工作内容：</w:t>
            </w:r>
          </w:p>
          <w:p w14:paraId="485ACFF4">
            <w:pPr>
              <w:spacing w:after="0" w:line="360" w:lineRule="auto"/>
              <w:rPr>
                <w:rFonts w:hint="eastAsia" w:ascii="宋体" w:hAnsi="宋体" w:eastAsia="宋体" w:cs="宋体"/>
                <w:color w:val="auto"/>
                <w:sz w:val="21"/>
                <w:szCs w:val="21"/>
                <w14:ligatures w14:val="none"/>
              </w:rPr>
            </w:pPr>
            <w:r>
              <w:rPr>
                <w:rFonts w:hint="eastAsia" w:ascii="宋体" w:hAnsi="宋体" w:eastAsia="宋体" w:cs="宋体"/>
                <w:color w:val="auto"/>
                <w:sz w:val="21"/>
                <w:szCs w:val="21"/>
                <w14:ligatures w14:val="none"/>
              </w:rPr>
              <w:t>①高压供电扩容升级实施路径；</w:t>
            </w:r>
          </w:p>
          <w:p w14:paraId="350523FE">
            <w:pPr>
              <w:spacing w:after="0" w:line="360" w:lineRule="auto"/>
              <w:rPr>
                <w:rFonts w:hint="eastAsia" w:ascii="宋体" w:hAnsi="宋体" w:eastAsia="宋体" w:cs="宋体"/>
                <w:color w:val="auto"/>
                <w:sz w:val="21"/>
                <w:szCs w:val="21"/>
                <w14:ligatures w14:val="none"/>
              </w:rPr>
            </w:pPr>
            <w:r>
              <w:rPr>
                <w:rFonts w:hint="eastAsia" w:ascii="宋体" w:hAnsi="宋体" w:eastAsia="宋体" w:cs="宋体"/>
                <w:color w:val="auto"/>
                <w:sz w:val="21"/>
                <w:szCs w:val="21"/>
                <w14:ligatures w14:val="none"/>
              </w:rPr>
              <w:t>②宿舍楼低压配电系统翻新处置措施；</w:t>
            </w:r>
          </w:p>
          <w:p w14:paraId="0BF669E1">
            <w:pPr>
              <w:spacing w:after="0" w:line="360" w:lineRule="auto"/>
              <w:rPr>
                <w:rFonts w:hint="eastAsia" w:ascii="宋体" w:hAnsi="宋体" w:eastAsia="宋体" w:cs="宋体"/>
                <w:color w:val="auto"/>
                <w:sz w:val="21"/>
                <w:szCs w:val="21"/>
                <w14:ligatures w14:val="none"/>
              </w:rPr>
            </w:pPr>
            <w:r>
              <w:rPr>
                <w:rFonts w:hint="eastAsia" w:ascii="宋体" w:hAnsi="宋体" w:eastAsia="宋体" w:cs="宋体"/>
                <w:color w:val="auto"/>
                <w:sz w:val="21"/>
                <w:szCs w:val="21"/>
                <w14:ligatures w14:val="none"/>
              </w:rPr>
              <w:t>③医疗用电、职工生活用电独立分区供电的具体措施；</w:t>
            </w:r>
          </w:p>
          <w:p w14:paraId="512B5731">
            <w:pPr>
              <w:spacing w:after="0" w:line="360" w:lineRule="auto"/>
              <w:rPr>
                <w:rFonts w:hint="eastAsia" w:ascii="宋体" w:hAnsi="宋体" w:eastAsia="宋体" w:cs="宋体"/>
                <w:color w:val="auto"/>
                <w:sz w:val="21"/>
                <w:szCs w:val="21"/>
                <w14:ligatures w14:val="none"/>
              </w:rPr>
            </w:pPr>
            <w:r>
              <w:rPr>
                <w:rFonts w:hint="eastAsia" w:ascii="宋体" w:hAnsi="宋体" w:eastAsia="宋体" w:cs="宋体"/>
                <w:color w:val="auto"/>
                <w:sz w:val="21"/>
                <w:szCs w:val="21"/>
                <w14:ligatures w14:val="none"/>
              </w:rPr>
              <w:t>④原有变压器过载隐患处置措施；</w:t>
            </w:r>
          </w:p>
          <w:p w14:paraId="2CAB2685">
            <w:pPr>
              <w:spacing w:after="0" w:line="360" w:lineRule="auto"/>
              <w:rPr>
                <w:rFonts w:hint="eastAsia" w:ascii="宋体" w:hAnsi="宋体" w:eastAsia="宋体" w:cs="宋体"/>
                <w:color w:val="auto"/>
                <w:sz w:val="21"/>
                <w:szCs w:val="21"/>
                <w14:ligatures w14:val="none"/>
              </w:rPr>
            </w:pPr>
            <w:r>
              <w:rPr>
                <w:rFonts w:hint="eastAsia" w:ascii="宋体" w:hAnsi="宋体" w:eastAsia="宋体" w:cs="宋体"/>
                <w:color w:val="auto"/>
                <w:sz w:val="21"/>
                <w:szCs w:val="21"/>
                <w14:ligatures w14:val="none"/>
              </w:rPr>
              <w:t>⑤原有线路老化隐患处置措施。</w:t>
            </w:r>
          </w:p>
          <w:p w14:paraId="3A84E99B">
            <w:pPr>
              <w:spacing w:after="0" w:line="360" w:lineRule="auto"/>
              <w:ind w:firstLine="420" w:firstLineChars="200"/>
              <w:rPr>
                <w:rFonts w:hint="eastAsia" w:ascii="宋体" w:hAnsi="宋体" w:eastAsia="宋体" w:cs="宋体"/>
                <w:color w:val="auto"/>
                <w:sz w:val="21"/>
                <w:szCs w:val="21"/>
                <w14:ligatures w14:val="none"/>
              </w:rPr>
            </w:pPr>
            <w:r>
              <w:rPr>
                <w:rFonts w:hint="eastAsia" w:ascii="宋体" w:hAnsi="宋体" w:eastAsia="宋体" w:cs="宋体"/>
                <w:color w:val="auto"/>
                <w:sz w:val="21"/>
                <w:szCs w:val="21"/>
                <w14:ligatures w14:val="none"/>
              </w:rPr>
              <w:t>项目配置 1000kVA 箱式变压器、高压开闭所、智能开关、隔离刀闸等核心高压设备，配套完善低压配电柜、分户计量电表、电力线缆、杆塔桥架、接地防护、安全标识等全套设施，完成全系统调试检测，建成架构合理、负荷均衡、安全可靠、运维便捷的现代化供电体系，保障医院医疗业务及职工生活用电稳定有序。</w:t>
            </w:r>
          </w:p>
          <w:p w14:paraId="06D3F60F">
            <w:pPr>
              <w:spacing w:after="0" w:line="360" w:lineRule="auto"/>
              <w:rPr>
                <w:rFonts w:hint="eastAsia" w:ascii="宋体" w:hAnsi="宋体" w:eastAsia="宋体" w:cs="宋体"/>
                <w:b/>
                <w:bCs/>
                <w:color w:val="auto"/>
                <w:sz w:val="21"/>
                <w:szCs w:val="21"/>
                <w14:ligatures w14:val="none"/>
              </w:rPr>
            </w:pPr>
            <w:bookmarkStart w:id="82" w:name="heading_2"/>
            <w:r>
              <w:rPr>
                <w:rFonts w:hint="eastAsia" w:ascii="宋体" w:hAnsi="宋体" w:eastAsia="宋体" w:cs="宋体"/>
                <w:b/>
                <w:bCs/>
                <w:color w:val="auto"/>
                <w:sz w:val="21"/>
                <w:szCs w:val="21"/>
                <w14:ligatures w14:val="none"/>
              </w:rPr>
              <w:t>一、核心设备主要技术参数</w:t>
            </w:r>
            <w:bookmarkEnd w:id="82"/>
          </w:p>
          <w:p w14:paraId="2750A968">
            <w:pPr>
              <w:spacing w:after="0" w:line="360" w:lineRule="auto"/>
              <w:rPr>
                <w:rFonts w:hint="eastAsia" w:ascii="宋体" w:hAnsi="宋体" w:eastAsia="宋体" w:cs="宋体"/>
                <w:color w:val="auto"/>
                <w:sz w:val="21"/>
                <w:szCs w:val="21"/>
                <w:lang w:val="en-US" w:eastAsia="zh-CN"/>
                <w14:ligatures w14:val="none"/>
              </w:rPr>
            </w:pPr>
            <w:r>
              <w:rPr>
                <w:rFonts w:hint="eastAsia" w:ascii="宋体" w:hAnsi="宋体" w:eastAsia="宋体" w:cs="宋体"/>
                <w:color w:val="auto"/>
                <w:sz w:val="21"/>
                <w:szCs w:val="21"/>
                <w:lang w:val="en-US" w:eastAsia="zh-CN"/>
                <w14:ligatures w14:val="none"/>
              </w:rPr>
              <w:t>说明：核心设备参数中，标注为“</w:t>
            </w:r>
            <w:r>
              <w:rPr>
                <w:rFonts w:hint="eastAsia" w:ascii="宋体" w:hAnsi="宋体" w:eastAsia="宋体" w:cs="宋体"/>
                <w:color w:val="auto"/>
                <w:sz w:val="21"/>
                <w:szCs w:val="21"/>
                <w14:ligatures w14:val="none"/>
              </w:rPr>
              <w:t>▲</w:t>
            </w:r>
            <w:r>
              <w:rPr>
                <w:rFonts w:hint="eastAsia" w:ascii="宋体" w:hAnsi="宋体" w:eastAsia="宋体" w:cs="宋体"/>
                <w:color w:val="auto"/>
                <w:sz w:val="21"/>
                <w:szCs w:val="21"/>
                <w:lang w:val="en-US" w:eastAsia="zh-CN"/>
                <w14:ligatures w14:val="none"/>
              </w:rPr>
              <w:t>”的参数为实质性参数，不允许负偏离；标注为“</w:t>
            </w:r>
            <w:r>
              <w:rPr>
                <w:rFonts w:hint="eastAsia" w:ascii="宋体" w:hAnsi="宋体" w:eastAsia="宋体" w:cs="宋体"/>
                <w:color w:val="auto"/>
                <w:sz w:val="21"/>
                <w:szCs w:val="21"/>
                <w14:ligatures w14:val="none"/>
              </w:rPr>
              <w:t>★</w:t>
            </w:r>
            <w:r>
              <w:rPr>
                <w:rFonts w:hint="eastAsia" w:ascii="宋体" w:hAnsi="宋体" w:eastAsia="宋体" w:cs="宋体"/>
                <w:color w:val="auto"/>
                <w:sz w:val="21"/>
                <w:szCs w:val="21"/>
                <w:lang w:val="en-US" w:eastAsia="zh-CN"/>
                <w14:ligatures w14:val="none"/>
              </w:rPr>
              <w:t>”的参数为重要参数，设置为本项目的设备参数技术分；各设备均</w:t>
            </w:r>
            <w:r>
              <w:rPr>
                <w:rFonts w:hint="eastAsia" w:ascii="宋体" w:hAnsi="宋体" w:eastAsia="宋体" w:cs="宋体"/>
                <w:color w:val="auto"/>
                <w:sz w:val="21"/>
                <w:szCs w:val="21"/>
                <w14:ligatures w14:val="none"/>
              </w:rPr>
              <w:t>允许提供性能不低于本参数要求的同等级替代产品。</w:t>
            </w:r>
          </w:p>
          <w:p w14:paraId="3616713B">
            <w:pPr>
              <w:spacing w:after="0" w:line="360" w:lineRule="auto"/>
              <w:rPr>
                <w:rFonts w:hint="eastAsia" w:ascii="宋体" w:hAnsi="宋体" w:eastAsia="宋体" w:cs="宋体"/>
                <w:color w:val="auto"/>
                <w:sz w:val="21"/>
                <w:szCs w:val="21"/>
                <w14:ligatures w14:val="none"/>
              </w:rPr>
            </w:pPr>
            <w:r>
              <w:rPr>
                <w:rFonts w:hint="eastAsia" w:ascii="宋体" w:hAnsi="宋体" w:eastAsia="宋体" w:cs="宋体"/>
                <w:color w:val="auto"/>
                <w:sz w:val="21"/>
                <w:szCs w:val="21"/>
                <w14:ligatures w14:val="none"/>
              </w:rPr>
              <w:t>（一）电力变压器（性能不低于 S11‑M 系列）</w:t>
            </w:r>
            <w:r>
              <w:rPr>
                <w:rFonts w:hint="eastAsia" w:ascii="宋体" w:hAnsi="宋体" w:eastAsia="宋体" w:cs="宋体"/>
                <w:color w:val="auto"/>
                <w:sz w:val="21"/>
                <w:szCs w:val="21"/>
                <w14:ligatures w14:val="none"/>
              </w:rPr>
              <w:br w:type="textWrapping"/>
            </w:r>
            <w:r>
              <w:rPr>
                <w:rFonts w:hint="eastAsia" w:ascii="宋体" w:hAnsi="宋体" w:eastAsia="宋体" w:cs="宋体"/>
                <w:color w:val="auto"/>
                <w:sz w:val="21"/>
                <w:szCs w:val="21"/>
                <w:lang w:val="en-US" w:eastAsia="zh-CN"/>
                <w14:ligatures w14:val="none"/>
              </w:rPr>
              <w:t>1.</w:t>
            </w:r>
            <w:r>
              <w:rPr>
                <w:rFonts w:hint="eastAsia" w:ascii="宋体" w:hAnsi="宋体" w:eastAsia="宋体" w:cs="宋体"/>
                <w:color w:val="auto"/>
                <w:sz w:val="21"/>
                <w:szCs w:val="21"/>
                <w14:ligatures w14:val="none"/>
              </w:rPr>
              <w:t>产品型号：S11‑M‑1000/10</w:t>
            </w:r>
          </w:p>
          <w:p w14:paraId="022746EE">
            <w:pPr>
              <w:spacing w:after="0" w:line="360" w:lineRule="auto"/>
              <w:rPr>
                <w:rFonts w:hint="eastAsia" w:ascii="宋体" w:hAnsi="宋体" w:eastAsia="宋体" w:cs="宋体"/>
                <w:color w:val="auto"/>
                <w:sz w:val="21"/>
                <w:szCs w:val="21"/>
                <w14:ligatures w14:val="none"/>
              </w:rPr>
            </w:pPr>
            <w:r>
              <w:rPr>
                <w:rFonts w:hint="eastAsia" w:ascii="宋体" w:hAnsi="宋体" w:eastAsia="宋体" w:cs="宋体"/>
                <w:color w:val="auto"/>
                <w:sz w:val="21"/>
                <w:szCs w:val="21"/>
                <w14:ligatures w14:val="none"/>
              </w:rPr>
              <w:t>▲</w:t>
            </w:r>
            <w:r>
              <w:rPr>
                <w:rFonts w:hint="eastAsia" w:ascii="宋体" w:hAnsi="宋体" w:eastAsia="宋体" w:cs="宋体"/>
                <w:color w:val="auto"/>
                <w:sz w:val="21"/>
                <w:szCs w:val="21"/>
                <w:lang w:val="en-US" w:eastAsia="zh-CN"/>
                <w14:ligatures w14:val="none"/>
              </w:rPr>
              <w:t>2.</w:t>
            </w:r>
            <w:r>
              <w:rPr>
                <w:rFonts w:hint="eastAsia" w:ascii="宋体" w:hAnsi="宋体" w:eastAsia="宋体" w:cs="宋体"/>
                <w:color w:val="auto"/>
                <w:sz w:val="21"/>
                <w:szCs w:val="21"/>
                <w14:ligatures w14:val="none"/>
              </w:rPr>
              <w:t>额定容量</w:t>
            </w:r>
            <w:r>
              <w:rPr>
                <w:rFonts w:hint="eastAsia" w:ascii="宋体" w:hAnsi="宋体" w:eastAsia="宋体" w:cs="宋体"/>
                <w:color w:val="auto"/>
                <w:sz w:val="21"/>
                <w:szCs w:val="21"/>
                <w:lang w:eastAsia="zh-CN"/>
                <w14:ligatures w14:val="none"/>
              </w:rPr>
              <w:t>：</w:t>
            </w:r>
            <w:r>
              <w:rPr>
                <w:rFonts w:hint="eastAsia" w:ascii="宋体" w:hAnsi="宋体" w:eastAsia="宋体" w:cs="宋体"/>
                <w:color w:val="auto"/>
                <w:sz w:val="21"/>
                <w:szCs w:val="21"/>
                <w14:ligatures w14:val="none"/>
              </w:rPr>
              <w:t>1000kVA（50Hz 三相）</w:t>
            </w:r>
          </w:p>
          <w:p w14:paraId="3AB387F1">
            <w:pPr>
              <w:spacing w:after="0" w:line="360" w:lineRule="auto"/>
              <w:rPr>
                <w:rFonts w:hint="eastAsia" w:ascii="宋体" w:hAnsi="宋体" w:eastAsia="宋体" w:cs="宋体"/>
                <w:color w:val="auto"/>
                <w:sz w:val="21"/>
                <w:szCs w:val="21"/>
                <w14:ligatures w14:val="none"/>
              </w:rPr>
            </w:pPr>
            <w:r>
              <w:rPr>
                <w:rFonts w:hint="eastAsia" w:ascii="宋体" w:hAnsi="宋体" w:eastAsia="宋体" w:cs="宋体"/>
                <w:color w:val="auto"/>
                <w:sz w:val="21"/>
                <w:szCs w:val="21"/>
                <w:lang w:val="en-US" w:eastAsia="zh-CN"/>
                <w14:ligatures w14:val="none"/>
              </w:rPr>
              <w:t>3.</w:t>
            </w:r>
            <w:r>
              <w:rPr>
                <w:rFonts w:hint="eastAsia" w:ascii="宋体" w:hAnsi="宋体" w:eastAsia="宋体" w:cs="宋体"/>
                <w:color w:val="auto"/>
                <w:sz w:val="21"/>
                <w:szCs w:val="21"/>
                <w14:ligatures w14:val="none"/>
              </w:rPr>
              <w:t>额定频率：50Hz 三相</w:t>
            </w:r>
          </w:p>
          <w:p w14:paraId="5517EDF1">
            <w:pPr>
              <w:spacing w:after="0" w:line="360" w:lineRule="auto"/>
              <w:rPr>
                <w:rFonts w:hint="eastAsia" w:ascii="宋体" w:hAnsi="宋体" w:eastAsia="宋体" w:cs="宋体"/>
                <w:color w:val="auto"/>
                <w:sz w:val="21"/>
                <w:szCs w:val="21"/>
                <w14:ligatures w14:val="none"/>
              </w:rPr>
            </w:pPr>
            <w:r>
              <w:rPr>
                <w:rFonts w:hint="eastAsia" w:ascii="宋体" w:hAnsi="宋体" w:eastAsia="宋体" w:cs="宋体"/>
                <w:color w:val="auto"/>
                <w:sz w:val="21"/>
                <w:szCs w:val="21"/>
                <w14:ligatures w14:val="none"/>
              </w:rPr>
              <w:t>▲</w:t>
            </w:r>
            <w:r>
              <w:rPr>
                <w:rFonts w:hint="eastAsia" w:ascii="宋体" w:hAnsi="宋体" w:eastAsia="宋体" w:cs="宋体"/>
                <w:color w:val="auto"/>
                <w:sz w:val="21"/>
                <w:szCs w:val="21"/>
                <w:lang w:val="en-US" w:eastAsia="zh-CN"/>
                <w14:ligatures w14:val="none"/>
              </w:rPr>
              <w:t>4.</w:t>
            </w:r>
            <w:r>
              <w:rPr>
                <w:rFonts w:hint="eastAsia" w:ascii="宋体" w:hAnsi="宋体" w:eastAsia="宋体" w:cs="宋体"/>
                <w:color w:val="auto"/>
                <w:sz w:val="21"/>
                <w:szCs w:val="21"/>
                <w14:ligatures w14:val="none"/>
              </w:rPr>
              <w:t>高压侧额定电压</w:t>
            </w:r>
            <w:r>
              <w:rPr>
                <w:rFonts w:hint="eastAsia" w:ascii="宋体" w:hAnsi="宋体" w:eastAsia="宋体" w:cs="宋体"/>
                <w:color w:val="auto"/>
                <w:sz w:val="21"/>
                <w:szCs w:val="21"/>
                <w:lang w:eastAsia="zh-CN"/>
                <w14:ligatures w14:val="none"/>
              </w:rPr>
              <w:t>：</w:t>
            </w:r>
            <w:r>
              <w:rPr>
                <w:rFonts w:hint="eastAsia" w:ascii="宋体" w:hAnsi="宋体" w:eastAsia="宋体" w:cs="宋体"/>
                <w:color w:val="auto"/>
                <w:sz w:val="21"/>
                <w:szCs w:val="21"/>
                <w14:ligatures w14:val="none"/>
              </w:rPr>
              <w:t>10kV，低压侧额定电压</w:t>
            </w:r>
            <w:r>
              <w:rPr>
                <w:rFonts w:hint="eastAsia" w:ascii="宋体" w:hAnsi="宋体" w:eastAsia="宋体" w:cs="宋体"/>
                <w:color w:val="auto"/>
                <w:sz w:val="21"/>
                <w:szCs w:val="21"/>
                <w:lang w:eastAsia="zh-CN"/>
                <w14:ligatures w14:val="none"/>
              </w:rPr>
              <w:t>：</w:t>
            </w:r>
            <w:r>
              <w:rPr>
                <w:rFonts w:hint="eastAsia" w:ascii="宋体" w:hAnsi="宋体" w:eastAsia="宋体" w:cs="宋体"/>
                <w:color w:val="auto"/>
                <w:sz w:val="21"/>
                <w:szCs w:val="21"/>
                <w14:ligatures w14:val="none"/>
              </w:rPr>
              <w:t>0.4kV</w:t>
            </w:r>
          </w:p>
          <w:p w14:paraId="2BB7F00C">
            <w:pPr>
              <w:spacing w:after="0" w:line="360" w:lineRule="auto"/>
              <w:rPr>
                <w:rFonts w:hint="eastAsia" w:ascii="宋体" w:hAnsi="宋体" w:eastAsia="宋体" w:cs="宋体"/>
                <w:color w:val="auto"/>
                <w:sz w:val="21"/>
                <w:szCs w:val="21"/>
                <w14:ligatures w14:val="none"/>
              </w:rPr>
            </w:pPr>
            <w:r>
              <w:rPr>
                <w:rFonts w:hint="eastAsia" w:ascii="宋体" w:hAnsi="宋体" w:eastAsia="宋体" w:cs="宋体"/>
                <w:color w:val="auto"/>
                <w:sz w:val="21"/>
                <w:szCs w:val="21"/>
                <w14:ligatures w14:val="none"/>
              </w:rPr>
              <w:t>▲</w:t>
            </w:r>
            <w:r>
              <w:rPr>
                <w:rFonts w:hint="eastAsia" w:ascii="宋体" w:hAnsi="宋体" w:eastAsia="宋体" w:cs="宋体"/>
                <w:color w:val="auto"/>
                <w:sz w:val="21"/>
                <w:szCs w:val="21"/>
                <w:lang w:val="en-US" w:eastAsia="zh-CN"/>
                <w14:ligatures w14:val="none"/>
              </w:rPr>
              <w:t>5.</w:t>
            </w:r>
            <w:r>
              <w:rPr>
                <w:rFonts w:hint="eastAsia" w:ascii="宋体" w:hAnsi="宋体" w:eastAsia="宋体" w:cs="宋体"/>
                <w:color w:val="auto"/>
                <w:sz w:val="21"/>
                <w:szCs w:val="21"/>
                <w14:ligatures w14:val="none"/>
              </w:rPr>
              <w:t>高压额定电流</w:t>
            </w:r>
            <w:r>
              <w:rPr>
                <w:rFonts w:hint="eastAsia" w:ascii="宋体" w:hAnsi="宋体" w:eastAsia="宋体" w:cs="宋体"/>
                <w:color w:val="auto"/>
                <w:sz w:val="21"/>
                <w:szCs w:val="21"/>
                <w:lang w:eastAsia="zh-CN"/>
                <w14:ligatures w14:val="none"/>
              </w:rPr>
              <w:t>：</w:t>
            </w:r>
            <w:r>
              <w:rPr>
                <w:rFonts w:hint="eastAsia" w:ascii="宋体" w:hAnsi="宋体" w:eastAsia="宋体" w:cs="宋体"/>
                <w:color w:val="auto"/>
                <w:sz w:val="21"/>
                <w:szCs w:val="21"/>
                <w14:ligatures w14:val="none"/>
              </w:rPr>
              <w:t>57.7A，低压额定电流</w:t>
            </w:r>
            <w:r>
              <w:rPr>
                <w:rFonts w:hint="eastAsia" w:ascii="宋体" w:hAnsi="宋体" w:eastAsia="宋体" w:cs="宋体"/>
                <w:color w:val="auto"/>
                <w:sz w:val="21"/>
                <w:szCs w:val="21"/>
                <w:lang w:eastAsia="zh-CN"/>
                <w14:ligatures w14:val="none"/>
              </w:rPr>
              <w:t>：</w:t>
            </w:r>
            <w:r>
              <w:rPr>
                <w:rFonts w:hint="eastAsia" w:ascii="宋体" w:hAnsi="宋体" w:eastAsia="宋体" w:cs="宋体"/>
                <w:color w:val="auto"/>
                <w:sz w:val="21"/>
                <w:szCs w:val="21"/>
                <w14:ligatures w14:val="none"/>
              </w:rPr>
              <w:t>1443.4A</w:t>
            </w:r>
          </w:p>
          <w:p w14:paraId="45DBEF20">
            <w:pPr>
              <w:spacing w:after="0" w:line="360" w:lineRule="auto"/>
              <w:rPr>
                <w:rFonts w:hint="eastAsia" w:ascii="宋体" w:hAnsi="宋体" w:eastAsia="宋体" w:cs="宋体"/>
                <w:color w:val="auto"/>
                <w:sz w:val="21"/>
                <w:szCs w:val="21"/>
                <w14:ligatures w14:val="none"/>
              </w:rPr>
            </w:pPr>
            <w:r>
              <w:rPr>
                <w:rFonts w:hint="eastAsia" w:ascii="宋体" w:hAnsi="宋体" w:eastAsia="宋体" w:cs="宋体"/>
                <w:color w:val="auto"/>
                <w:sz w:val="21"/>
                <w:szCs w:val="21"/>
                <w14:ligatures w14:val="none"/>
              </w:rPr>
              <w:t>▲</w:t>
            </w:r>
            <w:r>
              <w:rPr>
                <w:rFonts w:hint="eastAsia" w:ascii="宋体" w:hAnsi="宋体" w:eastAsia="宋体" w:cs="宋体"/>
                <w:color w:val="auto"/>
                <w:sz w:val="21"/>
                <w:szCs w:val="21"/>
                <w:lang w:val="en-US" w:eastAsia="zh-CN"/>
                <w14:ligatures w14:val="none"/>
              </w:rPr>
              <w:t>6.</w:t>
            </w:r>
            <w:r>
              <w:rPr>
                <w:rFonts w:hint="eastAsia" w:ascii="宋体" w:hAnsi="宋体" w:eastAsia="宋体" w:cs="宋体"/>
                <w:color w:val="auto"/>
                <w:sz w:val="21"/>
                <w:szCs w:val="21"/>
                <w14:ligatures w14:val="none"/>
              </w:rPr>
              <w:t>连接组别</w:t>
            </w:r>
            <w:r>
              <w:rPr>
                <w:rFonts w:hint="eastAsia" w:ascii="宋体" w:hAnsi="宋体" w:eastAsia="宋体" w:cs="宋体"/>
                <w:color w:val="auto"/>
                <w:sz w:val="21"/>
                <w:szCs w:val="21"/>
                <w:lang w:eastAsia="zh-CN"/>
                <w14:ligatures w14:val="none"/>
              </w:rPr>
              <w:t>：</w:t>
            </w:r>
            <w:r>
              <w:rPr>
                <w:rFonts w:hint="eastAsia" w:ascii="宋体" w:hAnsi="宋体" w:eastAsia="宋体" w:cs="宋体"/>
                <w:color w:val="auto"/>
                <w:sz w:val="21"/>
                <w:szCs w:val="21"/>
                <w14:ligatures w14:val="none"/>
              </w:rPr>
              <w:t>Dyn11</w:t>
            </w:r>
          </w:p>
          <w:p w14:paraId="4D44A236">
            <w:pPr>
              <w:spacing w:after="0" w:line="360" w:lineRule="auto"/>
              <w:rPr>
                <w:rFonts w:hint="eastAsia" w:ascii="宋体" w:hAnsi="宋体" w:eastAsia="宋体" w:cs="宋体"/>
                <w:color w:val="auto"/>
                <w:sz w:val="21"/>
                <w:szCs w:val="21"/>
                <w14:ligatures w14:val="none"/>
              </w:rPr>
            </w:pPr>
            <w:r>
              <w:rPr>
                <w:rFonts w:hint="eastAsia" w:ascii="宋体" w:hAnsi="宋体" w:eastAsia="宋体" w:cs="宋体"/>
                <w:color w:val="auto"/>
                <w:sz w:val="21"/>
                <w:szCs w:val="21"/>
                <w14:ligatures w14:val="none"/>
              </w:rPr>
              <w:t>★</w:t>
            </w:r>
            <w:r>
              <w:rPr>
                <w:rFonts w:hint="eastAsia" w:ascii="宋体" w:hAnsi="宋体" w:eastAsia="宋体" w:cs="宋体"/>
                <w:color w:val="auto"/>
                <w:sz w:val="21"/>
                <w:szCs w:val="21"/>
                <w:lang w:val="en-US" w:eastAsia="zh-CN"/>
                <w14:ligatures w14:val="none"/>
              </w:rPr>
              <w:t>7.</w:t>
            </w:r>
            <w:r>
              <w:rPr>
                <w:rFonts w:hint="eastAsia" w:ascii="宋体" w:hAnsi="宋体" w:eastAsia="宋体" w:cs="宋体"/>
                <w:color w:val="auto"/>
                <w:sz w:val="21"/>
                <w:szCs w:val="21"/>
                <w14:ligatures w14:val="none"/>
              </w:rPr>
              <w:t>短路阻抗4.36%</w:t>
            </w:r>
          </w:p>
          <w:p w14:paraId="481AF7EE">
            <w:pPr>
              <w:spacing w:after="0" w:line="360" w:lineRule="auto"/>
              <w:rPr>
                <w:rFonts w:hint="eastAsia" w:ascii="宋体" w:hAnsi="宋体" w:eastAsia="宋体" w:cs="宋体"/>
                <w:color w:val="auto"/>
                <w:sz w:val="21"/>
                <w:szCs w:val="21"/>
                <w14:ligatures w14:val="none"/>
              </w:rPr>
            </w:pPr>
            <w:r>
              <w:rPr>
                <w:rFonts w:hint="eastAsia" w:ascii="宋体" w:hAnsi="宋体" w:eastAsia="宋体" w:cs="宋体"/>
                <w:color w:val="auto"/>
                <w:sz w:val="21"/>
                <w:szCs w:val="21"/>
                <w14:ligatures w14:val="none"/>
              </w:rPr>
              <w:t>▲</w:t>
            </w:r>
            <w:r>
              <w:rPr>
                <w:rFonts w:hint="eastAsia" w:ascii="宋体" w:hAnsi="宋体" w:eastAsia="宋体" w:cs="宋体"/>
                <w:color w:val="auto"/>
                <w:sz w:val="21"/>
                <w:szCs w:val="21"/>
                <w:lang w:val="en-US" w:eastAsia="zh-CN"/>
                <w14:ligatures w14:val="none"/>
              </w:rPr>
              <w:t>8.</w:t>
            </w:r>
            <w:r>
              <w:rPr>
                <w:rFonts w:hint="eastAsia" w:ascii="宋体" w:hAnsi="宋体" w:eastAsia="宋体" w:cs="宋体"/>
                <w:color w:val="auto"/>
                <w:sz w:val="21"/>
                <w:szCs w:val="21"/>
                <w14:ligatures w14:val="none"/>
              </w:rPr>
              <w:t>绝缘水平</w:t>
            </w:r>
            <w:r>
              <w:rPr>
                <w:rFonts w:hint="eastAsia" w:ascii="宋体" w:hAnsi="宋体" w:eastAsia="宋体" w:cs="宋体"/>
                <w:color w:val="auto"/>
                <w:sz w:val="21"/>
                <w:szCs w:val="21"/>
                <w:lang w:eastAsia="zh-CN"/>
                <w14:ligatures w14:val="none"/>
              </w:rPr>
              <w:t>：</w:t>
            </w:r>
            <w:r>
              <w:rPr>
                <w:rFonts w:hint="eastAsia" w:ascii="宋体" w:hAnsi="宋体" w:eastAsia="宋体" w:cs="宋体"/>
                <w:color w:val="auto"/>
                <w:sz w:val="21"/>
                <w:szCs w:val="21"/>
                <w14:ligatures w14:val="none"/>
              </w:rPr>
              <w:t>L175 AC35/L10 AC5</w:t>
            </w:r>
          </w:p>
          <w:p w14:paraId="72C03706">
            <w:pPr>
              <w:spacing w:after="0" w:line="360" w:lineRule="auto"/>
              <w:rPr>
                <w:rFonts w:hint="eastAsia" w:ascii="宋体" w:hAnsi="宋体" w:eastAsia="宋体" w:cs="宋体"/>
                <w:color w:val="auto"/>
                <w:sz w:val="21"/>
                <w:szCs w:val="21"/>
                <w14:ligatures w14:val="none"/>
              </w:rPr>
            </w:pPr>
            <w:r>
              <w:rPr>
                <w:rFonts w:hint="eastAsia" w:ascii="宋体" w:hAnsi="宋体" w:eastAsia="宋体" w:cs="宋体"/>
                <w:color w:val="auto"/>
                <w:sz w:val="21"/>
                <w:szCs w:val="21"/>
                <w14:ligatures w14:val="none"/>
              </w:rPr>
              <w:t>★</w:t>
            </w:r>
            <w:r>
              <w:rPr>
                <w:rFonts w:hint="eastAsia" w:ascii="宋体" w:hAnsi="宋体" w:eastAsia="宋体" w:cs="宋体"/>
                <w:color w:val="auto"/>
                <w:sz w:val="21"/>
                <w:szCs w:val="21"/>
                <w:lang w:val="en-US" w:eastAsia="zh-CN"/>
                <w14:ligatures w14:val="none"/>
              </w:rPr>
              <w:t>9.</w:t>
            </w:r>
            <w:r>
              <w:rPr>
                <w:rFonts w:hint="eastAsia" w:ascii="宋体" w:hAnsi="宋体" w:eastAsia="宋体" w:cs="宋体"/>
                <w:color w:val="auto"/>
                <w:sz w:val="21"/>
                <w:szCs w:val="21"/>
                <w14:ligatures w14:val="none"/>
              </w:rPr>
              <w:t>变压器空载损耗、负载损耗须满足 GB/T 6451 中 S11‑M 系列限值</w:t>
            </w:r>
          </w:p>
          <w:p w14:paraId="79DC2C8F">
            <w:pPr>
              <w:spacing w:after="0" w:line="360" w:lineRule="auto"/>
              <w:rPr>
                <w:rFonts w:hint="eastAsia" w:ascii="宋体" w:hAnsi="宋体" w:eastAsia="宋体" w:cs="宋体"/>
                <w:color w:val="auto"/>
                <w:sz w:val="21"/>
                <w:szCs w:val="21"/>
                <w14:ligatures w14:val="none"/>
              </w:rPr>
            </w:pPr>
            <w:r>
              <w:rPr>
                <w:rFonts w:hint="eastAsia" w:ascii="宋体" w:hAnsi="宋体" w:eastAsia="宋体" w:cs="宋体"/>
                <w:color w:val="auto"/>
                <w:sz w:val="21"/>
                <w:szCs w:val="21"/>
                <w14:ligatures w14:val="none"/>
              </w:rPr>
              <w:t>★</w:t>
            </w:r>
            <w:r>
              <w:rPr>
                <w:rFonts w:hint="eastAsia" w:ascii="宋体" w:hAnsi="宋体" w:eastAsia="宋体" w:cs="宋体"/>
                <w:color w:val="auto"/>
                <w:sz w:val="21"/>
                <w:szCs w:val="21"/>
                <w:lang w:val="en-US" w:eastAsia="zh-CN"/>
                <w14:ligatures w14:val="none"/>
              </w:rPr>
              <w:t>10.</w:t>
            </w:r>
            <w:r>
              <w:rPr>
                <w:rFonts w:hint="eastAsia" w:ascii="宋体" w:hAnsi="宋体" w:eastAsia="宋体" w:cs="宋体"/>
                <w:color w:val="auto"/>
                <w:sz w:val="21"/>
                <w:szCs w:val="21"/>
                <w14:ligatures w14:val="none"/>
              </w:rPr>
              <w:t>变压器应具备 120% 额定负荷短时过载运行能力</w:t>
            </w:r>
          </w:p>
          <w:p w14:paraId="56B75A1E">
            <w:pPr>
              <w:spacing w:after="0" w:line="360" w:lineRule="auto"/>
              <w:rPr>
                <w:rFonts w:hint="eastAsia" w:ascii="宋体" w:hAnsi="宋体" w:eastAsia="宋体" w:cs="宋体"/>
                <w:color w:val="auto"/>
                <w:sz w:val="21"/>
                <w:szCs w:val="21"/>
                <w14:ligatures w14:val="none"/>
              </w:rPr>
            </w:pPr>
            <w:r>
              <w:rPr>
                <w:rFonts w:hint="eastAsia" w:ascii="宋体" w:hAnsi="宋体" w:eastAsia="宋体" w:cs="宋体"/>
                <w:color w:val="auto"/>
                <w:sz w:val="21"/>
                <w:szCs w:val="21"/>
                <w14:ligatures w14:val="none"/>
              </w:rPr>
              <w:t>（二）12kV 固封式组合真空断路器（配置 2 台）</w:t>
            </w:r>
          </w:p>
          <w:p w14:paraId="68A30CFB">
            <w:pPr>
              <w:spacing w:after="0" w:line="360" w:lineRule="auto"/>
              <w:ind w:firstLine="420" w:firstLineChars="200"/>
              <w:rPr>
                <w:rFonts w:hint="eastAsia" w:ascii="宋体" w:hAnsi="宋体" w:eastAsia="宋体" w:cs="宋体"/>
                <w:color w:val="auto"/>
                <w:sz w:val="21"/>
                <w:szCs w:val="21"/>
                <w14:ligatures w14:val="none"/>
              </w:rPr>
            </w:pPr>
            <w:r>
              <w:rPr>
                <w:rFonts w:hint="eastAsia" w:ascii="宋体" w:hAnsi="宋体" w:eastAsia="宋体" w:cs="宋体"/>
                <w:color w:val="auto"/>
                <w:sz w:val="21"/>
                <w:szCs w:val="21"/>
                <w14:ligatures w14:val="none"/>
              </w:rPr>
              <w:t>本工程配置 2 台 12kV 固封式组合真空断路器：第 1 台为标准固封式组合真空断路器（用于馈出回路）；第 2 台为三工位一体化固封式组合真空断路器（集成断路器、隔离开关、接地开关，具备可见隔离断口，用于进线回路，满足检修安全联锁要求）。两台设备一次主回路电气性能指标必须完全一致。共同电气技术指标：</w:t>
            </w:r>
          </w:p>
          <w:p w14:paraId="4C1E9A60">
            <w:pPr>
              <w:spacing w:after="0" w:line="360" w:lineRule="auto"/>
              <w:rPr>
                <w:rFonts w:hint="eastAsia" w:ascii="宋体" w:hAnsi="宋体" w:eastAsia="宋体" w:cs="宋体"/>
                <w:color w:val="auto"/>
                <w:sz w:val="21"/>
                <w:szCs w:val="21"/>
                <w14:ligatures w14:val="none"/>
              </w:rPr>
            </w:pPr>
            <w:r>
              <w:rPr>
                <w:rFonts w:hint="eastAsia" w:ascii="宋体" w:hAnsi="宋体" w:eastAsia="宋体" w:cs="宋体"/>
                <w:color w:val="auto"/>
                <w:sz w:val="21"/>
                <w:szCs w:val="21"/>
                <w14:ligatures w14:val="none"/>
              </w:rPr>
              <w:t>▲</w:t>
            </w:r>
            <w:r>
              <w:rPr>
                <w:rFonts w:hint="eastAsia" w:ascii="宋体" w:hAnsi="宋体" w:eastAsia="宋体" w:cs="宋体"/>
                <w:color w:val="auto"/>
                <w:sz w:val="21"/>
                <w:szCs w:val="21"/>
                <w:lang w:val="en-US" w:eastAsia="zh-CN"/>
                <w14:ligatures w14:val="none"/>
              </w:rPr>
              <w:t>1.</w:t>
            </w:r>
            <w:r>
              <w:rPr>
                <w:rFonts w:hint="eastAsia" w:ascii="宋体" w:hAnsi="宋体" w:eastAsia="宋体" w:cs="宋体"/>
                <w:color w:val="auto"/>
                <w:sz w:val="21"/>
                <w:szCs w:val="21"/>
                <w14:ligatures w14:val="none"/>
              </w:rPr>
              <w:t>额定电压</w:t>
            </w:r>
            <w:r>
              <w:rPr>
                <w:rFonts w:hint="eastAsia" w:ascii="宋体" w:hAnsi="宋体" w:eastAsia="宋体" w:cs="宋体"/>
                <w:color w:val="auto"/>
                <w:sz w:val="21"/>
                <w:szCs w:val="21"/>
                <w:lang w:eastAsia="zh-CN"/>
                <w14:ligatures w14:val="none"/>
              </w:rPr>
              <w:t>：</w:t>
            </w:r>
            <w:r>
              <w:rPr>
                <w:rFonts w:hint="eastAsia" w:ascii="宋体" w:hAnsi="宋体" w:eastAsia="宋体" w:cs="宋体"/>
                <w:color w:val="auto"/>
                <w:sz w:val="21"/>
                <w:szCs w:val="21"/>
                <w14:ligatures w14:val="none"/>
              </w:rPr>
              <w:t>12kV</w:t>
            </w:r>
          </w:p>
          <w:p w14:paraId="1A7D82C5">
            <w:pPr>
              <w:spacing w:after="0" w:line="360" w:lineRule="auto"/>
              <w:rPr>
                <w:rFonts w:hint="eastAsia" w:ascii="宋体" w:hAnsi="宋体" w:eastAsia="宋体" w:cs="宋体"/>
                <w:color w:val="auto"/>
                <w:sz w:val="21"/>
                <w:szCs w:val="21"/>
                <w14:ligatures w14:val="none"/>
              </w:rPr>
            </w:pPr>
            <w:r>
              <w:rPr>
                <w:rFonts w:hint="eastAsia" w:ascii="宋体" w:hAnsi="宋体" w:eastAsia="宋体" w:cs="宋体"/>
                <w:color w:val="auto"/>
                <w:sz w:val="21"/>
                <w:szCs w:val="21"/>
                <w:lang w:val="en-US" w:eastAsia="zh-CN"/>
                <w14:ligatures w14:val="none"/>
              </w:rPr>
              <w:t>2</w:t>
            </w:r>
            <w:r>
              <w:rPr>
                <w:rFonts w:hint="eastAsia" w:ascii="宋体" w:hAnsi="宋体" w:eastAsia="宋体" w:cs="宋体"/>
                <w:color w:val="auto"/>
                <w:sz w:val="21"/>
                <w:szCs w:val="21"/>
                <w14:ligatures w14:val="none"/>
              </w:rPr>
              <w:t>额定频率：50Hz</w:t>
            </w:r>
          </w:p>
          <w:p w14:paraId="2D6FD2C0">
            <w:pPr>
              <w:spacing w:after="0" w:line="360" w:lineRule="auto"/>
              <w:rPr>
                <w:rFonts w:hint="eastAsia" w:ascii="宋体" w:hAnsi="宋体" w:eastAsia="宋体" w:cs="宋体"/>
                <w:color w:val="auto"/>
                <w:sz w:val="21"/>
                <w:szCs w:val="21"/>
                <w14:ligatures w14:val="none"/>
              </w:rPr>
            </w:pPr>
            <w:r>
              <w:rPr>
                <w:rFonts w:hint="eastAsia" w:ascii="宋体" w:hAnsi="宋体" w:eastAsia="宋体" w:cs="宋体"/>
                <w:color w:val="auto"/>
                <w:sz w:val="21"/>
                <w:szCs w:val="21"/>
                <w14:ligatures w14:val="none"/>
              </w:rPr>
              <w:t>▲</w:t>
            </w:r>
            <w:r>
              <w:rPr>
                <w:rFonts w:hint="eastAsia" w:ascii="宋体" w:hAnsi="宋体" w:eastAsia="宋体" w:cs="宋体"/>
                <w:color w:val="auto"/>
                <w:sz w:val="21"/>
                <w:szCs w:val="21"/>
                <w:lang w:val="en-US" w:eastAsia="zh-CN"/>
                <w14:ligatures w14:val="none"/>
              </w:rPr>
              <w:t>3.</w:t>
            </w:r>
            <w:r>
              <w:rPr>
                <w:rFonts w:hint="eastAsia" w:ascii="宋体" w:hAnsi="宋体" w:eastAsia="宋体" w:cs="宋体"/>
                <w:color w:val="auto"/>
                <w:sz w:val="21"/>
                <w:szCs w:val="21"/>
                <w14:ligatures w14:val="none"/>
              </w:rPr>
              <w:t>额定工作电流</w:t>
            </w:r>
            <w:r>
              <w:rPr>
                <w:rFonts w:hint="eastAsia" w:ascii="宋体" w:hAnsi="宋体" w:eastAsia="宋体" w:cs="宋体"/>
                <w:color w:val="auto"/>
                <w:sz w:val="21"/>
                <w:szCs w:val="21"/>
                <w:lang w:eastAsia="zh-CN"/>
                <w14:ligatures w14:val="none"/>
              </w:rPr>
              <w:t>：</w:t>
            </w:r>
            <w:r>
              <w:rPr>
                <w:rFonts w:hint="eastAsia" w:ascii="宋体" w:hAnsi="宋体" w:eastAsia="宋体" w:cs="宋体"/>
                <w:color w:val="auto"/>
                <w:sz w:val="21"/>
                <w:szCs w:val="21"/>
                <w14:ligatures w14:val="none"/>
              </w:rPr>
              <w:t>630A</w:t>
            </w:r>
          </w:p>
          <w:p w14:paraId="104484C1">
            <w:pPr>
              <w:spacing w:after="0" w:line="360" w:lineRule="auto"/>
              <w:rPr>
                <w:rFonts w:hint="eastAsia" w:ascii="宋体" w:hAnsi="宋体" w:eastAsia="宋体" w:cs="宋体"/>
                <w:color w:val="auto"/>
                <w:sz w:val="21"/>
                <w:szCs w:val="21"/>
                <w14:ligatures w14:val="none"/>
              </w:rPr>
            </w:pPr>
            <w:r>
              <w:rPr>
                <w:rFonts w:hint="eastAsia" w:ascii="宋体" w:hAnsi="宋体" w:eastAsia="宋体" w:cs="宋体"/>
                <w:color w:val="auto"/>
                <w:sz w:val="21"/>
                <w:szCs w:val="21"/>
                <w14:ligatures w14:val="none"/>
              </w:rPr>
              <w:t>▲</w:t>
            </w:r>
            <w:r>
              <w:rPr>
                <w:rFonts w:hint="eastAsia" w:ascii="宋体" w:hAnsi="宋体" w:eastAsia="宋体" w:cs="宋体"/>
                <w:color w:val="auto"/>
                <w:sz w:val="21"/>
                <w:szCs w:val="21"/>
                <w:lang w:val="en-US" w:eastAsia="zh-CN"/>
                <w14:ligatures w14:val="none"/>
              </w:rPr>
              <w:t>4.</w:t>
            </w:r>
            <w:r>
              <w:rPr>
                <w:rFonts w:hint="eastAsia" w:ascii="宋体" w:hAnsi="宋体" w:eastAsia="宋体" w:cs="宋体"/>
                <w:color w:val="auto"/>
                <w:sz w:val="21"/>
                <w:szCs w:val="21"/>
                <w14:ligatures w14:val="none"/>
              </w:rPr>
              <w:t>额定短路开断电流</w:t>
            </w:r>
            <w:r>
              <w:rPr>
                <w:rFonts w:hint="eastAsia" w:ascii="宋体" w:hAnsi="宋体" w:eastAsia="宋体" w:cs="宋体"/>
                <w:color w:val="auto"/>
                <w:sz w:val="21"/>
                <w:szCs w:val="21"/>
                <w:lang w:eastAsia="zh-CN"/>
                <w14:ligatures w14:val="none"/>
              </w:rPr>
              <w:t>：</w:t>
            </w:r>
            <w:r>
              <w:rPr>
                <w:rFonts w:hint="eastAsia" w:ascii="宋体" w:hAnsi="宋体" w:eastAsia="宋体" w:cs="宋体"/>
                <w:color w:val="auto"/>
                <w:sz w:val="21"/>
                <w:szCs w:val="21"/>
                <w14:ligatures w14:val="none"/>
              </w:rPr>
              <w:t>25kA</w:t>
            </w:r>
          </w:p>
          <w:p w14:paraId="661D6115">
            <w:pPr>
              <w:spacing w:after="0" w:line="360" w:lineRule="auto"/>
              <w:rPr>
                <w:rFonts w:hint="eastAsia" w:ascii="宋体" w:hAnsi="宋体" w:eastAsia="宋体" w:cs="宋体"/>
                <w:color w:val="auto"/>
                <w:sz w:val="21"/>
                <w:szCs w:val="21"/>
                <w14:ligatures w14:val="none"/>
              </w:rPr>
            </w:pPr>
            <w:r>
              <w:rPr>
                <w:rFonts w:hint="eastAsia" w:ascii="宋体" w:hAnsi="宋体" w:eastAsia="宋体" w:cs="宋体"/>
                <w:color w:val="auto"/>
                <w:sz w:val="21"/>
                <w:szCs w:val="21"/>
                <w14:ligatures w14:val="none"/>
              </w:rPr>
              <w:t>▲</w:t>
            </w:r>
            <w:r>
              <w:rPr>
                <w:rFonts w:hint="eastAsia" w:ascii="宋体" w:hAnsi="宋体" w:eastAsia="宋体" w:cs="宋体"/>
                <w:color w:val="auto"/>
                <w:sz w:val="21"/>
                <w:szCs w:val="21"/>
                <w:lang w:val="en-US" w:eastAsia="zh-CN"/>
                <w14:ligatures w14:val="none"/>
              </w:rPr>
              <w:t>5.</w:t>
            </w:r>
            <w:r>
              <w:rPr>
                <w:rFonts w:hint="eastAsia" w:ascii="宋体" w:hAnsi="宋体" w:eastAsia="宋体" w:cs="宋体"/>
                <w:color w:val="auto"/>
                <w:sz w:val="21"/>
                <w:szCs w:val="21"/>
                <w14:ligatures w14:val="none"/>
              </w:rPr>
              <w:t>额定短路持续时长</w:t>
            </w:r>
            <w:r>
              <w:rPr>
                <w:rFonts w:hint="eastAsia" w:ascii="宋体" w:hAnsi="宋体" w:eastAsia="宋体" w:cs="宋体"/>
                <w:color w:val="auto"/>
                <w:sz w:val="21"/>
                <w:szCs w:val="21"/>
                <w:lang w:eastAsia="zh-CN"/>
                <w14:ligatures w14:val="none"/>
              </w:rPr>
              <w:t>：</w:t>
            </w:r>
            <w:r>
              <w:rPr>
                <w:rFonts w:hint="eastAsia" w:ascii="宋体" w:hAnsi="宋体" w:eastAsia="宋体" w:cs="宋体"/>
                <w:color w:val="auto"/>
                <w:sz w:val="21"/>
                <w:szCs w:val="21"/>
                <w14:ligatures w14:val="none"/>
              </w:rPr>
              <w:t>4s</w:t>
            </w:r>
          </w:p>
          <w:p w14:paraId="663904C2">
            <w:pPr>
              <w:spacing w:after="0" w:line="360" w:lineRule="auto"/>
              <w:rPr>
                <w:rFonts w:hint="eastAsia" w:ascii="宋体" w:hAnsi="宋体" w:eastAsia="宋体" w:cs="宋体"/>
                <w:color w:val="auto"/>
                <w:sz w:val="21"/>
                <w:szCs w:val="21"/>
                <w14:ligatures w14:val="none"/>
              </w:rPr>
            </w:pPr>
            <w:r>
              <w:rPr>
                <w:rFonts w:hint="eastAsia" w:ascii="宋体" w:hAnsi="宋体" w:eastAsia="宋体" w:cs="宋体"/>
                <w:color w:val="auto"/>
                <w:sz w:val="21"/>
                <w:szCs w:val="21"/>
                <w14:ligatures w14:val="none"/>
              </w:rPr>
              <w:t>▲</w:t>
            </w:r>
            <w:r>
              <w:rPr>
                <w:rFonts w:hint="eastAsia" w:ascii="宋体" w:hAnsi="宋体" w:eastAsia="宋体" w:cs="宋体"/>
                <w:color w:val="auto"/>
                <w:sz w:val="21"/>
                <w:szCs w:val="21"/>
                <w:lang w:val="en-US" w:eastAsia="zh-CN"/>
                <w14:ligatures w14:val="none"/>
              </w:rPr>
              <w:t>6.</w:t>
            </w:r>
            <w:r>
              <w:rPr>
                <w:rFonts w:hint="eastAsia" w:ascii="宋体" w:hAnsi="宋体" w:eastAsia="宋体" w:cs="宋体"/>
                <w:color w:val="auto"/>
                <w:sz w:val="21"/>
                <w:szCs w:val="21"/>
                <w14:ligatures w14:val="none"/>
              </w:rPr>
              <w:t>额定雷电冲击耐受电压</w:t>
            </w:r>
            <w:r>
              <w:rPr>
                <w:rFonts w:hint="eastAsia" w:ascii="宋体" w:hAnsi="宋体" w:eastAsia="宋体" w:cs="宋体"/>
                <w:color w:val="auto"/>
                <w:sz w:val="21"/>
                <w:szCs w:val="21"/>
                <w:lang w:eastAsia="zh-CN"/>
                <w14:ligatures w14:val="none"/>
              </w:rPr>
              <w:t>：</w:t>
            </w:r>
            <w:r>
              <w:rPr>
                <w:rFonts w:hint="eastAsia" w:ascii="宋体" w:hAnsi="宋体" w:eastAsia="宋体" w:cs="宋体"/>
                <w:color w:val="auto"/>
                <w:sz w:val="21"/>
                <w:szCs w:val="21"/>
                <w14:ligatures w14:val="none"/>
              </w:rPr>
              <w:t>75kV</w:t>
            </w:r>
          </w:p>
          <w:p w14:paraId="348281AD">
            <w:pPr>
              <w:spacing w:after="0" w:line="360" w:lineRule="auto"/>
              <w:rPr>
                <w:rFonts w:hint="eastAsia" w:ascii="宋体" w:hAnsi="宋体" w:eastAsia="宋体" w:cs="宋体"/>
                <w:color w:val="auto"/>
                <w:sz w:val="21"/>
                <w:szCs w:val="21"/>
                <w:lang w:eastAsia="zh-CN"/>
                <w14:ligatures w14:val="none"/>
              </w:rPr>
            </w:pPr>
            <w:r>
              <w:rPr>
                <w:rFonts w:hint="eastAsia" w:ascii="宋体" w:hAnsi="宋体" w:eastAsia="宋体" w:cs="宋体"/>
                <w:color w:val="auto"/>
                <w:sz w:val="21"/>
                <w:szCs w:val="21"/>
                <w14:ligatures w14:val="none"/>
              </w:rPr>
              <w:t>★</w:t>
            </w:r>
            <w:r>
              <w:rPr>
                <w:rFonts w:hint="eastAsia" w:ascii="宋体" w:hAnsi="宋体" w:eastAsia="宋体" w:cs="宋体"/>
                <w:color w:val="auto"/>
                <w:sz w:val="21"/>
                <w:szCs w:val="21"/>
                <w:lang w:val="en-US" w:eastAsia="zh-CN"/>
                <w14:ligatures w14:val="none"/>
              </w:rPr>
              <w:t>7.</w:t>
            </w:r>
            <w:r>
              <w:rPr>
                <w:rFonts w:hint="eastAsia" w:ascii="宋体" w:hAnsi="宋体" w:eastAsia="宋体" w:cs="宋体"/>
                <w:color w:val="auto"/>
                <w:sz w:val="21"/>
                <w:szCs w:val="21"/>
                <w14:ligatures w14:val="none"/>
              </w:rPr>
              <w:t>操作电源 AC/DC 220V，应同时支持 AC220V、DC220V 可靠分合闸，不可仅支持单一交流或单一直流操作</w:t>
            </w:r>
            <w:r>
              <w:rPr>
                <w:rFonts w:hint="eastAsia" w:ascii="宋体" w:hAnsi="宋体" w:eastAsia="宋体" w:cs="宋体"/>
                <w:color w:val="auto"/>
                <w:sz w:val="21"/>
                <w:szCs w:val="21"/>
                <w:lang w:eastAsia="zh-CN"/>
                <w14:ligatures w14:val="none"/>
              </w:rPr>
              <w:t>。</w:t>
            </w:r>
          </w:p>
          <w:p w14:paraId="3DC4904A">
            <w:pPr>
              <w:spacing w:after="0" w:line="360" w:lineRule="auto"/>
              <w:rPr>
                <w:rFonts w:hint="eastAsia" w:ascii="宋体" w:hAnsi="宋体" w:eastAsia="宋体" w:cs="宋体"/>
                <w:color w:val="auto"/>
                <w:sz w:val="21"/>
                <w:szCs w:val="21"/>
                <w:lang w:eastAsia="zh-CN"/>
                <w14:ligatures w14:val="none"/>
              </w:rPr>
            </w:pPr>
            <w:r>
              <w:rPr>
                <w:rFonts w:hint="eastAsia" w:ascii="宋体" w:hAnsi="宋体" w:eastAsia="宋体" w:cs="宋体"/>
                <w:color w:val="auto"/>
                <w:sz w:val="21"/>
                <w:szCs w:val="21"/>
                <w14:ligatures w14:val="none"/>
              </w:rPr>
              <w:t>★</w:t>
            </w:r>
            <w:r>
              <w:rPr>
                <w:rFonts w:hint="eastAsia" w:ascii="宋体" w:hAnsi="宋体" w:eastAsia="宋体" w:cs="宋体"/>
                <w:color w:val="auto"/>
                <w:sz w:val="21"/>
                <w:szCs w:val="21"/>
                <w:lang w:val="en-US" w:eastAsia="zh-CN"/>
                <w14:ligatures w14:val="none"/>
              </w:rPr>
              <w:t>8.</w:t>
            </w:r>
            <w:r>
              <w:rPr>
                <w:rFonts w:hint="eastAsia" w:ascii="宋体" w:hAnsi="宋体" w:eastAsia="宋体" w:cs="宋体"/>
                <w:color w:val="auto"/>
                <w:sz w:val="21"/>
                <w:szCs w:val="21"/>
                <w14:ligatures w14:val="none"/>
              </w:rPr>
              <w:t>两台断路器全部一次主回路电气性能指标必须完全一致；其中进线回路断路器必须具备三工位功能，集成断路器、隔离开关、接地开关，具备机械强制五防联锁，提供可见隔离断口</w:t>
            </w:r>
            <w:r>
              <w:rPr>
                <w:rFonts w:hint="eastAsia" w:ascii="宋体" w:hAnsi="宋体" w:eastAsia="宋体" w:cs="宋体"/>
                <w:color w:val="auto"/>
                <w:sz w:val="21"/>
                <w:szCs w:val="21"/>
                <w:lang w:eastAsia="zh-CN"/>
                <w14:ligatures w14:val="none"/>
              </w:rPr>
              <w:t>。</w:t>
            </w:r>
          </w:p>
          <w:p w14:paraId="780F480C">
            <w:pPr>
              <w:spacing w:after="0" w:line="360" w:lineRule="auto"/>
              <w:rPr>
                <w:rFonts w:hint="eastAsia" w:ascii="宋体" w:hAnsi="宋体" w:eastAsia="宋体" w:cs="宋体"/>
                <w:color w:val="auto"/>
                <w:sz w:val="21"/>
                <w:szCs w:val="21"/>
                <w14:ligatures w14:val="none"/>
              </w:rPr>
            </w:pPr>
            <w:r>
              <w:rPr>
                <w:rFonts w:hint="eastAsia" w:ascii="宋体" w:hAnsi="宋体" w:cs="宋体"/>
                <w:color w:val="auto"/>
                <w:sz w:val="21"/>
                <w:szCs w:val="21"/>
                <w:lang w:eastAsia="zh-CN"/>
                <w14:ligatures w14:val="none"/>
              </w:rPr>
              <w:t>（</w:t>
            </w:r>
            <w:r>
              <w:rPr>
                <w:rFonts w:hint="eastAsia" w:ascii="宋体" w:hAnsi="宋体" w:cs="宋体"/>
                <w:color w:val="auto"/>
                <w:sz w:val="21"/>
                <w:szCs w:val="21"/>
                <w:lang w:val="en-US" w:eastAsia="zh-CN"/>
                <w14:ligatures w14:val="none"/>
              </w:rPr>
              <w:t>三</w:t>
            </w:r>
            <w:r>
              <w:rPr>
                <w:rFonts w:hint="eastAsia" w:ascii="宋体" w:hAnsi="宋体" w:cs="宋体"/>
                <w:color w:val="auto"/>
                <w:sz w:val="21"/>
                <w:szCs w:val="21"/>
                <w:lang w:eastAsia="zh-CN"/>
                <w14:ligatures w14:val="none"/>
              </w:rPr>
              <w:t>）</w:t>
            </w:r>
            <w:r>
              <w:rPr>
                <w:rFonts w:hint="eastAsia" w:ascii="宋体" w:hAnsi="宋体" w:eastAsia="宋体" w:cs="宋体"/>
                <w:color w:val="auto"/>
                <w:sz w:val="21"/>
                <w:szCs w:val="21"/>
                <w14:ligatures w14:val="none"/>
              </w:rPr>
              <w:t>12kV 户内高压环网柜</w:t>
            </w:r>
          </w:p>
          <w:p w14:paraId="0547E1F4">
            <w:pPr>
              <w:spacing w:after="0" w:line="360" w:lineRule="auto"/>
              <w:rPr>
                <w:rFonts w:hint="eastAsia" w:ascii="宋体" w:hAnsi="宋体" w:eastAsia="宋体" w:cs="宋体"/>
                <w:color w:val="auto"/>
                <w:sz w:val="21"/>
                <w:szCs w:val="21"/>
                <w14:ligatures w14:val="none"/>
              </w:rPr>
            </w:pPr>
            <w:r>
              <w:rPr>
                <w:rFonts w:hint="eastAsia" w:ascii="宋体" w:hAnsi="宋体" w:eastAsia="宋体" w:cs="宋体"/>
                <w:color w:val="auto"/>
                <w:sz w:val="21"/>
                <w:szCs w:val="21"/>
                <w:lang w:val="en-US" w:eastAsia="zh-CN"/>
                <w14:ligatures w14:val="none"/>
              </w:rPr>
              <w:t>1.</w:t>
            </w:r>
            <w:r>
              <w:rPr>
                <w:rFonts w:hint="eastAsia" w:ascii="宋体" w:hAnsi="宋体" w:eastAsia="宋体" w:cs="宋体"/>
                <w:color w:val="auto"/>
                <w:sz w:val="21"/>
                <w:szCs w:val="21"/>
                <w14:ligatures w14:val="none"/>
              </w:rPr>
              <w:t>产品型号：XGN15‑12</w:t>
            </w:r>
          </w:p>
          <w:p w14:paraId="5AA05D59">
            <w:pPr>
              <w:spacing w:after="0" w:line="360" w:lineRule="auto"/>
              <w:rPr>
                <w:rFonts w:hint="eastAsia" w:ascii="宋体" w:hAnsi="宋体" w:eastAsia="宋体" w:cs="宋体"/>
                <w:color w:val="auto"/>
                <w:sz w:val="21"/>
                <w:szCs w:val="21"/>
                <w14:ligatures w14:val="none"/>
              </w:rPr>
            </w:pPr>
            <w:r>
              <w:rPr>
                <w:rFonts w:hint="eastAsia" w:ascii="宋体" w:hAnsi="宋体" w:eastAsia="宋体" w:cs="宋体"/>
                <w:color w:val="auto"/>
                <w:sz w:val="21"/>
                <w:szCs w:val="21"/>
                <w14:ligatures w14:val="none"/>
              </w:rPr>
              <w:t>▲</w:t>
            </w:r>
            <w:r>
              <w:rPr>
                <w:rFonts w:hint="eastAsia" w:ascii="宋体" w:hAnsi="宋体" w:eastAsia="宋体" w:cs="宋体"/>
                <w:color w:val="auto"/>
                <w:sz w:val="21"/>
                <w:szCs w:val="21"/>
                <w:lang w:val="en-US" w:eastAsia="zh-CN"/>
                <w14:ligatures w14:val="none"/>
              </w:rPr>
              <w:t>2.</w:t>
            </w:r>
            <w:r>
              <w:rPr>
                <w:rFonts w:hint="eastAsia" w:ascii="宋体" w:hAnsi="宋体" w:eastAsia="宋体" w:cs="宋体"/>
                <w:color w:val="auto"/>
                <w:sz w:val="21"/>
                <w:szCs w:val="21"/>
                <w14:ligatures w14:val="none"/>
              </w:rPr>
              <w:t>额定电压</w:t>
            </w:r>
            <w:r>
              <w:rPr>
                <w:rFonts w:hint="eastAsia" w:ascii="宋体" w:hAnsi="宋体" w:eastAsia="宋体" w:cs="宋体"/>
                <w:color w:val="auto"/>
                <w:sz w:val="21"/>
                <w:szCs w:val="21"/>
                <w:lang w:eastAsia="zh-CN"/>
                <w14:ligatures w14:val="none"/>
              </w:rPr>
              <w:t>：</w:t>
            </w:r>
            <w:r>
              <w:rPr>
                <w:rFonts w:hint="eastAsia" w:ascii="宋体" w:hAnsi="宋体" w:eastAsia="宋体" w:cs="宋体"/>
                <w:color w:val="auto"/>
                <w:sz w:val="21"/>
                <w:szCs w:val="21"/>
                <w14:ligatures w14:val="none"/>
              </w:rPr>
              <w:t>12kV</w:t>
            </w:r>
          </w:p>
          <w:p w14:paraId="7C68EC13">
            <w:pPr>
              <w:spacing w:after="0" w:line="360" w:lineRule="auto"/>
              <w:rPr>
                <w:rFonts w:hint="eastAsia" w:ascii="宋体" w:hAnsi="宋体" w:eastAsia="宋体" w:cs="宋体"/>
                <w:color w:val="auto"/>
                <w:sz w:val="21"/>
                <w:szCs w:val="21"/>
                <w14:ligatures w14:val="none"/>
              </w:rPr>
            </w:pPr>
            <w:r>
              <w:rPr>
                <w:rFonts w:hint="eastAsia" w:ascii="宋体" w:hAnsi="宋体" w:eastAsia="宋体" w:cs="宋体"/>
                <w:color w:val="auto"/>
                <w:sz w:val="21"/>
                <w:szCs w:val="21"/>
                <w:lang w:val="en-US" w:eastAsia="zh-CN"/>
                <w14:ligatures w14:val="none"/>
              </w:rPr>
              <w:t>3.</w:t>
            </w:r>
            <w:r>
              <w:rPr>
                <w:rFonts w:hint="eastAsia" w:ascii="宋体" w:hAnsi="宋体" w:eastAsia="宋体" w:cs="宋体"/>
                <w:color w:val="auto"/>
                <w:sz w:val="21"/>
                <w:szCs w:val="21"/>
                <w14:ligatures w14:val="none"/>
              </w:rPr>
              <w:t>额定频率：50Hz</w:t>
            </w:r>
          </w:p>
          <w:p w14:paraId="36C81D75">
            <w:pPr>
              <w:spacing w:after="0" w:line="360" w:lineRule="auto"/>
              <w:rPr>
                <w:rFonts w:hint="eastAsia" w:ascii="宋体" w:hAnsi="宋体" w:eastAsia="宋体" w:cs="宋体"/>
                <w:color w:val="auto"/>
                <w:sz w:val="21"/>
                <w:szCs w:val="21"/>
                <w14:ligatures w14:val="none"/>
              </w:rPr>
            </w:pPr>
            <w:r>
              <w:rPr>
                <w:rFonts w:hint="eastAsia" w:ascii="宋体" w:hAnsi="宋体" w:eastAsia="宋体" w:cs="宋体"/>
                <w:color w:val="auto"/>
                <w:sz w:val="21"/>
                <w:szCs w:val="21"/>
                <w14:ligatures w14:val="none"/>
              </w:rPr>
              <w:t>▲</w:t>
            </w:r>
            <w:r>
              <w:rPr>
                <w:rFonts w:hint="eastAsia" w:ascii="宋体" w:hAnsi="宋体" w:eastAsia="宋体" w:cs="宋体"/>
                <w:color w:val="auto"/>
                <w:sz w:val="21"/>
                <w:szCs w:val="21"/>
                <w:lang w:val="en-US" w:eastAsia="zh-CN"/>
                <w14:ligatures w14:val="none"/>
              </w:rPr>
              <w:t>4.</w:t>
            </w:r>
            <w:r>
              <w:rPr>
                <w:rFonts w:hint="eastAsia" w:ascii="宋体" w:hAnsi="宋体" w:eastAsia="宋体" w:cs="宋体"/>
                <w:color w:val="auto"/>
                <w:sz w:val="21"/>
                <w:szCs w:val="21"/>
                <w14:ligatures w14:val="none"/>
              </w:rPr>
              <w:t>额定工作电流</w:t>
            </w:r>
            <w:r>
              <w:rPr>
                <w:rFonts w:hint="eastAsia" w:ascii="宋体" w:hAnsi="宋体" w:eastAsia="宋体" w:cs="宋体"/>
                <w:color w:val="auto"/>
                <w:sz w:val="21"/>
                <w:szCs w:val="21"/>
                <w:lang w:eastAsia="zh-CN"/>
                <w14:ligatures w14:val="none"/>
              </w:rPr>
              <w:t>：</w:t>
            </w:r>
            <w:r>
              <w:rPr>
                <w:rFonts w:hint="eastAsia" w:ascii="宋体" w:hAnsi="宋体" w:eastAsia="宋体" w:cs="宋体"/>
                <w:color w:val="auto"/>
                <w:sz w:val="21"/>
                <w:szCs w:val="21"/>
                <w14:ligatures w14:val="none"/>
              </w:rPr>
              <w:t>630A</w:t>
            </w:r>
          </w:p>
          <w:p w14:paraId="36F5AE3C">
            <w:pPr>
              <w:spacing w:after="0" w:line="360" w:lineRule="auto"/>
              <w:rPr>
                <w:rFonts w:hint="eastAsia" w:ascii="宋体" w:hAnsi="宋体" w:eastAsia="宋体" w:cs="宋体"/>
                <w:color w:val="auto"/>
                <w:sz w:val="21"/>
                <w:szCs w:val="21"/>
                <w14:ligatures w14:val="none"/>
              </w:rPr>
            </w:pPr>
            <w:r>
              <w:rPr>
                <w:rFonts w:hint="eastAsia" w:ascii="宋体" w:hAnsi="宋体" w:eastAsia="宋体" w:cs="宋体"/>
                <w:color w:val="auto"/>
                <w:sz w:val="21"/>
                <w:szCs w:val="21"/>
                <w14:ligatures w14:val="none"/>
              </w:rPr>
              <w:t>▲</w:t>
            </w:r>
            <w:r>
              <w:rPr>
                <w:rFonts w:hint="eastAsia" w:ascii="宋体" w:hAnsi="宋体" w:eastAsia="宋体" w:cs="宋体"/>
                <w:color w:val="auto"/>
                <w:sz w:val="21"/>
                <w:szCs w:val="21"/>
                <w:lang w:val="en-US" w:eastAsia="zh-CN"/>
                <w14:ligatures w14:val="none"/>
              </w:rPr>
              <w:t>5.</w:t>
            </w:r>
            <w:r>
              <w:rPr>
                <w:rFonts w:hint="eastAsia" w:ascii="宋体" w:hAnsi="宋体" w:eastAsia="宋体" w:cs="宋体"/>
                <w:color w:val="auto"/>
                <w:sz w:val="21"/>
                <w:szCs w:val="21"/>
                <w14:ligatures w14:val="none"/>
              </w:rPr>
              <w:t>额定短路开断电流</w:t>
            </w:r>
            <w:r>
              <w:rPr>
                <w:rFonts w:hint="eastAsia" w:ascii="宋体" w:hAnsi="宋体" w:eastAsia="宋体" w:cs="宋体"/>
                <w:color w:val="auto"/>
                <w:sz w:val="21"/>
                <w:szCs w:val="21"/>
                <w:lang w:eastAsia="zh-CN"/>
                <w14:ligatures w14:val="none"/>
              </w:rPr>
              <w:t>：</w:t>
            </w:r>
            <w:r>
              <w:rPr>
                <w:rFonts w:hint="eastAsia" w:ascii="宋体" w:hAnsi="宋体" w:eastAsia="宋体" w:cs="宋体"/>
                <w:color w:val="auto"/>
                <w:sz w:val="21"/>
                <w:szCs w:val="21"/>
                <w14:ligatures w14:val="none"/>
              </w:rPr>
              <w:t>25kA</w:t>
            </w:r>
          </w:p>
          <w:p w14:paraId="62F1FA57">
            <w:pPr>
              <w:spacing w:after="0" w:line="360" w:lineRule="auto"/>
              <w:rPr>
                <w:rFonts w:hint="eastAsia" w:ascii="宋体" w:hAnsi="宋体" w:eastAsia="宋体" w:cs="宋体"/>
                <w:color w:val="auto"/>
                <w:sz w:val="21"/>
                <w:szCs w:val="21"/>
                <w14:ligatures w14:val="none"/>
              </w:rPr>
            </w:pPr>
            <w:r>
              <w:rPr>
                <w:rFonts w:hint="eastAsia" w:ascii="宋体" w:hAnsi="宋体" w:eastAsia="宋体" w:cs="宋体"/>
                <w:color w:val="auto"/>
                <w:sz w:val="21"/>
                <w:szCs w:val="21"/>
                <w14:ligatures w14:val="none"/>
              </w:rPr>
              <w:t>▲</w:t>
            </w:r>
            <w:r>
              <w:rPr>
                <w:rFonts w:hint="eastAsia" w:ascii="宋体" w:hAnsi="宋体" w:eastAsia="宋体" w:cs="宋体"/>
                <w:color w:val="auto"/>
                <w:sz w:val="21"/>
                <w:szCs w:val="21"/>
                <w:lang w:val="en-US" w:eastAsia="zh-CN"/>
                <w14:ligatures w14:val="none"/>
              </w:rPr>
              <w:t>6.</w:t>
            </w:r>
            <w:r>
              <w:rPr>
                <w:rFonts w:hint="eastAsia" w:ascii="宋体" w:hAnsi="宋体" w:eastAsia="宋体" w:cs="宋体"/>
                <w:color w:val="auto"/>
                <w:sz w:val="21"/>
                <w:szCs w:val="21"/>
                <w14:ligatures w14:val="none"/>
              </w:rPr>
              <w:t>4s热稳定电流</w:t>
            </w:r>
            <w:r>
              <w:rPr>
                <w:rFonts w:hint="eastAsia" w:ascii="宋体" w:hAnsi="宋体" w:eastAsia="宋体" w:cs="宋体"/>
                <w:color w:val="auto"/>
                <w:sz w:val="21"/>
                <w:szCs w:val="21"/>
                <w:lang w:eastAsia="zh-CN"/>
                <w14:ligatures w14:val="none"/>
              </w:rPr>
              <w:t>：</w:t>
            </w:r>
            <w:r>
              <w:rPr>
                <w:rFonts w:hint="eastAsia" w:ascii="宋体" w:hAnsi="宋体" w:eastAsia="宋体" w:cs="宋体"/>
                <w:color w:val="auto"/>
                <w:sz w:val="21"/>
                <w:szCs w:val="21"/>
                <w14:ligatures w14:val="none"/>
              </w:rPr>
              <w:t>25kA</w:t>
            </w:r>
          </w:p>
          <w:p w14:paraId="739C7C8B">
            <w:pPr>
              <w:spacing w:after="0" w:line="360" w:lineRule="auto"/>
              <w:rPr>
                <w:rFonts w:hint="eastAsia" w:ascii="宋体" w:hAnsi="宋体" w:eastAsia="宋体" w:cs="宋体"/>
                <w:color w:val="auto"/>
                <w:sz w:val="21"/>
                <w:szCs w:val="21"/>
                <w14:ligatures w14:val="none"/>
              </w:rPr>
            </w:pPr>
            <w:r>
              <w:rPr>
                <w:rFonts w:hint="eastAsia" w:ascii="宋体" w:hAnsi="宋体" w:eastAsia="宋体" w:cs="宋体"/>
                <w:color w:val="auto"/>
                <w:sz w:val="21"/>
                <w:szCs w:val="21"/>
                <w14:ligatures w14:val="none"/>
              </w:rPr>
              <w:t>▲</w:t>
            </w:r>
            <w:r>
              <w:rPr>
                <w:rFonts w:hint="eastAsia" w:ascii="宋体" w:hAnsi="宋体" w:eastAsia="宋体" w:cs="宋体"/>
                <w:color w:val="auto"/>
                <w:sz w:val="21"/>
                <w:szCs w:val="21"/>
                <w:lang w:val="en-US" w:eastAsia="zh-CN"/>
                <w14:ligatures w14:val="none"/>
              </w:rPr>
              <w:t>7.</w:t>
            </w:r>
            <w:r>
              <w:rPr>
                <w:rFonts w:hint="eastAsia" w:ascii="宋体" w:hAnsi="宋体" w:eastAsia="宋体" w:cs="宋体"/>
                <w:color w:val="auto"/>
                <w:sz w:val="21"/>
                <w:szCs w:val="21"/>
                <w14:ligatures w14:val="none"/>
              </w:rPr>
              <w:t>防护等级</w:t>
            </w:r>
            <w:r>
              <w:rPr>
                <w:rFonts w:hint="eastAsia" w:ascii="宋体" w:hAnsi="宋体" w:eastAsia="宋体" w:cs="宋体"/>
                <w:color w:val="auto"/>
                <w:sz w:val="21"/>
                <w:szCs w:val="21"/>
                <w:lang w:eastAsia="zh-CN"/>
                <w14:ligatures w14:val="none"/>
              </w:rPr>
              <w:t>：</w:t>
            </w:r>
            <w:r>
              <w:rPr>
                <w:rFonts w:hint="eastAsia" w:ascii="宋体" w:hAnsi="宋体" w:eastAsia="宋体" w:cs="宋体"/>
                <w:color w:val="auto"/>
                <w:sz w:val="21"/>
                <w:szCs w:val="21"/>
                <w14:ligatures w14:val="none"/>
              </w:rPr>
              <w:t>IP4X</w:t>
            </w:r>
          </w:p>
          <w:p w14:paraId="4C5956E5">
            <w:pPr>
              <w:spacing w:after="0" w:line="360" w:lineRule="auto"/>
              <w:rPr>
                <w:rFonts w:hint="eastAsia" w:ascii="宋体" w:hAnsi="宋体" w:eastAsia="宋体" w:cs="宋体"/>
                <w:color w:val="auto"/>
                <w:sz w:val="21"/>
                <w:szCs w:val="21"/>
                <w14:ligatures w14:val="none"/>
              </w:rPr>
            </w:pPr>
            <w:r>
              <w:rPr>
                <w:rFonts w:hint="eastAsia" w:ascii="宋体" w:hAnsi="宋体" w:eastAsia="宋体" w:cs="宋体"/>
                <w:color w:val="auto"/>
                <w:sz w:val="21"/>
                <w:szCs w:val="21"/>
                <w14:ligatures w14:val="none"/>
              </w:rPr>
              <w:t>★</w:t>
            </w:r>
            <w:r>
              <w:rPr>
                <w:rFonts w:hint="eastAsia" w:ascii="宋体" w:hAnsi="宋体" w:eastAsia="宋体" w:cs="宋体"/>
                <w:color w:val="auto"/>
                <w:sz w:val="21"/>
                <w:szCs w:val="21"/>
                <w:lang w:val="en-US" w:eastAsia="zh-CN"/>
                <w14:ligatures w14:val="none"/>
              </w:rPr>
              <w:t>8.</w:t>
            </w:r>
            <w:r>
              <w:rPr>
                <w:rFonts w:hint="eastAsia" w:ascii="宋体" w:hAnsi="宋体" w:eastAsia="宋体" w:cs="宋体"/>
                <w:color w:val="auto"/>
                <w:sz w:val="21"/>
                <w:szCs w:val="21"/>
                <w14:ligatures w14:val="none"/>
              </w:rPr>
              <w:t>柜体主回路、接地回路须可承受≥25kA/4s 短路热稳定</w:t>
            </w:r>
          </w:p>
          <w:p w14:paraId="1E9432CB">
            <w:pPr>
              <w:spacing w:after="0" w:line="360" w:lineRule="auto"/>
              <w:rPr>
                <w:rFonts w:hint="eastAsia" w:ascii="宋体" w:hAnsi="宋体" w:eastAsia="宋体" w:cs="宋体"/>
                <w:color w:val="auto"/>
                <w:sz w:val="21"/>
                <w:szCs w:val="21"/>
                <w14:ligatures w14:val="none"/>
              </w:rPr>
            </w:pPr>
            <w:r>
              <w:rPr>
                <w:rFonts w:hint="eastAsia" w:ascii="宋体" w:hAnsi="宋体" w:cs="宋体"/>
                <w:color w:val="auto"/>
                <w:sz w:val="21"/>
                <w:szCs w:val="21"/>
                <w:lang w:eastAsia="zh-CN"/>
                <w14:ligatures w14:val="none"/>
              </w:rPr>
              <w:t>（</w:t>
            </w:r>
            <w:r>
              <w:rPr>
                <w:rFonts w:hint="eastAsia" w:ascii="宋体" w:hAnsi="宋体" w:cs="宋体"/>
                <w:color w:val="auto"/>
                <w:sz w:val="21"/>
                <w:szCs w:val="21"/>
                <w:lang w:val="en-US" w:eastAsia="zh-CN"/>
                <w14:ligatures w14:val="none"/>
              </w:rPr>
              <w:t>四</w:t>
            </w:r>
            <w:r>
              <w:rPr>
                <w:rFonts w:hint="eastAsia" w:ascii="宋体" w:hAnsi="宋体" w:cs="宋体"/>
                <w:color w:val="auto"/>
                <w:sz w:val="21"/>
                <w:szCs w:val="21"/>
                <w:lang w:eastAsia="zh-CN"/>
                <w14:ligatures w14:val="none"/>
              </w:rPr>
              <w:t>）</w:t>
            </w:r>
            <w:r>
              <w:rPr>
                <w:rFonts w:hint="eastAsia" w:ascii="宋体" w:hAnsi="宋体" w:eastAsia="宋体" w:cs="宋体"/>
                <w:color w:val="auto"/>
                <w:sz w:val="21"/>
                <w:szCs w:val="21"/>
                <w14:ligatures w14:val="none"/>
              </w:rPr>
              <w:t>低压成套开关设备（符合 GB7251 系列标准）</w:t>
            </w:r>
          </w:p>
          <w:p w14:paraId="602E2B24">
            <w:pPr>
              <w:spacing w:after="0" w:line="360" w:lineRule="auto"/>
              <w:rPr>
                <w:rFonts w:hint="eastAsia" w:ascii="宋体" w:hAnsi="宋体" w:eastAsia="宋体" w:cs="宋体"/>
                <w:color w:val="auto"/>
                <w:sz w:val="21"/>
                <w:szCs w:val="21"/>
                <w14:ligatures w14:val="none"/>
              </w:rPr>
            </w:pPr>
            <w:r>
              <w:rPr>
                <w:rFonts w:hint="eastAsia" w:ascii="宋体" w:hAnsi="宋体" w:eastAsia="宋体" w:cs="宋体"/>
                <w:color w:val="auto"/>
                <w:sz w:val="21"/>
                <w:szCs w:val="21"/>
                <w:lang w:val="en-US" w:eastAsia="zh-CN"/>
                <w14:ligatures w14:val="none"/>
              </w:rPr>
              <w:t>1.</w:t>
            </w:r>
            <w:r>
              <w:rPr>
                <w:rFonts w:hint="eastAsia" w:ascii="宋体" w:hAnsi="宋体" w:eastAsia="宋体" w:cs="宋体"/>
                <w:color w:val="auto"/>
                <w:sz w:val="21"/>
                <w:szCs w:val="21"/>
                <w14:ligatures w14:val="none"/>
              </w:rPr>
              <w:t>产品型号：GGD</w:t>
            </w:r>
          </w:p>
          <w:p w14:paraId="51ECBC2E">
            <w:pPr>
              <w:spacing w:after="0" w:line="360" w:lineRule="auto"/>
              <w:rPr>
                <w:rFonts w:hint="eastAsia" w:ascii="宋体" w:hAnsi="宋体" w:eastAsia="宋体" w:cs="宋体"/>
                <w:color w:val="auto"/>
                <w:sz w:val="21"/>
                <w:szCs w:val="21"/>
                <w14:ligatures w14:val="none"/>
              </w:rPr>
            </w:pPr>
            <w:r>
              <w:rPr>
                <w:rFonts w:hint="eastAsia" w:ascii="宋体" w:hAnsi="宋体" w:eastAsia="宋体" w:cs="宋体"/>
                <w:color w:val="auto"/>
                <w:sz w:val="21"/>
                <w:szCs w:val="21"/>
                <w14:ligatures w14:val="none"/>
              </w:rPr>
              <w:t>▲</w:t>
            </w:r>
            <w:r>
              <w:rPr>
                <w:rFonts w:hint="eastAsia" w:ascii="宋体" w:hAnsi="宋体" w:eastAsia="宋体" w:cs="宋体"/>
                <w:color w:val="auto"/>
                <w:sz w:val="21"/>
                <w:szCs w:val="21"/>
                <w:lang w:val="en-US" w:eastAsia="zh-CN"/>
                <w14:ligatures w14:val="none"/>
              </w:rPr>
              <w:t>2.</w:t>
            </w:r>
            <w:r>
              <w:rPr>
                <w:rFonts w:hint="eastAsia" w:ascii="宋体" w:hAnsi="宋体" w:eastAsia="宋体" w:cs="宋体"/>
                <w:color w:val="auto"/>
                <w:sz w:val="21"/>
                <w:szCs w:val="21"/>
                <w14:ligatures w14:val="none"/>
              </w:rPr>
              <w:t>额定电压</w:t>
            </w:r>
            <w:r>
              <w:rPr>
                <w:rFonts w:hint="eastAsia" w:ascii="宋体" w:hAnsi="宋体" w:eastAsia="宋体" w:cs="宋体"/>
                <w:color w:val="auto"/>
                <w:sz w:val="21"/>
                <w:szCs w:val="21"/>
                <w:lang w:eastAsia="zh-CN"/>
                <w14:ligatures w14:val="none"/>
              </w:rPr>
              <w:t>：</w:t>
            </w:r>
            <w:r>
              <w:rPr>
                <w:rFonts w:hint="eastAsia" w:ascii="宋体" w:hAnsi="宋体" w:eastAsia="宋体" w:cs="宋体"/>
                <w:color w:val="auto"/>
                <w:sz w:val="21"/>
                <w:szCs w:val="21"/>
                <w14:ligatures w14:val="none"/>
              </w:rPr>
              <w:t>380V</w:t>
            </w:r>
          </w:p>
          <w:p w14:paraId="23FD52AB">
            <w:pPr>
              <w:spacing w:after="0" w:line="360" w:lineRule="auto"/>
              <w:rPr>
                <w:rFonts w:hint="eastAsia" w:ascii="宋体" w:hAnsi="宋体" w:eastAsia="宋体" w:cs="宋体"/>
                <w:color w:val="auto"/>
                <w:sz w:val="21"/>
                <w:szCs w:val="21"/>
                <w14:ligatures w14:val="none"/>
              </w:rPr>
            </w:pPr>
            <w:r>
              <w:rPr>
                <w:rFonts w:hint="eastAsia" w:ascii="宋体" w:hAnsi="宋体" w:eastAsia="宋体" w:cs="宋体"/>
                <w:color w:val="auto"/>
                <w:sz w:val="21"/>
                <w:szCs w:val="21"/>
                <w:lang w:val="en-US" w:eastAsia="zh-CN"/>
                <w14:ligatures w14:val="none"/>
              </w:rPr>
              <w:t>3.</w:t>
            </w:r>
            <w:r>
              <w:rPr>
                <w:rFonts w:hint="eastAsia" w:ascii="宋体" w:hAnsi="宋体" w:eastAsia="宋体" w:cs="宋体"/>
                <w:color w:val="auto"/>
                <w:sz w:val="21"/>
                <w:szCs w:val="21"/>
                <w14:ligatures w14:val="none"/>
              </w:rPr>
              <w:t>额定频率：50Hz</w:t>
            </w:r>
          </w:p>
          <w:p w14:paraId="6C392D8B">
            <w:pPr>
              <w:spacing w:after="0" w:line="360" w:lineRule="auto"/>
              <w:rPr>
                <w:rFonts w:hint="eastAsia" w:ascii="宋体" w:hAnsi="宋体" w:eastAsia="宋体" w:cs="宋体"/>
                <w:color w:val="auto"/>
                <w:sz w:val="21"/>
                <w:szCs w:val="21"/>
                <w14:ligatures w14:val="none"/>
              </w:rPr>
            </w:pPr>
            <w:r>
              <w:rPr>
                <w:rFonts w:hint="eastAsia" w:ascii="宋体" w:hAnsi="宋体" w:eastAsia="宋体" w:cs="宋体"/>
                <w:color w:val="auto"/>
                <w:sz w:val="21"/>
                <w:szCs w:val="21"/>
                <w14:ligatures w14:val="none"/>
              </w:rPr>
              <w:t>▲</w:t>
            </w:r>
            <w:r>
              <w:rPr>
                <w:rFonts w:hint="eastAsia" w:ascii="宋体" w:hAnsi="宋体" w:eastAsia="宋体" w:cs="宋体"/>
                <w:color w:val="auto"/>
                <w:sz w:val="21"/>
                <w:szCs w:val="21"/>
                <w:lang w:val="en-US" w:eastAsia="zh-CN"/>
                <w14:ligatures w14:val="none"/>
              </w:rPr>
              <w:t>4.</w:t>
            </w:r>
            <w:r>
              <w:rPr>
                <w:rFonts w:hint="eastAsia" w:ascii="宋体" w:hAnsi="宋体" w:eastAsia="宋体" w:cs="宋体"/>
                <w:color w:val="auto"/>
                <w:sz w:val="21"/>
                <w:szCs w:val="21"/>
                <w14:ligatures w14:val="none"/>
              </w:rPr>
              <w:t>额定工作电流</w:t>
            </w:r>
            <w:r>
              <w:rPr>
                <w:rFonts w:hint="eastAsia" w:ascii="宋体" w:hAnsi="宋体" w:eastAsia="宋体" w:cs="宋体"/>
                <w:color w:val="auto"/>
                <w:sz w:val="21"/>
                <w:szCs w:val="21"/>
                <w:lang w:eastAsia="zh-CN"/>
                <w14:ligatures w14:val="none"/>
              </w:rPr>
              <w:t>：</w:t>
            </w:r>
            <w:r>
              <w:rPr>
                <w:rFonts w:hint="eastAsia" w:ascii="宋体" w:hAnsi="宋体" w:eastAsia="宋体" w:cs="宋体"/>
                <w:color w:val="auto"/>
                <w:sz w:val="21"/>
                <w:szCs w:val="21"/>
                <w14:ligatures w14:val="none"/>
              </w:rPr>
              <w:t>630A</w:t>
            </w:r>
          </w:p>
          <w:p w14:paraId="5A482B43">
            <w:pPr>
              <w:spacing w:after="0" w:line="360" w:lineRule="auto"/>
              <w:rPr>
                <w:rFonts w:hint="eastAsia" w:ascii="宋体" w:hAnsi="宋体" w:eastAsia="宋体" w:cs="宋体"/>
                <w:color w:val="auto"/>
                <w:sz w:val="21"/>
                <w:szCs w:val="21"/>
                <w14:ligatures w14:val="none"/>
              </w:rPr>
            </w:pPr>
            <w:r>
              <w:rPr>
                <w:rFonts w:hint="eastAsia" w:ascii="宋体" w:hAnsi="宋体" w:eastAsia="宋体" w:cs="宋体"/>
                <w:color w:val="auto"/>
                <w:sz w:val="21"/>
                <w:szCs w:val="21"/>
                <w14:ligatures w14:val="none"/>
              </w:rPr>
              <w:t>▲</w:t>
            </w:r>
            <w:r>
              <w:rPr>
                <w:rFonts w:hint="eastAsia" w:ascii="宋体" w:hAnsi="宋体" w:eastAsia="宋体" w:cs="宋体"/>
                <w:color w:val="auto"/>
                <w:sz w:val="21"/>
                <w:szCs w:val="21"/>
                <w:lang w:val="en-US" w:eastAsia="zh-CN"/>
                <w14:ligatures w14:val="none"/>
              </w:rPr>
              <w:t>5.</w:t>
            </w:r>
            <w:r>
              <w:rPr>
                <w:rFonts w:hint="eastAsia" w:ascii="宋体" w:hAnsi="宋体" w:eastAsia="宋体" w:cs="宋体"/>
                <w:color w:val="auto"/>
                <w:sz w:val="21"/>
                <w:szCs w:val="21"/>
                <w14:ligatures w14:val="none"/>
              </w:rPr>
              <w:t>防护等级</w:t>
            </w:r>
            <w:r>
              <w:rPr>
                <w:rFonts w:hint="eastAsia" w:ascii="宋体" w:hAnsi="宋体" w:eastAsia="宋体" w:cs="宋体"/>
                <w:color w:val="auto"/>
                <w:sz w:val="21"/>
                <w:szCs w:val="21"/>
                <w:lang w:eastAsia="zh-CN"/>
                <w14:ligatures w14:val="none"/>
              </w:rPr>
              <w:t>：</w:t>
            </w:r>
            <w:r>
              <w:rPr>
                <w:rFonts w:hint="eastAsia" w:ascii="宋体" w:hAnsi="宋体" w:eastAsia="宋体" w:cs="宋体"/>
                <w:color w:val="auto"/>
                <w:sz w:val="21"/>
                <w:szCs w:val="21"/>
                <w14:ligatures w14:val="none"/>
              </w:rPr>
              <w:t>IP30</w:t>
            </w:r>
          </w:p>
          <w:p w14:paraId="253933E0">
            <w:pPr>
              <w:spacing w:after="0" w:line="360" w:lineRule="auto"/>
              <w:rPr>
                <w:rFonts w:hint="eastAsia" w:ascii="宋体" w:hAnsi="宋体" w:eastAsia="宋体" w:cs="宋体"/>
                <w:color w:val="auto"/>
                <w:sz w:val="21"/>
                <w:szCs w:val="21"/>
                <w14:ligatures w14:val="none"/>
              </w:rPr>
            </w:pPr>
            <w:r>
              <w:rPr>
                <w:rFonts w:hint="eastAsia" w:ascii="宋体" w:hAnsi="宋体" w:eastAsia="宋体" w:cs="宋体"/>
                <w:color w:val="auto"/>
                <w:sz w:val="21"/>
                <w:szCs w:val="21"/>
                <w14:ligatures w14:val="none"/>
              </w:rPr>
              <w:t>★</w:t>
            </w:r>
            <w:r>
              <w:rPr>
                <w:rFonts w:hint="eastAsia" w:ascii="宋体" w:hAnsi="宋体" w:eastAsia="宋体" w:cs="宋体"/>
                <w:color w:val="auto"/>
                <w:sz w:val="21"/>
                <w:szCs w:val="21"/>
                <w:lang w:val="en-US" w:eastAsia="zh-CN"/>
                <w14:ligatures w14:val="none"/>
              </w:rPr>
              <w:t>6.</w:t>
            </w:r>
            <w:r>
              <w:rPr>
                <w:rFonts w:hint="eastAsia" w:ascii="宋体" w:hAnsi="宋体" w:eastAsia="宋体" w:cs="宋体"/>
                <w:color w:val="auto"/>
                <w:sz w:val="21"/>
                <w:szCs w:val="21"/>
                <w14:ligatures w14:val="none"/>
              </w:rPr>
              <w:t>柜内主母排、分支母排载流能力≥630A，额定电流连续运行下各部位温升满足 GB7251 标准限值</w:t>
            </w:r>
          </w:p>
          <w:p w14:paraId="211D8F3F">
            <w:pPr>
              <w:spacing w:after="0" w:line="360" w:lineRule="auto"/>
              <w:rPr>
                <w:rFonts w:hint="eastAsia" w:ascii="宋体" w:hAnsi="宋体" w:eastAsia="宋体" w:cs="宋体"/>
                <w:color w:val="auto"/>
                <w:sz w:val="21"/>
                <w:szCs w:val="21"/>
                <w:lang w:eastAsia="zh-CN"/>
                <w14:ligatures w14:val="none"/>
              </w:rPr>
            </w:pPr>
            <w:r>
              <w:rPr>
                <w:rFonts w:hint="eastAsia" w:ascii="宋体" w:hAnsi="宋体" w:cs="宋体"/>
                <w:color w:val="auto"/>
                <w:sz w:val="21"/>
                <w:szCs w:val="21"/>
                <w:lang w:eastAsia="zh-CN"/>
                <w14:ligatures w14:val="none"/>
              </w:rPr>
              <w:t>（</w:t>
            </w:r>
            <w:r>
              <w:rPr>
                <w:rFonts w:hint="eastAsia" w:ascii="宋体" w:hAnsi="宋体" w:cs="宋体"/>
                <w:color w:val="auto"/>
                <w:sz w:val="21"/>
                <w:szCs w:val="21"/>
                <w:lang w:val="en-US" w:eastAsia="zh-CN"/>
                <w14:ligatures w14:val="none"/>
              </w:rPr>
              <w:t>五</w:t>
            </w:r>
            <w:r>
              <w:rPr>
                <w:rFonts w:hint="eastAsia" w:ascii="宋体" w:hAnsi="宋体" w:cs="宋体"/>
                <w:color w:val="auto"/>
                <w:sz w:val="21"/>
                <w:szCs w:val="21"/>
                <w:lang w:eastAsia="zh-CN"/>
                <w14:ligatures w14:val="none"/>
              </w:rPr>
              <w:t>）</w:t>
            </w:r>
            <w:r>
              <w:rPr>
                <w:rFonts w:hint="eastAsia" w:ascii="宋体" w:hAnsi="宋体" w:eastAsia="宋体" w:cs="宋体"/>
                <w:color w:val="auto"/>
                <w:sz w:val="21"/>
                <w:szCs w:val="21"/>
                <w:lang w:eastAsia="zh-CN"/>
                <w14:ligatures w14:val="none"/>
              </w:rPr>
              <w:t>设备通用技术重要参数（</w:t>
            </w:r>
            <w:r>
              <w:rPr>
                <w:rFonts w:hint="eastAsia" w:ascii="宋体" w:hAnsi="宋体" w:eastAsia="宋体" w:cs="宋体"/>
                <w:color w:val="auto"/>
                <w:sz w:val="21"/>
                <w:szCs w:val="21"/>
                <w14:ligatures w14:val="none"/>
              </w:rPr>
              <w:t>★</w:t>
            </w:r>
            <w:r>
              <w:rPr>
                <w:rFonts w:hint="eastAsia" w:ascii="宋体" w:hAnsi="宋体" w:eastAsia="宋体" w:cs="宋体"/>
                <w:color w:val="auto"/>
                <w:sz w:val="21"/>
                <w:szCs w:val="21"/>
                <w:lang w:eastAsia="zh-CN"/>
                <w14:ligatures w14:val="none"/>
              </w:rPr>
              <w:t>）</w:t>
            </w:r>
          </w:p>
          <w:p w14:paraId="192890D1">
            <w:pPr>
              <w:spacing w:after="0" w:line="360" w:lineRule="auto"/>
              <w:rPr>
                <w:rFonts w:hint="eastAsia" w:ascii="宋体" w:hAnsi="宋体" w:eastAsia="宋体" w:cs="宋体"/>
                <w:color w:val="auto"/>
                <w:sz w:val="21"/>
                <w:szCs w:val="21"/>
                <w:lang w:eastAsia="zh-CN"/>
                <w14:ligatures w14:val="none"/>
              </w:rPr>
            </w:pPr>
            <w:r>
              <w:rPr>
                <w:rFonts w:hint="eastAsia" w:ascii="宋体" w:hAnsi="宋体" w:eastAsia="宋体" w:cs="宋体"/>
                <w:color w:val="auto"/>
                <w:sz w:val="21"/>
                <w:szCs w:val="21"/>
                <w14:ligatures w14:val="none"/>
              </w:rPr>
              <w:t>★</w:t>
            </w:r>
            <w:r>
              <w:rPr>
                <w:rFonts w:hint="eastAsia" w:ascii="宋体" w:hAnsi="宋体" w:eastAsia="宋体" w:cs="宋体"/>
                <w:color w:val="auto"/>
                <w:sz w:val="21"/>
                <w:szCs w:val="21"/>
                <w:lang w:eastAsia="zh-CN"/>
                <w14:ligatures w14:val="none"/>
              </w:rPr>
              <w:t>1.设备二次控制回路在额定操作电压的 85%～110% 范围内应能可靠分、合闸；直流电源在失去外部交流供电情况下，应可保证断路器完成不少于 3 次分‑合闸循环操作。</w:t>
            </w:r>
          </w:p>
          <w:p w14:paraId="2AA01221">
            <w:pPr>
              <w:spacing w:after="0" w:line="360" w:lineRule="auto"/>
              <w:rPr>
                <w:rFonts w:hint="eastAsia" w:ascii="宋体" w:hAnsi="宋体" w:eastAsia="宋体" w:cs="宋体"/>
                <w:color w:val="auto"/>
                <w:sz w:val="21"/>
                <w:szCs w:val="21"/>
                <w:lang w:eastAsia="zh-CN"/>
                <w14:ligatures w14:val="none"/>
              </w:rPr>
            </w:pPr>
            <w:r>
              <w:rPr>
                <w:rFonts w:hint="eastAsia" w:ascii="宋体" w:hAnsi="宋体" w:eastAsia="宋体" w:cs="宋体"/>
                <w:color w:val="auto"/>
                <w:sz w:val="21"/>
                <w:szCs w:val="21"/>
                <w14:ligatures w14:val="none"/>
              </w:rPr>
              <w:t>★</w:t>
            </w:r>
            <w:r>
              <w:rPr>
                <w:rFonts w:hint="eastAsia" w:ascii="宋体" w:hAnsi="宋体" w:eastAsia="宋体" w:cs="宋体"/>
                <w:color w:val="auto"/>
                <w:sz w:val="21"/>
                <w:szCs w:val="21"/>
                <w:lang w:eastAsia="zh-CN"/>
                <w14:ligatures w14:val="none"/>
              </w:rPr>
              <w:t>2.全部高低压成套设备出厂前完成完整出厂试验。</w:t>
            </w:r>
          </w:p>
          <w:p w14:paraId="55F690EB">
            <w:pPr>
              <w:spacing w:after="0" w:line="360" w:lineRule="auto"/>
              <w:rPr>
                <w:rFonts w:hint="eastAsia" w:ascii="宋体" w:hAnsi="宋体" w:eastAsia="宋体" w:cs="宋体"/>
                <w:color w:val="auto"/>
                <w:sz w:val="21"/>
                <w:szCs w:val="21"/>
                <w:lang w:eastAsia="zh-CN"/>
                <w14:ligatures w14:val="none"/>
              </w:rPr>
            </w:pPr>
            <w:r>
              <w:rPr>
                <w:rFonts w:hint="eastAsia" w:ascii="宋体" w:hAnsi="宋体" w:eastAsia="宋体" w:cs="宋体"/>
                <w:color w:val="auto"/>
                <w:sz w:val="21"/>
                <w:szCs w:val="21"/>
                <w14:ligatures w14:val="none"/>
              </w:rPr>
              <w:t>★</w:t>
            </w:r>
            <w:r>
              <w:rPr>
                <w:rFonts w:hint="eastAsia" w:ascii="宋体" w:hAnsi="宋体" w:eastAsia="宋体" w:cs="宋体"/>
                <w:color w:val="auto"/>
                <w:sz w:val="21"/>
                <w:szCs w:val="21"/>
                <w:lang w:val="en-US" w:eastAsia="zh-CN"/>
                <w14:ligatures w14:val="none"/>
              </w:rPr>
              <w:t>3.</w:t>
            </w:r>
            <w:r>
              <w:rPr>
                <w:rFonts w:hint="eastAsia" w:ascii="宋体" w:hAnsi="宋体" w:eastAsia="宋体" w:cs="宋体"/>
                <w:color w:val="auto"/>
                <w:sz w:val="21"/>
                <w:szCs w:val="21"/>
                <w:lang w:eastAsia="zh-CN"/>
                <w14:ligatures w14:val="none"/>
              </w:rPr>
              <w:t>高压设备局部放电指标：变压器局部放电≤100pC；真空断路器、高压环网柜在 1.1 倍额定相电压下局部放电量≤20pC。</w:t>
            </w:r>
          </w:p>
          <w:p w14:paraId="43815A5A">
            <w:pPr>
              <w:spacing w:after="0" w:line="360" w:lineRule="auto"/>
              <w:rPr>
                <w:rFonts w:hint="eastAsia" w:ascii="宋体" w:hAnsi="宋体" w:eastAsia="宋体" w:cs="宋体"/>
                <w:b/>
                <w:bCs/>
                <w:color w:val="auto"/>
                <w:sz w:val="21"/>
                <w:szCs w:val="21"/>
                <w14:ligatures w14:val="none"/>
              </w:rPr>
            </w:pPr>
            <w:bookmarkStart w:id="83" w:name="heading_3"/>
            <w:r>
              <w:rPr>
                <w:rFonts w:hint="eastAsia" w:ascii="宋体" w:hAnsi="宋体" w:eastAsia="宋体" w:cs="宋体"/>
                <w:b/>
                <w:bCs/>
                <w:color w:val="auto"/>
                <w:sz w:val="21"/>
                <w:szCs w:val="21"/>
                <w14:ligatures w14:val="none"/>
              </w:rPr>
              <w:t>二、项目主要施工实施内容</w:t>
            </w:r>
            <w:bookmarkEnd w:id="83"/>
          </w:p>
          <w:p w14:paraId="3A51623B">
            <w:pPr>
              <w:spacing w:after="0" w:line="360" w:lineRule="auto"/>
              <w:rPr>
                <w:rFonts w:hint="eastAsia" w:ascii="宋体" w:hAnsi="宋体" w:eastAsia="宋体" w:cs="宋体"/>
                <w:color w:val="auto"/>
                <w:sz w:val="21"/>
                <w:szCs w:val="21"/>
                <w14:ligatures w14:val="none"/>
              </w:rPr>
            </w:pPr>
            <w:r>
              <w:rPr>
                <w:rFonts w:hint="eastAsia" w:ascii="宋体" w:hAnsi="宋体" w:eastAsia="宋体" w:cs="宋体"/>
                <w:color w:val="auto"/>
                <w:sz w:val="21"/>
                <w:szCs w:val="21"/>
                <w14:ligatures w14:val="none"/>
              </w:rPr>
              <w:t>1. 实施高压供电系统扩容升级，完成 1000kVA 箱式变压器、高压开闭所、智能开关、隔离刀闸等核心高压设备进场安装、固定调试及接线作业。</w:t>
            </w:r>
          </w:p>
          <w:p w14:paraId="09A517EF">
            <w:pPr>
              <w:spacing w:after="0" w:line="360" w:lineRule="auto"/>
              <w:rPr>
                <w:rFonts w:hint="eastAsia" w:ascii="宋体" w:hAnsi="宋体" w:eastAsia="宋体" w:cs="宋体"/>
                <w:color w:val="auto"/>
                <w:sz w:val="21"/>
                <w:szCs w:val="21"/>
                <w14:ligatures w14:val="none"/>
              </w:rPr>
            </w:pPr>
            <w:r>
              <w:rPr>
                <w:rFonts w:hint="eastAsia" w:ascii="宋体" w:hAnsi="宋体" w:eastAsia="宋体" w:cs="宋体"/>
                <w:color w:val="auto"/>
                <w:sz w:val="21"/>
                <w:szCs w:val="21"/>
                <w:lang w:val="en-US" w:eastAsia="zh-CN"/>
                <w14:ligatures w14:val="none"/>
              </w:rPr>
              <w:t xml:space="preserve"> </w:t>
            </w:r>
            <w:r>
              <w:rPr>
                <w:rFonts w:hint="eastAsia" w:ascii="宋体" w:hAnsi="宋体" w:eastAsia="宋体" w:cs="宋体"/>
                <w:color w:val="auto"/>
                <w:sz w:val="21"/>
                <w:szCs w:val="21"/>
                <w14:ligatures w14:val="none"/>
              </w:rPr>
              <w:t>2. 开展宿舍楼及全院低压配电系统翻新改造，布设低压配电柜、分户计量电表，优化低压配电回路布局，实现医疗诊疗区域、职工生活区域用电独立分区管控。</w:t>
            </w:r>
            <w:r>
              <w:rPr>
                <w:rFonts w:hint="eastAsia" w:ascii="宋体" w:hAnsi="宋体" w:eastAsia="宋体" w:cs="宋体"/>
                <w:color w:val="auto"/>
                <w:sz w:val="21"/>
                <w:szCs w:val="21"/>
                <w14:ligatures w14:val="none"/>
              </w:rPr>
              <w:br w:type="textWrapping"/>
            </w:r>
            <w:r>
              <w:rPr>
                <w:rFonts w:hint="eastAsia" w:ascii="宋体" w:hAnsi="宋体" w:eastAsia="宋体" w:cs="宋体"/>
                <w:color w:val="auto"/>
                <w:sz w:val="21"/>
                <w:szCs w:val="21"/>
                <w:lang w:val="en-US" w:eastAsia="zh-CN"/>
                <w14:ligatures w14:val="none"/>
              </w:rPr>
              <w:t xml:space="preserve">  </w:t>
            </w:r>
            <w:r>
              <w:rPr>
                <w:rFonts w:hint="eastAsia" w:ascii="宋体" w:hAnsi="宋体" w:eastAsia="宋体" w:cs="宋体"/>
                <w:color w:val="auto"/>
                <w:sz w:val="21"/>
                <w:szCs w:val="21"/>
                <w14:ligatures w14:val="none"/>
              </w:rPr>
              <w:t>3. 完成高低压电力线缆敷设、杆塔桥架安装规整、电力系统接地防护施工、安全警示标识布设等附属工程。</w:t>
            </w:r>
            <w:r>
              <w:rPr>
                <w:rFonts w:hint="eastAsia" w:ascii="宋体" w:hAnsi="宋体" w:eastAsia="宋体" w:cs="宋体"/>
                <w:color w:val="auto"/>
                <w:sz w:val="21"/>
                <w:szCs w:val="21"/>
                <w14:ligatures w14:val="none"/>
              </w:rPr>
              <w:br w:type="textWrapping"/>
            </w:r>
            <w:r>
              <w:rPr>
                <w:rFonts w:hint="eastAsia" w:ascii="宋体" w:hAnsi="宋体" w:eastAsia="宋体" w:cs="宋体"/>
                <w:color w:val="auto"/>
                <w:sz w:val="21"/>
                <w:szCs w:val="21"/>
                <w:lang w:val="en-US" w:eastAsia="zh-CN"/>
                <w14:ligatures w14:val="none"/>
              </w:rPr>
              <w:t xml:space="preserve">  </w:t>
            </w:r>
            <w:r>
              <w:rPr>
                <w:rFonts w:hint="eastAsia" w:ascii="宋体" w:hAnsi="宋体" w:eastAsia="宋体" w:cs="宋体"/>
                <w:color w:val="auto"/>
                <w:sz w:val="21"/>
                <w:szCs w:val="21"/>
                <w14:ligatures w14:val="none"/>
              </w:rPr>
              <w:t>4. 开展全系统调试检测与验收运维优化，对高低压各类配电设备、供电回路、保护装置、计量系统进行全方位调试、耐压测试、负荷检测及安全校验。</w:t>
            </w:r>
          </w:p>
          <w:p w14:paraId="5C1C7D58">
            <w:pPr>
              <w:spacing w:after="0" w:line="360" w:lineRule="auto"/>
              <w:ind w:firstLine="420" w:firstLineChars="200"/>
              <w:rPr>
                <w:rFonts w:hint="eastAsia" w:ascii="宋体" w:hAnsi="宋体" w:eastAsia="宋体" w:cs="宋体"/>
                <w:color w:val="auto"/>
                <w:sz w:val="21"/>
                <w:szCs w:val="21"/>
                <w14:ligatures w14:val="none"/>
              </w:rPr>
            </w:pPr>
            <w:r>
              <w:rPr>
                <w:rFonts w:hint="eastAsia" w:ascii="宋体" w:hAnsi="宋体" w:cs="宋体"/>
                <w:color w:val="auto"/>
                <w:sz w:val="21"/>
                <w:szCs w:val="21"/>
                <w:lang w:val="en-US" w:eastAsia="zh-CN"/>
                <w14:ligatures w14:val="none"/>
              </w:rPr>
              <w:t>供应商的响应</w:t>
            </w:r>
            <w:r>
              <w:rPr>
                <w:rFonts w:hint="eastAsia" w:ascii="宋体" w:hAnsi="宋体" w:eastAsia="宋体" w:cs="宋体"/>
                <w:color w:val="auto"/>
                <w:sz w:val="21"/>
                <w:szCs w:val="21"/>
                <w14:ligatures w14:val="none"/>
              </w:rPr>
              <w:t>文件施工组织方案应当包含：①满足 90 日历天总工期的工期节点管控措施；②施工临时用地、临时水电接驳、场内外道路处置措施；③高低压设备安装、线缆桥架、接地防护具体实施措施；④项目安全文明施工、施工现场安全事故风险防控措施；⑤新旧供电回路切换、降低医疗用电影响的专项措施。</w:t>
            </w:r>
          </w:p>
          <w:p w14:paraId="174728FD">
            <w:pPr>
              <w:spacing w:after="0" w:line="360" w:lineRule="auto"/>
              <w:ind w:firstLine="420" w:firstLineChars="200"/>
              <w:rPr>
                <w:rFonts w:hint="eastAsia" w:ascii="宋体" w:hAnsi="宋体" w:eastAsia="宋体" w:cs="宋体"/>
                <w:color w:val="auto"/>
                <w:sz w:val="21"/>
                <w:szCs w:val="21"/>
                <w14:ligatures w14:val="none"/>
              </w:rPr>
            </w:pPr>
            <w:r>
              <w:rPr>
                <w:rFonts w:hint="eastAsia" w:ascii="宋体" w:hAnsi="宋体" w:cs="宋体"/>
                <w:color w:val="auto"/>
                <w:sz w:val="21"/>
                <w:szCs w:val="21"/>
                <w:lang w:val="en-US" w:eastAsia="zh-CN"/>
                <w14:ligatures w14:val="none"/>
              </w:rPr>
              <w:t>供应商</w:t>
            </w:r>
            <w:r>
              <w:rPr>
                <w:rFonts w:hint="eastAsia" w:ascii="宋体" w:hAnsi="宋体" w:eastAsia="宋体" w:cs="宋体"/>
                <w:color w:val="auto"/>
                <w:sz w:val="21"/>
                <w:szCs w:val="21"/>
                <w14:ligatures w14:val="none"/>
              </w:rPr>
              <w:t>调试检测及竣工验收方案，应当包含：①系统调试、耐压测试、负荷检测实施安排；②分部分项工程质量检验安排；③工程竣工资料收集归档完整方案；④保障项目通过主管部门竣工验收的落实措施。</w:t>
            </w:r>
          </w:p>
          <w:p w14:paraId="5F76A649">
            <w:pPr>
              <w:spacing w:after="0" w:line="360" w:lineRule="auto"/>
              <w:rPr>
                <w:rFonts w:hint="eastAsia" w:ascii="宋体" w:hAnsi="宋体" w:eastAsia="宋体" w:cs="宋体"/>
                <w:b/>
                <w:bCs/>
                <w:color w:val="auto"/>
                <w:sz w:val="21"/>
                <w:szCs w:val="21"/>
                <w14:ligatures w14:val="none"/>
              </w:rPr>
            </w:pPr>
            <w:bookmarkStart w:id="84" w:name="heading_4"/>
            <w:r>
              <w:rPr>
                <w:rFonts w:hint="eastAsia" w:ascii="宋体" w:hAnsi="宋体" w:eastAsia="宋体" w:cs="宋体"/>
                <w:b/>
                <w:bCs/>
                <w:color w:val="auto"/>
                <w:sz w:val="21"/>
                <w:szCs w:val="21"/>
                <w14:ligatures w14:val="none"/>
              </w:rPr>
              <w:t>三、施工现场条件</w:t>
            </w:r>
            <w:bookmarkEnd w:id="84"/>
          </w:p>
          <w:p w14:paraId="44A4D508">
            <w:pPr>
              <w:spacing w:after="0" w:line="360" w:lineRule="auto"/>
              <w:ind w:firstLine="210" w:firstLineChars="100"/>
              <w:rPr>
                <w:rFonts w:hint="eastAsia" w:ascii="宋体" w:hAnsi="宋体" w:eastAsia="宋体" w:cs="宋体"/>
                <w:color w:val="auto"/>
                <w:sz w:val="21"/>
                <w:szCs w:val="21"/>
                <w14:ligatures w14:val="none"/>
              </w:rPr>
            </w:pPr>
            <w:r>
              <w:rPr>
                <w:rFonts w:hint="eastAsia" w:ascii="宋体" w:hAnsi="宋体" w:cs="宋体"/>
                <w:color w:val="auto"/>
                <w:sz w:val="21"/>
                <w:szCs w:val="21"/>
                <w:lang w:val="en-US" w:eastAsia="zh-CN"/>
                <w14:ligatures w14:val="none"/>
              </w:rPr>
              <w:t>1.</w:t>
            </w:r>
            <w:r>
              <w:rPr>
                <w:rFonts w:hint="eastAsia" w:ascii="宋体" w:hAnsi="宋体" w:eastAsia="宋体" w:cs="宋体"/>
                <w:color w:val="auto"/>
                <w:sz w:val="21"/>
                <w:szCs w:val="21"/>
                <w14:ligatures w14:val="none"/>
              </w:rPr>
              <w:t>建设方按现状场地条件提供施工场地，施工方自行解决本工程临时用地（办公、生活、预制、加工、材料及机械设备存放场地等）。</w:t>
            </w:r>
            <w:r>
              <w:rPr>
                <w:rFonts w:hint="eastAsia" w:ascii="宋体" w:hAnsi="宋体" w:eastAsia="宋体" w:cs="宋体"/>
                <w:color w:val="auto"/>
                <w:sz w:val="21"/>
                <w:szCs w:val="21"/>
                <w14:ligatures w14:val="none"/>
              </w:rPr>
              <w:br w:type="textWrapping"/>
            </w:r>
            <w:r>
              <w:rPr>
                <w:rFonts w:hint="eastAsia" w:ascii="宋体" w:hAnsi="宋体" w:eastAsia="宋体" w:cs="宋体"/>
                <w:color w:val="auto"/>
                <w:sz w:val="21"/>
                <w:szCs w:val="21"/>
                <w:lang w:val="en-US" w:eastAsia="zh-CN"/>
                <w14:ligatures w14:val="none"/>
              </w:rPr>
              <w:t xml:space="preserve">  </w:t>
            </w:r>
            <w:r>
              <w:rPr>
                <w:rFonts w:hint="eastAsia" w:ascii="宋体" w:hAnsi="宋体" w:eastAsia="宋体" w:cs="宋体"/>
                <w:color w:val="auto"/>
                <w:sz w:val="21"/>
                <w:szCs w:val="21"/>
                <w14:ligatures w14:val="none"/>
              </w:rPr>
              <w:t>2.施工场内外道路由施工方自行修建，自行办理通行相关手续。</w:t>
            </w:r>
            <w:r>
              <w:rPr>
                <w:rFonts w:hint="eastAsia" w:ascii="宋体" w:hAnsi="宋体" w:eastAsia="宋体" w:cs="宋体"/>
                <w:color w:val="auto"/>
                <w:sz w:val="21"/>
                <w:szCs w:val="21"/>
                <w14:ligatures w14:val="none"/>
              </w:rPr>
              <w:br w:type="textWrapping"/>
            </w:r>
            <w:r>
              <w:rPr>
                <w:rFonts w:hint="eastAsia" w:ascii="宋体" w:hAnsi="宋体" w:eastAsia="宋体" w:cs="宋体"/>
                <w:color w:val="auto"/>
                <w:sz w:val="21"/>
                <w:szCs w:val="21"/>
                <w:lang w:val="en-US" w:eastAsia="zh-CN"/>
                <w14:ligatures w14:val="none"/>
              </w:rPr>
              <w:t xml:space="preserve">  </w:t>
            </w:r>
            <w:r>
              <w:rPr>
                <w:rFonts w:hint="eastAsia" w:ascii="宋体" w:hAnsi="宋体" w:eastAsia="宋体" w:cs="宋体"/>
                <w:color w:val="auto"/>
                <w:sz w:val="21"/>
                <w:szCs w:val="21"/>
                <w14:ligatures w14:val="none"/>
              </w:rPr>
              <w:t>3.建设方就近指定水、电、通讯接驳点位，施工用水、用电、通讯及配套管线由施工方自行负责。</w:t>
            </w:r>
          </w:p>
          <w:p w14:paraId="1706123A">
            <w:pPr>
              <w:spacing w:after="0" w:line="360" w:lineRule="auto"/>
              <w:rPr>
                <w:rFonts w:hint="eastAsia" w:ascii="宋体" w:hAnsi="宋体" w:eastAsia="宋体" w:cs="宋体"/>
                <w:b/>
                <w:bCs/>
                <w:color w:val="auto"/>
                <w:sz w:val="21"/>
                <w:szCs w:val="21"/>
                <w14:ligatures w14:val="none"/>
              </w:rPr>
            </w:pPr>
            <w:bookmarkStart w:id="85" w:name="heading_5"/>
            <w:r>
              <w:rPr>
                <w:rFonts w:hint="eastAsia" w:ascii="宋体" w:hAnsi="宋体" w:eastAsia="宋体" w:cs="宋体"/>
                <w:b/>
                <w:bCs/>
                <w:color w:val="auto"/>
                <w:sz w:val="21"/>
                <w:szCs w:val="21"/>
                <w14:ligatures w14:val="none"/>
              </w:rPr>
              <w:t>四、施工要求</w:t>
            </w:r>
            <w:bookmarkEnd w:id="85"/>
          </w:p>
          <w:p w14:paraId="77F699F3">
            <w:pPr>
              <w:spacing w:after="0" w:line="360" w:lineRule="auto"/>
              <w:rPr>
                <w:rFonts w:hint="eastAsia" w:ascii="宋体" w:hAnsi="宋体" w:eastAsia="宋体" w:cs="宋体"/>
                <w:color w:val="auto"/>
                <w:sz w:val="21"/>
                <w:szCs w:val="21"/>
                <w14:ligatures w14:val="none"/>
              </w:rPr>
            </w:pPr>
            <w:r>
              <w:rPr>
                <w:rFonts w:hint="eastAsia" w:ascii="宋体" w:hAnsi="宋体" w:eastAsia="宋体" w:cs="宋体"/>
                <w:color w:val="auto"/>
                <w:sz w:val="21"/>
                <w:szCs w:val="21"/>
                <w14:ligatures w14:val="none"/>
              </w:rPr>
              <w:t>1.严格按照国家、行业现行施工标准、验收规范施工，工程竣工验收达到国家质量验收规范合格标准，并通过相关主管部门竣工验收合格。</w:t>
            </w:r>
            <w:r>
              <w:rPr>
                <w:rFonts w:hint="eastAsia" w:ascii="宋体" w:hAnsi="宋体" w:eastAsia="宋体" w:cs="宋体"/>
                <w:color w:val="auto"/>
                <w:sz w:val="21"/>
                <w:szCs w:val="21"/>
                <w14:ligatures w14:val="none"/>
              </w:rPr>
              <w:br w:type="textWrapping"/>
            </w:r>
            <w:r>
              <w:rPr>
                <w:rFonts w:hint="eastAsia" w:ascii="宋体" w:hAnsi="宋体" w:eastAsia="宋体" w:cs="宋体"/>
                <w:color w:val="auto"/>
                <w:sz w:val="21"/>
                <w:szCs w:val="21"/>
                <w:lang w:val="en-US" w:eastAsia="zh-CN"/>
                <w14:ligatures w14:val="none"/>
              </w:rPr>
              <w:t xml:space="preserve"> </w:t>
            </w:r>
            <w:r>
              <w:rPr>
                <w:rFonts w:hint="eastAsia" w:ascii="宋体" w:hAnsi="宋体" w:eastAsia="宋体" w:cs="宋体"/>
                <w:color w:val="auto"/>
                <w:sz w:val="21"/>
                <w:szCs w:val="21"/>
                <w14:ligatures w14:val="none"/>
              </w:rPr>
              <w:t>2.本项目为医院在用供电系统改造，施工单位须编制新旧供电回路切换专项安全技术措施，最大限度降低施工对医疗业务用电造成的影响。</w:t>
            </w:r>
            <w:r>
              <w:rPr>
                <w:rFonts w:hint="eastAsia" w:ascii="宋体" w:hAnsi="宋体" w:eastAsia="宋体" w:cs="宋体"/>
                <w:color w:val="auto"/>
                <w:sz w:val="21"/>
                <w:szCs w:val="21"/>
                <w14:ligatures w14:val="none"/>
              </w:rPr>
              <w:br w:type="textWrapping"/>
            </w:r>
            <w:r>
              <w:rPr>
                <w:rFonts w:hint="eastAsia" w:ascii="宋体" w:hAnsi="宋体" w:eastAsia="宋体" w:cs="宋体"/>
                <w:color w:val="auto"/>
                <w:sz w:val="21"/>
                <w:szCs w:val="21"/>
                <w:lang w:val="en-US" w:eastAsia="zh-CN"/>
                <w14:ligatures w14:val="none"/>
              </w:rPr>
              <w:t xml:space="preserve"> </w:t>
            </w:r>
            <w:r>
              <w:rPr>
                <w:rFonts w:hint="eastAsia" w:ascii="宋体" w:hAnsi="宋体" w:eastAsia="宋体" w:cs="宋体"/>
                <w:color w:val="auto"/>
                <w:sz w:val="21"/>
                <w:szCs w:val="21"/>
                <w14:ligatures w14:val="none"/>
              </w:rPr>
              <w:t>3.安全文明施工：施工期间设置足够警示、防护标志；落实围蔽及安全防护；因施工产生的安全、交通事故责任及产生费用全部由施工方承担；建设方有权对不满足安全文明施工要求的指令整改，拒不整改可委托第三方实施，费用由施工方承担。</w:t>
            </w:r>
            <w:r>
              <w:rPr>
                <w:rFonts w:hint="eastAsia" w:ascii="宋体" w:hAnsi="宋体" w:eastAsia="宋体" w:cs="宋体"/>
                <w:color w:val="auto"/>
                <w:sz w:val="21"/>
                <w:szCs w:val="21"/>
                <w14:ligatures w14:val="none"/>
              </w:rPr>
              <w:br w:type="textWrapping"/>
            </w:r>
            <w:r>
              <w:rPr>
                <w:rFonts w:hint="eastAsia" w:ascii="宋体" w:hAnsi="宋体" w:eastAsia="宋体" w:cs="宋体"/>
                <w:color w:val="auto"/>
                <w:sz w:val="21"/>
                <w:szCs w:val="21"/>
                <w:lang w:val="en-US" w:eastAsia="zh-CN"/>
                <w14:ligatures w14:val="none"/>
              </w:rPr>
              <w:t xml:space="preserve"> </w:t>
            </w:r>
            <w:r>
              <w:rPr>
                <w:rFonts w:hint="eastAsia" w:ascii="宋体" w:hAnsi="宋体" w:eastAsia="宋体" w:cs="宋体"/>
                <w:color w:val="auto"/>
                <w:sz w:val="21"/>
                <w:szCs w:val="21"/>
                <w14:ligatures w14:val="none"/>
              </w:rPr>
              <w:t>4.施工过程发生全部安全、质量事故，经济、法律赔偿责任均由施工方承担。</w:t>
            </w:r>
          </w:p>
          <w:p w14:paraId="6FFD209A">
            <w:pPr>
              <w:spacing w:after="0" w:line="360" w:lineRule="auto"/>
              <w:rPr>
                <w:rFonts w:hint="eastAsia" w:ascii="宋体" w:hAnsi="宋体" w:eastAsia="宋体" w:cs="宋体"/>
                <w:b/>
                <w:bCs/>
                <w:color w:val="auto"/>
                <w:sz w:val="21"/>
                <w:szCs w:val="21"/>
                <w14:ligatures w14:val="none"/>
              </w:rPr>
            </w:pPr>
            <w:bookmarkStart w:id="86" w:name="heading_6"/>
            <w:r>
              <w:rPr>
                <w:rFonts w:hint="eastAsia" w:ascii="宋体" w:hAnsi="宋体" w:eastAsia="宋体" w:cs="宋体"/>
                <w:b/>
                <w:bCs/>
                <w:color w:val="auto"/>
                <w:sz w:val="21"/>
                <w:szCs w:val="21"/>
                <w14:ligatures w14:val="none"/>
              </w:rPr>
              <w:t>五、材料和工程设备</w:t>
            </w:r>
            <w:bookmarkEnd w:id="86"/>
          </w:p>
          <w:p w14:paraId="3393C061">
            <w:pPr>
              <w:spacing w:after="0" w:line="360" w:lineRule="auto"/>
              <w:rPr>
                <w:rFonts w:hint="eastAsia" w:ascii="宋体" w:hAnsi="宋体" w:eastAsia="宋体" w:cs="宋体"/>
                <w:color w:val="auto"/>
                <w:sz w:val="21"/>
                <w:szCs w:val="21"/>
                <w14:ligatures w14:val="none"/>
              </w:rPr>
            </w:pPr>
            <w:r>
              <w:rPr>
                <w:rFonts w:hint="eastAsia" w:ascii="宋体" w:hAnsi="宋体" w:eastAsia="宋体" w:cs="宋体"/>
                <w:color w:val="auto"/>
                <w:sz w:val="21"/>
                <w:szCs w:val="21"/>
                <w14:ligatures w14:val="none"/>
              </w:rPr>
              <w:t>1.本项目所用材料、设备均为优等品，质量符合国家、行业标准。</w:t>
            </w:r>
            <w:r>
              <w:rPr>
                <w:rFonts w:hint="eastAsia" w:ascii="宋体" w:hAnsi="宋体" w:eastAsia="宋体" w:cs="宋体"/>
                <w:color w:val="auto"/>
                <w:sz w:val="21"/>
                <w:szCs w:val="21"/>
                <w14:ligatures w14:val="none"/>
              </w:rPr>
              <w:br w:type="textWrapping"/>
            </w:r>
            <w:r>
              <w:rPr>
                <w:rFonts w:hint="eastAsia" w:ascii="宋体" w:hAnsi="宋体" w:eastAsia="宋体" w:cs="宋体"/>
                <w:color w:val="auto"/>
                <w:sz w:val="21"/>
                <w:szCs w:val="21"/>
                <w14:ligatures w14:val="none"/>
              </w:rPr>
              <w:t>2.设备材料采购前须接受建设方、监理对供应商规模、质量、产能核查；供货前提交合格证、检测报告等资料，按要求进行样板封样；材料设备运输保管由施工单位负责。</w:t>
            </w:r>
          </w:p>
        </w:tc>
      </w:tr>
      <w:tr w14:paraId="31462B3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7" w:hRule="atLeast"/>
          <w:jc w:val="center"/>
        </w:trPr>
        <w:tc>
          <w:tcPr>
            <w:tcW w:w="10157" w:type="dxa"/>
            <w:gridSpan w:val="6"/>
            <w:tcBorders>
              <w:top w:val="single" w:color="auto" w:sz="4" w:space="0"/>
              <w:left w:val="single" w:color="auto" w:sz="4" w:space="0"/>
              <w:bottom w:val="single" w:color="auto" w:sz="4" w:space="0"/>
              <w:right w:val="single" w:color="auto" w:sz="4" w:space="0"/>
            </w:tcBorders>
          </w:tcPr>
          <w:p w14:paraId="2BBD55D7">
            <w:pPr>
              <w:spacing w:after="0" w:line="360" w:lineRule="auto"/>
              <w:jc w:val="both"/>
              <w:rPr>
                <w:rFonts w:ascii="宋体" w:hAnsi="宋体" w:eastAsia="宋体" w:cs="Times New Roman"/>
                <w:color w:val="auto"/>
                <w:sz w:val="21"/>
                <w:szCs w:val="21"/>
                <w14:ligatures w14:val="none"/>
              </w:rPr>
            </w:pPr>
            <w:r>
              <w:rPr>
                <w:rFonts w:hint="eastAsia" w:ascii="宋体" w:hAnsi="宋体" w:eastAsia="宋体" w:cs="Times New Roman"/>
                <w:b/>
                <w:color w:val="auto"/>
                <w:sz w:val="21"/>
                <w:szCs w:val="21"/>
                <w14:ligatures w14:val="none"/>
              </w:rPr>
              <w:t>一、商务要求</w:t>
            </w:r>
          </w:p>
        </w:tc>
      </w:tr>
      <w:tr w14:paraId="2EE920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7" w:hRule="atLeast"/>
          <w:jc w:val="center"/>
        </w:trPr>
        <w:tc>
          <w:tcPr>
            <w:tcW w:w="2447" w:type="dxa"/>
            <w:gridSpan w:val="3"/>
            <w:tcBorders>
              <w:top w:val="single" w:color="auto" w:sz="4" w:space="0"/>
              <w:left w:val="single" w:color="auto" w:sz="4" w:space="0"/>
              <w:bottom w:val="single" w:color="auto" w:sz="4" w:space="0"/>
              <w:right w:val="single" w:color="auto" w:sz="4" w:space="0"/>
            </w:tcBorders>
            <w:vAlign w:val="center"/>
          </w:tcPr>
          <w:p w14:paraId="1DB6E49F">
            <w:pPr>
              <w:spacing w:after="0" w:line="360" w:lineRule="auto"/>
              <w:jc w:val="both"/>
              <w:rPr>
                <w:rFonts w:hint="eastAsia" w:ascii="宋体" w:hAnsi="宋体" w:eastAsia="宋体" w:cs="Times New Roman"/>
                <w:color w:val="auto"/>
                <w:sz w:val="21"/>
                <w:szCs w:val="21"/>
                <w:highlight w:val="none"/>
                <w14:ligatures w14:val="none"/>
              </w:rPr>
            </w:pPr>
            <w:r>
              <w:rPr>
                <w:rFonts w:hint="eastAsia" w:ascii="宋体" w:hAnsi="宋体" w:eastAsia="宋体" w:cs="宋体"/>
                <w:color w:val="auto"/>
                <w:sz w:val="21"/>
                <w:szCs w:val="21"/>
                <w:highlight w:val="none"/>
                <w14:ligatures w14:val="none"/>
              </w:rPr>
              <w:t>计划工期</w:t>
            </w:r>
          </w:p>
        </w:tc>
        <w:tc>
          <w:tcPr>
            <w:tcW w:w="7710" w:type="dxa"/>
            <w:gridSpan w:val="3"/>
            <w:tcBorders>
              <w:top w:val="single" w:color="auto" w:sz="4" w:space="0"/>
              <w:left w:val="single" w:color="auto" w:sz="4" w:space="0"/>
              <w:bottom w:val="single" w:color="auto" w:sz="4" w:space="0"/>
              <w:right w:val="single" w:color="auto" w:sz="4" w:space="0"/>
            </w:tcBorders>
            <w:vAlign w:val="center"/>
          </w:tcPr>
          <w:p w14:paraId="45C33A85">
            <w:pPr>
              <w:spacing w:after="0" w:line="360" w:lineRule="auto"/>
              <w:rPr>
                <w:rFonts w:hint="eastAsia" w:ascii="宋体" w:hAnsi="宋体" w:eastAsia="宋体" w:cs="Times New Roman"/>
                <w:color w:val="auto"/>
                <w:sz w:val="21"/>
                <w:szCs w:val="21"/>
                <w:highlight w:val="none"/>
                <w14:ligatures w14:val="none"/>
              </w:rPr>
            </w:pPr>
            <w:r>
              <w:rPr>
                <w:rFonts w:hint="eastAsia" w:ascii="宋体" w:hAnsi="宋体" w:eastAsia="宋体" w:cs="宋体"/>
                <w:color w:val="auto"/>
                <w:sz w:val="21"/>
                <w:szCs w:val="21"/>
                <w:highlight w:val="none"/>
                <w14:ligatures w14:val="none"/>
              </w:rPr>
              <w:t>计划工期：合同签订之日起 90 日历天</w:t>
            </w:r>
          </w:p>
        </w:tc>
      </w:tr>
      <w:tr w14:paraId="51DAA2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7" w:hRule="atLeast"/>
          <w:jc w:val="center"/>
        </w:trPr>
        <w:tc>
          <w:tcPr>
            <w:tcW w:w="2447" w:type="dxa"/>
            <w:gridSpan w:val="3"/>
            <w:tcBorders>
              <w:top w:val="single" w:color="auto" w:sz="4" w:space="0"/>
              <w:left w:val="single" w:color="auto" w:sz="4" w:space="0"/>
              <w:bottom w:val="single" w:color="auto" w:sz="4" w:space="0"/>
              <w:right w:val="single" w:color="auto" w:sz="4" w:space="0"/>
            </w:tcBorders>
            <w:vAlign w:val="center"/>
          </w:tcPr>
          <w:p w14:paraId="3259C427">
            <w:pPr>
              <w:spacing w:after="0" w:line="360" w:lineRule="auto"/>
              <w:jc w:val="both"/>
              <w:rPr>
                <w:rFonts w:hint="eastAsia" w:ascii="宋体" w:hAnsi="宋体" w:eastAsia="宋体" w:cs="Times New Roman"/>
                <w:color w:val="auto"/>
                <w:sz w:val="21"/>
                <w:szCs w:val="21"/>
                <w:highlight w:val="none"/>
                <w14:ligatures w14:val="none"/>
              </w:rPr>
            </w:pPr>
            <w:r>
              <w:rPr>
                <w:rFonts w:hint="eastAsia" w:ascii="宋体" w:hAnsi="宋体" w:eastAsia="宋体" w:cs="Times New Roman"/>
                <w:color w:val="auto"/>
                <w:sz w:val="21"/>
                <w:szCs w:val="21"/>
                <w:highlight w:val="none"/>
                <w14:ligatures w14:val="none"/>
              </w:rPr>
              <w:t>建设地点</w:t>
            </w:r>
          </w:p>
        </w:tc>
        <w:tc>
          <w:tcPr>
            <w:tcW w:w="7710" w:type="dxa"/>
            <w:gridSpan w:val="3"/>
            <w:tcBorders>
              <w:top w:val="single" w:color="auto" w:sz="4" w:space="0"/>
              <w:left w:val="single" w:color="auto" w:sz="4" w:space="0"/>
              <w:bottom w:val="single" w:color="auto" w:sz="4" w:space="0"/>
              <w:right w:val="single" w:color="auto" w:sz="4" w:space="0"/>
            </w:tcBorders>
            <w:vAlign w:val="center"/>
          </w:tcPr>
          <w:p w14:paraId="0F3D85BE">
            <w:pPr>
              <w:spacing w:after="0" w:line="360" w:lineRule="auto"/>
              <w:jc w:val="both"/>
              <w:rPr>
                <w:rFonts w:hint="eastAsia" w:ascii="宋体" w:hAnsi="宋体" w:eastAsia="宋体" w:cs="Times New Roman"/>
                <w:color w:val="auto"/>
                <w:sz w:val="21"/>
                <w:szCs w:val="21"/>
                <w:highlight w:val="none"/>
                <w14:ligatures w14:val="none"/>
              </w:rPr>
            </w:pPr>
            <w:r>
              <w:rPr>
                <w:rFonts w:hint="eastAsia" w:ascii="宋体" w:hAnsi="宋体" w:eastAsia="宋体" w:cs="Times New Roman"/>
                <w:color w:val="auto"/>
                <w:sz w:val="21"/>
                <w:szCs w:val="21"/>
                <w:highlight w:val="none"/>
                <w14:ligatures w14:val="none"/>
              </w:rPr>
              <w:t>陆川县人民医院内</w:t>
            </w:r>
          </w:p>
        </w:tc>
      </w:tr>
      <w:tr w14:paraId="7D992F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7" w:hRule="atLeast"/>
          <w:jc w:val="center"/>
        </w:trPr>
        <w:tc>
          <w:tcPr>
            <w:tcW w:w="2447" w:type="dxa"/>
            <w:gridSpan w:val="3"/>
            <w:tcBorders>
              <w:top w:val="single" w:color="auto" w:sz="4" w:space="0"/>
              <w:left w:val="single" w:color="auto" w:sz="4" w:space="0"/>
              <w:bottom w:val="single" w:color="auto" w:sz="4" w:space="0"/>
              <w:right w:val="single" w:color="auto" w:sz="4" w:space="0"/>
            </w:tcBorders>
            <w:vAlign w:val="center"/>
          </w:tcPr>
          <w:p w14:paraId="318241A9">
            <w:pPr>
              <w:spacing w:after="0" w:line="360" w:lineRule="auto"/>
              <w:jc w:val="both"/>
              <w:rPr>
                <w:rFonts w:ascii="宋体" w:hAnsi="宋体" w:eastAsia="宋体" w:cs="Times New Roman"/>
                <w:b/>
                <w:color w:val="auto"/>
                <w:sz w:val="21"/>
                <w:szCs w:val="21"/>
                <w14:ligatures w14:val="none"/>
              </w:rPr>
            </w:pPr>
            <w:r>
              <w:rPr>
                <w:rFonts w:hint="eastAsia" w:ascii="宋体" w:hAnsi="宋体" w:eastAsia="宋体" w:cs="Times New Roman"/>
                <w:color w:val="auto"/>
                <w:sz w:val="21"/>
                <w:szCs w:val="21"/>
                <w14:ligatures w14:val="none"/>
              </w:rPr>
              <w:t>合同签订时间</w:t>
            </w:r>
          </w:p>
        </w:tc>
        <w:tc>
          <w:tcPr>
            <w:tcW w:w="7710" w:type="dxa"/>
            <w:gridSpan w:val="3"/>
            <w:tcBorders>
              <w:top w:val="single" w:color="auto" w:sz="4" w:space="0"/>
              <w:left w:val="single" w:color="auto" w:sz="4" w:space="0"/>
              <w:bottom w:val="single" w:color="auto" w:sz="4" w:space="0"/>
              <w:right w:val="single" w:color="auto" w:sz="4" w:space="0"/>
            </w:tcBorders>
            <w:vAlign w:val="center"/>
          </w:tcPr>
          <w:p w14:paraId="12F9C5B1">
            <w:pPr>
              <w:spacing w:after="0" w:line="360" w:lineRule="auto"/>
              <w:jc w:val="both"/>
              <w:rPr>
                <w:rFonts w:ascii="宋体" w:hAnsi="宋体" w:eastAsia="宋体" w:cs="Times New Roman"/>
                <w:b/>
                <w:color w:val="auto"/>
                <w:sz w:val="21"/>
                <w:szCs w:val="21"/>
                <w14:ligatures w14:val="none"/>
              </w:rPr>
            </w:pPr>
            <w:r>
              <w:rPr>
                <w:rFonts w:hint="eastAsia" w:ascii="宋体" w:hAnsi="宋体" w:eastAsia="宋体" w:cs="Times New Roman"/>
                <w:color w:val="auto"/>
                <w:sz w:val="21"/>
                <w:szCs w:val="21"/>
                <w14:ligatures w14:val="none"/>
              </w:rPr>
              <w:t>自成交通知书发出之日起</w:t>
            </w:r>
            <w:r>
              <w:rPr>
                <w:rFonts w:hint="eastAsia" w:ascii="宋体" w:hAnsi="宋体" w:eastAsia="宋体" w:cs="Times New Roman"/>
                <w:color w:val="auto"/>
                <w:sz w:val="21"/>
                <w:szCs w:val="21"/>
                <w:u w:val="single"/>
                <w14:ligatures w14:val="none"/>
              </w:rPr>
              <w:t>25</w:t>
            </w:r>
            <w:r>
              <w:rPr>
                <w:rFonts w:hint="eastAsia" w:ascii="宋体" w:hAnsi="宋体" w:eastAsia="宋体" w:cs="Times New Roman"/>
                <w:color w:val="auto"/>
                <w:sz w:val="21"/>
                <w:szCs w:val="21"/>
                <w14:ligatures w14:val="none"/>
              </w:rPr>
              <w:t>日内</w:t>
            </w:r>
          </w:p>
        </w:tc>
      </w:tr>
      <w:tr w14:paraId="715158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7" w:hRule="atLeast"/>
          <w:jc w:val="center"/>
        </w:trPr>
        <w:tc>
          <w:tcPr>
            <w:tcW w:w="2447" w:type="dxa"/>
            <w:gridSpan w:val="3"/>
            <w:tcBorders>
              <w:top w:val="single" w:color="auto" w:sz="4" w:space="0"/>
              <w:left w:val="single" w:color="auto" w:sz="4" w:space="0"/>
              <w:bottom w:val="single" w:color="auto" w:sz="4" w:space="0"/>
              <w:right w:val="single" w:color="auto" w:sz="4" w:space="0"/>
            </w:tcBorders>
            <w:vAlign w:val="center"/>
          </w:tcPr>
          <w:p w14:paraId="6E009CF5">
            <w:pPr>
              <w:spacing w:after="0" w:line="360" w:lineRule="auto"/>
              <w:jc w:val="both"/>
              <w:rPr>
                <w:rFonts w:hint="eastAsia" w:ascii="宋体" w:hAnsi="宋体" w:eastAsia="宋体" w:cs="Times New Roman"/>
                <w:color w:val="auto"/>
                <w:sz w:val="21"/>
                <w:szCs w:val="21"/>
                <w14:ligatures w14:val="none"/>
              </w:rPr>
            </w:pPr>
            <w:r>
              <w:rPr>
                <w:rFonts w:hint="eastAsia" w:ascii="宋体" w:hAnsi="宋体" w:eastAsia="宋体" w:cs="Times New Roman"/>
                <w:color w:val="auto"/>
                <w:sz w:val="21"/>
                <w:szCs w:val="21"/>
                <w14:ligatures w14:val="none"/>
              </w:rPr>
              <w:t>报价要求</w:t>
            </w:r>
          </w:p>
        </w:tc>
        <w:tc>
          <w:tcPr>
            <w:tcW w:w="7710" w:type="dxa"/>
            <w:gridSpan w:val="3"/>
            <w:tcBorders>
              <w:top w:val="single" w:color="auto" w:sz="4" w:space="0"/>
              <w:left w:val="single" w:color="auto" w:sz="4" w:space="0"/>
              <w:bottom w:val="single" w:color="auto" w:sz="4" w:space="0"/>
              <w:right w:val="single" w:color="auto" w:sz="4" w:space="0"/>
            </w:tcBorders>
            <w:vAlign w:val="center"/>
          </w:tcPr>
          <w:p w14:paraId="29237B9F">
            <w:pPr>
              <w:spacing w:after="0" w:line="360" w:lineRule="auto"/>
              <w:jc w:val="both"/>
              <w:rPr>
                <w:rFonts w:hint="eastAsia" w:ascii="宋体" w:hAnsi="宋体" w:eastAsia="宋体" w:cs="Times New Roman"/>
                <w:color w:val="auto"/>
                <w:sz w:val="21"/>
                <w:szCs w:val="21"/>
                <w14:ligatures w14:val="none"/>
              </w:rPr>
            </w:pPr>
            <w:r>
              <w:rPr>
                <w:rFonts w:hint="eastAsia" w:ascii="宋体" w:hAnsi="宋体" w:eastAsia="宋体" w:cs="Times New Roman"/>
                <w:color w:val="auto"/>
                <w:sz w:val="21"/>
                <w:szCs w:val="21"/>
                <w14:ligatures w14:val="none"/>
              </w:rPr>
              <w:t>报价包含材料采购、设备租赁、施工、运输、保险、税费、安装调试、培训、技术资料、质保维护、验收等本项目全部费用；未列明的必要费用均视为包含在总报价中，建设单位不另行支付。</w:t>
            </w:r>
          </w:p>
        </w:tc>
      </w:tr>
      <w:tr w14:paraId="1C76AA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05" w:hRule="atLeast"/>
          <w:jc w:val="center"/>
        </w:trPr>
        <w:tc>
          <w:tcPr>
            <w:tcW w:w="2447" w:type="dxa"/>
            <w:gridSpan w:val="3"/>
            <w:tcBorders>
              <w:top w:val="single" w:color="auto" w:sz="4" w:space="0"/>
              <w:left w:val="single" w:color="auto" w:sz="4" w:space="0"/>
              <w:bottom w:val="single" w:color="auto" w:sz="4" w:space="0"/>
              <w:right w:val="single" w:color="auto" w:sz="4" w:space="0"/>
            </w:tcBorders>
            <w:vAlign w:val="center"/>
          </w:tcPr>
          <w:p w14:paraId="6CA40612">
            <w:pPr>
              <w:spacing w:after="0" w:line="360" w:lineRule="auto"/>
              <w:jc w:val="both"/>
              <w:rPr>
                <w:rFonts w:ascii="宋体" w:hAnsi="宋体" w:eastAsia="宋体" w:cs="Times New Roman"/>
                <w:b/>
                <w:color w:val="auto"/>
                <w:sz w:val="21"/>
                <w:szCs w:val="21"/>
                <w14:ligatures w14:val="none"/>
              </w:rPr>
            </w:pPr>
            <w:r>
              <w:rPr>
                <w:rFonts w:hint="eastAsia" w:ascii="宋体" w:hAnsi="宋体" w:eastAsia="宋体" w:cs="Times New Roman"/>
                <w:color w:val="auto"/>
                <w:sz w:val="21"/>
                <w:szCs w:val="21"/>
                <w14:ligatures w14:val="none"/>
              </w:rPr>
              <w:t>付款条件（进度和方式）</w:t>
            </w:r>
          </w:p>
        </w:tc>
        <w:tc>
          <w:tcPr>
            <w:tcW w:w="7710" w:type="dxa"/>
            <w:gridSpan w:val="3"/>
            <w:tcBorders>
              <w:top w:val="single" w:color="auto" w:sz="4" w:space="0"/>
              <w:left w:val="single" w:color="auto" w:sz="4" w:space="0"/>
              <w:bottom w:val="single" w:color="auto" w:sz="4" w:space="0"/>
              <w:right w:val="single" w:color="auto" w:sz="4" w:space="0"/>
            </w:tcBorders>
            <w:vAlign w:val="center"/>
          </w:tcPr>
          <w:p w14:paraId="693EA4D1">
            <w:pPr>
              <w:spacing w:after="0" w:line="360" w:lineRule="auto"/>
              <w:jc w:val="both"/>
              <w:rPr>
                <w:rFonts w:ascii="宋体" w:hAnsi="宋体" w:eastAsia="宋体" w:cs="Times New Roman"/>
                <w:b/>
                <w:color w:val="auto"/>
                <w:sz w:val="21"/>
                <w:szCs w:val="21"/>
                <w14:ligatures w14:val="none"/>
              </w:rPr>
            </w:pPr>
            <w:r>
              <w:rPr>
                <w:rFonts w:hint="eastAsia" w:ascii="宋体" w:hAnsi="宋体" w:eastAsia="宋体" w:cs="Times New Roman"/>
                <w:b w:val="0"/>
                <w:bCs/>
                <w:color w:val="auto"/>
                <w:sz w:val="21"/>
                <w:szCs w:val="21"/>
                <w14:ligatures w14:val="none"/>
              </w:rPr>
              <w:t>签订合同开工后 15 天内支付合同总额 30% 预付款；完成总工程量 70%，支付至合同总金额 50%；安装调试完毕并验收合格后，支付至合同总金额 100%。</w:t>
            </w:r>
          </w:p>
        </w:tc>
      </w:tr>
      <w:tr w14:paraId="19963C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7" w:hRule="atLeast"/>
          <w:jc w:val="center"/>
        </w:trPr>
        <w:tc>
          <w:tcPr>
            <w:tcW w:w="2447" w:type="dxa"/>
            <w:gridSpan w:val="3"/>
            <w:tcBorders>
              <w:top w:val="single" w:color="auto" w:sz="4" w:space="0"/>
              <w:left w:val="single" w:color="auto" w:sz="4" w:space="0"/>
              <w:bottom w:val="single" w:color="auto" w:sz="4" w:space="0"/>
              <w:right w:val="single" w:color="auto" w:sz="4" w:space="0"/>
            </w:tcBorders>
            <w:vAlign w:val="center"/>
          </w:tcPr>
          <w:p w14:paraId="0112A0B2">
            <w:pPr>
              <w:spacing w:after="0" w:line="360" w:lineRule="auto"/>
              <w:jc w:val="both"/>
              <w:rPr>
                <w:rFonts w:hint="eastAsia" w:ascii="宋体" w:hAnsi="宋体" w:eastAsia="宋体" w:cs="Times New Roman"/>
                <w:color w:val="auto"/>
                <w:sz w:val="21"/>
                <w:szCs w:val="21"/>
                <w14:ligatures w14:val="none"/>
              </w:rPr>
            </w:pPr>
            <w:r>
              <w:rPr>
                <w:rFonts w:hint="eastAsia" w:ascii="宋体" w:hAnsi="宋体" w:eastAsia="宋体" w:cs="Times New Roman"/>
                <w:color w:val="auto"/>
                <w:sz w:val="21"/>
                <w:szCs w:val="21"/>
                <w14:ligatures w14:val="none"/>
              </w:rPr>
              <w:t>缺陷责任期</w:t>
            </w:r>
          </w:p>
        </w:tc>
        <w:tc>
          <w:tcPr>
            <w:tcW w:w="7710" w:type="dxa"/>
            <w:gridSpan w:val="3"/>
            <w:tcBorders>
              <w:top w:val="single" w:color="auto" w:sz="4" w:space="0"/>
              <w:left w:val="single" w:color="auto" w:sz="4" w:space="0"/>
              <w:bottom w:val="single" w:color="auto" w:sz="4" w:space="0"/>
              <w:right w:val="single" w:color="auto" w:sz="4" w:space="0"/>
            </w:tcBorders>
            <w:vAlign w:val="center"/>
          </w:tcPr>
          <w:p w14:paraId="7254A495">
            <w:pPr>
              <w:spacing w:after="0" w:line="360" w:lineRule="auto"/>
              <w:jc w:val="both"/>
              <w:rPr>
                <w:rFonts w:hint="eastAsia" w:ascii="宋体" w:hAnsi="宋体" w:eastAsia="宋体" w:cs="宋体"/>
                <w:bCs/>
                <w:color w:val="auto"/>
                <w:sz w:val="21"/>
                <w:szCs w:val="21"/>
                <w14:ligatures w14:val="none"/>
              </w:rPr>
            </w:pPr>
            <w:r>
              <w:rPr>
                <w:rFonts w:hint="eastAsia" w:ascii="宋体" w:hAnsi="宋体" w:eastAsia="宋体" w:cs="宋体"/>
                <w:bCs/>
                <w:color w:val="auto"/>
                <w:sz w:val="21"/>
                <w:szCs w:val="21"/>
                <w14:ligatures w14:val="none"/>
              </w:rPr>
              <w:t>本项目缺陷责任期不少于 24 个月；缺陷责任期内对本项目设备、安装提供免费维修更换服务，接到故障通知后须到场处置。</w:t>
            </w:r>
          </w:p>
        </w:tc>
      </w:tr>
      <w:tr w14:paraId="45DD6C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7" w:hRule="atLeast"/>
          <w:jc w:val="center"/>
        </w:trPr>
        <w:tc>
          <w:tcPr>
            <w:tcW w:w="2447" w:type="dxa"/>
            <w:gridSpan w:val="3"/>
            <w:tcBorders>
              <w:top w:val="single" w:color="auto" w:sz="4" w:space="0"/>
              <w:left w:val="single" w:color="auto" w:sz="4" w:space="0"/>
              <w:bottom w:val="single" w:color="auto" w:sz="4" w:space="0"/>
              <w:right w:val="single" w:color="auto" w:sz="4" w:space="0"/>
            </w:tcBorders>
            <w:vAlign w:val="center"/>
          </w:tcPr>
          <w:p w14:paraId="134E2026">
            <w:pPr>
              <w:spacing w:after="0" w:line="360" w:lineRule="auto"/>
              <w:jc w:val="both"/>
              <w:rPr>
                <w:rFonts w:ascii="宋体" w:hAnsi="宋体" w:eastAsia="宋体" w:cs="Times New Roman"/>
                <w:b/>
                <w:color w:val="auto"/>
                <w:sz w:val="21"/>
                <w:szCs w:val="21"/>
                <w14:ligatures w14:val="none"/>
              </w:rPr>
            </w:pPr>
            <w:r>
              <w:rPr>
                <w:rFonts w:hint="eastAsia" w:ascii="宋体" w:hAnsi="宋体" w:eastAsia="宋体" w:cs="Times New Roman"/>
                <w:color w:val="auto"/>
                <w:sz w:val="21"/>
                <w:szCs w:val="21"/>
                <w14:ligatures w14:val="none"/>
              </w:rPr>
              <w:t>包装和运输</w:t>
            </w:r>
          </w:p>
        </w:tc>
        <w:tc>
          <w:tcPr>
            <w:tcW w:w="7710" w:type="dxa"/>
            <w:gridSpan w:val="3"/>
            <w:tcBorders>
              <w:top w:val="single" w:color="auto" w:sz="4" w:space="0"/>
              <w:left w:val="single" w:color="auto" w:sz="4" w:space="0"/>
              <w:bottom w:val="single" w:color="auto" w:sz="4" w:space="0"/>
              <w:right w:val="single" w:color="auto" w:sz="4" w:space="0"/>
            </w:tcBorders>
            <w:vAlign w:val="center"/>
          </w:tcPr>
          <w:p w14:paraId="6FD620F5">
            <w:pPr>
              <w:spacing w:after="0" w:line="360" w:lineRule="auto"/>
              <w:jc w:val="both"/>
              <w:rPr>
                <w:rFonts w:ascii="宋体" w:hAnsi="宋体" w:eastAsia="宋体" w:cs="Times New Roman"/>
                <w:b/>
                <w:color w:val="auto"/>
                <w:sz w:val="21"/>
                <w:szCs w:val="21"/>
                <w14:ligatures w14:val="none"/>
              </w:rPr>
            </w:pPr>
            <w:r>
              <w:rPr>
                <w:rFonts w:hint="eastAsia" w:ascii="宋体" w:hAnsi="宋体" w:eastAsia="宋体" w:cs="宋体"/>
                <w:bCs/>
                <w:color w:val="auto"/>
                <w:sz w:val="21"/>
                <w:szCs w:val="21"/>
                <w14:ligatures w14:val="none"/>
              </w:rPr>
              <w:t>符合现行国家相关标准、行业标准、地方标准或者其他标准、规范。</w:t>
            </w:r>
          </w:p>
        </w:tc>
      </w:tr>
      <w:tr w14:paraId="22445B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7" w:hRule="atLeast"/>
          <w:jc w:val="center"/>
        </w:trPr>
        <w:tc>
          <w:tcPr>
            <w:tcW w:w="10157" w:type="dxa"/>
            <w:gridSpan w:val="6"/>
            <w:tcBorders>
              <w:top w:val="single" w:color="auto" w:sz="4" w:space="0"/>
              <w:left w:val="single" w:color="auto" w:sz="4" w:space="0"/>
              <w:bottom w:val="single" w:color="auto" w:sz="4" w:space="0"/>
              <w:right w:val="single" w:color="auto" w:sz="4" w:space="0"/>
            </w:tcBorders>
            <w:vAlign w:val="center"/>
          </w:tcPr>
          <w:p w14:paraId="241FA13E">
            <w:pPr>
              <w:tabs>
                <w:tab w:val="left" w:pos="180"/>
                <w:tab w:val="left" w:pos="1620"/>
              </w:tabs>
              <w:spacing w:after="0" w:line="360" w:lineRule="auto"/>
              <w:jc w:val="both"/>
              <w:rPr>
                <w:rFonts w:ascii="宋体" w:hAnsi="宋体" w:eastAsia="宋体" w:cs="宋体"/>
                <w:bCs/>
                <w:color w:val="auto"/>
                <w:sz w:val="21"/>
                <w:szCs w:val="21"/>
                <w14:ligatures w14:val="none"/>
              </w:rPr>
            </w:pPr>
            <w:r>
              <w:rPr>
                <w:rFonts w:hint="eastAsia" w:ascii="宋体" w:hAnsi="宋体" w:eastAsia="宋体" w:cs="Times New Roman"/>
                <w:b/>
                <w:color w:val="auto"/>
                <w:sz w:val="21"/>
                <w:szCs w:val="21"/>
                <w14:ligatures w14:val="none"/>
              </w:rPr>
              <w:t>二、验收标准</w:t>
            </w:r>
          </w:p>
        </w:tc>
      </w:tr>
      <w:tr w14:paraId="761C9A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01" w:hRule="atLeast"/>
          <w:jc w:val="center"/>
        </w:trPr>
        <w:tc>
          <w:tcPr>
            <w:tcW w:w="10157" w:type="dxa"/>
            <w:gridSpan w:val="6"/>
            <w:tcBorders>
              <w:top w:val="single" w:color="auto" w:sz="4" w:space="0"/>
              <w:left w:val="single" w:color="auto" w:sz="4" w:space="0"/>
              <w:bottom w:val="single" w:color="auto" w:sz="4" w:space="0"/>
              <w:right w:val="single" w:color="auto" w:sz="4" w:space="0"/>
            </w:tcBorders>
            <w:vAlign w:val="center"/>
          </w:tcPr>
          <w:p w14:paraId="52299A80">
            <w:pPr>
              <w:tabs>
                <w:tab w:val="left" w:pos="180"/>
                <w:tab w:val="left" w:pos="1620"/>
              </w:tabs>
              <w:spacing w:after="0" w:line="360" w:lineRule="auto"/>
              <w:jc w:val="both"/>
              <w:rPr>
                <w:rFonts w:ascii="宋体" w:hAnsi="宋体" w:eastAsia="宋体" w:cs="Times New Roman"/>
                <w:color w:val="auto"/>
                <w:sz w:val="21"/>
                <w:szCs w:val="21"/>
                <w14:ligatures w14:val="none"/>
              </w:rPr>
            </w:pPr>
            <w:r>
              <w:rPr>
                <w:rFonts w:hint="eastAsia" w:ascii="宋体" w:hAnsi="宋体" w:eastAsia="宋体" w:cs="宋体"/>
                <w:bCs/>
                <w:color w:val="auto"/>
                <w:sz w:val="21"/>
                <w:szCs w:val="21"/>
                <w14:ligatures w14:val="none"/>
              </w:rPr>
              <w:t>执行 GB 50168、 GB 50169、GB 50171、GB 50173、GB 50150 等现行电力工程施工质量验收规范；按合同、设计文件开展技术、质量、安全、外观、功能、资料审核；工程须通过主管部门竣工验收。</w:t>
            </w:r>
          </w:p>
        </w:tc>
      </w:tr>
      <w:tr w14:paraId="6B77C4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64" w:hRule="atLeast"/>
          <w:jc w:val="center"/>
        </w:trPr>
        <w:tc>
          <w:tcPr>
            <w:tcW w:w="10157" w:type="dxa"/>
            <w:gridSpan w:val="6"/>
            <w:tcBorders>
              <w:top w:val="single" w:color="auto" w:sz="4" w:space="0"/>
              <w:left w:val="single" w:color="auto" w:sz="4" w:space="0"/>
              <w:bottom w:val="single" w:color="auto" w:sz="4" w:space="0"/>
              <w:right w:val="single" w:color="auto" w:sz="4" w:space="0"/>
            </w:tcBorders>
            <w:vAlign w:val="center"/>
          </w:tcPr>
          <w:p w14:paraId="72DA594B">
            <w:pPr>
              <w:tabs>
                <w:tab w:val="left" w:pos="180"/>
                <w:tab w:val="left" w:pos="1620"/>
              </w:tabs>
              <w:spacing w:after="0" w:line="360" w:lineRule="auto"/>
              <w:jc w:val="both"/>
              <w:rPr>
                <w:rFonts w:hint="eastAsia" w:ascii="宋体" w:hAnsi="宋体" w:eastAsia="宋体" w:cs="宋体"/>
                <w:bCs/>
                <w:color w:val="auto"/>
                <w:sz w:val="21"/>
                <w:szCs w:val="21"/>
                <w14:ligatures w14:val="none"/>
              </w:rPr>
            </w:pPr>
            <w:r>
              <w:rPr>
                <w:rFonts w:hint="eastAsia" w:ascii="宋体" w:hAnsi="宋体" w:eastAsia="宋体" w:cs="宋体"/>
                <w:b/>
                <w:bCs/>
                <w:color w:val="auto"/>
                <w:kern w:val="0"/>
                <w:sz w:val="21"/>
                <w:szCs w:val="21"/>
                <w:lang w:val="en-US" w:eastAsia="zh-CN"/>
              </w:rPr>
              <w:t>三、其他说明：</w:t>
            </w:r>
            <w:r>
              <w:rPr>
                <w:rFonts w:hint="eastAsia" w:ascii="宋体" w:hAnsi="宋体" w:eastAsia="宋体" w:cs="宋体"/>
                <w:b/>
                <w:bCs/>
                <w:color w:val="auto"/>
                <w:sz w:val="21"/>
                <w:szCs w:val="21"/>
                <w:lang w:val="en-US" w:eastAsia="zh-CN"/>
              </w:rPr>
              <w:t>采购文件中的</w:t>
            </w:r>
            <w:r>
              <w:rPr>
                <w:rFonts w:hint="eastAsia" w:ascii="宋体" w:hAnsi="宋体" w:cs="宋体"/>
                <w:b/>
                <w:bCs/>
                <w:color w:val="auto"/>
                <w:sz w:val="21"/>
                <w:szCs w:val="21"/>
                <w:lang w:val="en-US" w:eastAsia="zh-CN"/>
              </w:rPr>
              <w:t>工程</w:t>
            </w:r>
            <w:r>
              <w:rPr>
                <w:rFonts w:hint="eastAsia" w:ascii="宋体" w:hAnsi="宋体" w:eastAsia="宋体" w:cs="宋体"/>
                <w:b/>
                <w:bCs/>
                <w:color w:val="auto"/>
                <w:sz w:val="21"/>
                <w:szCs w:val="21"/>
                <w:lang w:val="en-US" w:eastAsia="zh-CN"/>
              </w:rPr>
              <w:t>项目名称与预算价的工程名称不一致时，以采购文件的</w:t>
            </w:r>
            <w:r>
              <w:rPr>
                <w:rFonts w:hint="eastAsia" w:ascii="宋体" w:hAnsi="宋体" w:cs="宋体"/>
                <w:b/>
                <w:bCs/>
                <w:color w:val="auto"/>
                <w:sz w:val="21"/>
                <w:szCs w:val="21"/>
                <w:lang w:val="en-US" w:eastAsia="zh-CN"/>
              </w:rPr>
              <w:t>工程</w:t>
            </w:r>
            <w:r>
              <w:rPr>
                <w:rFonts w:hint="eastAsia" w:ascii="宋体" w:hAnsi="宋体" w:eastAsia="宋体" w:cs="宋体"/>
                <w:b/>
                <w:bCs/>
                <w:color w:val="auto"/>
                <w:sz w:val="21"/>
                <w:szCs w:val="21"/>
                <w:lang w:val="en-US" w:eastAsia="zh-CN"/>
              </w:rPr>
              <w:t>项目名称为准。</w:t>
            </w:r>
          </w:p>
        </w:tc>
      </w:tr>
    </w:tbl>
    <w:p w14:paraId="2795A31C">
      <w:pPr>
        <w:pStyle w:val="35"/>
        <w:rPr>
          <w:rFonts w:hint="eastAsia"/>
          <w:color w:val="auto"/>
          <w:lang w:val="en-US" w:eastAsia="zh-CN"/>
        </w:rPr>
      </w:pPr>
    </w:p>
    <w:p w14:paraId="75E5B79B">
      <w:pPr>
        <w:pStyle w:val="36"/>
        <w:ind w:left="0" w:leftChars="0" w:firstLine="0" w:firstLineChars="0"/>
        <w:rPr>
          <w:rFonts w:hint="eastAsia"/>
          <w:color w:val="auto"/>
        </w:rPr>
      </w:pPr>
    </w:p>
    <w:p w14:paraId="592B6CF2">
      <w:pPr>
        <w:pStyle w:val="2"/>
        <w:rPr>
          <w:rFonts w:hint="eastAsia" w:asciiTheme="majorEastAsia" w:hAnsiTheme="majorEastAsia" w:eastAsiaTheme="majorEastAsia" w:cstheme="majorEastAsia"/>
          <w:color w:val="auto"/>
          <w:szCs w:val="21"/>
          <w:highlight w:val="none"/>
        </w:rPr>
      </w:pPr>
    </w:p>
    <w:p w14:paraId="2DADA85E">
      <w:pPr>
        <w:pStyle w:val="23"/>
        <w:rPr>
          <w:rFonts w:hint="eastAsia" w:asciiTheme="majorEastAsia" w:hAnsiTheme="majorEastAsia" w:eastAsiaTheme="majorEastAsia" w:cstheme="majorEastAsia"/>
          <w:color w:val="auto"/>
          <w:szCs w:val="21"/>
          <w:highlight w:val="none"/>
        </w:rPr>
      </w:pPr>
    </w:p>
    <w:p w14:paraId="3D7B1851">
      <w:pPr>
        <w:pStyle w:val="23"/>
        <w:rPr>
          <w:rFonts w:hint="eastAsia" w:asciiTheme="majorEastAsia" w:hAnsiTheme="majorEastAsia" w:eastAsiaTheme="majorEastAsia" w:cstheme="majorEastAsia"/>
          <w:color w:val="auto"/>
          <w:szCs w:val="21"/>
          <w:highlight w:val="none"/>
        </w:rPr>
      </w:pPr>
    </w:p>
    <w:p w14:paraId="37C8FC13">
      <w:pPr>
        <w:pStyle w:val="23"/>
        <w:rPr>
          <w:rFonts w:hint="eastAsia" w:asciiTheme="majorEastAsia" w:hAnsiTheme="majorEastAsia" w:eastAsiaTheme="majorEastAsia" w:cstheme="majorEastAsia"/>
          <w:color w:val="auto"/>
          <w:szCs w:val="21"/>
          <w:highlight w:val="none"/>
        </w:rPr>
      </w:pPr>
    </w:p>
    <w:p w14:paraId="0C66122F">
      <w:pPr>
        <w:pStyle w:val="23"/>
        <w:rPr>
          <w:rFonts w:hint="eastAsia" w:asciiTheme="majorEastAsia" w:hAnsiTheme="majorEastAsia" w:eastAsiaTheme="majorEastAsia" w:cstheme="majorEastAsia"/>
          <w:color w:val="auto"/>
          <w:szCs w:val="21"/>
          <w:highlight w:val="none"/>
        </w:rPr>
      </w:pPr>
    </w:p>
    <w:p w14:paraId="0F53240C">
      <w:pPr>
        <w:pStyle w:val="23"/>
        <w:rPr>
          <w:rFonts w:hint="eastAsia" w:asciiTheme="majorEastAsia" w:hAnsiTheme="majorEastAsia" w:eastAsiaTheme="majorEastAsia" w:cstheme="majorEastAsia"/>
          <w:color w:val="auto"/>
          <w:szCs w:val="21"/>
          <w:highlight w:val="none"/>
        </w:rPr>
      </w:pPr>
    </w:p>
    <w:p w14:paraId="148B7EBB">
      <w:pPr>
        <w:pStyle w:val="23"/>
        <w:rPr>
          <w:rFonts w:hint="eastAsia" w:asciiTheme="majorEastAsia" w:hAnsiTheme="majorEastAsia" w:eastAsiaTheme="majorEastAsia" w:cstheme="majorEastAsia"/>
          <w:color w:val="auto"/>
          <w:szCs w:val="21"/>
          <w:highlight w:val="none"/>
        </w:rPr>
      </w:pPr>
    </w:p>
    <w:p w14:paraId="09C1FC7C">
      <w:pPr>
        <w:pStyle w:val="23"/>
        <w:rPr>
          <w:rFonts w:hint="eastAsia" w:asciiTheme="majorEastAsia" w:hAnsiTheme="majorEastAsia" w:eastAsiaTheme="majorEastAsia" w:cstheme="majorEastAsia"/>
          <w:color w:val="auto"/>
          <w:szCs w:val="21"/>
          <w:highlight w:val="none"/>
        </w:rPr>
      </w:pPr>
    </w:p>
    <w:p w14:paraId="1494C163">
      <w:pPr>
        <w:pStyle w:val="23"/>
        <w:rPr>
          <w:rFonts w:hint="eastAsia" w:asciiTheme="majorEastAsia" w:hAnsiTheme="majorEastAsia" w:eastAsiaTheme="majorEastAsia" w:cstheme="majorEastAsia"/>
          <w:color w:val="auto"/>
          <w:szCs w:val="21"/>
          <w:highlight w:val="none"/>
        </w:rPr>
      </w:pPr>
    </w:p>
    <w:p w14:paraId="1885C98E">
      <w:pPr>
        <w:pStyle w:val="23"/>
        <w:rPr>
          <w:rFonts w:hint="eastAsia" w:asciiTheme="majorEastAsia" w:hAnsiTheme="majorEastAsia" w:eastAsiaTheme="majorEastAsia" w:cstheme="majorEastAsia"/>
          <w:color w:val="auto"/>
          <w:szCs w:val="21"/>
          <w:highlight w:val="none"/>
        </w:rPr>
      </w:pPr>
    </w:p>
    <w:p w14:paraId="0913E3A3">
      <w:pPr>
        <w:pStyle w:val="23"/>
        <w:rPr>
          <w:rFonts w:hint="eastAsia" w:asciiTheme="majorEastAsia" w:hAnsiTheme="majorEastAsia" w:eastAsiaTheme="majorEastAsia" w:cstheme="majorEastAsia"/>
          <w:color w:val="auto"/>
          <w:szCs w:val="21"/>
          <w:highlight w:val="none"/>
        </w:rPr>
      </w:pPr>
    </w:p>
    <w:p w14:paraId="4D911D7B">
      <w:pPr>
        <w:pStyle w:val="2"/>
        <w:rPr>
          <w:rFonts w:hint="eastAsia" w:asciiTheme="majorEastAsia" w:hAnsiTheme="majorEastAsia" w:eastAsiaTheme="majorEastAsia" w:cstheme="majorEastAsia"/>
          <w:color w:val="auto"/>
          <w:szCs w:val="21"/>
          <w:highlight w:val="none"/>
        </w:rPr>
      </w:pPr>
    </w:p>
    <w:p w14:paraId="0BA7FB3C">
      <w:pPr>
        <w:jc w:val="center"/>
        <w:outlineLvl w:val="0"/>
        <w:rPr>
          <w:rFonts w:ascii="宋体" w:hAnsi="宋体"/>
          <w:b/>
          <w:bCs/>
          <w:color w:val="auto"/>
          <w:sz w:val="36"/>
          <w:szCs w:val="44"/>
        </w:rPr>
      </w:pPr>
      <w:bookmarkStart w:id="87" w:name="_Toc18051"/>
      <w:r>
        <w:rPr>
          <w:rFonts w:hint="eastAsia" w:ascii="宋体" w:hAnsi="宋体"/>
          <w:b/>
          <w:bCs/>
          <w:color w:val="auto"/>
          <w:sz w:val="36"/>
          <w:szCs w:val="44"/>
        </w:rPr>
        <w:t>第四章 评审程序、评审方法和评审标准</w:t>
      </w:r>
      <w:bookmarkEnd w:id="87"/>
    </w:p>
    <w:p w14:paraId="6E279904">
      <w:pPr>
        <w:pStyle w:val="4"/>
        <w:spacing w:line="340" w:lineRule="exact"/>
        <w:jc w:val="center"/>
        <w:outlineLvl w:val="9"/>
        <w:rPr>
          <w:rFonts w:ascii="黑体" w:hAnsi="黑体" w:eastAsia="黑体" w:cs="宋体"/>
          <w:color w:val="auto"/>
          <w:sz w:val="24"/>
        </w:rPr>
      </w:pPr>
    </w:p>
    <w:p w14:paraId="525AA763">
      <w:pPr>
        <w:pStyle w:val="4"/>
        <w:spacing w:line="340" w:lineRule="exact"/>
        <w:jc w:val="center"/>
        <w:rPr>
          <w:rFonts w:ascii="宋体" w:hAnsi="宋体"/>
          <w:color w:val="auto"/>
        </w:rPr>
      </w:pPr>
      <w:r>
        <w:rPr>
          <w:rFonts w:hint="eastAsia" w:ascii="宋体" w:hAnsi="宋体"/>
          <w:color w:val="auto"/>
        </w:rPr>
        <w:t>一 、评审程序和评审方法</w:t>
      </w:r>
    </w:p>
    <w:p w14:paraId="6D631F92">
      <w:pPr>
        <w:spacing w:line="360" w:lineRule="auto"/>
        <w:ind w:firstLine="422" w:firstLineChars="200"/>
        <w:rPr>
          <w:rFonts w:hint="eastAsia" w:ascii="宋体" w:hAnsi="宋体" w:eastAsia="宋体" w:cs="宋体"/>
          <w:b/>
          <w:bCs/>
          <w:color w:val="auto"/>
          <w:sz w:val="21"/>
          <w:szCs w:val="21"/>
        </w:rPr>
      </w:pPr>
      <w:r>
        <w:rPr>
          <w:rFonts w:hint="eastAsia" w:ascii="宋体" w:hAnsi="宋体" w:eastAsia="宋体" w:cs="宋体"/>
          <w:b/>
          <w:bCs/>
          <w:color w:val="auto"/>
          <w:sz w:val="21"/>
          <w:szCs w:val="21"/>
        </w:rPr>
        <w:t>1.资格审查</w:t>
      </w:r>
    </w:p>
    <w:p w14:paraId="03915BF2">
      <w:pPr>
        <w:snapToGrid w:val="0"/>
        <w:spacing w:line="360" w:lineRule="auto"/>
        <w:ind w:firstLine="420" w:firstLineChars="200"/>
        <w:rPr>
          <w:rFonts w:ascii="宋体" w:hAnsi="宋体"/>
          <w:color w:val="auto"/>
          <w:szCs w:val="21"/>
        </w:rPr>
      </w:pPr>
      <w:r>
        <w:rPr>
          <w:rFonts w:ascii="宋体" w:hAnsi="宋体" w:cs="宋体"/>
          <w:color w:val="auto"/>
          <w:szCs w:val="21"/>
        </w:rPr>
        <w:t>1</w:t>
      </w:r>
      <w:r>
        <w:rPr>
          <w:rFonts w:hint="eastAsia" w:ascii="宋体" w:hAnsi="宋体" w:cs="宋体"/>
          <w:color w:val="auto"/>
          <w:szCs w:val="21"/>
        </w:rPr>
        <w:t>.1</w:t>
      </w:r>
      <w:r>
        <w:rPr>
          <w:rFonts w:hint="eastAsia" w:ascii="宋体" w:hAnsi="宋体"/>
          <w:color w:val="auto"/>
          <w:szCs w:val="21"/>
        </w:rPr>
        <w:t>响应文件开启后，磋商小组依法对供应商的资格证明文件进行审查。</w:t>
      </w:r>
    </w:p>
    <w:p w14:paraId="75D8162B">
      <w:pPr>
        <w:snapToGrid w:val="0"/>
        <w:spacing w:line="360" w:lineRule="auto"/>
        <w:rPr>
          <w:rFonts w:ascii="宋体" w:hAnsi="宋体" w:cs="宋体"/>
          <w:color w:val="auto"/>
          <w:szCs w:val="21"/>
        </w:rPr>
      </w:pPr>
      <w:r>
        <w:rPr>
          <w:rFonts w:hint="eastAsia" w:ascii="宋体" w:hAnsi="宋体" w:cs="宋体"/>
          <w:color w:val="auto"/>
          <w:szCs w:val="21"/>
        </w:rPr>
        <w:t>注：采购人或者采购代理机构在资格审查结束前，对供应商进行信用查询。</w:t>
      </w:r>
    </w:p>
    <w:p w14:paraId="45A2712E">
      <w:pPr>
        <w:snapToGrid w:val="0"/>
        <w:spacing w:line="360" w:lineRule="auto"/>
        <w:jc w:val="left"/>
        <w:rPr>
          <w:rFonts w:ascii="宋体" w:hAnsi="宋体" w:cs="宋体"/>
          <w:color w:val="auto"/>
          <w:szCs w:val="21"/>
        </w:rPr>
      </w:pPr>
      <w:r>
        <w:rPr>
          <w:rFonts w:hint="eastAsia" w:ascii="宋体" w:hAnsi="宋体" w:cs="宋体"/>
          <w:color w:val="auto"/>
          <w:szCs w:val="21"/>
        </w:rPr>
        <w:t>（1）查询渠道：广西政府采购云平台</w:t>
      </w:r>
      <w:r>
        <w:rPr>
          <w:rFonts w:hint="eastAsia" w:ascii="宋体" w:hAnsi="宋体" w:cs="宋体"/>
          <w:color w:val="auto"/>
          <w:szCs w:val="21"/>
          <w:lang w:eastAsia="zh-CN"/>
        </w:rPr>
        <w:t>、</w:t>
      </w:r>
      <w:r>
        <w:rPr>
          <w:rFonts w:hint="eastAsia" w:ascii="宋体" w:hAnsi="宋体" w:cs="宋体"/>
          <w:color w:val="auto"/>
          <w:szCs w:val="21"/>
        </w:rPr>
        <w:t>“信用中国”网站</w:t>
      </w:r>
      <w:r>
        <w:rPr>
          <w:rFonts w:hint="eastAsia" w:ascii="宋体" w:hAnsi="宋体" w:cs="宋体"/>
          <w:color w:val="auto"/>
          <w:szCs w:val="21"/>
          <w:lang w:eastAsia="zh-CN"/>
        </w:rPr>
        <w:t>（</w:t>
      </w:r>
      <w:r>
        <w:rPr>
          <w:rFonts w:hint="eastAsia" w:ascii="宋体" w:hAnsi="宋体" w:cs="宋体"/>
          <w:color w:val="auto"/>
          <w:szCs w:val="21"/>
        </w:rPr>
        <w:t>www.creditchina.gov.cn</w:t>
      </w:r>
      <w:r>
        <w:rPr>
          <w:rFonts w:hint="eastAsia" w:ascii="宋体" w:hAnsi="宋体" w:cs="宋体"/>
          <w:color w:val="auto"/>
          <w:szCs w:val="21"/>
          <w:lang w:eastAsia="zh-CN"/>
        </w:rPr>
        <w:t>）</w:t>
      </w:r>
      <w:r>
        <w:rPr>
          <w:rFonts w:hint="eastAsia" w:ascii="宋体" w:hAnsi="宋体" w:cs="宋体"/>
          <w:color w:val="auto"/>
          <w:szCs w:val="21"/>
        </w:rPr>
        <w:t>、中国政府采购网</w:t>
      </w:r>
      <w:r>
        <w:rPr>
          <w:rFonts w:hint="eastAsia" w:ascii="宋体" w:hAnsi="宋体" w:cs="宋体"/>
          <w:color w:val="auto"/>
          <w:szCs w:val="21"/>
          <w:lang w:eastAsia="zh-CN"/>
        </w:rPr>
        <w:t>（</w:t>
      </w:r>
      <w:r>
        <w:rPr>
          <w:rFonts w:hint="eastAsia" w:ascii="宋体" w:hAnsi="宋体" w:cs="宋体"/>
          <w:color w:val="auto"/>
          <w:szCs w:val="21"/>
        </w:rPr>
        <w:t>www.ccgp.gov.cn</w:t>
      </w:r>
      <w:r>
        <w:rPr>
          <w:rFonts w:hint="eastAsia" w:ascii="宋体" w:hAnsi="宋体" w:cs="宋体"/>
          <w:color w:val="auto"/>
          <w:szCs w:val="21"/>
          <w:lang w:eastAsia="zh-CN"/>
        </w:rPr>
        <w:t>）</w:t>
      </w:r>
      <w:r>
        <w:rPr>
          <w:rFonts w:hint="eastAsia" w:ascii="宋体" w:hAnsi="宋体" w:cs="宋体"/>
          <w:color w:val="auto"/>
          <w:szCs w:val="21"/>
        </w:rPr>
        <w:t>链接入口。</w:t>
      </w:r>
    </w:p>
    <w:p w14:paraId="572EA349">
      <w:pPr>
        <w:snapToGrid w:val="0"/>
        <w:spacing w:line="360" w:lineRule="auto"/>
        <w:rPr>
          <w:rFonts w:ascii="宋体" w:hAnsi="宋体" w:cs="宋体"/>
          <w:color w:val="auto"/>
          <w:szCs w:val="21"/>
        </w:rPr>
      </w:pPr>
      <w:r>
        <w:rPr>
          <w:rFonts w:hint="eastAsia" w:ascii="宋体" w:hAnsi="宋体" w:cs="宋体"/>
          <w:color w:val="auto"/>
          <w:szCs w:val="21"/>
        </w:rPr>
        <w:t>（2）信用查询截止时点：资格审查结束前。</w:t>
      </w:r>
    </w:p>
    <w:p w14:paraId="4FC069D8">
      <w:pPr>
        <w:spacing w:line="360" w:lineRule="auto"/>
        <w:rPr>
          <w:rFonts w:ascii="宋体" w:hAnsi="宋体" w:cs="宋体"/>
          <w:color w:val="auto"/>
          <w:szCs w:val="21"/>
        </w:rPr>
      </w:pPr>
      <w:r>
        <w:rPr>
          <w:rFonts w:hint="eastAsia" w:ascii="宋体" w:hAnsi="宋体" w:cs="宋体"/>
          <w:color w:val="auto"/>
          <w:szCs w:val="21"/>
        </w:rPr>
        <w:t>（3）信用信息使用规则：对在“信用中国”网站</w:t>
      </w:r>
      <w:r>
        <w:rPr>
          <w:rFonts w:hint="eastAsia" w:ascii="宋体" w:hAnsi="宋体" w:cs="宋体"/>
          <w:color w:val="auto"/>
          <w:szCs w:val="21"/>
          <w:lang w:eastAsia="zh-CN"/>
        </w:rPr>
        <w:t>（</w:t>
      </w:r>
      <w:r>
        <w:rPr>
          <w:rFonts w:hint="eastAsia" w:ascii="宋体" w:hAnsi="宋体" w:cs="宋体"/>
          <w:color w:val="auto"/>
          <w:szCs w:val="21"/>
        </w:rPr>
        <w:t>www.creditchina.gov.cn</w:t>
      </w:r>
      <w:r>
        <w:rPr>
          <w:rFonts w:hint="eastAsia" w:ascii="宋体" w:hAnsi="宋体" w:cs="宋体"/>
          <w:color w:val="auto"/>
          <w:szCs w:val="21"/>
          <w:lang w:eastAsia="zh-CN"/>
        </w:rPr>
        <w:t>）</w:t>
      </w:r>
      <w:r>
        <w:rPr>
          <w:rFonts w:hint="eastAsia" w:ascii="宋体" w:hAnsi="宋体" w:cs="宋体"/>
          <w:color w:val="auto"/>
          <w:szCs w:val="21"/>
        </w:rPr>
        <w:t xml:space="preserve"> 、中国政府采购网</w:t>
      </w:r>
      <w:r>
        <w:rPr>
          <w:rFonts w:hint="eastAsia" w:ascii="宋体" w:hAnsi="宋体" w:cs="宋体"/>
          <w:color w:val="auto"/>
          <w:szCs w:val="21"/>
          <w:lang w:eastAsia="zh-CN"/>
        </w:rPr>
        <w:t>（</w:t>
      </w:r>
      <w:r>
        <w:rPr>
          <w:rFonts w:hint="eastAsia" w:ascii="宋体" w:hAnsi="宋体" w:cs="宋体"/>
          <w:color w:val="auto"/>
          <w:szCs w:val="21"/>
        </w:rPr>
        <w:t>www.ccgp.gov.cn</w:t>
      </w:r>
      <w:r>
        <w:rPr>
          <w:rFonts w:hint="eastAsia" w:ascii="宋体" w:hAnsi="宋体" w:cs="宋体"/>
          <w:color w:val="auto"/>
          <w:szCs w:val="21"/>
          <w:lang w:eastAsia="zh-CN"/>
        </w:rPr>
        <w:t>）</w:t>
      </w:r>
      <w:r>
        <w:rPr>
          <w:rFonts w:hint="eastAsia" w:ascii="宋体" w:hAnsi="宋体" w:cs="宋体"/>
          <w:color w:val="auto"/>
          <w:szCs w:val="21"/>
        </w:rPr>
        <w:t>被列入失信被执行人、重大税收违法案件当事人名单、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7CB777BD">
      <w:pPr>
        <w:spacing w:line="360" w:lineRule="auto"/>
        <w:ind w:firstLine="420" w:firstLineChars="200"/>
        <w:rPr>
          <w:rFonts w:ascii="宋体" w:hAnsi="宋体" w:cs="宋体"/>
          <w:color w:val="auto"/>
          <w:szCs w:val="21"/>
        </w:rPr>
      </w:pPr>
      <w:r>
        <w:rPr>
          <w:rFonts w:ascii="宋体" w:hAnsi="宋体" w:cs="宋体"/>
          <w:color w:val="auto"/>
          <w:szCs w:val="21"/>
        </w:rPr>
        <w:t>1</w:t>
      </w:r>
      <w:r>
        <w:rPr>
          <w:rFonts w:hint="eastAsia" w:ascii="宋体" w:hAnsi="宋体" w:cs="宋体"/>
          <w:color w:val="auto"/>
          <w:szCs w:val="21"/>
        </w:rPr>
        <w:t>.2资格审查标准为本磋商文件中载明对供应商资格要求的条件。资格审查采用合格制，凡符合磋商文件规定的供应商资格要求的响应文件均通过资格审查。</w:t>
      </w:r>
    </w:p>
    <w:p w14:paraId="581AADF6">
      <w:pPr>
        <w:spacing w:line="360" w:lineRule="auto"/>
        <w:ind w:firstLine="420" w:firstLineChars="200"/>
        <w:rPr>
          <w:rFonts w:ascii="宋体" w:hAnsi="宋体" w:cs="宋体"/>
          <w:color w:val="auto"/>
          <w:szCs w:val="21"/>
        </w:rPr>
      </w:pPr>
      <w:r>
        <w:rPr>
          <w:rFonts w:ascii="宋体" w:hAnsi="宋体" w:cs="宋体"/>
          <w:color w:val="auto"/>
          <w:szCs w:val="21"/>
        </w:rPr>
        <w:t>1</w:t>
      </w:r>
      <w:r>
        <w:rPr>
          <w:rFonts w:hint="eastAsia" w:ascii="宋体" w:hAnsi="宋体" w:cs="宋体"/>
          <w:color w:val="auto"/>
          <w:szCs w:val="21"/>
        </w:rPr>
        <w:t>.3供应商有下列情形之一的，资格审查不通过，其响应文件按无效响应处理：</w:t>
      </w:r>
    </w:p>
    <w:p w14:paraId="4B9925A0">
      <w:pPr>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w:t>
      </w:r>
      <w:r>
        <w:rPr>
          <w:rFonts w:ascii="宋体" w:hAnsi="宋体" w:cs="宋体"/>
          <w:color w:val="auto"/>
          <w:szCs w:val="21"/>
        </w:rPr>
        <w:t>1</w:t>
      </w:r>
      <w:r>
        <w:rPr>
          <w:rFonts w:hint="eastAsia" w:ascii="宋体" w:hAnsi="宋体" w:cs="宋体"/>
          <w:color w:val="auto"/>
          <w:szCs w:val="21"/>
        </w:rPr>
        <w:t>）不具备磋商文件中规定的资格要求的；</w:t>
      </w:r>
    </w:p>
    <w:p w14:paraId="79197745">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w:t>
      </w:r>
      <w:r>
        <w:rPr>
          <w:rFonts w:ascii="宋体" w:hAnsi="宋体" w:cs="宋体"/>
          <w:color w:val="auto"/>
          <w:szCs w:val="21"/>
        </w:rPr>
        <w:t>2</w:t>
      </w:r>
      <w:r>
        <w:rPr>
          <w:rFonts w:hint="eastAsia" w:ascii="宋体" w:hAnsi="宋体" w:cs="宋体"/>
          <w:color w:val="auto"/>
          <w:szCs w:val="21"/>
        </w:rPr>
        <w:t>）响应文件未提供任一项“供应商须知前附表”资格证明文件规定的“必须提供”的文件资料的；</w:t>
      </w:r>
    </w:p>
    <w:p w14:paraId="40165AF1">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w:t>
      </w:r>
      <w:r>
        <w:rPr>
          <w:rFonts w:ascii="宋体" w:hAnsi="宋体" w:cs="宋体"/>
          <w:color w:val="auto"/>
          <w:szCs w:val="21"/>
        </w:rPr>
        <w:t>3</w:t>
      </w:r>
      <w:r>
        <w:rPr>
          <w:rFonts w:hint="eastAsia" w:ascii="宋体" w:hAnsi="宋体" w:cs="宋体"/>
          <w:color w:val="auto"/>
          <w:szCs w:val="21"/>
        </w:rPr>
        <w:t>）响应文件提供的资格证明文件出现任一项不符合“供应商须知前附表”资格证明文件规定的“必须提供”的文件资料要求或者无效的。</w:t>
      </w:r>
    </w:p>
    <w:p w14:paraId="6BF17390">
      <w:pPr>
        <w:spacing w:line="360" w:lineRule="auto"/>
        <w:ind w:firstLine="420" w:firstLineChars="200"/>
        <w:rPr>
          <w:rFonts w:hint="eastAsia" w:ascii="宋体" w:hAnsi="宋体" w:cs="宋体"/>
          <w:color w:val="auto"/>
          <w:szCs w:val="21"/>
        </w:rPr>
      </w:pPr>
      <w:bookmarkStart w:id="88" w:name="_Hlk68601553"/>
      <w:r>
        <w:rPr>
          <w:rFonts w:hint="eastAsia" w:ascii="宋体" w:hAnsi="宋体" w:cs="宋体"/>
          <w:color w:val="auto"/>
          <w:szCs w:val="21"/>
        </w:rPr>
        <w:t>（4）同一合同项下的不同供应商，单位负责人为同一人或者存在直接控股、管理关系的；为本项目提供过整体设计、规范编制或者项目管理、监理、检测等服务的。</w:t>
      </w:r>
      <w:bookmarkEnd w:id="88"/>
    </w:p>
    <w:p w14:paraId="009A430D">
      <w:pPr>
        <w:spacing w:line="360" w:lineRule="auto"/>
        <w:ind w:firstLine="420" w:firstLineChars="200"/>
        <w:rPr>
          <w:rFonts w:ascii="宋体" w:hAnsi="宋体" w:cs="宋体"/>
          <w:color w:val="auto"/>
          <w:szCs w:val="21"/>
        </w:rPr>
      </w:pPr>
      <w:r>
        <w:rPr>
          <w:rFonts w:ascii="宋体" w:hAnsi="宋体" w:cs="宋体"/>
          <w:color w:val="auto"/>
          <w:szCs w:val="21"/>
        </w:rPr>
        <w:t>1</w:t>
      </w:r>
      <w:r>
        <w:rPr>
          <w:rFonts w:hint="eastAsia" w:ascii="宋体" w:hAnsi="宋体" w:cs="宋体"/>
          <w:color w:val="auto"/>
          <w:szCs w:val="21"/>
        </w:rPr>
        <w:t>.4通过资格审查的合格供应商不足3家的，不得进入符合性审查环节，</w:t>
      </w:r>
      <w:r>
        <w:rPr>
          <w:rFonts w:hint="eastAsia" w:ascii="宋体" w:hAnsi="宋体"/>
          <w:color w:val="auto"/>
          <w:szCs w:val="21"/>
        </w:rPr>
        <w:t>采购人或者采购代理机构应当重新开展采购活动。</w:t>
      </w:r>
    </w:p>
    <w:p w14:paraId="1A1479B1">
      <w:pPr>
        <w:spacing w:line="360" w:lineRule="auto"/>
        <w:ind w:firstLine="422" w:firstLineChars="200"/>
        <w:rPr>
          <w:rFonts w:hint="eastAsia" w:ascii="宋体" w:hAnsi="宋体" w:eastAsia="宋体" w:cs="宋体"/>
          <w:b/>
          <w:bCs/>
          <w:color w:val="auto"/>
          <w:sz w:val="21"/>
          <w:szCs w:val="21"/>
        </w:rPr>
      </w:pPr>
      <w:r>
        <w:rPr>
          <w:rFonts w:hint="eastAsia" w:ascii="宋体" w:hAnsi="宋体" w:eastAsia="宋体" w:cs="宋体"/>
          <w:b/>
          <w:bCs/>
          <w:color w:val="auto"/>
          <w:sz w:val="21"/>
          <w:szCs w:val="21"/>
        </w:rPr>
        <w:t>2.符合性审查</w:t>
      </w:r>
    </w:p>
    <w:p w14:paraId="4ADB7A6A">
      <w:pPr>
        <w:spacing w:line="360" w:lineRule="auto"/>
        <w:ind w:firstLine="420" w:firstLineChars="200"/>
        <w:rPr>
          <w:rFonts w:ascii="宋体" w:hAnsi="宋体" w:cs="宋体"/>
          <w:color w:val="auto"/>
          <w:szCs w:val="21"/>
        </w:rPr>
      </w:pPr>
      <w:bookmarkStart w:id="89" w:name="_Hlk42528882"/>
      <w:r>
        <w:rPr>
          <w:rFonts w:ascii="宋体" w:hAnsi="宋体" w:cs="宋体"/>
          <w:color w:val="auto"/>
          <w:szCs w:val="21"/>
        </w:rPr>
        <w:t>2.1</w:t>
      </w:r>
      <w:r>
        <w:rPr>
          <w:rFonts w:hint="eastAsia" w:ascii="宋体" w:hAnsi="宋体" w:cs="宋体"/>
          <w:color w:val="auto"/>
          <w:szCs w:val="21"/>
        </w:rPr>
        <w:t>由磋商小组对</w:t>
      </w:r>
      <w:r>
        <w:rPr>
          <w:rFonts w:hint="eastAsia" w:ascii="宋体" w:hAnsi="宋体"/>
          <w:color w:val="auto"/>
          <w:szCs w:val="21"/>
        </w:rPr>
        <w:t>通过资格审查的合格供应商</w:t>
      </w:r>
      <w:r>
        <w:rPr>
          <w:rFonts w:hint="eastAsia" w:ascii="宋体" w:hAnsi="宋体" w:cs="宋体"/>
          <w:color w:val="auto"/>
          <w:szCs w:val="21"/>
        </w:rPr>
        <w:t>的响应文件的竞标报价、商务、技术等实质性要求进行符合性审查，以确定其是否满足磋商文件的实质性要求。</w:t>
      </w:r>
    </w:p>
    <w:bookmarkEnd w:id="89"/>
    <w:p w14:paraId="39B50CAE">
      <w:pPr>
        <w:spacing w:line="360" w:lineRule="auto"/>
        <w:ind w:firstLine="420" w:firstLineChars="200"/>
        <w:rPr>
          <w:rFonts w:ascii="宋体" w:hAnsi="宋体" w:cs="宋体"/>
          <w:color w:val="auto"/>
          <w:szCs w:val="21"/>
        </w:rPr>
      </w:pPr>
      <w:r>
        <w:rPr>
          <w:rFonts w:ascii="宋体" w:hAnsi="宋体" w:cs="宋体"/>
          <w:color w:val="auto"/>
          <w:szCs w:val="21"/>
        </w:rPr>
        <w:t>2.2</w:t>
      </w:r>
      <w:r>
        <w:rPr>
          <w:rFonts w:hint="eastAsia" w:ascii="宋体" w:hAnsi="宋体" w:cs="宋体"/>
          <w:color w:val="auto"/>
          <w:szCs w:val="21"/>
        </w:rPr>
        <w:t>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3E66458B">
      <w:pPr>
        <w:spacing w:line="360" w:lineRule="auto"/>
        <w:ind w:firstLine="420" w:firstLineChars="200"/>
        <w:rPr>
          <w:rFonts w:ascii="宋体" w:hAnsi="宋体" w:cs="宋体"/>
          <w:color w:val="auto"/>
          <w:spacing w:val="-6"/>
          <w:szCs w:val="21"/>
        </w:rPr>
      </w:pPr>
      <w:r>
        <w:rPr>
          <w:rFonts w:ascii="宋体" w:hAnsi="宋体" w:cs="宋体"/>
          <w:color w:val="auto"/>
          <w:szCs w:val="21"/>
        </w:rPr>
        <w:t>2</w:t>
      </w:r>
      <w:r>
        <w:rPr>
          <w:rFonts w:hint="eastAsia" w:ascii="宋体" w:hAnsi="宋体" w:cs="宋体"/>
          <w:color w:val="auto"/>
          <w:szCs w:val="21"/>
        </w:rPr>
        <w:t>.</w:t>
      </w:r>
      <w:r>
        <w:rPr>
          <w:rFonts w:ascii="宋体" w:hAnsi="宋体" w:cs="宋体"/>
          <w:color w:val="auto"/>
          <w:szCs w:val="21"/>
        </w:rPr>
        <w:t>3</w:t>
      </w:r>
      <w:r>
        <w:rPr>
          <w:rFonts w:hint="eastAsia" w:ascii="宋体" w:hAnsi="宋体" w:cs="宋体"/>
          <w:color w:val="auto"/>
          <w:szCs w:val="21"/>
        </w:rPr>
        <w:t>磋商小组要求供应商澄清、说明或者更正响应文件应当以书面形式作出。供应商的澄清、说明或者更正应当以书面形式按照磋商小组的要求作出明确的澄清、说明或者更正，未按磋商小组的要求作出明确澄清、说明或者更正的供应商的响应文件将按照有利于采购人的原则由磋商小组进行判定。供应商的澄清、说明或者更正必须由法定代表人或者其授权代表签字或者加盖公章。由委托代理人签字的，</w:t>
      </w:r>
      <w:r>
        <w:rPr>
          <w:rFonts w:hint="eastAsia" w:ascii="宋体" w:hAnsi="宋体" w:cs="宋体"/>
          <w:bCs/>
          <w:color w:val="auto"/>
          <w:szCs w:val="21"/>
        </w:rPr>
        <w:t>若委托代理人不是响应文件中授权的委托代理人时，必须同时出示有效的法定代表人授权委托书原件</w:t>
      </w:r>
      <w:r>
        <w:rPr>
          <w:rFonts w:hint="eastAsia" w:ascii="宋体" w:hAnsi="宋体" w:cs="宋体"/>
          <w:color w:val="auto"/>
          <w:spacing w:val="-6"/>
          <w:szCs w:val="21"/>
        </w:rPr>
        <w:t>。供应商为自然人的，必须由本人签字并附身份证明。</w:t>
      </w:r>
    </w:p>
    <w:p w14:paraId="4C638303">
      <w:pPr>
        <w:spacing w:line="360" w:lineRule="auto"/>
        <w:ind w:firstLine="396" w:firstLineChars="200"/>
        <w:rPr>
          <w:rFonts w:ascii="宋体" w:hAnsi="宋体" w:cs="宋体"/>
          <w:color w:val="auto"/>
          <w:szCs w:val="21"/>
        </w:rPr>
      </w:pPr>
      <w:r>
        <w:rPr>
          <w:rFonts w:ascii="宋体" w:hAnsi="宋体" w:cs="宋体"/>
          <w:color w:val="auto"/>
          <w:spacing w:val="-6"/>
          <w:szCs w:val="21"/>
        </w:rPr>
        <w:t>2.4</w:t>
      </w:r>
      <w:r>
        <w:rPr>
          <w:rFonts w:hint="eastAsia" w:ascii="宋体" w:hAnsi="宋体" w:cs="宋体"/>
          <w:color w:val="auto"/>
          <w:szCs w:val="21"/>
        </w:rPr>
        <w:t xml:space="preserve">首次响应文件报价出现前后不一致的，按照下列规定修正： </w:t>
      </w:r>
    </w:p>
    <w:p w14:paraId="41544B77">
      <w:pPr>
        <w:spacing w:line="360" w:lineRule="auto"/>
        <w:ind w:firstLine="420" w:firstLineChars="200"/>
        <w:rPr>
          <w:rFonts w:ascii="宋体" w:hAnsi="宋体" w:cs="宋体"/>
          <w:color w:val="auto"/>
          <w:szCs w:val="21"/>
        </w:rPr>
      </w:pPr>
      <w:r>
        <w:rPr>
          <w:rFonts w:hint="eastAsia" w:ascii="宋体" w:hAnsi="宋体" w:cs="宋体"/>
          <w:color w:val="auto"/>
          <w:szCs w:val="21"/>
        </w:rPr>
        <w:t>（1）响应文件中报价表内容与响应文件中相应内容不一致的，以报价表为准；</w:t>
      </w:r>
    </w:p>
    <w:p w14:paraId="5D4CBDFF">
      <w:pPr>
        <w:spacing w:line="360" w:lineRule="auto"/>
        <w:ind w:firstLine="420" w:firstLineChars="200"/>
        <w:rPr>
          <w:rFonts w:ascii="宋体" w:hAnsi="宋体" w:cs="宋体"/>
          <w:color w:val="auto"/>
          <w:szCs w:val="21"/>
        </w:rPr>
      </w:pPr>
      <w:r>
        <w:rPr>
          <w:rFonts w:hint="eastAsia" w:ascii="宋体" w:hAnsi="宋体" w:cs="宋体"/>
          <w:color w:val="auto"/>
          <w:szCs w:val="21"/>
        </w:rPr>
        <w:t>（2）大写金额和小写金额不一致的，以大写金额为准；</w:t>
      </w:r>
    </w:p>
    <w:p w14:paraId="0C75E213">
      <w:pPr>
        <w:spacing w:line="360" w:lineRule="auto"/>
        <w:ind w:firstLine="420" w:firstLineChars="200"/>
        <w:rPr>
          <w:rFonts w:ascii="宋体" w:hAnsi="宋体" w:cs="宋体"/>
          <w:color w:val="auto"/>
          <w:szCs w:val="21"/>
        </w:rPr>
      </w:pPr>
      <w:r>
        <w:rPr>
          <w:rFonts w:hint="eastAsia" w:ascii="宋体" w:hAnsi="宋体" w:cs="宋体"/>
          <w:color w:val="auto"/>
          <w:szCs w:val="21"/>
        </w:rPr>
        <w:t>（3）单价金额小数点或者百分比有明显错位的，以报价表的总价为准，并修改单价；</w:t>
      </w:r>
    </w:p>
    <w:p w14:paraId="1130522E">
      <w:pPr>
        <w:spacing w:line="360" w:lineRule="auto"/>
        <w:ind w:firstLine="420" w:firstLineChars="200"/>
        <w:rPr>
          <w:rFonts w:ascii="宋体" w:hAnsi="宋体" w:cs="宋体"/>
          <w:color w:val="auto"/>
          <w:szCs w:val="21"/>
        </w:rPr>
      </w:pPr>
      <w:r>
        <w:rPr>
          <w:rFonts w:hint="eastAsia" w:ascii="宋体" w:hAnsi="宋体" w:cs="宋体"/>
          <w:color w:val="auto"/>
          <w:szCs w:val="21"/>
        </w:rPr>
        <w:t>（4）总价金额与按单价汇总金额不一致的，以单价金额计算结果为准。</w:t>
      </w:r>
    </w:p>
    <w:p w14:paraId="1EFAC153">
      <w:pPr>
        <w:spacing w:line="360" w:lineRule="auto"/>
        <w:ind w:firstLine="420" w:firstLineChars="200"/>
        <w:rPr>
          <w:rFonts w:ascii="宋体" w:hAnsi="宋体" w:cs="宋体"/>
          <w:color w:val="auto"/>
          <w:szCs w:val="21"/>
        </w:rPr>
      </w:pPr>
      <w:r>
        <w:rPr>
          <w:rFonts w:hint="eastAsia" w:ascii="宋体" w:hAnsi="宋体" w:cs="宋体"/>
          <w:color w:val="auto"/>
          <w:szCs w:val="21"/>
        </w:rPr>
        <w:t>同时出现两种以上不一致的，按照以上（1）</w:t>
      </w:r>
      <w:r>
        <w:rPr>
          <w:rFonts w:hint="eastAsia" w:ascii="宋体" w:hAnsi="宋体" w:cs="宋体"/>
          <w:color w:val="auto"/>
          <w:szCs w:val="21"/>
          <w:lang w:eastAsia="zh-CN"/>
        </w:rPr>
        <w:t>－</w:t>
      </w:r>
      <w:r>
        <w:rPr>
          <w:rFonts w:hint="eastAsia" w:ascii="宋体" w:hAnsi="宋体" w:cs="宋体"/>
          <w:color w:val="auto"/>
          <w:szCs w:val="21"/>
        </w:rPr>
        <w:t>（4）规定的顺序逐条进行修正。修正后的报价经供应商确认后产生约束力，供应商不确认的，其响应文件按无效响应处理。</w:t>
      </w:r>
    </w:p>
    <w:p w14:paraId="33ED636F">
      <w:pPr>
        <w:spacing w:line="360" w:lineRule="auto"/>
        <w:ind w:firstLine="420" w:firstLineChars="200"/>
        <w:rPr>
          <w:rFonts w:ascii="宋体" w:hAnsi="宋体" w:cs="宋体"/>
          <w:color w:val="auto"/>
          <w:szCs w:val="21"/>
        </w:rPr>
      </w:pPr>
      <w:r>
        <w:rPr>
          <w:rFonts w:ascii="宋体" w:hAnsi="宋体" w:cs="宋体"/>
          <w:color w:val="auto"/>
          <w:szCs w:val="21"/>
        </w:rPr>
        <w:t>2</w:t>
      </w:r>
      <w:r>
        <w:rPr>
          <w:rFonts w:hint="eastAsia" w:ascii="宋体" w:hAnsi="宋体" w:cs="宋体"/>
          <w:color w:val="auto"/>
          <w:szCs w:val="21"/>
        </w:rPr>
        <w:t>.</w:t>
      </w:r>
      <w:r>
        <w:rPr>
          <w:rFonts w:ascii="宋体" w:hAnsi="宋体" w:cs="宋体"/>
          <w:color w:val="auto"/>
          <w:szCs w:val="21"/>
        </w:rPr>
        <w:t>5</w:t>
      </w:r>
      <w:r>
        <w:rPr>
          <w:rFonts w:hint="eastAsia" w:ascii="宋体" w:hAnsi="宋体" w:cs="宋体"/>
          <w:color w:val="auto"/>
          <w:szCs w:val="21"/>
        </w:rPr>
        <w:t>商务技术报价评审</w:t>
      </w:r>
    </w:p>
    <w:p w14:paraId="13B712B8">
      <w:pPr>
        <w:spacing w:line="360" w:lineRule="auto"/>
        <w:ind w:firstLine="420" w:firstLineChars="200"/>
        <w:rPr>
          <w:rFonts w:ascii="宋体" w:hAnsi="宋体" w:cs="宋体"/>
          <w:color w:val="auto"/>
          <w:szCs w:val="21"/>
        </w:rPr>
      </w:pPr>
      <w:r>
        <w:rPr>
          <w:rFonts w:hint="eastAsia" w:ascii="宋体" w:hAnsi="宋体" w:cs="宋体"/>
          <w:color w:val="auto"/>
          <w:szCs w:val="21"/>
        </w:rPr>
        <w:t>在评审时，如发现下列情形之一的，将被视为响应文件无效处理：</w:t>
      </w:r>
    </w:p>
    <w:p w14:paraId="5342C8FE">
      <w:pPr>
        <w:spacing w:line="360" w:lineRule="auto"/>
        <w:ind w:firstLine="420" w:firstLineChars="200"/>
        <w:rPr>
          <w:rFonts w:ascii="宋体" w:hAnsi="宋体" w:cs="宋体"/>
          <w:color w:val="auto"/>
          <w:szCs w:val="21"/>
        </w:rPr>
      </w:pPr>
      <w:r>
        <w:rPr>
          <w:rFonts w:hint="eastAsia" w:ascii="宋体" w:hAnsi="宋体" w:cs="宋体"/>
          <w:color w:val="auto"/>
          <w:szCs w:val="21"/>
        </w:rPr>
        <w:t>（1）商务技术评审</w:t>
      </w:r>
    </w:p>
    <w:p w14:paraId="296E7EBA">
      <w:pPr>
        <w:spacing w:line="360" w:lineRule="auto"/>
        <w:ind w:firstLine="420" w:firstLineChars="200"/>
        <w:rPr>
          <w:rFonts w:ascii="宋体" w:hAnsi="宋体" w:cs="宋体"/>
          <w:color w:val="auto"/>
          <w:szCs w:val="21"/>
        </w:rPr>
      </w:pPr>
      <w:r>
        <w:rPr>
          <w:rFonts w:hint="eastAsia" w:ascii="宋体" w:hAnsi="宋体" w:cs="宋体"/>
          <w:color w:val="auto"/>
          <w:szCs w:val="21"/>
          <w:lang w:val="en-US" w:eastAsia="zh-CN"/>
        </w:rPr>
        <w:t>1</w:t>
      </w:r>
      <w:r>
        <w:rPr>
          <w:rFonts w:hint="eastAsia" w:ascii="宋体" w:hAnsi="宋体" w:cs="宋体"/>
          <w:color w:val="auto"/>
          <w:szCs w:val="21"/>
        </w:rPr>
        <w:t>）响应文件未按磋商文件要求签署、盖章；</w:t>
      </w:r>
    </w:p>
    <w:p w14:paraId="2FCFE802">
      <w:pPr>
        <w:spacing w:line="360" w:lineRule="auto"/>
        <w:ind w:firstLine="420" w:firstLineChars="200"/>
        <w:rPr>
          <w:rFonts w:ascii="宋体" w:hAnsi="宋体" w:cs="宋体"/>
          <w:color w:val="auto"/>
          <w:szCs w:val="21"/>
        </w:rPr>
      </w:pPr>
      <w:r>
        <w:rPr>
          <w:rFonts w:hint="eastAsia" w:ascii="宋体" w:hAnsi="宋体" w:cs="宋体"/>
          <w:color w:val="auto"/>
          <w:szCs w:val="21"/>
          <w:lang w:val="en-US" w:eastAsia="zh-CN"/>
        </w:rPr>
        <w:t>2</w:t>
      </w:r>
      <w:r>
        <w:rPr>
          <w:rFonts w:hint="eastAsia" w:ascii="宋体" w:hAnsi="宋体" w:cs="宋体"/>
          <w:color w:val="auto"/>
          <w:szCs w:val="21"/>
        </w:rPr>
        <w:t xml:space="preserve">）委托代理人未能出具有效身份证明或者出具的身份证明与授权委托书中的信息不符； </w:t>
      </w:r>
    </w:p>
    <w:p w14:paraId="59E263CF">
      <w:pPr>
        <w:spacing w:line="360" w:lineRule="auto"/>
        <w:ind w:firstLine="420" w:firstLineChars="200"/>
        <w:rPr>
          <w:rFonts w:ascii="宋体" w:hAnsi="宋体" w:cs="宋体"/>
          <w:color w:val="auto"/>
          <w:szCs w:val="21"/>
        </w:rPr>
      </w:pPr>
      <w:r>
        <w:rPr>
          <w:rFonts w:hint="eastAsia" w:ascii="宋体" w:hAnsi="宋体" w:cs="宋体"/>
          <w:color w:val="auto"/>
          <w:szCs w:val="21"/>
          <w:lang w:val="en-US" w:eastAsia="zh-CN"/>
        </w:rPr>
        <w:t>3</w:t>
      </w:r>
      <w:r>
        <w:rPr>
          <w:rFonts w:hint="eastAsia" w:ascii="宋体" w:hAnsi="宋体" w:cs="宋体"/>
          <w:color w:val="auto"/>
          <w:szCs w:val="21"/>
        </w:rPr>
        <w:t>）提交的磋商保证金无效的或者未按照磋商文件的规定提交磋商保证金；</w:t>
      </w:r>
    </w:p>
    <w:p w14:paraId="24B68FDC">
      <w:pPr>
        <w:spacing w:line="360" w:lineRule="auto"/>
        <w:ind w:firstLine="420" w:firstLineChars="200"/>
        <w:rPr>
          <w:rFonts w:ascii="宋体" w:hAnsi="宋体" w:cs="宋体"/>
          <w:color w:val="auto"/>
          <w:szCs w:val="21"/>
        </w:rPr>
      </w:pPr>
      <w:r>
        <w:rPr>
          <w:rFonts w:hint="eastAsia" w:ascii="宋体" w:hAnsi="宋体" w:cs="宋体"/>
          <w:color w:val="auto"/>
          <w:szCs w:val="21"/>
          <w:lang w:val="en-US" w:eastAsia="zh-CN"/>
        </w:rPr>
        <w:t>4</w:t>
      </w:r>
      <w:r>
        <w:rPr>
          <w:rFonts w:hint="eastAsia" w:ascii="宋体" w:hAnsi="宋体" w:cs="宋体"/>
          <w:color w:val="auto"/>
          <w:szCs w:val="21"/>
        </w:rPr>
        <w:t>）响应文件未提供任一项“供应商须知前附表” 报价商务技术文件中 “必须提供”或者“委托时必须提供”的文件资料；响应文件提供的报价商务技术文件出现任一项不符合“供应商须知前附表” 报价商务技术文件中 “必须提供”或者“委托时必须提供”文件资料要求的规定或者提供的报价商务技术文件无效。</w:t>
      </w:r>
    </w:p>
    <w:p w14:paraId="704964D9">
      <w:pPr>
        <w:spacing w:line="360" w:lineRule="auto"/>
        <w:ind w:firstLine="420" w:firstLineChars="200"/>
        <w:rPr>
          <w:rFonts w:ascii="宋体" w:hAnsi="宋体" w:cs="宋体"/>
          <w:color w:val="auto"/>
          <w:szCs w:val="21"/>
        </w:rPr>
      </w:pPr>
      <w:r>
        <w:rPr>
          <w:rFonts w:hint="eastAsia" w:ascii="宋体" w:hAnsi="宋体" w:cs="宋体"/>
          <w:color w:val="auto"/>
          <w:szCs w:val="21"/>
          <w:lang w:val="en-US" w:eastAsia="zh-CN"/>
        </w:rPr>
        <w:t>5</w:t>
      </w:r>
      <w:r>
        <w:rPr>
          <w:rFonts w:hint="eastAsia" w:ascii="宋体" w:hAnsi="宋体" w:cs="宋体"/>
          <w:color w:val="auto"/>
          <w:szCs w:val="21"/>
        </w:rPr>
        <w:t>）未对竞标有效期作出响应或者响应文件承诺的竞标有效期不满足磋商文件要求；</w:t>
      </w:r>
    </w:p>
    <w:p w14:paraId="36A47069">
      <w:pPr>
        <w:spacing w:line="360" w:lineRule="auto"/>
        <w:ind w:firstLine="420" w:firstLineChars="200"/>
        <w:rPr>
          <w:rFonts w:ascii="宋体" w:hAnsi="宋体" w:cs="宋体"/>
          <w:color w:val="auto"/>
          <w:szCs w:val="21"/>
        </w:rPr>
      </w:pPr>
      <w:r>
        <w:rPr>
          <w:rFonts w:hint="eastAsia" w:ascii="宋体" w:hAnsi="宋体" w:cs="宋体"/>
          <w:color w:val="auto"/>
          <w:szCs w:val="21"/>
          <w:lang w:val="en-US" w:eastAsia="zh-CN"/>
        </w:rPr>
        <w:t>6</w:t>
      </w:r>
      <w:r>
        <w:rPr>
          <w:rFonts w:hint="eastAsia" w:ascii="宋体" w:hAnsi="宋体" w:cs="宋体"/>
          <w:color w:val="auto"/>
          <w:szCs w:val="21"/>
        </w:rPr>
        <w:t>）响应文件的实质性内容未使用中文表述、使用计量单位不符合磋商文件要求；</w:t>
      </w:r>
    </w:p>
    <w:p w14:paraId="60946D96">
      <w:pPr>
        <w:spacing w:line="360" w:lineRule="auto"/>
        <w:ind w:firstLine="420" w:firstLineChars="200"/>
        <w:rPr>
          <w:rFonts w:ascii="宋体" w:hAnsi="宋体" w:cs="宋体"/>
          <w:color w:val="auto"/>
          <w:szCs w:val="21"/>
        </w:rPr>
      </w:pPr>
      <w:r>
        <w:rPr>
          <w:rFonts w:hint="eastAsia" w:ascii="宋体" w:hAnsi="宋体" w:cs="宋体"/>
          <w:color w:val="auto"/>
          <w:szCs w:val="21"/>
          <w:lang w:val="en-US" w:eastAsia="zh-CN"/>
        </w:rPr>
        <w:t>7</w:t>
      </w:r>
      <w:r>
        <w:rPr>
          <w:rFonts w:hint="eastAsia" w:ascii="宋体" w:hAnsi="宋体" w:cs="宋体"/>
          <w:color w:val="auto"/>
          <w:szCs w:val="21"/>
        </w:rPr>
        <w:t>）响应文件中的文件资料因填写不齐全或者内容虚假或者出现其他情形而导致被磋商小组认定无效；</w:t>
      </w:r>
    </w:p>
    <w:p w14:paraId="3D696869">
      <w:pPr>
        <w:spacing w:line="360" w:lineRule="auto"/>
        <w:ind w:firstLine="420" w:firstLineChars="200"/>
        <w:rPr>
          <w:rFonts w:ascii="宋体" w:hAnsi="宋体" w:cs="宋体"/>
          <w:color w:val="auto"/>
          <w:szCs w:val="21"/>
        </w:rPr>
      </w:pPr>
      <w:r>
        <w:rPr>
          <w:rFonts w:hint="eastAsia" w:ascii="宋体" w:hAnsi="宋体" w:cs="宋体"/>
          <w:color w:val="auto"/>
          <w:szCs w:val="21"/>
          <w:lang w:val="en-US" w:eastAsia="zh-CN"/>
        </w:rPr>
        <w:t>8</w:t>
      </w:r>
      <w:r>
        <w:rPr>
          <w:rFonts w:hint="eastAsia" w:ascii="宋体" w:hAnsi="宋体" w:cs="宋体"/>
          <w:color w:val="auto"/>
          <w:szCs w:val="21"/>
        </w:rPr>
        <w:t>）响应文件含有采购人不能接受的附加条件；</w:t>
      </w:r>
    </w:p>
    <w:p w14:paraId="1D9DDEED">
      <w:pPr>
        <w:spacing w:line="360" w:lineRule="auto"/>
        <w:ind w:firstLine="420" w:firstLineChars="200"/>
        <w:rPr>
          <w:rFonts w:ascii="宋体" w:hAnsi="宋体" w:cs="宋体"/>
          <w:color w:val="auto"/>
          <w:szCs w:val="21"/>
        </w:rPr>
      </w:pPr>
      <w:r>
        <w:rPr>
          <w:rFonts w:hint="eastAsia" w:ascii="宋体" w:hAnsi="宋体" w:cs="宋体"/>
          <w:color w:val="auto"/>
          <w:szCs w:val="21"/>
          <w:lang w:val="en-US" w:eastAsia="zh-CN"/>
        </w:rPr>
        <w:t>9</w:t>
      </w:r>
      <w:r>
        <w:rPr>
          <w:rFonts w:hint="eastAsia" w:ascii="宋体" w:hAnsi="宋体" w:cs="宋体"/>
          <w:color w:val="auto"/>
          <w:szCs w:val="21"/>
        </w:rPr>
        <w:t>）属于“供应商须知正文”第7.</w:t>
      </w:r>
      <w:r>
        <w:rPr>
          <w:rFonts w:ascii="宋体" w:hAnsi="宋体" w:cs="宋体"/>
          <w:color w:val="auto"/>
          <w:szCs w:val="21"/>
        </w:rPr>
        <w:t>5</w:t>
      </w:r>
      <w:r>
        <w:rPr>
          <w:rFonts w:hint="eastAsia" w:ascii="宋体" w:hAnsi="宋体" w:cs="宋体"/>
          <w:color w:val="auto"/>
          <w:szCs w:val="21"/>
        </w:rPr>
        <w:t>条情形；</w:t>
      </w:r>
    </w:p>
    <w:p w14:paraId="0A73F0B4">
      <w:pPr>
        <w:spacing w:line="360" w:lineRule="auto"/>
        <w:ind w:firstLine="420" w:firstLineChars="200"/>
        <w:rPr>
          <w:rFonts w:ascii="宋体" w:hAnsi="宋体" w:cs="宋体"/>
          <w:color w:val="auto"/>
          <w:szCs w:val="21"/>
        </w:rPr>
      </w:pPr>
      <w:r>
        <w:rPr>
          <w:rFonts w:ascii="宋体" w:hAnsi="宋体" w:cs="宋体"/>
          <w:color w:val="auto"/>
          <w:szCs w:val="21"/>
        </w:rPr>
        <w:t>1</w:t>
      </w:r>
      <w:r>
        <w:rPr>
          <w:rFonts w:hint="eastAsia" w:ascii="宋体" w:hAnsi="宋体" w:cs="宋体"/>
          <w:color w:val="auto"/>
          <w:szCs w:val="21"/>
          <w:lang w:val="en-US" w:eastAsia="zh-CN"/>
        </w:rPr>
        <w:t>0</w:t>
      </w:r>
      <w:r>
        <w:rPr>
          <w:rFonts w:hint="eastAsia" w:ascii="宋体" w:hAnsi="宋体" w:cs="宋体"/>
          <w:color w:val="auto"/>
          <w:szCs w:val="21"/>
        </w:rPr>
        <w:t>）虚假竞标，或者出现其他情形而导致被磋商小组认定无效；</w:t>
      </w:r>
    </w:p>
    <w:p w14:paraId="4BD2EBF5">
      <w:pPr>
        <w:spacing w:line="360" w:lineRule="auto"/>
        <w:ind w:firstLine="420" w:firstLineChars="200"/>
        <w:rPr>
          <w:rFonts w:ascii="宋体" w:hAnsi="宋体" w:cs="宋体"/>
          <w:color w:val="auto"/>
          <w:szCs w:val="21"/>
        </w:rPr>
      </w:pPr>
      <w:r>
        <w:rPr>
          <w:rFonts w:ascii="宋体" w:hAnsi="宋体" w:cs="宋体"/>
          <w:color w:val="auto"/>
          <w:szCs w:val="21"/>
        </w:rPr>
        <w:t>1</w:t>
      </w:r>
      <w:r>
        <w:rPr>
          <w:rFonts w:hint="eastAsia" w:ascii="宋体" w:hAnsi="宋体" w:cs="宋体"/>
          <w:color w:val="auto"/>
          <w:szCs w:val="21"/>
          <w:lang w:val="en-US" w:eastAsia="zh-CN"/>
        </w:rPr>
        <w:t>1</w:t>
      </w:r>
      <w:r>
        <w:rPr>
          <w:rFonts w:hint="eastAsia" w:ascii="宋体" w:hAnsi="宋体" w:cs="宋体"/>
          <w:color w:val="auto"/>
          <w:szCs w:val="21"/>
        </w:rPr>
        <w:t>）竞标技术方案不明确，磋商文件未允许</w:t>
      </w:r>
      <w:r>
        <w:rPr>
          <w:rFonts w:hint="eastAsia" w:ascii="宋体" w:hAnsi="宋体"/>
          <w:color w:val="auto"/>
          <w:szCs w:val="21"/>
        </w:rPr>
        <w:t>但响应文件中</w:t>
      </w:r>
      <w:r>
        <w:rPr>
          <w:rFonts w:hint="eastAsia" w:ascii="宋体" w:hAnsi="宋体" w:cs="宋体"/>
          <w:color w:val="auto"/>
          <w:szCs w:val="21"/>
        </w:rPr>
        <w:t>存在一个或者一个以上备选（替代）竞标方案；</w:t>
      </w:r>
    </w:p>
    <w:p w14:paraId="0CEB2493">
      <w:pPr>
        <w:spacing w:line="360" w:lineRule="auto"/>
        <w:ind w:firstLine="420" w:firstLineChars="200"/>
        <w:rPr>
          <w:rFonts w:ascii="宋体" w:hAnsi="宋体" w:cs="宋体"/>
          <w:color w:val="auto"/>
          <w:szCs w:val="21"/>
        </w:rPr>
      </w:pPr>
      <w:r>
        <w:rPr>
          <w:rFonts w:ascii="宋体" w:hAnsi="宋体" w:cs="宋体"/>
          <w:color w:val="auto"/>
          <w:szCs w:val="21"/>
        </w:rPr>
        <w:t>1</w:t>
      </w:r>
      <w:r>
        <w:rPr>
          <w:rFonts w:hint="eastAsia" w:ascii="宋体" w:hAnsi="宋体" w:cs="宋体"/>
          <w:color w:val="auto"/>
          <w:szCs w:val="21"/>
          <w:lang w:val="en-US" w:eastAsia="zh-CN"/>
        </w:rPr>
        <w:t>2</w:t>
      </w:r>
      <w:r>
        <w:rPr>
          <w:rFonts w:hint="eastAsia" w:ascii="宋体" w:hAnsi="宋体" w:cs="宋体"/>
          <w:color w:val="auto"/>
          <w:szCs w:val="21"/>
        </w:rPr>
        <w:t>）未响应磋商文件实质性要求；</w:t>
      </w:r>
    </w:p>
    <w:p w14:paraId="4117E9D1">
      <w:pPr>
        <w:spacing w:line="360" w:lineRule="auto"/>
        <w:ind w:firstLine="420" w:firstLineChars="200"/>
        <w:rPr>
          <w:rFonts w:ascii="宋体" w:hAnsi="宋体" w:cs="宋体"/>
          <w:color w:val="auto"/>
          <w:szCs w:val="21"/>
        </w:rPr>
      </w:pPr>
      <w:r>
        <w:rPr>
          <w:rFonts w:hint="eastAsia" w:ascii="宋体" w:hAnsi="宋体" w:cs="宋体"/>
          <w:color w:val="auto"/>
          <w:szCs w:val="21"/>
        </w:rPr>
        <w:t>1</w:t>
      </w:r>
      <w:r>
        <w:rPr>
          <w:rFonts w:hint="eastAsia" w:ascii="宋体" w:hAnsi="宋体" w:cs="宋体"/>
          <w:color w:val="auto"/>
          <w:szCs w:val="21"/>
          <w:lang w:val="en-US" w:eastAsia="zh-CN"/>
        </w:rPr>
        <w:t>3</w:t>
      </w:r>
      <w:r>
        <w:rPr>
          <w:rFonts w:hint="eastAsia" w:ascii="宋体" w:hAnsi="宋体" w:cs="宋体"/>
          <w:color w:val="auto"/>
          <w:szCs w:val="21"/>
        </w:rPr>
        <w:t>）法律、法规和磋商文件规定的其他无效情形。</w:t>
      </w:r>
    </w:p>
    <w:p w14:paraId="09C2B1B9">
      <w:pPr>
        <w:spacing w:line="360" w:lineRule="auto"/>
        <w:ind w:firstLine="420" w:firstLineChars="200"/>
        <w:rPr>
          <w:rFonts w:ascii="宋体" w:hAnsi="宋体" w:cs="宋体"/>
          <w:color w:val="auto"/>
          <w:szCs w:val="21"/>
        </w:rPr>
      </w:pPr>
      <w:r>
        <w:rPr>
          <w:rFonts w:hint="eastAsia" w:ascii="宋体" w:hAnsi="宋体" w:cs="宋体"/>
          <w:color w:val="auto"/>
          <w:szCs w:val="21"/>
        </w:rPr>
        <w:t>（</w:t>
      </w:r>
      <w:r>
        <w:rPr>
          <w:rFonts w:ascii="宋体" w:hAnsi="宋体" w:cs="宋体"/>
          <w:color w:val="auto"/>
          <w:szCs w:val="21"/>
        </w:rPr>
        <w:t>2</w:t>
      </w:r>
      <w:r>
        <w:rPr>
          <w:rFonts w:hint="eastAsia" w:ascii="宋体" w:hAnsi="宋体" w:cs="宋体"/>
          <w:color w:val="auto"/>
          <w:szCs w:val="21"/>
        </w:rPr>
        <w:t>）报价评审</w:t>
      </w:r>
    </w:p>
    <w:p w14:paraId="7E569071">
      <w:pPr>
        <w:spacing w:line="360" w:lineRule="auto"/>
        <w:ind w:firstLine="420" w:firstLineChars="200"/>
        <w:rPr>
          <w:rFonts w:ascii="宋体" w:hAnsi="宋体" w:cs="宋体"/>
          <w:color w:val="auto"/>
          <w:szCs w:val="21"/>
        </w:rPr>
      </w:pPr>
      <w:r>
        <w:rPr>
          <w:rFonts w:hint="eastAsia" w:ascii="宋体" w:hAnsi="宋体" w:cs="宋体"/>
          <w:color w:val="auto"/>
          <w:szCs w:val="21"/>
          <w:lang w:eastAsia="zh-CN"/>
        </w:rPr>
        <w:t>1）</w:t>
      </w:r>
      <w:r>
        <w:rPr>
          <w:rFonts w:ascii="宋体" w:hAnsi="宋体" w:cs="宋体"/>
          <w:color w:val="auto"/>
          <w:szCs w:val="21"/>
        </w:rPr>
        <w:t xml:space="preserve"> </w:t>
      </w:r>
      <w:r>
        <w:rPr>
          <w:rFonts w:hint="eastAsia" w:ascii="宋体" w:hAnsi="宋体" w:cs="宋体"/>
          <w:color w:val="auto"/>
          <w:szCs w:val="21"/>
        </w:rPr>
        <w:t>响应文件未提供“供应商须知前附表” 报价商务技术文件中规定的“竞标报价表”；</w:t>
      </w:r>
    </w:p>
    <w:p w14:paraId="03F2CA3B">
      <w:pPr>
        <w:spacing w:line="360" w:lineRule="auto"/>
        <w:ind w:firstLine="420" w:firstLineChars="200"/>
        <w:rPr>
          <w:rFonts w:ascii="宋体" w:hAnsi="宋体" w:cs="宋体"/>
          <w:color w:val="auto"/>
          <w:szCs w:val="21"/>
        </w:rPr>
      </w:pPr>
      <w:r>
        <w:rPr>
          <w:rFonts w:hint="eastAsia" w:ascii="宋体" w:hAnsi="宋体" w:cs="宋体"/>
          <w:color w:val="auto"/>
          <w:szCs w:val="21"/>
        </w:rPr>
        <w:t>2）未采用人民币报价或者未按照磋商文件标明的币种报价；</w:t>
      </w:r>
    </w:p>
    <w:p w14:paraId="33C4DD9E">
      <w:pPr>
        <w:spacing w:line="360" w:lineRule="auto"/>
        <w:ind w:firstLine="420" w:firstLineChars="200"/>
        <w:rPr>
          <w:rFonts w:ascii="宋体" w:hAnsi="宋体" w:cs="宋体"/>
          <w:color w:val="auto"/>
          <w:szCs w:val="21"/>
        </w:rPr>
      </w:pPr>
      <w:r>
        <w:rPr>
          <w:rFonts w:hint="eastAsia" w:ascii="宋体" w:hAnsi="宋体" w:cs="宋体"/>
          <w:color w:val="auto"/>
          <w:szCs w:val="21"/>
        </w:rPr>
        <w:t>3）供应商未就所竞标分标进行报价或者存在漏项报价；供应商未就所竞标分标的单项内容作唯一报价；供应商未就所竞标分标的全部内容作唯一总价报价；供应商响应文件中存在有选择、有条件报价的（磋商文件允许有备选方案或者其他约定的除外）；</w:t>
      </w:r>
    </w:p>
    <w:p w14:paraId="43A0BE20">
      <w:pPr>
        <w:spacing w:line="360" w:lineRule="auto"/>
        <w:ind w:firstLine="420" w:firstLineChars="200"/>
        <w:rPr>
          <w:rFonts w:ascii="宋体" w:hAnsi="宋体" w:cs="宋体"/>
          <w:color w:val="auto"/>
          <w:szCs w:val="21"/>
        </w:rPr>
      </w:pPr>
      <w:r>
        <w:rPr>
          <w:rFonts w:hint="eastAsia" w:ascii="宋体" w:hAnsi="宋体" w:cs="宋体"/>
          <w:color w:val="auto"/>
          <w:szCs w:val="21"/>
        </w:rPr>
        <w:t>4）竞标报价（包含首次报价、最后报价）超过所竞标分标规定的采购预算金额或者最高限价的（如本项目公布了最高限价）；</w:t>
      </w:r>
      <w:bookmarkStart w:id="90" w:name="_Hlk42596405"/>
      <w:r>
        <w:rPr>
          <w:rFonts w:hint="eastAsia" w:ascii="宋体" w:hAnsi="宋体" w:cs="宋体"/>
          <w:color w:val="auto"/>
          <w:szCs w:val="21"/>
        </w:rPr>
        <w:t>竞标报价（包含首次报价、最后报价）</w:t>
      </w:r>
      <w:bookmarkEnd w:id="90"/>
      <w:bookmarkStart w:id="91" w:name="_Hlk42596276"/>
      <w:r>
        <w:rPr>
          <w:rFonts w:hint="eastAsia" w:ascii="宋体" w:hAnsi="宋体" w:cs="宋体"/>
          <w:color w:val="auto"/>
          <w:szCs w:val="21"/>
        </w:rPr>
        <w:t>超过磋商文件分项采购预算金额或者最高限价的</w:t>
      </w:r>
      <w:bookmarkEnd w:id="91"/>
      <w:r>
        <w:rPr>
          <w:rFonts w:hint="eastAsia" w:ascii="宋体" w:hAnsi="宋体" w:cs="宋体"/>
          <w:color w:val="auto"/>
          <w:szCs w:val="21"/>
        </w:rPr>
        <w:t>（如本项目公布了最高限价）；</w:t>
      </w:r>
    </w:p>
    <w:p w14:paraId="32B1BEDA">
      <w:pPr>
        <w:spacing w:line="360" w:lineRule="auto"/>
        <w:ind w:firstLine="420" w:firstLineChars="200"/>
        <w:rPr>
          <w:rFonts w:ascii="宋体" w:hAnsi="宋体" w:cs="宋体"/>
          <w:color w:val="auto"/>
          <w:szCs w:val="21"/>
        </w:rPr>
      </w:pPr>
      <w:r>
        <w:rPr>
          <w:rFonts w:hint="eastAsia" w:ascii="宋体" w:hAnsi="宋体" w:cs="宋体"/>
          <w:color w:val="auto"/>
          <w:szCs w:val="21"/>
        </w:rPr>
        <w:t>5）修正后的报价，供应商不确认的；或者经供应商确认修正后的竞标报价（包含首次报价、最后报价）超过所竞标分标规定的采购预算金额或者最高限价（如本项目公布了最高限价）；或者经供应商确认修正后竞标报价（包含首次报价、最后报价）超过磋商文件分项采购预算金额或者最高限价的（如本项目公布了最高限价）。</w:t>
      </w:r>
    </w:p>
    <w:p w14:paraId="164700A1">
      <w:pPr>
        <w:spacing w:line="360" w:lineRule="auto"/>
        <w:ind w:firstLine="420" w:firstLineChars="200"/>
        <w:rPr>
          <w:rFonts w:ascii="宋体" w:hAnsi="宋体" w:cs="宋体"/>
          <w:color w:val="auto"/>
          <w:szCs w:val="21"/>
        </w:rPr>
      </w:pPr>
      <w:r>
        <w:rPr>
          <w:rFonts w:ascii="宋体" w:hAnsi="宋体" w:cs="宋体"/>
          <w:color w:val="auto"/>
          <w:szCs w:val="21"/>
        </w:rPr>
        <w:t>2.6</w:t>
      </w:r>
      <w:r>
        <w:rPr>
          <w:rFonts w:hint="eastAsia" w:ascii="宋体" w:hAnsi="宋体" w:cs="宋体"/>
          <w:color w:val="auto"/>
          <w:szCs w:val="21"/>
        </w:rPr>
        <w:t>磋商小组对响应文件进行评审，未实质性响应磋商文件的响应文件按无效处理，由磋商小组告知有关供应商。磋商小组从符合磋商文件规定的相应资格条件的供应商名单中确定不少于3家的供应商参加磋商。</w:t>
      </w:r>
    </w:p>
    <w:p w14:paraId="2EC30F62">
      <w:pPr>
        <w:spacing w:line="360" w:lineRule="auto"/>
        <w:ind w:firstLine="420" w:firstLineChars="200"/>
        <w:rPr>
          <w:rFonts w:ascii="宋体" w:hAnsi="宋体" w:cs="宋体"/>
          <w:color w:val="auto"/>
          <w:szCs w:val="21"/>
        </w:rPr>
      </w:pPr>
      <w:r>
        <w:rPr>
          <w:rFonts w:ascii="宋体" w:hAnsi="宋体" w:cs="宋体"/>
          <w:color w:val="auto"/>
          <w:szCs w:val="21"/>
        </w:rPr>
        <w:t>2.7</w:t>
      </w:r>
      <w:r>
        <w:rPr>
          <w:rFonts w:hint="eastAsia" w:ascii="宋体" w:hAnsi="宋体"/>
          <w:color w:val="auto"/>
          <w:szCs w:val="21"/>
        </w:rPr>
        <w:t>通过符合性审查的合格供应商不足3家的，不得进入磋商环节，采购人或者采购代理机构应当重新开展采购活动。</w:t>
      </w:r>
    </w:p>
    <w:p w14:paraId="0C5CCB9F">
      <w:pPr>
        <w:spacing w:line="360" w:lineRule="auto"/>
        <w:ind w:firstLine="422" w:firstLineChars="200"/>
        <w:rPr>
          <w:rFonts w:hint="eastAsia" w:ascii="宋体" w:hAnsi="宋体" w:eastAsia="宋体" w:cs="宋体"/>
          <w:b/>
          <w:bCs/>
          <w:color w:val="auto"/>
          <w:sz w:val="21"/>
          <w:szCs w:val="21"/>
        </w:rPr>
      </w:pPr>
      <w:r>
        <w:rPr>
          <w:rFonts w:hint="eastAsia" w:ascii="宋体" w:hAnsi="宋体" w:eastAsia="宋体" w:cs="宋体"/>
          <w:b/>
          <w:bCs/>
          <w:color w:val="auto"/>
          <w:sz w:val="21"/>
          <w:szCs w:val="21"/>
        </w:rPr>
        <w:t>3.磋商</w:t>
      </w:r>
    </w:p>
    <w:p w14:paraId="18170408">
      <w:pPr>
        <w:spacing w:line="360" w:lineRule="auto"/>
        <w:ind w:firstLine="420" w:firstLineChars="200"/>
        <w:rPr>
          <w:rFonts w:ascii="宋体" w:hAnsi="宋体" w:cs="宋体"/>
          <w:color w:val="auto"/>
          <w:kern w:val="0"/>
          <w:szCs w:val="21"/>
        </w:rPr>
      </w:pPr>
      <w:r>
        <w:rPr>
          <w:rFonts w:ascii="宋体" w:hAnsi="宋体" w:cs="宋体"/>
          <w:color w:val="auto"/>
          <w:kern w:val="0"/>
          <w:szCs w:val="21"/>
        </w:rPr>
        <w:t>3</w:t>
      </w:r>
      <w:r>
        <w:rPr>
          <w:rFonts w:hint="eastAsia" w:ascii="宋体" w:hAnsi="宋体" w:cs="宋体"/>
          <w:color w:val="auto"/>
          <w:kern w:val="0"/>
          <w:szCs w:val="21"/>
        </w:rPr>
        <w:t>.磋商的程序</w:t>
      </w:r>
    </w:p>
    <w:p w14:paraId="3F0DC207">
      <w:pPr>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3</w:t>
      </w:r>
      <w:r>
        <w:rPr>
          <w:rFonts w:ascii="宋体" w:hAnsi="宋体" w:cs="宋体"/>
          <w:color w:val="auto"/>
          <w:kern w:val="0"/>
          <w:szCs w:val="21"/>
        </w:rPr>
        <w:t>.1</w:t>
      </w:r>
      <w:r>
        <w:rPr>
          <w:rFonts w:hint="eastAsia" w:ascii="宋体" w:hAnsi="宋体" w:cs="宋体"/>
          <w:color w:val="auto"/>
          <w:kern w:val="0"/>
          <w:szCs w:val="21"/>
        </w:rPr>
        <w:t>磋商小组按照“供应商须知前附表”</w:t>
      </w:r>
      <w:r>
        <w:rPr>
          <w:rFonts w:hint="eastAsia" w:ascii="宋体" w:hAnsi="宋体" w:cs="宋体"/>
          <w:color w:val="auto"/>
          <w:szCs w:val="21"/>
        </w:rPr>
        <w:t xml:space="preserve"> </w:t>
      </w:r>
      <w:r>
        <w:rPr>
          <w:rFonts w:hint="eastAsia" w:ascii="宋体" w:hAnsi="宋体" w:cs="宋体"/>
          <w:color w:val="auto"/>
          <w:kern w:val="0"/>
          <w:szCs w:val="21"/>
        </w:rPr>
        <w:t>确定的</w:t>
      </w:r>
      <w:r>
        <w:rPr>
          <w:rFonts w:hint="eastAsia" w:ascii="宋体" w:hAnsi="宋体" w:cs="宋体"/>
          <w:color w:val="auto"/>
          <w:szCs w:val="21"/>
        </w:rPr>
        <w:t>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6D707603">
      <w:pPr>
        <w:spacing w:line="360" w:lineRule="auto"/>
        <w:ind w:firstLine="420" w:firstLineChars="200"/>
        <w:rPr>
          <w:rFonts w:ascii="宋体" w:hAnsi="宋体" w:cs="宋体"/>
          <w:color w:val="auto"/>
          <w:szCs w:val="21"/>
        </w:rPr>
      </w:pPr>
      <w:r>
        <w:rPr>
          <w:rFonts w:ascii="宋体" w:hAnsi="宋体" w:cs="宋体"/>
          <w:color w:val="auto"/>
          <w:szCs w:val="21"/>
        </w:rPr>
        <w:t>3.2</w:t>
      </w:r>
      <w:r>
        <w:rPr>
          <w:rFonts w:hint="eastAsia" w:ascii="宋体" w:hAnsi="宋体" w:cs="宋体"/>
          <w:color w:val="auto"/>
          <w:szCs w:val="21"/>
        </w:rPr>
        <w:t>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0D8D3A4C">
      <w:pPr>
        <w:spacing w:line="360" w:lineRule="auto"/>
        <w:ind w:firstLine="420" w:firstLineChars="200"/>
        <w:rPr>
          <w:rFonts w:ascii="宋体" w:hAnsi="宋体" w:cs="宋体"/>
          <w:color w:val="auto"/>
          <w:szCs w:val="21"/>
        </w:rPr>
      </w:pPr>
      <w:r>
        <w:rPr>
          <w:rFonts w:ascii="宋体" w:hAnsi="宋体" w:cs="宋体"/>
          <w:color w:val="auto"/>
          <w:szCs w:val="21"/>
        </w:rPr>
        <w:t>3.3</w:t>
      </w:r>
      <w:r>
        <w:rPr>
          <w:rFonts w:hint="eastAsia" w:ascii="宋体" w:hAnsi="宋体" w:cs="宋体"/>
          <w:color w:val="auto"/>
          <w:szCs w:val="21"/>
        </w:rPr>
        <w:t>对磋商文件作出的实质性变动是磋商文件的有效组成部分，由磋商小组及时以书面形式同时通知所有参加磋商的供应商。</w:t>
      </w:r>
    </w:p>
    <w:p w14:paraId="604405C0">
      <w:pPr>
        <w:spacing w:line="360" w:lineRule="auto"/>
        <w:ind w:firstLine="420" w:firstLineChars="200"/>
        <w:rPr>
          <w:rFonts w:ascii="宋体" w:hAnsi="宋体" w:cs="宋体"/>
          <w:color w:val="auto"/>
          <w:szCs w:val="21"/>
        </w:rPr>
      </w:pPr>
      <w:r>
        <w:rPr>
          <w:rFonts w:ascii="宋体" w:hAnsi="宋体" w:cs="宋体"/>
          <w:color w:val="auto"/>
          <w:szCs w:val="21"/>
        </w:rPr>
        <w:t>3.4</w:t>
      </w:r>
      <w:r>
        <w:rPr>
          <w:rFonts w:hint="eastAsia" w:ascii="宋体" w:hAnsi="宋体" w:cs="宋体"/>
          <w:color w:val="auto"/>
          <w:szCs w:val="21"/>
        </w:rPr>
        <w:t>供应商必须按照磋商文件的变动情况和磋商小组的要求重新提交响应文件，并由其法定代表人或者授权代表签字或者加盖公章。由委托代理人签字的，</w:t>
      </w:r>
      <w:r>
        <w:rPr>
          <w:rFonts w:hint="eastAsia" w:ascii="宋体" w:hAnsi="宋体" w:cs="宋体"/>
          <w:bCs/>
          <w:color w:val="auto"/>
          <w:szCs w:val="21"/>
        </w:rPr>
        <w:t>若委托代理人不是响应文件中授权的委托代理人时，必须同时出示有效的法定代表人授权委托书原件</w:t>
      </w:r>
      <w:r>
        <w:rPr>
          <w:rFonts w:hint="eastAsia" w:ascii="宋体" w:hAnsi="宋体" w:cs="宋体"/>
          <w:color w:val="auto"/>
          <w:szCs w:val="21"/>
        </w:rPr>
        <w:t>。供应商为自然人的，必须由本人签字并附身份证明。参加磋商的供应商未在规定时间内重新提交响应文件的，视同</w:t>
      </w:r>
      <w:bookmarkStart w:id="92" w:name="_Hlk55814495"/>
      <w:r>
        <w:rPr>
          <w:rFonts w:hint="eastAsia" w:ascii="宋体" w:hAnsi="宋体" w:cs="宋体"/>
          <w:color w:val="auto"/>
          <w:szCs w:val="21"/>
        </w:rPr>
        <w:t>退出磋商</w:t>
      </w:r>
      <w:bookmarkEnd w:id="92"/>
      <w:r>
        <w:rPr>
          <w:rFonts w:hint="eastAsia" w:ascii="宋体" w:hAnsi="宋体" w:cs="宋体"/>
          <w:color w:val="auto"/>
          <w:szCs w:val="21"/>
        </w:rPr>
        <w:t>，其响应文件作无效处理。</w:t>
      </w:r>
    </w:p>
    <w:p w14:paraId="33D107FE">
      <w:pPr>
        <w:spacing w:line="360" w:lineRule="auto"/>
        <w:ind w:firstLine="420" w:firstLineChars="200"/>
        <w:rPr>
          <w:rFonts w:ascii="宋体" w:hAnsi="宋体" w:cs="宋体"/>
          <w:color w:val="auto"/>
          <w:szCs w:val="21"/>
        </w:rPr>
      </w:pPr>
      <w:r>
        <w:rPr>
          <w:rFonts w:ascii="宋体" w:hAnsi="宋体" w:cs="宋体"/>
          <w:color w:val="auto"/>
          <w:szCs w:val="21"/>
        </w:rPr>
        <w:t>3.5</w:t>
      </w:r>
      <w:r>
        <w:rPr>
          <w:rFonts w:hint="eastAsia" w:ascii="宋体" w:hAnsi="宋体" w:cs="宋体"/>
          <w:color w:val="auto"/>
          <w:szCs w:val="21"/>
        </w:rPr>
        <w:t>磋商中，</w:t>
      </w:r>
      <w:r>
        <w:rPr>
          <w:rFonts w:hint="eastAsia" w:ascii="宋体" w:hAnsi="宋体" w:cs="宋体"/>
          <w:color w:val="auto"/>
          <w:spacing w:val="-6"/>
          <w:szCs w:val="21"/>
        </w:rPr>
        <w:t>磋商的任何一方不得透露与磋商有关的其他供应商的技术资料、价格和其他信息。</w:t>
      </w:r>
    </w:p>
    <w:p w14:paraId="63076FC7">
      <w:pPr>
        <w:widowControl/>
        <w:tabs>
          <w:tab w:val="left" w:pos="540"/>
        </w:tabs>
        <w:spacing w:line="360" w:lineRule="auto"/>
        <w:ind w:firstLine="420" w:firstLineChars="200"/>
        <w:jc w:val="left"/>
        <w:rPr>
          <w:rFonts w:hint="eastAsia" w:ascii="宋体" w:hAnsi="宋体" w:cs="宋体"/>
          <w:color w:val="auto"/>
          <w:spacing w:val="-6"/>
          <w:szCs w:val="21"/>
        </w:rPr>
      </w:pPr>
      <w:r>
        <w:rPr>
          <w:rFonts w:ascii="宋体" w:hAnsi="宋体" w:cs="宋体"/>
          <w:color w:val="auto"/>
          <w:szCs w:val="21"/>
        </w:rPr>
        <w:t>3.6</w:t>
      </w:r>
      <w:r>
        <w:rPr>
          <w:rFonts w:hint="eastAsia" w:ascii="宋体" w:hAnsi="宋体" w:cs="宋体"/>
          <w:color w:val="auto"/>
          <w:szCs w:val="21"/>
        </w:rPr>
        <w:t>磋商小组应对磋商过程和重要磋商内容进行记录，作为评标报告一部分，磋商小组在记录上签字确认。</w:t>
      </w:r>
      <w:r>
        <w:rPr>
          <w:rFonts w:hint="eastAsia" w:ascii="宋体" w:hAnsi="宋体" w:cs="宋体"/>
          <w:color w:val="auto"/>
          <w:spacing w:val="-6"/>
          <w:szCs w:val="21"/>
        </w:rPr>
        <w:t>主要内容包括：</w:t>
      </w:r>
    </w:p>
    <w:p w14:paraId="19B69947">
      <w:pPr>
        <w:pStyle w:val="38"/>
        <w:spacing w:before="0"/>
        <w:ind w:firstLine="396"/>
        <w:rPr>
          <w:rFonts w:ascii="宋体" w:hAnsi="宋体" w:cs="宋体"/>
          <w:color w:val="auto"/>
          <w:spacing w:val="-6"/>
          <w:kern w:val="2"/>
          <w:sz w:val="21"/>
          <w:szCs w:val="21"/>
        </w:rPr>
      </w:pPr>
      <w:r>
        <w:rPr>
          <w:rFonts w:hint="eastAsia" w:ascii="宋体" w:hAnsi="宋体" w:cs="宋体"/>
          <w:color w:val="auto"/>
          <w:spacing w:val="-6"/>
          <w:kern w:val="2"/>
          <w:sz w:val="21"/>
          <w:szCs w:val="21"/>
        </w:rPr>
        <w:t>（1）按照相关规定进行公示的，公示情况说明；</w:t>
      </w:r>
    </w:p>
    <w:p w14:paraId="4124CB67">
      <w:pPr>
        <w:pStyle w:val="38"/>
        <w:spacing w:before="0"/>
        <w:ind w:firstLine="396"/>
        <w:rPr>
          <w:rFonts w:ascii="宋体" w:hAnsi="宋体" w:cs="宋体"/>
          <w:color w:val="auto"/>
          <w:spacing w:val="-6"/>
          <w:kern w:val="2"/>
          <w:sz w:val="21"/>
          <w:szCs w:val="21"/>
        </w:rPr>
      </w:pPr>
      <w:r>
        <w:rPr>
          <w:rFonts w:hint="eastAsia" w:ascii="宋体" w:hAnsi="宋体" w:cs="宋体"/>
          <w:color w:val="auto"/>
          <w:spacing w:val="-6"/>
          <w:kern w:val="2"/>
          <w:sz w:val="21"/>
          <w:szCs w:val="21"/>
        </w:rPr>
        <w:t>（2）磋商日期和地点，磋商人员名单；</w:t>
      </w:r>
    </w:p>
    <w:p w14:paraId="69EDAD79">
      <w:pPr>
        <w:pStyle w:val="38"/>
        <w:spacing w:before="0"/>
        <w:ind w:firstLine="396"/>
        <w:rPr>
          <w:rFonts w:hint="eastAsia" w:ascii="宋体" w:hAnsi="宋体" w:cs="宋体"/>
          <w:color w:val="auto"/>
          <w:spacing w:val="-6"/>
          <w:kern w:val="2"/>
          <w:sz w:val="21"/>
          <w:szCs w:val="21"/>
        </w:rPr>
      </w:pPr>
      <w:r>
        <w:rPr>
          <w:rFonts w:hint="eastAsia" w:ascii="宋体" w:hAnsi="宋体" w:cs="宋体"/>
          <w:color w:val="auto"/>
          <w:spacing w:val="-6"/>
          <w:kern w:val="2"/>
          <w:sz w:val="21"/>
          <w:szCs w:val="21"/>
        </w:rPr>
        <w:t>（3）合同主要条款及价格商定情况。</w:t>
      </w:r>
    </w:p>
    <w:p w14:paraId="383ED714">
      <w:pPr>
        <w:widowControl/>
        <w:tabs>
          <w:tab w:val="left" w:pos="540"/>
        </w:tabs>
        <w:spacing w:line="360" w:lineRule="auto"/>
        <w:ind w:firstLine="420" w:firstLineChars="200"/>
        <w:jc w:val="left"/>
        <w:rPr>
          <w:rFonts w:ascii="宋体" w:hAnsi="宋体" w:cs="宋体"/>
          <w:color w:val="auto"/>
          <w:szCs w:val="21"/>
        </w:rPr>
      </w:pPr>
      <w:r>
        <w:rPr>
          <w:rFonts w:ascii="宋体" w:hAnsi="宋体" w:cs="宋体"/>
          <w:color w:val="auto"/>
          <w:szCs w:val="21"/>
        </w:rPr>
        <w:t>3.7</w:t>
      </w:r>
      <w:r>
        <w:rPr>
          <w:rFonts w:hint="eastAsia" w:ascii="宋体" w:hAnsi="宋体" w:cs="宋体"/>
          <w:color w:val="auto"/>
          <w:szCs w:val="21"/>
        </w:rPr>
        <w:t>磋商过程中重新提交的响应文件，供应商可以在开启前补充、修改。</w:t>
      </w:r>
    </w:p>
    <w:p w14:paraId="61F4CBC9">
      <w:pPr>
        <w:widowControl/>
        <w:tabs>
          <w:tab w:val="left" w:pos="540"/>
        </w:tabs>
        <w:spacing w:line="360" w:lineRule="auto"/>
        <w:ind w:firstLine="420" w:firstLineChars="200"/>
        <w:jc w:val="left"/>
        <w:rPr>
          <w:rFonts w:ascii="宋体" w:hAnsi="宋体" w:cs="宋体"/>
          <w:color w:val="auto"/>
          <w:szCs w:val="21"/>
        </w:rPr>
      </w:pPr>
      <w:r>
        <w:rPr>
          <w:rFonts w:ascii="宋体" w:hAnsi="宋体" w:cs="宋体"/>
          <w:color w:val="auto"/>
          <w:szCs w:val="21"/>
        </w:rPr>
        <w:t>3.8</w:t>
      </w:r>
      <w:r>
        <w:rPr>
          <w:rFonts w:ascii="宋体" w:hAnsi="宋体"/>
          <w:color w:val="auto"/>
          <w:szCs w:val="21"/>
        </w:rPr>
        <w:t>根据《财政部关于政府采购竞争性磋商采购方式管理暂行办法有关问题的补充通知》（财库〔2015〕124号）的规定，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14:paraId="154A54B7">
      <w:pPr>
        <w:tabs>
          <w:tab w:val="left" w:pos="2835"/>
        </w:tabs>
        <w:spacing w:line="360" w:lineRule="auto"/>
        <w:ind w:firstLine="420" w:firstLineChars="200"/>
        <w:rPr>
          <w:rFonts w:ascii="宋体" w:hAnsi="宋体" w:cs="宋体"/>
          <w:color w:val="auto"/>
          <w:szCs w:val="21"/>
        </w:rPr>
      </w:pPr>
      <w:r>
        <w:rPr>
          <w:rFonts w:ascii="宋体" w:hAnsi="宋体" w:cs="宋体"/>
          <w:color w:val="auto"/>
          <w:szCs w:val="21"/>
        </w:rPr>
        <w:t>3.9</w:t>
      </w:r>
      <w:r>
        <w:rPr>
          <w:rFonts w:hint="eastAsia" w:ascii="宋体" w:hAnsi="宋体"/>
          <w:color w:val="auto"/>
          <w:szCs w:val="21"/>
        </w:rPr>
        <w:t>对磋商过程提交的响应文件进行有效性、完整性和响应程度审查，通过审查的合格供应商不足3家的，除本章第</w:t>
      </w:r>
      <w:r>
        <w:rPr>
          <w:rFonts w:ascii="宋体" w:hAnsi="宋体"/>
          <w:color w:val="auto"/>
          <w:szCs w:val="21"/>
        </w:rPr>
        <w:t>3.8</w:t>
      </w:r>
      <w:r>
        <w:rPr>
          <w:rFonts w:hint="eastAsia" w:ascii="宋体" w:hAnsi="宋体"/>
          <w:color w:val="auto"/>
          <w:szCs w:val="21"/>
        </w:rPr>
        <w:t>条的情形外，采购人或者采购代理机构应当重新开展采购活动。</w:t>
      </w:r>
    </w:p>
    <w:p w14:paraId="64706385">
      <w:pPr>
        <w:spacing w:line="360" w:lineRule="auto"/>
        <w:ind w:firstLine="422" w:firstLineChars="200"/>
        <w:rPr>
          <w:rFonts w:hint="eastAsia" w:ascii="宋体" w:hAnsi="宋体" w:eastAsia="宋体" w:cs="宋体"/>
          <w:b/>
          <w:bCs/>
          <w:color w:val="auto"/>
          <w:sz w:val="21"/>
          <w:szCs w:val="21"/>
        </w:rPr>
      </w:pPr>
      <w:r>
        <w:rPr>
          <w:rFonts w:hint="eastAsia" w:ascii="宋体" w:hAnsi="宋体" w:eastAsia="宋体" w:cs="宋体"/>
          <w:b/>
          <w:bCs/>
          <w:color w:val="auto"/>
          <w:sz w:val="21"/>
          <w:szCs w:val="21"/>
        </w:rPr>
        <w:t>4. 最后报价</w:t>
      </w:r>
    </w:p>
    <w:p w14:paraId="3D4949CE">
      <w:pPr>
        <w:spacing w:line="360" w:lineRule="auto"/>
        <w:ind w:firstLine="420" w:firstLineChars="200"/>
        <w:rPr>
          <w:rFonts w:ascii="宋体" w:hAnsi="宋体" w:cs="宋体"/>
          <w:color w:val="auto"/>
          <w:szCs w:val="21"/>
        </w:rPr>
      </w:pPr>
      <w:r>
        <w:rPr>
          <w:rFonts w:hint="eastAsia" w:ascii="宋体" w:hAnsi="宋体" w:cs="宋体"/>
          <w:color w:val="auto"/>
          <w:szCs w:val="21"/>
        </w:rPr>
        <w:t>4</w:t>
      </w:r>
      <w:r>
        <w:rPr>
          <w:rFonts w:ascii="宋体" w:hAnsi="宋体" w:cs="宋体"/>
          <w:color w:val="auto"/>
          <w:szCs w:val="21"/>
        </w:rPr>
        <w:t>.1</w:t>
      </w:r>
      <w:r>
        <w:rPr>
          <w:rFonts w:hint="eastAsia" w:ascii="宋体" w:hAnsi="宋体" w:cs="宋体"/>
          <w:color w:val="auto"/>
          <w:szCs w:val="21"/>
        </w:rPr>
        <w:t>磋商文件能够详细列明采购标的的技术、服务要求的，磋商结束后，由磋商小组要求所有继续参加磋商的供应商在规定时间内密封提交最后报价，提交最后报价的供应商不得少于3家，除本章第</w:t>
      </w:r>
      <w:r>
        <w:rPr>
          <w:rFonts w:ascii="宋体" w:hAnsi="宋体" w:cs="宋体"/>
          <w:color w:val="auto"/>
          <w:szCs w:val="21"/>
        </w:rPr>
        <w:t>4.3</w:t>
      </w:r>
      <w:r>
        <w:rPr>
          <w:rFonts w:hint="eastAsia" w:ascii="宋体" w:hAnsi="宋体" w:cs="宋体"/>
          <w:color w:val="auto"/>
          <w:szCs w:val="21"/>
        </w:rPr>
        <w:t>条外，否则必须重新采购。</w:t>
      </w:r>
    </w:p>
    <w:p w14:paraId="5BD790EE">
      <w:pPr>
        <w:spacing w:line="360" w:lineRule="auto"/>
        <w:ind w:firstLine="420" w:firstLineChars="200"/>
        <w:rPr>
          <w:rFonts w:ascii="宋体" w:hAnsi="宋体" w:cs="宋体"/>
          <w:color w:val="auto"/>
          <w:szCs w:val="21"/>
        </w:rPr>
      </w:pPr>
      <w:r>
        <w:rPr>
          <w:rFonts w:hint="eastAsia" w:ascii="宋体" w:hAnsi="宋体" w:cs="宋体"/>
          <w:color w:val="auto"/>
          <w:szCs w:val="21"/>
        </w:rPr>
        <w:t>4</w:t>
      </w:r>
      <w:r>
        <w:rPr>
          <w:rFonts w:ascii="宋体" w:hAnsi="宋体" w:cs="宋体"/>
          <w:color w:val="auto"/>
          <w:szCs w:val="21"/>
        </w:rPr>
        <w:t>.2</w:t>
      </w:r>
      <w:r>
        <w:rPr>
          <w:rFonts w:hint="eastAsia" w:ascii="宋体" w:hAnsi="宋体" w:cs="宋体"/>
          <w:color w:val="auto"/>
          <w:szCs w:val="21"/>
        </w:rPr>
        <w:t>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密封提交最后报价。</w:t>
      </w:r>
    </w:p>
    <w:p w14:paraId="2F42A87F">
      <w:pPr>
        <w:spacing w:line="360" w:lineRule="auto"/>
        <w:ind w:firstLine="420" w:firstLineChars="200"/>
        <w:rPr>
          <w:rFonts w:ascii="宋体" w:hAnsi="宋体" w:cs="宋体"/>
          <w:color w:val="auto"/>
          <w:szCs w:val="21"/>
        </w:rPr>
      </w:pPr>
      <w:r>
        <w:rPr>
          <w:rFonts w:ascii="宋体" w:hAnsi="宋体" w:cs="宋体"/>
          <w:color w:val="auto"/>
          <w:szCs w:val="21"/>
        </w:rPr>
        <w:t>4.3</w:t>
      </w:r>
      <w:r>
        <w:rPr>
          <w:rFonts w:hint="eastAsia" w:ascii="宋体" w:hAnsi="宋体" w:cs="宋体"/>
          <w:color w:val="auto"/>
          <w:szCs w:val="21"/>
        </w:rPr>
        <w:t xml:space="preserve"> 最后报价是供应商响应文件的有效组成部分。符合《政府采购竞争性磋商采购方式管理暂行办法》（财库〔2014〕214号）第三条第四项“市场竞争不充分的科研项目，以及需要扶持的科技成果转化项目”和本章第</w:t>
      </w:r>
      <w:r>
        <w:rPr>
          <w:rFonts w:ascii="宋体" w:hAnsi="宋体" w:cs="宋体"/>
          <w:color w:val="auto"/>
          <w:szCs w:val="21"/>
        </w:rPr>
        <w:t>3.8</w:t>
      </w:r>
      <w:r>
        <w:rPr>
          <w:rFonts w:hint="eastAsia" w:ascii="宋体" w:hAnsi="宋体" w:cs="宋体"/>
          <w:color w:val="auto"/>
          <w:szCs w:val="21"/>
        </w:rPr>
        <w:t>条情形的，提交最后报价的供应商可以为2家。</w:t>
      </w:r>
    </w:p>
    <w:p w14:paraId="56404091">
      <w:pPr>
        <w:spacing w:line="360" w:lineRule="auto"/>
        <w:ind w:firstLine="420" w:firstLineChars="200"/>
        <w:rPr>
          <w:rFonts w:ascii="宋体" w:hAnsi="宋体" w:cs="宋体"/>
          <w:color w:val="auto"/>
          <w:szCs w:val="21"/>
        </w:rPr>
      </w:pPr>
      <w:r>
        <w:rPr>
          <w:rFonts w:ascii="宋体" w:hAnsi="宋体" w:cs="宋体"/>
          <w:color w:val="auto"/>
          <w:szCs w:val="21"/>
        </w:rPr>
        <w:t>4.4</w:t>
      </w:r>
      <w:r>
        <w:rPr>
          <w:rFonts w:hint="eastAsia" w:ascii="宋体" w:hAnsi="宋体" w:cs="宋体"/>
          <w:color w:val="auto"/>
          <w:szCs w:val="21"/>
        </w:rPr>
        <w:t>已经提交响应文件的供应商，在提交最后报价之前，可以根据磋商情况退出磋商，退出磋商的供应商的响应文件按无效响应处理。采购人、采购代理机构将退还退出磋商的供应商的保证金。</w:t>
      </w:r>
    </w:p>
    <w:p w14:paraId="5A3D3684">
      <w:pPr>
        <w:spacing w:line="360" w:lineRule="auto"/>
        <w:ind w:firstLine="420" w:firstLineChars="200"/>
        <w:rPr>
          <w:rFonts w:ascii="宋体" w:hAnsi="宋体" w:cs="宋体"/>
          <w:color w:val="auto"/>
          <w:szCs w:val="21"/>
        </w:rPr>
      </w:pPr>
      <w:r>
        <w:rPr>
          <w:rFonts w:ascii="宋体" w:hAnsi="宋体" w:cs="宋体"/>
          <w:color w:val="auto"/>
          <w:szCs w:val="21"/>
        </w:rPr>
        <w:t>4.5</w:t>
      </w:r>
      <w:r>
        <w:rPr>
          <w:rFonts w:hint="eastAsia" w:ascii="宋体" w:hAnsi="宋体" w:cs="宋体"/>
          <w:color w:val="auto"/>
          <w:szCs w:val="21"/>
        </w:rPr>
        <w:t>供应商未在规定时间内提交最后报价的，视为退出磋商，其响应文件作无效处理。</w:t>
      </w:r>
    </w:p>
    <w:p w14:paraId="149F0857">
      <w:pPr>
        <w:spacing w:line="360" w:lineRule="auto"/>
        <w:ind w:firstLine="420" w:firstLineChars="200"/>
        <w:rPr>
          <w:rFonts w:ascii="宋体" w:hAnsi="宋体" w:cs="宋体"/>
          <w:color w:val="auto"/>
          <w:szCs w:val="21"/>
        </w:rPr>
      </w:pPr>
      <w:r>
        <w:rPr>
          <w:rFonts w:ascii="宋体" w:hAnsi="宋体" w:cs="宋体"/>
          <w:color w:val="auto"/>
          <w:szCs w:val="21"/>
        </w:rPr>
        <w:t>4.6</w:t>
      </w:r>
      <w:r>
        <w:rPr>
          <w:rFonts w:hint="eastAsia" w:ascii="宋体" w:hAnsi="宋体" w:cs="宋体"/>
          <w:color w:val="auto"/>
          <w:szCs w:val="21"/>
        </w:rPr>
        <w:t>磋商小组收齐某一分标最后报价后统一开启，磋商小组对最后报价进行有效性、完整性和响应程度的审查。</w:t>
      </w:r>
    </w:p>
    <w:p w14:paraId="23378FA7">
      <w:pPr>
        <w:spacing w:line="360" w:lineRule="auto"/>
        <w:ind w:firstLine="420" w:firstLineChars="200"/>
        <w:rPr>
          <w:rFonts w:ascii="宋体" w:hAnsi="宋体" w:cs="宋体"/>
          <w:color w:val="auto"/>
          <w:szCs w:val="21"/>
        </w:rPr>
      </w:pPr>
      <w:r>
        <w:rPr>
          <w:rFonts w:ascii="宋体" w:hAnsi="宋体" w:cs="宋体"/>
          <w:color w:val="auto"/>
          <w:szCs w:val="21"/>
        </w:rPr>
        <w:t>4.7</w:t>
      </w:r>
      <w:r>
        <w:rPr>
          <w:rFonts w:hint="eastAsia" w:ascii="宋体" w:hAnsi="宋体" w:cs="宋体"/>
          <w:color w:val="auto"/>
          <w:szCs w:val="21"/>
        </w:rPr>
        <w:t>响应文件最后报价出现前后不一致的，按照本章第</w:t>
      </w:r>
      <w:r>
        <w:rPr>
          <w:rFonts w:ascii="宋体" w:hAnsi="宋体" w:cs="宋体"/>
          <w:color w:val="auto"/>
          <w:szCs w:val="21"/>
        </w:rPr>
        <w:t>2.4</w:t>
      </w:r>
      <w:r>
        <w:rPr>
          <w:rFonts w:hint="eastAsia" w:ascii="宋体" w:hAnsi="宋体" w:cs="宋体"/>
          <w:color w:val="auto"/>
          <w:szCs w:val="21"/>
        </w:rPr>
        <w:t xml:space="preserve">条的规定修正。 </w:t>
      </w:r>
    </w:p>
    <w:p w14:paraId="3D38C5E9">
      <w:pPr>
        <w:spacing w:line="360" w:lineRule="auto"/>
        <w:ind w:firstLine="420" w:firstLineChars="200"/>
        <w:rPr>
          <w:rFonts w:ascii="宋体" w:hAnsi="宋体" w:cs="宋体"/>
          <w:color w:val="auto"/>
          <w:szCs w:val="21"/>
        </w:rPr>
      </w:pPr>
      <w:r>
        <w:rPr>
          <w:rFonts w:ascii="宋体" w:hAnsi="宋体" w:cs="宋体"/>
          <w:color w:val="auto"/>
          <w:szCs w:val="21"/>
        </w:rPr>
        <w:t>4.8</w:t>
      </w:r>
      <w:r>
        <w:rPr>
          <w:rFonts w:hint="eastAsia" w:ascii="宋体" w:hAnsi="宋体" w:cs="宋体"/>
          <w:color w:val="auto"/>
          <w:szCs w:val="21"/>
        </w:rPr>
        <w:t>修正后的报价出现下列情形的，按无效响应处理：</w:t>
      </w:r>
    </w:p>
    <w:p w14:paraId="742B9A18">
      <w:pPr>
        <w:spacing w:line="360" w:lineRule="auto"/>
        <w:ind w:firstLine="420" w:firstLineChars="200"/>
        <w:rPr>
          <w:rFonts w:ascii="宋体" w:hAnsi="宋体" w:cs="宋体"/>
          <w:color w:val="auto"/>
          <w:szCs w:val="21"/>
        </w:rPr>
      </w:pPr>
      <w:r>
        <w:rPr>
          <w:rFonts w:hint="eastAsia" w:ascii="宋体" w:hAnsi="宋体" w:cs="宋体"/>
          <w:color w:val="auto"/>
          <w:szCs w:val="21"/>
        </w:rPr>
        <w:t>（1）供应商不确认的；</w:t>
      </w:r>
    </w:p>
    <w:p w14:paraId="7C8F017F">
      <w:pPr>
        <w:spacing w:line="360" w:lineRule="auto"/>
        <w:ind w:firstLine="420" w:firstLineChars="200"/>
        <w:rPr>
          <w:rFonts w:ascii="宋体" w:hAnsi="宋体" w:cs="宋体"/>
          <w:color w:val="auto"/>
          <w:szCs w:val="21"/>
        </w:rPr>
      </w:pPr>
      <w:r>
        <w:rPr>
          <w:rFonts w:hint="eastAsia" w:ascii="宋体" w:hAnsi="宋体" w:cs="宋体"/>
          <w:color w:val="auto"/>
          <w:szCs w:val="21"/>
        </w:rPr>
        <w:t>（2）经供应商确认修正后的竞标报价（包含首次报价、最后报价）超过所竞标分标规定的采购预算金额或者最高限价的（如本项目公布了最高限价）；</w:t>
      </w:r>
    </w:p>
    <w:p w14:paraId="779BE855">
      <w:pPr>
        <w:spacing w:line="360" w:lineRule="auto"/>
        <w:ind w:firstLine="420" w:firstLineChars="200"/>
        <w:rPr>
          <w:rFonts w:ascii="宋体" w:hAnsi="宋体" w:cs="宋体"/>
          <w:color w:val="auto"/>
          <w:szCs w:val="21"/>
        </w:rPr>
      </w:pPr>
      <w:r>
        <w:rPr>
          <w:rFonts w:hint="eastAsia" w:ascii="宋体" w:hAnsi="宋体" w:cs="宋体"/>
          <w:color w:val="auto"/>
          <w:szCs w:val="21"/>
        </w:rPr>
        <w:t>（3）经供应商确认修正后的竞标报价（包含首次报价、最后报价）超过分项采购预算金额或者最高限价的（如本项目公布了最高限价）。</w:t>
      </w:r>
    </w:p>
    <w:p w14:paraId="56984092">
      <w:pPr>
        <w:spacing w:line="360" w:lineRule="auto"/>
        <w:ind w:firstLine="420" w:firstLineChars="200"/>
        <w:rPr>
          <w:rFonts w:ascii="宋体" w:hAnsi="宋体" w:cs="宋体"/>
          <w:color w:val="auto"/>
          <w:szCs w:val="21"/>
        </w:rPr>
      </w:pPr>
      <w:r>
        <w:rPr>
          <w:rFonts w:ascii="宋体" w:hAnsi="宋体" w:cs="宋体"/>
          <w:color w:val="auto"/>
          <w:szCs w:val="21"/>
        </w:rPr>
        <w:t>4.9</w:t>
      </w:r>
      <w:r>
        <w:rPr>
          <w:rFonts w:hint="eastAsia" w:ascii="宋体" w:hAnsi="宋体" w:cs="宋体"/>
          <w:color w:val="auto"/>
          <w:szCs w:val="21"/>
        </w:rPr>
        <w:t>经供应商确认修正后的最后报价作为评审及签订合同的依据。</w:t>
      </w:r>
    </w:p>
    <w:p w14:paraId="34942A9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color w:val="auto"/>
          <w:szCs w:val="21"/>
        </w:rPr>
      </w:pPr>
      <w:r>
        <w:rPr>
          <w:rFonts w:hint="eastAsia" w:ascii="宋体" w:hAnsi="宋体" w:cs="宋体"/>
          <w:color w:val="auto"/>
          <w:szCs w:val="21"/>
          <w:lang w:val="en-US" w:eastAsia="zh-CN"/>
        </w:rPr>
        <w:t xml:space="preserve">4.10 异常低价响应审查 </w:t>
      </w:r>
    </w:p>
    <w:p w14:paraId="3C91433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color w:val="auto"/>
          <w:szCs w:val="21"/>
        </w:rPr>
      </w:pPr>
      <w:r>
        <w:rPr>
          <w:rFonts w:hint="eastAsia" w:ascii="宋体" w:hAnsi="宋体" w:cs="宋体"/>
          <w:color w:val="auto"/>
          <w:szCs w:val="21"/>
          <w:lang w:val="en-US" w:eastAsia="zh-CN"/>
        </w:rPr>
        <w:t xml:space="preserve">（1）磋商小组在评审中发现下列情形之一的，应当启动异常低价响应审查程序： </w:t>
      </w:r>
    </w:p>
    <w:p w14:paraId="48AE287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lang w:val="en-US" w:eastAsia="zh-CN"/>
        </w:rPr>
        <w:t xml:space="preserve">①响应报价低于全部通过符合性审查供应商响应报价平均值50%的，即响应报价＜全部通过符合性审查供应商响应报价平均值×50%； </w:t>
      </w:r>
    </w:p>
    <w:p w14:paraId="367F301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lang w:val="en-US" w:eastAsia="zh-CN"/>
        </w:rPr>
        <w:t xml:space="preserve">②响应报价低于通过符合性审查的次低报价供应商响应报价50%的，即响应报价＜通过符合性审查的次低报价供应商响应报价×50% ； </w:t>
      </w:r>
    </w:p>
    <w:p w14:paraId="30096E8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lang w:val="en-US" w:eastAsia="zh-CN"/>
        </w:rPr>
        <w:t xml:space="preserve">③响应报价低于采购项目最高限价65%的，即响应报价＜采购项目最高限价×65%； </w:t>
      </w:r>
    </w:p>
    <w:p w14:paraId="36BB182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lang w:val="en-US" w:eastAsia="zh-CN"/>
        </w:rPr>
        <w:t xml:space="preserve">④磋商小组基于专业判断，认为供应商报价过低，有可能影响产品质量或者不能诚信履约的其他情形。 </w:t>
      </w:r>
    </w:p>
    <w:p w14:paraId="2F615886">
      <w:pPr>
        <w:keepNext w:val="0"/>
        <w:keepLines w:val="0"/>
        <w:pageBreakBefore w:val="0"/>
        <w:widowControl w:val="0"/>
        <w:numPr>
          <w:ilvl w:val="0"/>
          <w:numId w:val="6"/>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磋商小组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③项情形，供应商已随响应文件一并提交相关书面说明及必要的证明材料的，可不再重复提交。</w:t>
      </w:r>
    </w:p>
    <w:p w14:paraId="2F84C3B6">
      <w:pPr>
        <w:spacing w:line="360" w:lineRule="auto"/>
        <w:ind w:firstLine="420" w:firstLineChars="200"/>
        <w:rPr>
          <w:rFonts w:ascii="宋体" w:hAnsi="宋体" w:cs="宋体"/>
          <w:color w:val="auto"/>
          <w:szCs w:val="21"/>
        </w:rPr>
      </w:pPr>
      <w:r>
        <w:rPr>
          <w:rFonts w:hint="eastAsia" w:ascii="宋体" w:hAnsi="宋体" w:eastAsia="宋体" w:cs="宋体"/>
          <w:color w:val="auto"/>
          <w:szCs w:val="21"/>
          <w:lang w:val="en-US" w:eastAsia="zh-CN"/>
        </w:rPr>
        <w:t xml:space="preserve">    </w:t>
      </w:r>
      <w:r>
        <w:rPr>
          <w:rFonts w:hint="eastAsia" w:ascii="宋体" w:hAnsi="宋体" w:cs="宋体"/>
          <w:color w:val="auto"/>
          <w:szCs w:val="21"/>
          <w:lang w:val="en-US" w:eastAsia="zh-CN"/>
        </w:rPr>
        <w:t xml:space="preserve">磋商小组依据专业经验，参考同类项目中标（成交）价格、类似产品市场价格水平、行业人工费用标准、国家有关部门指导行业协会发布的行业平均成本等情况，对报价合理性进行判断。 </w:t>
      </w:r>
    </w:p>
    <w:p w14:paraId="79A1B02E">
      <w:pPr>
        <w:spacing w:line="360" w:lineRule="auto"/>
        <w:ind w:firstLine="420" w:firstLineChars="200"/>
        <w:rPr>
          <w:rFonts w:ascii="宋体" w:hAnsi="宋体" w:cs="宋体"/>
          <w:color w:val="auto"/>
          <w:szCs w:val="21"/>
        </w:rPr>
      </w:pPr>
      <w:r>
        <w:rPr>
          <w:rFonts w:hint="eastAsia" w:ascii="宋体" w:hAnsi="宋体" w:cs="宋体"/>
          <w:color w:val="auto"/>
          <w:szCs w:val="21"/>
          <w:lang w:val="en-US" w:eastAsia="zh-CN"/>
        </w:rPr>
        <w:t xml:space="preserve">相关供应商不能提供书面说明、证明材料，或者提供的书面说明、证明材料不能证明其报价合理性的，磋商小组应当将其作为无效响应处理。 </w:t>
      </w:r>
    </w:p>
    <w:p w14:paraId="4EB483E6">
      <w:pPr>
        <w:spacing w:line="360" w:lineRule="auto"/>
        <w:ind w:firstLine="420" w:firstLineChars="200"/>
        <w:rPr>
          <w:rFonts w:ascii="宋体" w:hAnsi="宋体" w:cs="宋体"/>
          <w:color w:val="auto"/>
          <w:szCs w:val="21"/>
        </w:rPr>
      </w:pPr>
      <w:r>
        <w:rPr>
          <w:rFonts w:hint="eastAsia" w:ascii="宋体" w:hAnsi="宋体" w:cs="宋体"/>
          <w:color w:val="auto"/>
          <w:szCs w:val="21"/>
          <w:lang w:val="en-US" w:eastAsia="zh-CN"/>
        </w:rPr>
        <w:t xml:space="preserve">采购人、采购代理机构应当为磋商小组在评审现场及时获取同类项目中标（成交）价格、类似产品市场价格水平、行业人工费用标准、国家有关部门指导行业协会发布的行业平均成本等相关信息资料提供便利。磋商小组借助互联网等渠道查询相关信息的，应当严格遵守评审工作纪律，不得实施影响评审公正的行为。 </w:t>
      </w:r>
    </w:p>
    <w:p w14:paraId="0AD6BFD9">
      <w:pPr>
        <w:spacing w:line="360" w:lineRule="auto"/>
        <w:ind w:firstLine="420" w:firstLineChars="200"/>
        <w:rPr>
          <w:rFonts w:ascii="宋体" w:hAnsi="宋体" w:cs="宋体"/>
          <w:color w:val="auto"/>
          <w:szCs w:val="21"/>
        </w:rPr>
      </w:pPr>
      <w:r>
        <w:rPr>
          <w:rFonts w:hint="eastAsia" w:ascii="宋体" w:hAnsi="宋体" w:cs="宋体"/>
          <w:color w:val="auto"/>
          <w:szCs w:val="21"/>
          <w:lang w:val="en-US" w:eastAsia="zh-CN"/>
        </w:rPr>
        <w:t xml:space="preserve">异常低价响应审查的启动原因、审查意见和审查结果应当在评审报告中记录，并随供应商提供的相关书面说明及证明材料，以及磋商小组有关互联网浏览、查询历史一并归档。 </w:t>
      </w:r>
    </w:p>
    <w:p w14:paraId="3BF6B1AB">
      <w:pPr>
        <w:spacing w:line="360" w:lineRule="auto"/>
        <w:ind w:firstLine="420" w:firstLineChars="200"/>
        <w:rPr>
          <w:color w:val="auto"/>
        </w:rPr>
      </w:pPr>
      <w:r>
        <w:rPr>
          <w:rFonts w:hint="eastAsia" w:ascii="宋体" w:hAnsi="宋体" w:cs="宋体"/>
          <w:color w:val="auto"/>
          <w:szCs w:val="21"/>
          <w:lang w:val="en-US" w:eastAsia="zh-CN"/>
        </w:rPr>
        <w:t>4.11 供应商出现最后报价按无效响应处理或者响应文件按无效处理时，磋商小组应当告知有关供应商。</w:t>
      </w:r>
      <w:r>
        <w:rPr>
          <w:rFonts w:hint="eastAsia" w:ascii="宋体" w:hAnsi="宋体" w:eastAsia="宋体" w:cs="宋体"/>
          <w:color w:val="auto"/>
          <w:szCs w:val="21"/>
          <w:lang w:val="en-US" w:eastAsia="zh-CN"/>
        </w:rPr>
        <w:t xml:space="preserve"> </w:t>
      </w:r>
    </w:p>
    <w:p w14:paraId="68436733">
      <w:pPr>
        <w:spacing w:line="360" w:lineRule="auto"/>
        <w:ind w:firstLine="420" w:firstLineChars="200"/>
        <w:rPr>
          <w:rFonts w:ascii="宋体" w:hAnsi="宋体" w:cs="宋体"/>
          <w:color w:val="auto"/>
          <w:szCs w:val="21"/>
        </w:rPr>
      </w:pPr>
      <w:r>
        <w:rPr>
          <w:rFonts w:ascii="宋体" w:hAnsi="宋体" w:cs="宋体"/>
          <w:color w:val="auto"/>
          <w:szCs w:val="21"/>
        </w:rPr>
        <w:t>4.1</w:t>
      </w:r>
      <w:r>
        <w:rPr>
          <w:rFonts w:hint="eastAsia" w:ascii="宋体" w:hAnsi="宋体" w:cs="宋体"/>
          <w:color w:val="auto"/>
          <w:szCs w:val="21"/>
          <w:lang w:val="en-US" w:eastAsia="zh-CN"/>
        </w:rPr>
        <w:t>2</w:t>
      </w:r>
      <w:r>
        <w:rPr>
          <w:rFonts w:hint="eastAsia" w:ascii="宋体" w:hAnsi="宋体" w:cs="宋体"/>
          <w:color w:val="auto"/>
          <w:szCs w:val="21"/>
        </w:rPr>
        <w:t>最后报价结束后，磋商小组不得再与供应商进行任何形式的商谈。</w:t>
      </w:r>
    </w:p>
    <w:p w14:paraId="7FC5EBF2">
      <w:pPr>
        <w:spacing w:line="360" w:lineRule="auto"/>
        <w:ind w:firstLine="422" w:firstLineChars="200"/>
        <w:rPr>
          <w:rFonts w:hint="eastAsia" w:ascii="宋体" w:hAnsi="宋体" w:eastAsia="宋体" w:cs="宋体"/>
          <w:b/>
          <w:bCs/>
          <w:color w:val="auto"/>
          <w:sz w:val="21"/>
          <w:szCs w:val="21"/>
        </w:rPr>
      </w:pPr>
      <w:r>
        <w:rPr>
          <w:rFonts w:hint="eastAsia" w:ascii="宋体" w:hAnsi="宋体" w:eastAsia="宋体" w:cs="宋体"/>
          <w:b/>
          <w:bCs/>
          <w:color w:val="auto"/>
          <w:sz w:val="21"/>
          <w:szCs w:val="21"/>
        </w:rPr>
        <w:t>5.比较与评价</w:t>
      </w:r>
    </w:p>
    <w:p w14:paraId="119F500D">
      <w:pPr>
        <w:spacing w:line="360" w:lineRule="auto"/>
        <w:ind w:firstLine="420" w:firstLineChars="200"/>
        <w:rPr>
          <w:rFonts w:ascii="宋体" w:hAnsi="宋体" w:cs="宋体"/>
          <w:color w:val="auto"/>
          <w:szCs w:val="21"/>
        </w:rPr>
      </w:pPr>
      <w:r>
        <w:rPr>
          <w:rFonts w:ascii="宋体" w:hAnsi="宋体" w:cs="宋体"/>
          <w:color w:val="auto"/>
          <w:szCs w:val="21"/>
        </w:rPr>
        <w:t>5.1</w:t>
      </w:r>
      <w:r>
        <w:rPr>
          <w:rFonts w:hint="eastAsia" w:ascii="宋体" w:hAnsi="宋体" w:cs="宋体"/>
          <w:color w:val="auto"/>
          <w:szCs w:val="21"/>
        </w:rPr>
        <w:t>评审方法：综合评分法。</w:t>
      </w:r>
    </w:p>
    <w:p w14:paraId="06EE1340">
      <w:pPr>
        <w:spacing w:line="360" w:lineRule="auto"/>
        <w:ind w:firstLine="420" w:firstLineChars="200"/>
        <w:rPr>
          <w:rFonts w:ascii="宋体" w:hAnsi="宋体" w:cs="宋体"/>
          <w:color w:val="auto"/>
          <w:szCs w:val="21"/>
        </w:rPr>
      </w:pPr>
      <w:r>
        <w:rPr>
          <w:rFonts w:ascii="宋体" w:hAnsi="宋体" w:cs="宋体"/>
          <w:color w:val="auto"/>
          <w:szCs w:val="21"/>
        </w:rPr>
        <w:t>5.2</w:t>
      </w:r>
      <w:r>
        <w:rPr>
          <w:rFonts w:hint="eastAsia" w:ascii="宋体" w:hAnsi="宋体" w:cs="宋体"/>
          <w:color w:val="auto"/>
          <w:szCs w:val="21"/>
        </w:rPr>
        <w:t>经磋商确定最终采购需求和提交最后报价的供应商后，由磋商小组采用综合评分法对提交最后报价的供应商的响应文件和最后报价进行综合评分。</w:t>
      </w:r>
    </w:p>
    <w:p w14:paraId="27BB5929">
      <w:pPr>
        <w:spacing w:line="360" w:lineRule="auto"/>
        <w:ind w:firstLine="420" w:firstLineChars="200"/>
        <w:rPr>
          <w:rFonts w:ascii="宋体" w:hAnsi="宋体" w:cs="宋体"/>
          <w:color w:val="auto"/>
          <w:szCs w:val="21"/>
        </w:rPr>
      </w:pPr>
      <w:r>
        <w:rPr>
          <w:rFonts w:ascii="宋体" w:hAnsi="宋体" w:cs="宋体"/>
          <w:color w:val="auto"/>
          <w:szCs w:val="21"/>
        </w:rPr>
        <w:t>5.3</w:t>
      </w:r>
      <w:r>
        <w:rPr>
          <w:rFonts w:hint="eastAsia" w:ascii="宋体" w:hAnsi="宋体" w:cs="宋体"/>
          <w:color w:val="auto"/>
          <w:szCs w:val="21"/>
        </w:rPr>
        <w:t>评审时，磋商小组各成员应当独立对每个有效响应的文件进行评价、打分，然后汇总每个供应商每项评分因素的得分。</w:t>
      </w:r>
    </w:p>
    <w:p w14:paraId="6E75BF0F">
      <w:pPr>
        <w:spacing w:line="360" w:lineRule="auto"/>
        <w:ind w:firstLine="420" w:firstLineChars="200"/>
        <w:rPr>
          <w:rFonts w:ascii="宋体" w:hAnsi="宋体" w:cs="宋体"/>
          <w:color w:val="auto"/>
          <w:szCs w:val="21"/>
        </w:rPr>
      </w:pPr>
      <w:r>
        <w:rPr>
          <w:rFonts w:hint="eastAsia" w:ascii="宋体" w:hAnsi="宋体" w:cs="宋体"/>
          <w:color w:val="auto"/>
          <w:szCs w:val="21"/>
        </w:rPr>
        <w:t>（1）磋商小组按照磋商文件中规定的评审标准计算各供应商的报价得分。项目评审过程中，不得去掉最后报价中的最高报价和最低报价。</w:t>
      </w:r>
    </w:p>
    <w:p w14:paraId="08CA9D55">
      <w:pPr>
        <w:spacing w:line="360" w:lineRule="auto"/>
        <w:ind w:firstLine="420" w:firstLineChars="200"/>
        <w:rPr>
          <w:rFonts w:ascii="宋体" w:hAnsi="宋体" w:cs="宋体"/>
          <w:color w:val="auto"/>
          <w:szCs w:val="21"/>
        </w:rPr>
      </w:pPr>
      <w:r>
        <w:rPr>
          <w:rFonts w:hint="eastAsia" w:ascii="宋体" w:hAnsi="宋体" w:cs="宋体"/>
          <w:color w:val="auto"/>
          <w:szCs w:val="21"/>
        </w:rPr>
        <w:t>（2）各供应商的得分为磋商小组所有成员的有效评分的算术平均数。</w:t>
      </w:r>
    </w:p>
    <w:p w14:paraId="108E82C7">
      <w:pPr>
        <w:spacing w:line="360" w:lineRule="auto"/>
        <w:ind w:firstLine="420" w:firstLineChars="200"/>
        <w:rPr>
          <w:rFonts w:ascii="宋体" w:hAnsi="宋体" w:cs="宋体"/>
          <w:color w:val="auto"/>
          <w:szCs w:val="21"/>
        </w:rPr>
      </w:pPr>
      <w:r>
        <w:rPr>
          <w:rFonts w:ascii="宋体" w:hAnsi="宋体" w:cs="宋体"/>
          <w:color w:val="auto"/>
          <w:szCs w:val="21"/>
        </w:rPr>
        <w:t>5.4</w:t>
      </w:r>
      <w:r>
        <w:rPr>
          <w:rFonts w:hint="eastAsia" w:ascii="宋体" w:hAnsi="宋体" w:cs="宋体"/>
          <w:color w:val="auto"/>
          <w:szCs w:val="21"/>
        </w:rPr>
        <w:t>评审价为供应商的最后报价进行政策性扣除后的价格，评审价只是作为评审时使用。最终成交供应商的成交金额等于最后报价（如有修正，以确认修正后的最后报价为准）。</w:t>
      </w:r>
    </w:p>
    <w:p w14:paraId="2B220D55">
      <w:pPr>
        <w:spacing w:line="360" w:lineRule="auto"/>
        <w:ind w:firstLine="420" w:firstLineChars="200"/>
        <w:rPr>
          <w:rFonts w:ascii="宋体" w:hAnsi="宋体"/>
          <w:color w:val="auto"/>
          <w:kern w:val="0"/>
          <w:szCs w:val="21"/>
        </w:rPr>
      </w:pPr>
      <w:r>
        <w:rPr>
          <w:rFonts w:ascii="宋体" w:hAnsi="宋体" w:cs="宋体"/>
          <w:color w:val="auto"/>
          <w:szCs w:val="21"/>
        </w:rPr>
        <w:t>5.5</w:t>
      </w:r>
      <w:r>
        <w:rPr>
          <w:rFonts w:hint="eastAsia" w:ascii="宋体" w:hAnsi="宋体" w:cs="宋体"/>
          <w:color w:val="auto"/>
          <w:szCs w:val="21"/>
        </w:rPr>
        <w:t>由磋商小组根据综合评分情况，按照评审得分由高到低顺序推荐3名以上成交候选供应商，并编写评</w:t>
      </w:r>
      <w:r>
        <w:rPr>
          <w:rFonts w:hint="eastAsia" w:ascii="宋体" w:hAnsi="宋体"/>
          <w:color w:val="auto"/>
          <w:kern w:val="0"/>
          <w:szCs w:val="21"/>
        </w:rPr>
        <w:t>审报告。符合本章第</w:t>
      </w:r>
      <w:r>
        <w:rPr>
          <w:rFonts w:ascii="宋体" w:hAnsi="宋体"/>
          <w:color w:val="auto"/>
          <w:kern w:val="0"/>
          <w:szCs w:val="21"/>
        </w:rPr>
        <w:t>4.3</w:t>
      </w:r>
      <w:r>
        <w:rPr>
          <w:rFonts w:hint="eastAsia" w:ascii="宋体" w:hAnsi="宋体"/>
          <w:color w:val="auto"/>
          <w:kern w:val="0"/>
          <w:szCs w:val="21"/>
        </w:rPr>
        <w:t>条情形的，可以推荐2家成交候选供应商。评审得分相同的，按照最后报价由低到高的顺序推荐。评审得分且最后报价相同的，按照技术指标优劣顺序推荐。</w:t>
      </w:r>
    </w:p>
    <w:p w14:paraId="49DC23B3">
      <w:pPr>
        <w:spacing w:line="360" w:lineRule="auto"/>
        <w:ind w:firstLine="420" w:firstLineChars="200"/>
        <w:rPr>
          <w:rFonts w:ascii="宋体" w:hAnsi="宋体" w:cs="宋体"/>
          <w:color w:val="auto"/>
          <w:szCs w:val="21"/>
        </w:rPr>
      </w:pPr>
      <w:r>
        <w:rPr>
          <w:rFonts w:ascii="宋体" w:hAnsi="宋体"/>
          <w:color w:val="auto"/>
          <w:kern w:val="0"/>
          <w:szCs w:val="21"/>
        </w:rPr>
        <w:t>5.6</w:t>
      </w:r>
      <w:r>
        <w:rPr>
          <w:rFonts w:hint="eastAsia" w:ascii="宋体" w:hAnsi="宋体"/>
          <w:color w:val="auto"/>
          <w:kern w:val="0"/>
          <w:szCs w:val="21"/>
        </w:rPr>
        <w:t>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717DE9D3">
      <w:pPr>
        <w:spacing w:line="360" w:lineRule="auto"/>
        <w:jc w:val="center"/>
        <w:rPr>
          <w:rFonts w:ascii="宋体" w:hAnsi="宋体"/>
          <w:b/>
          <w:color w:val="auto"/>
          <w:sz w:val="32"/>
          <w:szCs w:val="32"/>
        </w:rPr>
      </w:pPr>
      <w:r>
        <w:rPr>
          <w:rFonts w:hint="eastAsia" w:ascii="宋体" w:hAnsi="宋体"/>
          <w:b/>
          <w:color w:val="auto"/>
          <w:sz w:val="32"/>
          <w:szCs w:val="32"/>
        </w:rPr>
        <w:t>二、评审标准</w:t>
      </w:r>
    </w:p>
    <w:p w14:paraId="569FE81C">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rPr>
      </w:pPr>
      <w:r>
        <w:rPr>
          <w:rFonts w:hint="eastAsia" w:ascii="宋体" w:hAnsi="宋体"/>
          <w:bCs/>
          <w:color w:val="auto"/>
          <w:szCs w:val="21"/>
        </w:rPr>
        <w:t>6</w:t>
      </w:r>
      <w:r>
        <w:rPr>
          <w:rFonts w:ascii="宋体" w:hAnsi="宋体"/>
          <w:bCs/>
          <w:color w:val="auto"/>
          <w:szCs w:val="21"/>
        </w:rPr>
        <w:t>.</w:t>
      </w:r>
      <w:r>
        <w:rPr>
          <w:rFonts w:hint="eastAsia" w:ascii="宋体" w:hAnsi="宋体"/>
          <w:bCs/>
          <w:color w:val="auto"/>
          <w:szCs w:val="21"/>
        </w:rPr>
        <w:t>评审依据：磋商小组将以磋商响应文件为评审依据，对供应商的响应文件内容按百分制打分。（计分方法按四舍五入取至百分位）</w:t>
      </w:r>
    </w:p>
    <w:p w14:paraId="0BD00DF1">
      <w:pPr>
        <w:pStyle w:val="27"/>
        <w:ind w:left="0" w:leftChars="0" w:firstLine="0" w:firstLineChars="0"/>
        <w:jc w:val="left"/>
        <w:rPr>
          <w:rFonts w:hint="eastAsia" w:ascii="宋体" w:hAnsi="宋体" w:eastAsia="宋体" w:cs="宋体"/>
          <w:b/>
          <w:bCs/>
          <w:sz w:val="21"/>
          <w:szCs w:val="21"/>
        </w:rPr>
      </w:pPr>
      <w:r>
        <w:rPr>
          <w:rFonts w:hint="eastAsia" w:ascii="宋体" w:hAnsi="宋体" w:eastAsia="宋体" w:cs="宋体"/>
          <w:b/>
          <w:bCs/>
          <w:sz w:val="21"/>
          <w:szCs w:val="21"/>
          <w:lang w:val="en-US" w:eastAsia="zh-CN"/>
        </w:rPr>
        <w:t>一、</w:t>
      </w:r>
      <w:r>
        <w:rPr>
          <w:rFonts w:hint="eastAsia" w:ascii="宋体" w:hAnsi="宋体" w:eastAsia="宋体" w:cs="宋体"/>
          <w:b/>
          <w:bCs/>
          <w:sz w:val="21"/>
          <w:szCs w:val="21"/>
        </w:rPr>
        <w:t xml:space="preserve">最后报价分（满分 </w:t>
      </w:r>
      <w:r>
        <w:rPr>
          <w:rFonts w:hint="eastAsia" w:ascii="宋体" w:hAnsi="宋体" w:eastAsia="宋体" w:cs="宋体"/>
          <w:b/>
          <w:bCs/>
          <w:sz w:val="21"/>
          <w:szCs w:val="21"/>
          <w:lang w:val="en-US" w:eastAsia="zh-CN"/>
        </w:rPr>
        <w:t>4</w:t>
      </w:r>
      <w:r>
        <w:rPr>
          <w:rFonts w:hint="eastAsia" w:ascii="宋体" w:hAnsi="宋体" w:eastAsia="宋体" w:cs="宋体"/>
          <w:b/>
          <w:bCs/>
          <w:sz w:val="21"/>
          <w:szCs w:val="21"/>
        </w:rPr>
        <w:t>0 分）</w:t>
      </w:r>
    </w:p>
    <w:p w14:paraId="1DEDF93D">
      <w:pPr>
        <w:pStyle w:val="16"/>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22" w:firstLineChars="200"/>
        <w:textAlignment w:val="auto"/>
        <w:rPr>
          <w:rFonts w:hint="eastAsia" w:hAnsi="宋体" w:cs="Courier New"/>
          <w:b/>
          <w:bCs/>
          <w:color w:val="auto"/>
          <w:kern w:val="2"/>
          <w:sz w:val="21"/>
          <w:szCs w:val="21"/>
          <w:highlight w:val="none"/>
          <w:lang w:val="en-US" w:eastAsia="zh-CN"/>
        </w:rPr>
      </w:pPr>
      <w:r>
        <w:rPr>
          <w:rFonts w:hint="eastAsia" w:hAnsi="宋体" w:cs="Courier New"/>
          <w:b/>
          <w:bCs/>
          <w:color w:val="auto"/>
          <w:kern w:val="2"/>
          <w:sz w:val="21"/>
          <w:szCs w:val="21"/>
          <w:lang w:val="en-US" w:eastAsia="zh-CN" w:bidi="ar-SA"/>
        </w:rPr>
        <w:t>1.</w:t>
      </w:r>
      <w:r>
        <w:rPr>
          <w:rFonts w:hint="eastAsia" w:hAnsi="宋体" w:cs="Courier New"/>
          <w:b/>
          <w:bCs/>
          <w:color w:val="auto"/>
          <w:kern w:val="2"/>
          <w:sz w:val="21"/>
          <w:szCs w:val="21"/>
          <w:highlight w:val="none"/>
          <w:lang w:val="en-US" w:eastAsia="zh-CN"/>
        </w:rPr>
        <w:t>政府采购政策扣除</w:t>
      </w:r>
    </w:p>
    <w:p w14:paraId="3D8DE97B">
      <w:pPr>
        <w:pStyle w:val="16"/>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color w:val="auto"/>
          <w:highlight w:val="none"/>
          <w:lang w:val="en-US" w:eastAsia="zh-CN"/>
        </w:rPr>
      </w:pPr>
      <w:r>
        <w:rPr>
          <w:rFonts w:hint="eastAsia" w:ascii="宋体" w:hAnsi="宋体" w:eastAsia="宋体" w:cs="宋体"/>
          <w:bCs/>
          <w:color w:val="auto"/>
          <w:sz w:val="21"/>
          <w:szCs w:val="21"/>
          <w:highlight w:val="none"/>
          <w:lang w:val="en-US" w:eastAsia="zh-CN"/>
        </w:rPr>
        <w:t>本项目为专门面向中小企业采购的项目（供应商应为中小微企业、监狱企业、残疾人福利单位），因此不享受政府采购政策扣除。</w:t>
      </w:r>
    </w:p>
    <w:p w14:paraId="63EF030E">
      <w:pPr>
        <w:pStyle w:val="16"/>
        <w:keepNext w:val="0"/>
        <w:keepLines w:val="0"/>
        <w:pageBreakBefore w:val="0"/>
        <w:widowControl w:val="0"/>
        <w:kinsoku/>
        <w:wordWrap/>
        <w:overflowPunct/>
        <w:topLinePunct w:val="0"/>
        <w:autoSpaceDE/>
        <w:autoSpaceDN/>
        <w:bidi w:val="0"/>
        <w:adjustRightInd/>
        <w:snapToGrid/>
        <w:spacing w:line="440" w:lineRule="exact"/>
        <w:ind w:left="0" w:leftChars="0" w:firstLine="422" w:firstLineChars="200"/>
        <w:textAlignment w:val="auto"/>
        <w:outlineLvl w:val="0"/>
        <w:rPr>
          <w:rFonts w:hint="eastAsia" w:hAnsi="宋体"/>
          <w:b/>
          <w:color w:val="auto"/>
          <w:sz w:val="21"/>
          <w:szCs w:val="21"/>
          <w:highlight w:val="none"/>
          <w:lang w:val="en-US" w:eastAsia="zh-CN"/>
        </w:rPr>
      </w:pPr>
      <w:r>
        <w:rPr>
          <w:rFonts w:hint="eastAsia" w:hAnsi="宋体"/>
          <w:b/>
          <w:color w:val="auto"/>
          <w:sz w:val="21"/>
          <w:szCs w:val="21"/>
          <w:highlight w:val="none"/>
          <w:lang w:val="en-US" w:eastAsia="zh-CN"/>
        </w:rPr>
        <w:t>2.</w:t>
      </w:r>
      <w:r>
        <w:rPr>
          <w:rFonts w:hint="eastAsia" w:hAnsi="宋体"/>
          <w:b/>
          <w:color w:val="auto"/>
          <w:sz w:val="21"/>
          <w:szCs w:val="21"/>
          <w:highlight w:val="none"/>
        </w:rPr>
        <w:t>报价</w:t>
      </w:r>
      <w:r>
        <w:rPr>
          <w:rFonts w:hint="eastAsia" w:hAnsi="宋体"/>
          <w:b/>
          <w:color w:val="auto"/>
          <w:sz w:val="21"/>
          <w:szCs w:val="21"/>
          <w:highlight w:val="none"/>
          <w:lang w:val="en-US" w:eastAsia="zh-CN"/>
        </w:rPr>
        <w:t>分（满分40分）</w:t>
      </w:r>
    </w:p>
    <w:p w14:paraId="32662D25">
      <w:pPr>
        <w:pStyle w:val="16"/>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r>
        <w:rPr>
          <w:rFonts w:hint="eastAsia" w:ascii="宋体" w:hAnsi="宋体" w:eastAsia="宋体" w:cs="宋体"/>
          <w:bCs/>
          <w:color w:val="auto"/>
          <w:sz w:val="21"/>
          <w:szCs w:val="21"/>
          <w:highlight w:val="none"/>
          <w:lang w:val="en-US" w:eastAsia="zh-CN"/>
        </w:rPr>
        <w:t>报价分采用低价优先法计算，满足采购文件要求且评标价最低的有效供应商的评标价为评标基准价，其报价分为满分。</w:t>
      </w:r>
    </w:p>
    <w:p w14:paraId="7BBC79E8">
      <w:pPr>
        <w:pStyle w:val="16"/>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（2）其他供应商的价格分统一按照下列公式计算：</w:t>
      </w:r>
    </w:p>
    <w:p w14:paraId="087E8833">
      <w:pPr>
        <w:pStyle w:val="2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jc w:val="left"/>
        <w:textAlignment w:val="auto"/>
        <w:rPr>
          <w:rFonts w:hint="eastAsia" w:ascii="宋体" w:hAnsi="宋体" w:eastAsia="宋体" w:cs="宋体"/>
          <w:b/>
          <w:bCs/>
          <w:sz w:val="21"/>
          <w:szCs w:val="21"/>
        </w:rPr>
      </w:pPr>
      <w:r>
        <w:rPr>
          <w:rFonts w:hint="eastAsia" w:ascii="宋体" w:hAnsi="宋体" w:eastAsia="宋体" w:cs="宋体"/>
          <w:bCs/>
          <w:color w:val="auto"/>
          <w:sz w:val="21"/>
          <w:szCs w:val="21"/>
          <w:highlight w:val="none"/>
          <w:lang w:val="en-US" w:eastAsia="zh-CN"/>
        </w:rPr>
        <w:t>某有效供应商的报价分=（评标基准价／某有效供应商评标价）×40分</w:t>
      </w:r>
    </w:p>
    <w:p w14:paraId="3188AF71">
      <w:pPr>
        <w:pStyle w:val="27"/>
        <w:keepNext w:val="0"/>
        <w:keepLines w:val="0"/>
        <w:pageBreakBefore w:val="0"/>
        <w:widowControl w:val="0"/>
        <w:kinsoku/>
        <w:wordWrap/>
        <w:overflowPunct/>
        <w:topLinePunct w:val="0"/>
        <w:autoSpaceDE/>
        <w:autoSpaceDN/>
        <w:bidi w:val="0"/>
        <w:adjustRightInd/>
        <w:snapToGrid/>
        <w:spacing w:line="440" w:lineRule="exact"/>
        <w:ind w:left="0" w:leftChars="0" w:firstLine="422" w:firstLineChars="200"/>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二、</w:t>
      </w:r>
      <w:r>
        <w:rPr>
          <w:rFonts w:hint="eastAsia" w:ascii="宋体" w:hAnsi="宋体" w:eastAsia="宋体" w:cs="宋体"/>
          <w:b/>
          <w:bCs/>
          <w:sz w:val="21"/>
          <w:szCs w:val="21"/>
        </w:rPr>
        <w:t>技术分（5</w:t>
      </w:r>
      <w:r>
        <w:rPr>
          <w:rFonts w:hint="eastAsia" w:ascii="宋体" w:hAnsi="宋体" w:eastAsia="宋体" w:cs="宋体"/>
          <w:b/>
          <w:bCs/>
          <w:sz w:val="21"/>
          <w:szCs w:val="21"/>
          <w:lang w:val="en-US" w:eastAsia="zh-CN"/>
        </w:rPr>
        <w:t>0</w:t>
      </w:r>
      <w:r>
        <w:rPr>
          <w:rFonts w:hint="eastAsia" w:ascii="宋体" w:hAnsi="宋体" w:eastAsia="宋体" w:cs="宋体"/>
          <w:b/>
          <w:bCs/>
          <w:sz w:val="21"/>
          <w:szCs w:val="21"/>
        </w:rPr>
        <w:t>分）</w:t>
      </w:r>
    </w:p>
    <w:p w14:paraId="2C16F32F">
      <w:pPr>
        <w:pStyle w:val="27"/>
        <w:keepNext w:val="0"/>
        <w:keepLines w:val="0"/>
        <w:pageBreakBefore w:val="0"/>
        <w:widowControl w:val="0"/>
        <w:kinsoku/>
        <w:wordWrap/>
        <w:overflowPunct/>
        <w:topLinePunct w:val="0"/>
        <w:autoSpaceDE/>
        <w:autoSpaceDN/>
        <w:bidi w:val="0"/>
        <w:adjustRightInd/>
        <w:snapToGrid/>
        <w:spacing w:line="440" w:lineRule="exact"/>
        <w:ind w:left="0" w:leftChars="0" w:firstLine="422" w:firstLineChars="200"/>
        <w:textAlignment w:val="auto"/>
        <w:rPr>
          <w:rFonts w:hint="eastAsia"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1. 供电系统总体实施方案（10 分：客观 6 分，主观 4 分）</w:t>
      </w:r>
    </w:p>
    <w:p w14:paraId="1E97F225">
      <w:pPr>
        <w:pStyle w:val="2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评审依据：采购需求要求实施方案包含5项内容：①高压供电扩容升级实施路径；②宿舍楼低压配电系统翻新处置措施；③医疗用电、职工生活用电独立分区供电的具体措施；④原有变压器过载隐患处置措施；⑤原有线路老化隐患处置措施。</w:t>
      </w:r>
    </w:p>
    <w:p w14:paraId="5CAB08A9">
      <w:pPr>
        <w:pStyle w:val="27"/>
        <w:keepNext w:val="0"/>
        <w:keepLines w:val="0"/>
        <w:pageBreakBefore w:val="0"/>
        <w:widowControl w:val="0"/>
        <w:kinsoku/>
        <w:wordWrap/>
        <w:overflowPunct/>
        <w:topLinePunct w:val="0"/>
        <w:autoSpaceDE/>
        <w:autoSpaceDN/>
        <w:bidi w:val="0"/>
        <w:adjustRightInd/>
        <w:snapToGrid/>
        <w:spacing w:line="440" w:lineRule="exact"/>
        <w:ind w:left="0" w:leftChars="0" w:firstLine="422" w:firstLineChars="200"/>
        <w:textAlignment w:val="auto"/>
        <w:rPr>
          <w:rFonts w:hint="eastAsia"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1.1客观（6 分）</w:t>
      </w:r>
    </w:p>
    <w:p w14:paraId="4DF0443E">
      <w:pPr>
        <w:pStyle w:val="27"/>
        <w:keepNext w:val="0"/>
        <w:keepLines w:val="0"/>
        <w:pageBreakBefore w:val="0"/>
        <w:widowControl w:val="0"/>
        <w:kinsoku/>
        <w:wordWrap/>
        <w:overflowPunct/>
        <w:topLinePunct w:val="0"/>
        <w:autoSpaceDE/>
        <w:autoSpaceDN/>
        <w:bidi w:val="0"/>
        <w:adjustRightInd/>
        <w:snapToGrid/>
        <w:spacing w:line="440" w:lineRule="exact"/>
        <w:ind w:left="420" w:leftChars="200" w:firstLine="0" w:firstLineChars="0"/>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5项要素全部书面载明，无明显专业错误，得 6 分；</w:t>
      </w:r>
      <w:r>
        <w:rPr>
          <w:rFonts w:hint="eastAsia" w:ascii="宋体" w:hAnsi="宋体" w:eastAsia="宋体" w:cs="宋体"/>
          <w:color w:val="auto"/>
          <w:kern w:val="2"/>
          <w:sz w:val="21"/>
          <w:szCs w:val="21"/>
          <w:lang w:val="en-US" w:eastAsia="zh-CN" w:bidi="ar-SA"/>
        </w:rPr>
        <w:br w:type="textWrapping"/>
      </w:r>
      <w:r>
        <w:rPr>
          <w:rFonts w:hint="eastAsia" w:ascii="宋体" w:hAnsi="宋体" w:eastAsia="宋体" w:cs="宋体"/>
          <w:color w:val="auto"/>
          <w:kern w:val="2"/>
          <w:sz w:val="21"/>
          <w:szCs w:val="21"/>
          <w:lang w:val="en-US" w:eastAsia="zh-CN" w:bidi="ar-SA"/>
        </w:rPr>
        <w:t>每缺失任意 1 项要素扣 1.2 分，扣完本客观小项为止；</w:t>
      </w:r>
      <w:r>
        <w:rPr>
          <w:rFonts w:hint="eastAsia" w:ascii="宋体" w:hAnsi="宋体" w:eastAsia="宋体" w:cs="宋体"/>
          <w:color w:val="auto"/>
          <w:kern w:val="2"/>
          <w:sz w:val="21"/>
          <w:szCs w:val="21"/>
          <w:lang w:val="en-US" w:eastAsia="zh-CN" w:bidi="ar-SA"/>
        </w:rPr>
        <w:br w:type="textWrapping"/>
      </w:r>
      <w:r>
        <w:rPr>
          <w:rFonts w:hint="eastAsia" w:ascii="宋体" w:hAnsi="宋体" w:eastAsia="宋体" w:cs="宋体"/>
          <w:color w:val="auto"/>
          <w:kern w:val="2"/>
          <w:sz w:val="21"/>
          <w:szCs w:val="21"/>
          <w:lang w:val="en-US" w:eastAsia="zh-CN" w:bidi="ar-SA"/>
        </w:rPr>
        <w:t>半数及以上要素未载明，客观得 0 分。</w:t>
      </w:r>
    </w:p>
    <w:p w14:paraId="041671FE">
      <w:pPr>
        <w:pStyle w:val="27"/>
        <w:keepNext w:val="0"/>
        <w:keepLines w:val="0"/>
        <w:pageBreakBefore w:val="0"/>
        <w:widowControl w:val="0"/>
        <w:kinsoku/>
        <w:wordWrap/>
        <w:overflowPunct/>
        <w:topLinePunct w:val="0"/>
        <w:autoSpaceDE/>
        <w:autoSpaceDN/>
        <w:bidi w:val="0"/>
        <w:adjustRightInd/>
        <w:snapToGrid/>
        <w:spacing w:line="440" w:lineRule="exact"/>
        <w:ind w:left="420" w:leftChars="200" w:firstLine="0" w:firstLineChars="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2"/>
          <w:sz w:val="21"/>
          <w:szCs w:val="21"/>
          <w:lang w:val="en-US" w:eastAsia="zh-CN" w:bidi="ar-SA"/>
        </w:rPr>
        <w:t>1.2主观（4 分）</w:t>
      </w:r>
      <w:r>
        <w:rPr>
          <w:rFonts w:hint="eastAsia" w:ascii="宋体" w:hAnsi="宋体" w:eastAsia="宋体" w:cs="宋体"/>
          <w:color w:val="auto"/>
          <w:kern w:val="2"/>
          <w:sz w:val="21"/>
          <w:szCs w:val="21"/>
          <w:lang w:val="en-US" w:eastAsia="zh-CN" w:bidi="ar-SA"/>
        </w:rPr>
        <w:br w:type="textWrapping"/>
      </w:r>
      <w:r>
        <w:rPr>
          <w:rFonts w:hint="eastAsia" w:ascii="宋体" w:hAnsi="宋体" w:eastAsia="宋体" w:cs="宋体"/>
          <w:color w:val="auto"/>
          <w:kern w:val="2"/>
          <w:sz w:val="21"/>
          <w:szCs w:val="21"/>
          <w:lang w:val="en-US" w:eastAsia="zh-CN" w:bidi="ar-SA"/>
        </w:rPr>
        <w:t>针对响应文件已写明的方案内容，按 4 个专业判断点逐项打分，每个判断点 0 分、0.5 分、1 分，四项累加合计 4 分。</w:t>
      </w:r>
    </w:p>
    <w:p w14:paraId="29DB1DD6">
      <w:pPr>
        <w:pStyle w:val="2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b w:val="0"/>
          <w:bCs w:val="0"/>
          <w:sz w:val="21"/>
          <w:szCs w:val="21"/>
          <w:lang w:eastAsia="zh-CN"/>
        </w:rPr>
      </w:pPr>
      <w:r>
        <w:rPr>
          <w:rFonts w:hint="eastAsia" w:ascii="宋体" w:hAnsi="宋体" w:eastAsia="宋体" w:cs="宋体"/>
          <w:color w:val="auto"/>
          <w:kern w:val="2"/>
          <w:sz w:val="21"/>
          <w:szCs w:val="21"/>
          <w:highlight w:val="none"/>
          <w:lang w:val="en-US" w:eastAsia="zh-CN" w:bidi="ar-SA"/>
        </w:rPr>
        <w:t>1.2.1</w:t>
      </w:r>
      <w:r>
        <w:rPr>
          <w:rFonts w:hint="eastAsia" w:ascii="宋体" w:hAnsi="宋体" w:eastAsia="宋体" w:cs="宋体"/>
          <w:b w:val="0"/>
          <w:bCs w:val="0"/>
          <w:sz w:val="21"/>
          <w:szCs w:val="21"/>
        </w:rPr>
        <w:t>医疗负荷分级与关键区域保电</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lang w:val="en-US" w:eastAsia="zh-CN"/>
        </w:rPr>
        <w:t>1分</w:t>
      </w:r>
      <w:r>
        <w:rPr>
          <w:rFonts w:hint="eastAsia" w:ascii="宋体" w:hAnsi="宋体" w:eastAsia="宋体" w:cs="宋体"/>
          <w:b w:val="0"/>
          <w:bCs w:val="0"/>
          <w:sz w:val="21"/>
          <w:szCs w:val="21"/>
          <w:lang w:eastAsia="zh-CN"/>
        </w:rPr>
        <w:t>）</w:t>
      </w:r>
    </w:p>
    <w:p w14:paraId="7076356A">
      <w:pPr>
        <w:pStyle w:val="2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一档（0分）：</w:t>
      </w:r>
      <w:r>
        <w:rPr>
          <w:rFonts w:hint="eastAsia" w:ascii="宋体" w:hAnsi="宋体" w:eastAsia="宋体" w:cs="宋体"/>
          <w:b w:val="0"/>
          <w:bCs w:val="0"/>
          <w:sz w:val="21"/>
          <w:szCs w:val="21"/>
        </w:rPr>
        <w:t>未提及负荷分级或关键区域保电</w:t>
      </w:r>
    </w:p>
    <w:p w14:paraId="6AF3D13E">
      <w:pPr>
        <w:pStyle w:val="2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二档（0.5分）：</w:t>
      </w:r>
      <w:r>
        <w:rPr>
          <w:rFonts w:hint="eastAsia" w:ascii="宋体" w:hAnsi="宋体" w:eastAsia="宋体" w:cs="宋体"/>
          <w:b w:val="0"/>
          <w:bCs w:val="0"/>
          <w:sz w:val="21"/>
          <w:szCs w:val="21"/>
        </w:rPr>
        <w:t>提及分级但未列关键区域，或未明确切换时间</w:t>
      </w:r>
    </w:p>
    <w:p w14:paraId="484DC7EF">
      <w:pPr>
        <w:pStyle w:val="2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三档（1分）：</w:t>
      </w:r>
      <w:r>
        <w:rPr>
          <w:rFonts w:hint="eastAsia" w:ascii="宋体" w:hAnsi="宋体" w:eastAsia="宋体" w:cs="宋体"/>
          <w:b w:val="0"/>
          <w:bCs w:val="0"/>
          <w:sz w:val="21"/>
          <w:szCs w:val="21"/>
        </w:rPr>
        <w:t>明确一级</w:t>
      </w:r>
      <w:r>
        <w:rPr>
          <w:rFonts w:hint="eastAsia" w:ascii="宋体" w:hAnsi="宋体" w:eastAsia="宋体" w:cs="宋体"/>
          <w:b w:val="0"/>
          <w:bCs w:val="0"/>
          <w:sz w:val="21"/>
          <w:szCs w:val="21"/>
          <w:lang w:val="en-US" w:eastAsia="zh-CN"/>
        </w:rPr>
        <w:t>/</w:t>
      </w:r>
      <w:r>
        <w:rPr>
          <w:rFonts w:hint="eastAsia" w:ascii="宋体" w:hAnsi="宋体" w:eastAsia="宋体" w:cs="宋体"/>
          <w:b w:val="0"/>
          <w:bCs w:val="0"/>
          <w:sz w:val="21"/>
          <w:szCs w:val="21"/>
        </w:rPr>
        <w:t>特别重要负荷清单，明确手术室、ICU、急诊等保电措施及切换时间</w:t>
      </w:r>
    </w:p>
    <w:p w14:paraId="3FA26649">
      <w:pPr>
        <w:pStyle w:val="2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1.2.2</w:t>
      </w:r>
      <w:r>
        <w:rPr>
          <w:rFonts w:hint="eastAsia" w:ascii="宋体" w:hAnsi="宋体" w:eastAsia="宋体" w:cs="宋体"/>
          <w:b w:val="0"/>
          <w:bCs w:val="0"/>
          <w:sz w:val="21"/>
          <w:szCs w:val="21"/>
        </w:rPr>
        <w:t>高压扩容负荷计算与原系统衔接</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lang w:val="en-US" w:eastAsia="zh-CN"/>
        </w:rPr>
        <w:t>1分</w:t>
      </w:r>
      <w:r>
        <w:rPr>
          <w:rFonts w:hint="eastAsia" w:ascii="宋体" w:hAnsi="宋体" w:eastAsia="宋体" w:cs="宋体"/>
          <w:b w:val="0"/>
          <w:bCs w:val="0"/>
          <w:sz w:val="21"/>
          <w:szCs w:val="21"/>
          <w:lang w:eastAsia="zh-CN"/>
        </w:rPr>
        <w:t>）</w:t>
      </w:r>
    </w:p>
    <w:p w14:paraId="33C9EF4C">
      <w:pPr>
        <w:pStyle w:val="2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一档（0分）：</w:t>
      </w:r>
      <w:r>
        <w:rPr>
          <w:rFonts w:hint="eastAsia" w:ascii="宋体" w:hAnsi="宋体" w:eastAsia="宋体" w:cs="宋体"/>
          <w:b w:val="0"/>
          <w:bCs w:val="0"/>
          <w:sz w:val="21"/>
          <w:szCs w:val="21"/>
        </w:rPr>
        <w:t>无负荷计算</w:t>
      </w:r>
    </w:p>
    <w:p w14:paraId="5DFDD0B1">
      <w:pPr>
        <w:pStyle w:val="2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二档（0.5分）：</w:t>
      </w:r>
      <w:r>
        <w:rPr>
          <w:rFonts w:hint="eastAsia" w:ascii="宋体" w:hAnsi="宋体" w:eastAsia="宋体" w:cs="宋体"/>
          <w:b w:val="0"/>
          <w:bCs w:val="0"/>
          <w:sz w:val="21"/>
          <w:szCs w:val="21"/>
        </w:rPr>
        <w:t>有计算但未校验原进线</w:t>
      </w:r>
      <w:r>
        <w:rPr>
          <w:rFonts w:hint="eastAsia" w:ascii="宋体" w:hAnsi="宋体" w:eastAsia="宋体" w:cs="宋体"/>
          <w:b w:val="0"/>
          <w:bCs w:val="0"/>
          <w:sz w:val="21"/>
          <w:szCs w:val="21"/>
          <w:lang w:val="en-US" w:eastAsia="zh-CN"/>
        </w:rPr>
        <w:t>/</w:t>
      </w:r>
      <w:r>
        <w:rPr>
          <w:rFonts w:hint="eastAsia" w:ascii="宋体" w:hAnsi="宋体" w:eastAsia="宋体" w:cs="宋体"/>
          <w:b w:val="0"/>
          <w:bCs w:val="0"/>
          <w:sz w:val="21"/>
          <w:szCs w:val="21"/>
        </w:rPr>
        <w:t>高压柜容量</w:t>
      </w:r>
    </w:p>
    <w:p w14:paraId="3548000E">
      <w:pPr>
        <w:pStyle w:val="2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三档（1分）：有计算且校验原系统容量、联络闭锁、保护配合</w:t>
      </w:r>
    </w:p>
    <w:p w14:paraId="7CE5731C">
      <w:pPr>
        <w:pStyle w:val="2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1.2.3</w:t>
      </w:r>
      <w:r>
        <w:rPr>
          <w:rFonts w:hint="eastAsia" w:ascii="宋体" w:hAnsi="宋体" w:eastAsia="宋体" w:cs="宋体"/>
          <w:b w:val="0"/>
          <w:bCs w:val="0"/>
          <w:sz w:val="21"/>
          <w:szCs w:val="21"/>
        </w:rPr>
        <w:t>医疗 / 生活独立分区计量与保护配合</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lang w:val="en-US" w:eastAsia="zh-CN"/>
        </w:rPr>
        <w:t>1分</w:t>
      </w:r>
      <w:r>
        <w:rPr>
          <w:rFonts w:hint="eastAsia" w:ascii="宋体" w:hAnsi="宋体" w:eastAsia="宋体" w:cs="宋体"/>
          <w:b w:val="0"/>
          <w:bCs w:val="0"/>
          <w:sz w:val="21"/>
          <w:szCs w:val="21"/>
          <w:lang w:eastAsia="zh-CN"/>
        </w:rPr>
        <w:t>）</w:t>
      </w:r>
    </w:p>
    <w:p w14:paraId="389DC678">
      <w:pPr>
        <w:pStyle w:val="2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val="en-US" w:eastAsia="zh-CN"/>
        </w:rPr>
        <w:t>一档（0分）：</w:t>
      </w:r>
      <w:r>
        <w:rPr>
          <w:rFonts w:hint="eastAsia" w:ascii="宋体" w:hAnsi="宋体" w:eastAsia="宋体" w:cs="宋体"/>
          <w:b w:val="0"/>
          <w:bCs w:val="0"/>
          <w:sz w:val="21"/>
          <w:szCs w:val="21"/>
        </w:rPr>
        <w:t>无分区或仅提概念</w:t>
      </w:r>
    </w:p>
    <w:p w14:paraId="7018EA8D">
      <w:pPr>
        <w:pStyle w:val="2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二档（0.5分）：</w:t>
      </w:r>
      <w:r>
        <w:rPr>
          <w:rFonts w:hint="eastAsia" w:ascii="宋体" w:hAnsi="宋体" w:eastAsia="宋体" w:cs="宋体"/>
          <w:b w:val="0"/>
          <w:bCs w:val="0"/>
          <w:sz w:val="21"/>
          <w:szCs w:val="21"/>
        </w:rPr>
        <w:t>有分区但无保护定值级差或故障隔离范围</w:t>
      </w:r>
    </w:p>
    <w:p w14:paraId="0445FAD1">
      <w:pPr>
        <w:pStyle w:val="2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三档（1分）：</w:t>
      </w:r>
      <w:r>
        <w:rPr>
          <w:rFonts w:hint="eastAsia" w:ascii="宋体" w:hAnsi="宋体" w:eastAsia="宋体" w:cs="宋体"/>
          <w:b w:val="0"/>
          <w:bCs w:val="0"/>
          <w:sz w:val="21"/>
          <w:szCs w:val="21"/>
        </w:rPr>
        <w:t>明确物理</w:t>
      </w:r>
      <w:r>
        <w:rPr>
          <w:rFonts w:hint="eastAsia" w:ascii="宋体" w:hAnsi="宋体" w:eastAsia="宋体" w:cs="宋体"/>
          <w:b w:val="0"/>
          <w:bCs w:val="0"/>
          <w:sz w:val="21"/>
          <w:szCs w:val="21"/>
          <w:lang w:val="en-US" w:eastAsia="zh-CN"/>
        </w:rPr>
        <w:t>/</w:t>
      </w:r>
      <w:r>
        <w:rPr>
          <w:rFonts w:hint="eastAsia" w:ascii="宋体" w:hAnsi="宋体" w:eastAsia="宋体" w:cs="宋体"/>
          <w:b w:val="0"/>
          <w:bCs w:val="0"/>
          <w:sz w:val="21"/>
          <w:szCs w:val="21"/>
        </w:rPr>
        <w:t>计量分隔、保护级差、故障隔离范围</w:t>
      </w:r>
    </w:p>
    <w:p w14:paraId="50305F5A">
      <w:pPr>
        <w:pStyle w:val="2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1.2.4</w:t>
      </w:r>
      <w:r>
        <w:rPr>
          <w:rFonts w:hint="eastAsia" w:ascii="宋体" w:hAnsi="宋体" w:eastAsia="宋体" w:cs="宋体"/>
          <w:b w:val="0"/>
          <w:bCs w:val="0"/>
          <w:sz w:val="21"/>
          <w:szCs w:val="21"/>
        </w:rPr>
        <w:t>过载与老化处置数据依据</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lang w:val="en-US" w:eastAsia="zh-CN"/>
        </w:rPr>
        <w:t>1分</w:t>
      </w:r>
      <w:r>
        <w:rPr>
          <w:rFonts w:hint="eastAsia" w:ascii="宋体" w:hAnsi="宋体" w:eastAsia="宋体" w:cs="宋体"/>
          <w:b w:val="0"/>
          <w:bCs w:val="0"/>
          <w:sz w:val="21"/>
          <w:szCs w:val="21"/>
          <w:lang w:eastAsia="zh-CN"/>
        </w:rPr>
        <w:t>）</w:t>
      </w:r>
    </w:p>
    <w:p w14:paraId="70D7E506">
      <w:pPr>
        <w:pStyle w:val="2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一档（0分）：</w:t>
      </w:r>
      <w:r>
        <w:rPr>
          <w:rFonts w:hint="eastAsia" w:ascii="宋体" w:hAnsi="宋体" w:eastAsia="宋体" w:cs="宋体"/>
          <w:b w:val="0"/>
          <w:bCs w:val="0"/>
          <w:sz w:val="21"/>
          <w:szCs w:val="21"/>
        </w:rPr>
        <w:t>无数据依据</w:t>
      </w:r>
    </w:p>
    <w:p w14:paraId="08E8F667">
      <w:pPr>
        <w:pStyle w:val="2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二档（0.5分）：</w:t>
      </w:r>
      <w:r>
        <w:rPr>
          <w:rFonts w:hint="eastAsia" w:ascii="宋体" w:hAnsi="宋体" w:eastAsia="宋体" w:cs="宋体"/>
          <w:b w:val="0"/>
          <w:bCs w:val="0"/>
          <w:sz w:val="21"/>
          <w:szCs w:val="21"/>
        </w:rPr>
        <w:t>有数据但未明确处置优先级</w:t>
      </w:r>
    </w:p>
    <w:p w14:paraId="17167C9F">
      <w:pPr>
        <w:pStyle w:val="2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三档（1分）：</w:t>
      </w:r>
      <w:r>
        <w:rPr>
          <w:rFonts w:hint="eastAsia" w:ascii="宋体" w:hAnsi="宋体" w:eastAsia="宋体" w:cs="宋体"/>
          <w:b w:val="0"/>
          <w:bCs w:val="0"/>
          <w:sz w:val="21"/>
          <w:szCs w:val="21"/>
        </w:rPr>
        <w:t>有历史负荷、温升、绝缘检测数据，并明确处置顺序</w:t>
      </w:r>
    </w:p>
    <w:p w14:paraId="1BF0513D">
      <w:pPr>
        <w:pStyle w:val="27"/>
        <w:keepNext w:val="0"/>
        <w:keepLines w:val="0"/>
        <w:pageBreakBefore w:val="0"/>
        <w:widowControl w:val="0"/>
        <w:kinsoku/>
        <w:wordWrap/>
        <w:overflowPunct/>
        <w:topLinePunct w:val="0"/>
        <w:autoSpaceDE/>
        <w:autoSpaceDN/>
        <w:bidi w:val="0"/>
        <w:adjustRightInd/>
        <w:snapToGrid/>
        <w:spacing w:line="440" w:lineRule="exact"/>
        <w:ind w:left="0" w:leftChars="0" w:firstLine="422" w:firstLineChars="200"/>
        <w:textAlignment w:val="auto"/>
        <w:rPr>
          <w:rFonts w:hint="eastAsia" w:ascii="宋体" w:hAnsi="宋体" w:eastAsia="宋体" w:cs="宋体"/>
          <w:b/>
          <w:bCs/>
          <w:sz w:val="21"/>
          <w:szCs w:val="21"/>
        </w:rPr>
      </w:pPr>
      <w:r>
        <w:rPr>
          <w:rFonts w:hint="eastAsia" w:ascii="宋体" w:hAnsi="宋体" w:eastAsia="宋体" w:cs="宋体"/>
          <w:b/>
          <w:bCs/>
          <w:sz w:val="21"/>
          <w:szCs w:val="21"/>
        </w:rPr>
        <w:t>2. 核心设备技术响应（2</w:t>
      </w:r>
      <w:r>
        <w:rPr>
          <w:rFonts w:hint="eastAsia" w:ascii="宋体" w:hAnsi="宋体" w:eastAsia="宋体" w:cs="宋体"/>
          <w:b/>
          <w:bCs/>
          <w:sz w:val="21"/>
          <w:szCs w:val="21"/>
          <w:lang w:val="en-US" w:eastAsia="zh-CN"/>
        </w:rPr>
        <w:t>0</w:t>
      </w:r>
      <w:r>
        <w:rPr>
          <w:rFonts w:hint="eastAsia" w:ascii="宋体" w:hAnsi="宋体" w:eastAsia="宋体" w:cs="宋体"/>
          <w:b/>
          <w:bCs/>
          <w:sz w:val="21"/>
          <w:szCs w:val="21"/>
        </w:rPr>
        <w:t xml:space="preserve"> 分，全部客观）</w:t>
      </w:r>
    </w:p>
    <w:p w14:paraId="3F354B8D">
      <w:pPr>
        <w:pStyle w:val="2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评审依据：采购需求核心设备主要技术参数。</w:t>
      </w:r>
    </w:p>
    <w:p w14:paraId="33AC7E9F">
      <w:pPr>
        <w:pStyle w:val="27"/>
        <w:keepNext w:val="0"/>
        <w:keepLines w:val="0"/>
        <w:pageBreakBefore w:val="0"/>
        <w:widowControl w:val="0"/>
        <w:kinsoku/>
        <w:wordWrap/>
        <w:overflowPunct/>
        <w:topLinePunct w:val="0"/>
        <w:autoSpaceDE/>
        <w:autoSpaceDN/>
        <w:bidi w:val="0"/>
        <w:adjustRightInd/>
        <w:snapToGrid/>
        <w:spacing w:line="440" w:lineRule="exact"/>
        <w:ind w:left="420" w:leftChars="200" w:firstLine="0" w:firstLineChars="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重要</w:t>
      </w:r>
      <w:r>
        <w:rPr>
          <w:rFonts w:hint="eastAsia" w:ascii="宋体" w:hAnsi="宋体" w:eastAsia="宋体" w:cs="宋体"/>
          <w:b w:val="0"/>
          <w:bCs w:val="0"/>
          <w:sz w:val="21"/>
          <w:szCs w:val="21"/>
        </w:rPr>
        <w:t>参数</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lang w:val="en-US" w:eastAsia="zh-CN"/>
        </w:rPr>
        <w:t>标注为“</w:t>
      </w:r>
      <w:r>
        <w:rPr>
          <w:rFonts w:hint="eastAsia" w:ascii="宋体" w:hAnsi="宋体" w:eastAsia="宋体" w:cs="宋体"/>
          <w:color w:val="auto"/>
          <w:sz w:val="21"/>
          <w:szCs w:val="21"/>
          <w14:ligatures w14:val="none"/>
        </w:rPr>
        <w:t>★</w:t>
      </w:r>
      <w:r>
        <w:rPr>
          <w:rFonts w:hint="eastAsia" w:ascii="宋体" w:hAnsi="宋体" w:eastAsia="宋体" w:cs="宋体"/>
          <w:b w:val="0"/>
          <w:bCs w:val="0"/>
          <w:sz w:val="21"/>
          <w:szCs w:val="21"/>
          <w:lang w:val="en-US" w:eastAsia="zh-CN"/>
        </w:rPr>
        <w:t>”的参数共10条</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rPr>
        <w:br w:type="textWrapping"/>
      </w:r>
      <w:r>
        <w:rPr>
          <w:rFonts w:hint="eastAsia" w:ascii="宋体" w:hAnsi="宋体" w:eastAsia="宋体" w:cs="宋体"/>
          <w:b w:val="0"/>
          <w:bCs w:val="0"/>
          <w:sz w:val="21"/>
          <w:szCs w:val="21"/>
        </w:rPr>
        <w:t>评分：每出现 1 项</w:t>
      </w:r>
      <w:r>
        <w:rPr>
          <w:rFonts w:hint="eastAsia" w:ascii="宋体" w:hAnsi="宋体" w:eastAsia="宋体" w:cs="宋体"/>
          <w:b w:val="0"/>
          <w:bCs w:val="0"/>
          <w:sz w:val="21"/>
          <w:szCs w:val="21"/>
          <w:lang w:val="en-US" w:eastAsia="zh-CN"/>
        </w:rPr>
        <w:t>重要</w:t>
      </w:r>
      <w:r>
        <w:rPr>
          <w:rFonts w:hint="eastAsia" w:ascii="宋体" w:hAnsi="宋体" w:eastAsia="宋体" w:cs="宋体"/>
          <w:b w:val="0"/>
          <w:bCs w:val="0"/>
          <w:sz w:val="21"/>
          <w:szCs w:val="21"/>
        </w:rPr>
        <w:t>参数负偏离扣 2 分</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rPr>
        <w:t>全部</w:t>
      </w:r>
      <w:r>
        <w:rPr>
          <w:rFonts w:hint="eastAsia" w:ascii="宋体" w:hAnsi="宋体" w:eastAsia="宋体" w:cs="宋体"/>
          <w:b w:val="0"/>
          <w:bCs w:val="0"/>
          <w:sz w:val="21"/>
          <w:szCs w:val="21"/>
          <w:lang w:val="en-US" w:eastAsia="zh-CN"/>
        </w:rPr>
        <w:t>重要</w:t>
      </w:r>
      <w:r>
        <w:rPr>
          <w:rFonts w:hint="eastAsia" w:ascii="宋体" w:hAnsi="宋体" w:eastAsia="宋体" w:cs="宋体"/>
          <w:b w:val="0"/>
          <w:bCs w:val="0"/>
          <w:sz w:val="21"/>
          <w:szCs w:val="21"/>
        </w:rPr>
        <w:t>参数无负偏离，得 2</w:t>
      </w:r>
      <w:r>
        <w:rPr>
          <w:rFonts w:hint="eastAsia" w:ascii="宋体" w:hAnsi="宋体" w:eastAsia="宋体" w:cs="宋体"/>
          <w:b w:val="0"/>
          <w:bCs w:val="0"/>
          <w:sz w:val="21"/>
          <w:szCs w:val="21"/>
          <w:lang w:val="en-US" w:eastAsia="zh-CN"/>
        </w:rPr>
        <w:t>0</w:t>
      </w:r>
      <w:r>
        <w:rPr>
          <w:rFonts w:hint="eastAsia" w:ascii="宋体" w:hAnsi="宋体" w:eastAsia="宋体" w:cs="宋体"/>
          <w:b w:val="0"/>
          <w:bCs w:val="0"/>
          <w:sz w:val="21"/>
          <w:szCs w:val="21"/>
        </w:rPr>
        <w:t xml:space="preserve"> 分；</w:t>
      </w:r>
    </w:p>
    <w:p w14:paraId="352D7CAA">
      <w:pPr>
        <w:pStyle w:val="27"/>
        <w:keepNext w:val="0"/>
        <w:keepLines w:val="0"/>
        <w:pageBreakBefore w:val="0"/>
        <w:widowControl w:val="0"/>
        <w:kinsoku/>
        <w:wordWrap/>
        <w:overflowPunct/>
        <w:topLinePunct w:val="0"/>
        <w:autoSpaceDE/>
        <w:autoSpaceDN/>
        <w:bidi w:val="0"/>
        <w:adjustRightInd/>
        <w:snapToGrid/>
        <w:spacing w:line="440" w:lineRule="exact"/>
        <w:ind w:left="0" w:leftChars="0" w:firstLine="422" w:firstLineChars="200"/>
        <w:textAlignment w:val="auto"/>
        <w:rPr>
          <w:rFonts w:hint="eastAsia" w:ascii="宋体" w:hAnsi="宋体" w:eastAsia="宋体" w:cs="宋体"/>
          <w:b/>
          <w:bCs/>
          <w:sz w:val="21"/>
          <w:szCs w:val="21"/>
        </w:rPr>
      </w:pPr>
      <w:r>
        <w:rPr>
          <w:rFonts w:hint="eastAsia" w:ascii="宋体" w:hAnsi="宋体" w:eastAsia="宋体" w:cs="宋体"/>
          <w:b/>
          <w:bCs/>
          <w:sz w:val="21"/>
          <w:szCs w:val="21"/>
        </w:rPr>
        <w:t>3. 施工组织实施方案（1</w:t>
      </w:r>
      <w:r>
        <w:rPr>
          <w:rFonts w:hint="eastAsia" w:ascii="宋体" w:hAnsi="宋体" w:eastAsia="宋体" w:cs="宋体"/>
          <w:b/>
          <w:bCs/>
          <w:sz w:val="21"/>
          <w:szCs w:val="21"/>
          <w:lang w:val="en-US" w:eastAsia="zh-CN"/>
        </w:rPr>
        <w:t>2</w:t>
      </w:r>
      <w:r>
        <w:rPr>
          <w:rFonts w:hint="eastAsia" w:ascii="宋体" w:hAnsi="宋体" w:eastAsia="宋体" w:cs="宋体"/>
          <w:b/>
          <w:bCs/>
          <w:sz w:val="21"/>
          <w:szCs w:val="21"/>
        </w:rPr>
        <w:t xml:space="preserve"> 分：客观 </w:t>
      </w:r>
      <w:r>
        <w:rPr>
          <w:rFonts w:hint="eastAsia" w:ascii="宋体" w:hAnsi="宋体" w:eastAsia="宋体" w:cs="宋体"/>
          <w:b/>
          <w:bCs/>
          <w:sz w:val="21"/>
          <w:szCs w:val="21"/>
          <w:lang w:val="en-US" w:eastAsia="zh-CN"/>
        </w:rPr>
        <w:t>7</w:t>
      </w:r>
      <w:r>
        <w:rPr>
          <w:rFonts w:hint="eastAsia" w:ascii="宋体" w:hAnsi="宋体" w:eastAsia="宋体" w:cs="宋体"/>
          <w:b/>
          <w:bCs/>
          <w:sz w:val="21"/>
          <w:szCs w:val="21"/>
        </w:rPr>
        <w:t xml:space="preserve"> 分，主观 5 分）</w:t>
      </w:r>
    </w:p>
    <w:p w14:paraId="1D708C17">
      <w:pPr>
        <w:pStyle w:val="2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评审依据：采购需求要求施工组织方案包含 5 项：①满足 90 日历天总工期的工期节点管控措施；②施工临时用地、临时水电接驳、场内外道路处置措施；③高低压设备安装、线缆桥架、接地防护具体实施措施；④项目安全文明施工、施工现场安全事故风险防控措施；⑤新旧供电回路切换、降低医疗用电影响的专项措施。</w:t>
      </w:r>
    </w:p>
    <w:p w14:paraId="1FB00C5F">
      <w:pPr>
        <w:pStyle w:val="27"/>
        <w:keepNext w:val="0"/>
        <w:keepLines w:val="0"/>
        <w:pageBreakBefore w:val="0"/>
        <w:widowControl w:val="0"/>
        <w:kinsoku/>
        <w:wordWrap/>
        <w:overflowPunct/>
        <w:topLinePunct w:val="0"/>
        <w:autoSpaceDE/>
        <w:autoSpaceDN/>
        <w:bidi w:val="0"/>
        <w:adjustRightInd/>
        <w:snapToGrid/>
        <w:spacing w:line="440" w:lineRule="exact"/>
        <w:ind w:left="420" w:leftChars="200" w:firstLine="0" w:firstLineChars="0"/>
        <w:textAlignment w:val="auto"/>
        <w:rPr>
          <w:rFonts w:hint="eastAsia" w:ascii="宋体" w:hAnsi="宋体" w:eastAsia="宋体" w:cs="宋体"/>
          <w:b w:val="0"/>
          <w:bCs w:val="0"/>
          <w:sz w:val="21"/>
          <w:szCs w:val="21"/>
        </w:rPr>
      </w:pPr>
      <w:r>
        <w:rPr>
          <w:rFonts w:hint="eastAsia" w:ascii="宋体" w:hAnsi="宋体" w:eastAsia="宋体" w:cs="宋体"/>
          <w:b/>
          <w:bCs/>
          <w:sz w:val="21"/>
          <w:szCs w:val="21"/>
          <w:lang w:val="en-US" w:eastAsia="zh-CN"/>
        </w:rPr>
        <w:t>3.1</w:t>
      </w:r>
      <w:r>
        <w:rPr>
          <w:rFonts w:hint="eastAsia" w:ascii="宋体" w:hAnsi="宋体" w:eastAsia="宋体" w:cs="宋体"/>
          <w:b/>
          <w:bCs/>
          <w:sz w:val="21"/>
          <w:szCs w:val="21"/>
        </w:rPr>
        <w:t>客观（</w:t>
      </w:r>
      <w:r>
        <w:rPr>
          <w:rFonts w:hint="eastAsia" w:ascii="宋体" w:hAnsi="宋体" w:eastAsia="宋体" w:cs="宋体"/>
          <w:b/>
          <w:bCs/>
          <w:sz w:val="21"/>
          <w:szCs w:val="21"/>
          <w:lang w:val="en-US" w:eastAsia="zh-CN"/>
        </w:rPr>
        <w:t>7</w:t>
      </w:r>
      <w:r>
        <w:rPr>
          <w:rFonts w:hint="eastAsia" w:ascii="宋体" w:hAnsi="宋体" w:eastAsia="宋体" w:cs="宋体"/>
          <w:b/>
          <w:bCs/>
          <w:sz w:val="21"/>
          <w:szCs w:val="21"/>
        </w:rPr>
        <w:t xml:space="preserve"> 分）</w:t>
      </w:r>
      <w:r>
        <w:rPr>
          <w:rFonts w:hint="eastAsia" w:ascii="宋体" w:hAnsi="宋体" w:eastAsia="宋体" w:cs="宋体"/>
          <w:b w:val="0"/>
          <w:bCs w:val="0"/>
          <w:sz w:val="21"/>
          <w:szCs w:val="21"/>
        </w:rPr>
        <w:br w:type="textWrapping"/>
      </w:r>
      <w:r>
        <w:rPr>
          <w:rFonts w:hint="eastAsia" w:ascii="宋体" w:hAnsi="宋体" w:eastAsia="宋体" w:cs="宋体"/>
          <w:b w:val="0"/>
          <w:bCs w:val="0"/>
          <w:sz w:val="21"/>
          <w:szCs w:val="21"/>
        </w:rPr>
        <w:t xml:space="preserve">5 项要素全部书面载明，无明显专业错误，得 </w:t>
      </w:r>
      <w:r>
        <w:rPr>
          <w:rFonts w:hint="eastAsia" w:ascii="宋体" w:hAnsi="宋体" w:eastAsia="宋体" w:cs="宋体"/>
          <w:b w:val="0"/>
          <w:bCs w:val="0"/>
          <w:sz w:val="21"/>
          <w:szCs w:val="21"/>
          <w:lang w:val="en-US" w:eastAsia="zh-CN"/>
        </w:rPr>
        <w:t>7</w:t>
      </w:r>
      <w:r>
        <w:rPr>
          <w:rFonts w:hint="eastAsia" w:ascii="宋体" w:hAnsi="宋体" w:eastAsia="宋体" w:cs="宋体"/>
          <w:b w:val="0"/>
          <w:bCs w:val="0"/>
          <w:sz w:val="21"/>
          <w:szCs w:val="21"/>
        </w:rPr>
        <w:t xml:space="preserve"> 分；</w:t>
      </w:r>
      <w:r>
        <w:rPr>
          <w:rFonts w:hint="eastAsia" w:ascii="宋体" w:hAnsi="宋体" w:eastAsia="宋体" w:cs="宋体"/>
          <w:b w:val="0"/>
          <w:bCs w:val="0"/>
          <w:sz w:val="21"/>
          <w:szCs w:val="21"/>
        </w:rPr>
        <w:br w:type="textWrapping"/>
      </w:r>
      <w:r>
        <w:rPr>
          <w:rFonts w:hint="eastAsia" w:ascii="宋体" w:hAnsi="宋体" w:eastAsia="宋体" w:cs="宋体"/>
          <w:b w:val="0"/>
          <w:bCs w:val="0"/>
          <w:sz w:val="21"/>
          <w:szCs w:val="21"/>
        </w:rPr>
        <w:t>每缺失任意 1 项要素扣 1.</w:t>
      </w:r>
      <w:r>
        <w:rPr>
          <w:rFonts w:hint="eastAsia" w:ascii="宋体" w:hAnsi="宋体" w:eastAsia="宋体" w:cs="宋体"/>
          <w:b w:val="0"/>
          <w:bCs w:val="0"/>
          <w:sz w:val="21"/>
          <w:szCs w:val="21"/>
          <w:lang w:val="en-US" w:eastAsia="zh-CN"/>
        </w:rPr>
        <w:t>4</w:t>
      </w:r>
      <w:r>
        <w:rPr>
          <w:rFonts w:hint="eastAsia" w:ascii="宋体" w:hAnsi="宋体" w:eastAsia="宋体" w:cs="宋体"/>
          <w:b w:val="0"/>
          <w:bCs w:val="0"/>
          <w:sz w:val="21"/>
          <w:szCs w:val="21"/>
        </w:rPr>
        <w:t xml:space="preserve"> 分，扣完本客观小项为止；</w:t>
      </w:r>
      <w:r>
        <w:rPr>
          <w:rFonts w:hint="eastAsia" w:ascii="宋体" w:hAnsi="宋体" w:eastAsia="宋体" w:cs="宋体"/>
          <w:b w:val="0"/>
          <w:bCs w:val="0"/>
          <w:sz w:val="21"/>
          <w:szCs w:val="21"/>
        </w:rPr>
        <w:br w:type="textWrapping"/>
      </w:r>
      <w:r>
        <w:rPr>
          <w:rFonts w:hint="eastAsia" w:ascii="宋体" w:hAnsi="宋体" w:eastAsia="宋体" w:cs="宋体"/>
          <w:b w:val="0"/>
          <w:bCs w:val="0"/>
          <w:sz w:val="21"/>
          <w:szCs w:val="21"/>
        </w:rPr>
        <w:t>半数及以上要素未载明，客观得 0 分。</w:t>
      </w:r>
    </w:p>
    <w:p w14:paraId="5CE7167B">
      <w:pPr>
        <w:pStyle w:val="27"/>
        <w:keepNext w:val="0"/>
        <w:keepLines w:val="0"/>
        <w:pageBreakBefore w:val="0"/>
        <w:widowControl w:val="0"/>
        <w:kinsoku/>
        <w:wordWrap/>
        <w:overflowPunct/>
        <w:topLinePunct w:val="0"/>
        <w:autoSpaceDE/>
        <w:autoSpaceDN/>
        <w:bidi w:val="0"/>
        <w:adjustRightInd/>
        <w:snapToGrid/>
        <w:spacing w:line="440" w:lineRule="exact"/>
        <w:ind w:left="420" w:leftChars="200" w:firstLine="0" w:firstLineChars="0"/>
        <w:textAlignment w:val="auto"/>
        <w:rPr>
          <w:rFonts w:hint="eastAsia" w:ascii="宋体" w:hAnsi="宋体" w:eastAsia="宋体" w:cs="宋体"/>
          <w:b w:val="0"/>
          <w:bCs w:val="0"/>
          <w:sz w:val="21"/>
          <w:szCs w:val="21"/>
          <w:highlight w:val="none"/>
        </w:rPr>
      </w:pPr>
      <w:r>
        <w:rPr>
          <w:rFonts w:hint="eastAsia" w:ascii="宋体" w:hAnsi="宋体" w:eastAsia="宋体" w:cs="宋体"/>
          <w:b/>
          <w:bCs/>
          <w:sz w:val="21"/>
          <w:szCs w:val="21"/>
          <w:lang w:val="en-US" w:eastAsia="zh-CN"/>
        </w:rPr>
        <w:t>3.2</w:t>
      </w:r>
      <w:r>
        <w:rPr>
          <w:rFonts w:hint="eastAsia" w:ascii="宋体" w:hAnsi="宋体" w:eastAsia="宋体" w:cs="宋体"/>
          <w:b/>
          <w:bCs/>
          <w:sz w:val="21"/>
          <w:szCs w:val="21"/>
        </w:rPr>
        <w:t>主观（5 分）</w:t>
      </w:r>
      <w:r>
        <w:rPr>
          <w:rFonts w:hint="eastAsia" w:ascii="宋体" w:hAnsi="宋体" w:eastAsia="宋体" w:cs="宋体"/>
          <w:b w:val="0"/>
          <w:bCs w:val="0"/>
          <w:sz w:val="21"/>
          <w:szCs w:val="21"/>
        </w:rPr>
        <w:br w:type="textWrapping"/>
      </w:r>
      <w:r>
        <w:rPr>
          <w:rFonts w:hint="eastAsia" w:ascii="宋体" w:hAnsi="宋体" w:eastAsia="宋体" w:cs="宋体"/>
          <w:b w:val="0"/>
          <w:bCs w:val="0"/>
          <w:sz w:val="21"/>
          <w:szCs w:val="21"/>
        </w:rPr>
        <w:t>针对</w:t>
      </w:r>
      <w:r>
        <w:rPr>
          <w:rFonts w:hint="eastAsia" w:ascii="宋体" w:hAnsi="宋体" w:eastAsia="宋体" w:cs="宋体"/>
          <w:b w:val="0"/>
          <w:bCs w:val="0"/>
          <w:sz w:val="21"/>
          <w:szCs w:val="21"/>
          <w:lang w:val="en-US" w:eastAsia="zh-CN"/>
        </w:rPr>
        <w:t>响应</w:t>
      </w:r>
      <w:r>
        <w:rPr>
          <w:rFonts w:hint="eastAsia" w:ascii="宋体" w:hAnsi="宋体" w:eastAsia="宋体" w:cs="宋体"/>
          <w:b w:val="0"/>
          <w:bCs w:val="0"/>
          <w:sz w:val="21"/>
          <w:szCs w:val="21"/>
        </w:rPr>
        <w:t>文件已写明施工措施，</w:t>
      </w:r>
      <w:r>
        <w:rPr>
          <w:rFonts w:hint="eastAsia" w:ascii="宋体" w:hAnsi="宋体" w:eastAsia="宋体" w:cs="宋体"/>
          <w:b w:val="0"/>
          <w:bCs w:val="0"/>
          <w:sz w:val="21"/>
          <w:szCs w:val="21"/>
          <w:lang w:val="en-US" w:eastAsia="zh-CN"/>
        </w:rPr>
        <w:t>按 4 个专业判断点</w:t>
      </w:r>
      <w:r>
        <w:rPr>
          <w:rFonts w:hint="eastAsia" w:ascii="宋体" w:hAnsi="宋体" w:eastAsia="宋体" w:cs="宋体"/>
          <w:b w:val="0"/>
          <w:bCs w:val="0"/>
          <w:sz w:val="21"/>
          <w:szCs w:val="21"/>
        </w:rPr>
        <w:t>逐项打分，合计 5 分</w:t>
      </w:r>
      <w:r>
        <w:rPr>
          <w:rFonts w:hint="eastAsia" w:ascii="宋体" w:hAnsi="宋体" w:eastAsia="宋体" w:cs="宋体"/>
          <w:b w:val="0"/>
          <w:bCs w:val="0"/>
          <w:sz w:val="21"/>
          <w:szCs w:val="21"/>
          <w:highlight w:val="none"/>
        </w:rPr>
        <w:t>。</w:t>
      </w:r>
    </w:p>
    <w:p w14:paraId="73EA2217">
      <w:pPr>
        <w:pStyle w:val="2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highlight w:val="none"/>
          <w:lang w:val="en-US" w:eastAsia="zh-CN"/>
        </w:rPr>
        <w:t>3.2.1</w:t>
      </w:r>
      <w:r>
        <w:rPr>
          <w:rFonts w:hint="eastAsia" w:ascii="宋体" w:hAnsi="宋体" w:eastAsia="宋体" w:cs="宋体"/>
          <w:b w:val="0"/>
          <w:bCs w:val="0"/>
          <w:sz w:val="21"/>
          <w:szCs w:val="21"/>
        </w:rPr>
        <w:t>新旧供电回路切换逻辑闭环（2 分）</w:t>
      </w:r>
    </w:p>
    <w:p w14:paraId="3D83AE34">
      <w:pPr>
        <w:pStyle w:val="2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一档（0分）：</w:t>
      </w:r>
      <w:r>
        <w:rPr>
          <w:rFonts w:hint="eastAsia" w:ascii="宋体" w:hAnsi="宋体" w:eastAsia="宋体" w:cs="宋体"/>
          <w:b w:val="0"/>
          <w:bCs w:val="0"/>
          <w:sz w:val="21"/>
          <w:szCs w:val="21"/>
        </w:rPr>
        <w:t>无切换步骤</w:t>
      </w:r>
    </w:p>
    <w:p w14:paraId="6AA5008C">
      <w:pPr>
        <w:pStyle w:val="2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二档（1分）：</w:t>
      </w:r>
      <w:r>
        <w:rPr>
          <w:rFonts w:hint="eastAsia" w:ascii="宋体" w:hAnsi="宋体" w:eastAsia="宋体" w:cs="宋体"/>
          <w:b w:val="0"/>
          <w:bCs w:val="0"/>
          <w:sz w:val="21"/>
          <w:szCs w:val="21"/>
        </w:rPr>
        <w:t>有步骤但无回退条件或每步确认条件</w:t>
      </w:r>
    </w:p>
    <w:p w14:paraId="3DB38F47">
      <w:pPr>
        <w:pStyle w:val="2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三档（2分）：</w:t>
      </w:r>
      <w:r>
        <w:rPr>
          <w:rFonts w:hint="eastAsia" w:ascii="宋体" w:hAnsi="宋体" w:eastAsia="宋体" w:cs="宋体"/>
          <w:b w:val="0"/>
          <w:bCs w:val="0"/>
          <w:sz w:val="21"/>
          <w:szCs w:val="21"/>
        </w:rPr>
        <w:t>每步有操作、确认、回退条件，关键医疗区域保电明确</w:t>
      </w:r>
    </w:p>
    <w:p w14:paraId="0906F2BB">
      <w:pPr>
        <w:pStyle w:val="2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3.2.2</w:t>
      </w:r>
      <w:r>
        <w:rPr>
          <w:rFonts w:hint="eastAsia" w:ascii="宋体" w:hAnsi="宋体" w:eastAsia="宋体" w:cs="宋体"/>
          <w:b w:val="0"/>
          <w:bCs w:val="0"/>
          <w:sz w:val="21"/>
          <w:szCs w:val="21"/>
        </w:rPr>
        <w:t>临时供电容量与关键负荷保障（1 分）</w:t>
      </w:r>
    </w:p>
    <w:p w14:paraId="4EE566BD">
      <w:pPr>
        <w:pStyle w:val="2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一档（0分）：</w:t>
      </w:r>
      <w:r>
        <w:rPr>
          <w:rFonts w:hint="eastAsia" w:ascii="宋体" w:hAnsi="宋体" w:eastAsia="宋体" w:cs="宋体"/>
          <w:b w:val="0"/>
          <w:bCs w:val="0"/>
          <w:sz w:val="21"/>
          <w:szCs w:val="21"/>
        </w:rPr>
        <w:t>无临时供电安排</w:t>
      </w:r>
    </w:p>
    <w:p w14:paraId="1CC824B1">
      <w:pPr>
        <w:pStyle w:val="2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二档（0.5分）：</w:t>
      </w:r>
      <w:r>
        <w:rPr>
          <w:rFonts w:hint="eastAsia" w:ascii="宋体" w:hAnsi="宋体" w:eastAsia="宋体" w:cs="宋体"/>
          <w:b w:val="0"/>
          <w:bCs w:val="0"/>
          <w:sz w:val="21"/>
          <w:szCs w:val="21"/>
        </w:rPr>
        <w:t>有容量但未列关键负荷或未核算裕度</w:t>
      </w:r>
    </w:p>
    <w:p w14:paraId="72FABB61">
      <w:pPr>
        <w:pStyle w:val="2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三档（1分）：</w:t>
      </w:r>
      <w:r>
        <w:rPr>
          <w:rFonts w:hint="eastAsia" w:ascii="宋体" w:hAnsi="宋体" w:eastAsia="宋体" w:cs="宋体"/>
          <w:b w:val="0"/>
          <w:bCs w:val="0"/>
          <w:sz w:val="21"/>
          <w:szCs w:val="21"/>
        </w:rPr>
        <w:t>有计算式、负荷清单、裕度，覆盖手术室 / ICU / 急诊等</w:t>
      </w:r>
    </w:p>
    <w:p w14:paraId="357161B9">
      <w:pPr>
        <w:pStyle w:val="2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3.2.3</w:t>
      </w:r>
      <w:r>
        <w:rPr>
          <w:rFonts w:hint="eastAsia" w:ascii="宋体" w:hAnsi="宋体" w:eastAsia="宋体" w:cs="宋体"/>
          <w:b w:val="0"/>
          <w:bCs w:val="0"/>
          <w:sz w:val="21"/>
          <w:szCs w:val="21"/>
        </w:rPr>
        <w:t>停送电安全管控（1 分）</w:t>
      </w:r>
    </w:p>
    <w:p w14:paraId="3AF00356">
      <w:pPr>
        <w:pStyle w:val="2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一档（0分）：</w:t>
      </w:r>
      <w:r>
        <w:rPr>
          <w:rFonts w:hint="eastAsia" w:ascii="宋体" w:hAnsi="宋体" w:eastAsia="宋体" w:cs="宋体"/>
          <w:b w:val="0"/>
          <w:bCs w:val="0"/>
          <w:sz w:val="21"/>
          <w:szCs w:val="21"/>
        </w:rPr>
        <w:t>无操作票或安全措施</w:t>
      </w:r>
    </w:p>
    <w:p w14:paraId="0628FB31">
      <w:pPr>
        <w:pStyle w:val="2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二档（0.5分）：</w:t>
      </w:r>
      <w:r>
        <w:rPr>
          <w:rFonts w:hint="eastAsia" w:ascii="宋体" w:hAnsi="宋体" w:eastAsia="宋体" w:cs="宋体"/>
          <w:b w:val="0"/>
          <w:bCs w:val="0"/>
          <w:sz w:val="21"/>
          <w:szCs w:val="21"/>
        </w:rPr>
        <w:t>有操作票但无监护 / 验电接地 / 报备</w:t>
      </w:r>
    </w:p>
    <w:p w14:paraId="371B35CF">
      <w:pPr>
        <w:pStyle w:val="2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三档（1分）：</w:t>
      </w:r>
      <w:r>
        <w:rPr>
          <w:rFonts w:hint="eastAsia" w:ascii="宋体" w:hAnsi="宋体" w:eastAsia="宋体" w:cs="宋体"/>
          <w:b w:val="0"/>
          <w:bCs w:val="0"/>
          <w:sz w:val="21"/>
          <w:szCs w:val="21"/>
        </w:rPr>
        <w:t>有操作票、监护、验电接地、供电部门报备</w:t>
      </w:r>
    </w:p>
    <w:p w14:paraId="0F4B4BC8">
      <w:pPr>
        <w:pStyle w:val="2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3.2.4</w:t>
      </w:r>
      <w:r>
        <w:rPr>
          <w:rFonts w:hint="eastAsia" w:ascii="宋体" w:hAnsi="宋体" w:eastAsia="宋体" w:cs="宋体"/>
          <w:b w:val="0"/>
          <w:bCs w:val="0"/>
          <w:sz w:val="21"/>
          <w:szCs w:val="21"/>
        </w:rPr>
        <w:t>施工与医疗业务衔接（1 分）</w:t>
      </w:r>
    </w:p>
    <w:p w14:paraId="31166B94">
      <w:pPr>
        <w:pStyle w:val="2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一档（0分）：</w:t>
      </w:r>
      <w:r>
        <w:rPr>
          <w:rFonts w:hint="eastAsia" w:ascii="宋体" w:hAnsi="宋体" w:eastAsia="宋体" w:cs="宋体"/>
          <w:b w:val="0"/>
          <w:bCs w:val="0"/>
          <w:sz w:val="21"/>
          <w:szCs w:val="21"/>
        </w:rPr>
        <w:t>无分区分时安排</w:t>
      </w:r>
    </w:p>
    <w:p w14:paraId="33D066DF">
      <w:pPr>
        <w:pStyle w:val="2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二档（0.5分）：</w:t>
      </w:r>
      <w:r>
        <w:rPr>
          <w:rFonts w:hint="eastAsia" w:ascii="宋体" w:hAnsi="宋体" w:eastAsia="宋体" w:cs="宋体"/>
          <w:b w:val="0"/>
          <w:bCs w:val="0"/>
          <w:sz w:val="21"/>
          <w:szCs w:val="21"/>
        </w:rPr>
        <w:t>有分区分时但未与院方联动</w:t>
      </w:r>
    </w:p>
    <w:p w14:paraId="6341291A">
      <w:pPr>
        <w:pStyle w:val="2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三档（1分）：明确避开高峰、分区分时、院方联动机制</w:t>
      </w:r>
    </w:p>
    <w:p w14:paraId="41F217AA">
      <w:pPr>
        <w:pStyle w:val="27"/>
        <w:keepNext w:val="0"/>
        <w:keepLines w:val="0"/>
        <w:pageBreakBefore w:val="0"/>
        <w:widowControl w:val="0"/>
        <w:kinsoku/>
        <w:wordWrap/>
        <w:overflowPunct/>
        <w:topLinePunct w:val="0"/>
        <w:autoSpaceDE/>
        <w:autoSpaceDN/>
        <w:bidi w:val="0"/>
        <w:adjustRightInd/>
        <w:snapToGrid/>
        <w:spacing w:line="440" w:lineRule="exact"/>
        <w:ind w:left="0" w:leftChars="0" w:firstLine="422" w:firstLineChars="200"/>
        <w:textAlignment w:val="auto"/>
        <w:rPr>
          <w:rFonts w:hint="eastAsia" w:ascii="宋体" w:hAnsi="宋体" w:eastAsia="宋体" w:cs="宋体"/>
          <w:b/>
          <w:bCs/>
          <w:sz w:val="21"/>
          <w:szCs w:val="21"/>
        </w:rPr>
      </w:pPr>
      <w:r>
        <w:rPr>
          <w:rFonts w:hint="eastAsia" w:ascii="宋体" w:hAnsi="宋体" w:eastAsia="宋体" w:cs="宋体"/>
          <w:b/>
          <w:bCs/>
          <w:sz w:val="21"/>
          <w:szCs w:val="21"/>
        </w:rPr>
        <w:t>4. 调试、检测及竣工验收方案（8 分：客观 4 分，主观 4 分）</w:t>
      </w:r>
    </w:p>
    <w:p w14:paraId="0D44C7E6">
      <w:pPr>
        <w:pStyle w:val="2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评审依据：采购需求要求调试检测及竣工验收方案包含 4 项：①系统调试、耐压测试、负荷检测实施安排；②分部分项工程质量检验安排；③工程竣工资料收集归档完整方案；④保障项目通过主管部门竣工验收的落实措施。</w:t>
      </w:r>
    </w:p>
    <w:p w14:paraId="6B80A3D3">
      <w:pPr>
        <w:pStyle w:val="27"/>
        <w:keepNext w:val="0"/>
        <w:keepLines w:val="0"/>
        <w:pageBreakBefore w:val="0"/>
        <w:widowControl w:val="0"/>
        <w:kinsoku/>
        <w:wordWrap/>
        <w:overflowPunct/>
        <w:topLinePunct w:val="0"/>
        <w:autoSpaceDE/>
        <w:autoSpaceDN/>
        <w:bidi w:val="0"/>
        <w:adjustRightInd/>
        <w:snapToGrid/>
        <w:spacing w:line="440" w:lineRule="exact"/>
        <w:ind w:left="420" w:leftChars="200" w:firstLine="0" w:firstLineChars="0"/>
        <w:textAlignment w:val="auto"/>
        <w:rPr>
          <w:rFonts w:hint="eastAsia" w:ascii="宋体" w:hAnsi="宋体" w:eastAsia="宋体" w:cs="宋体"/>
          <w:b w:val="0"/>
          <w:bCs w:val="0"/>
          <w:sz w:val="21"/>
          <w:szCs w:val="21"/>
        </w:rPr>
      </w:pPr>
      <w:r>
        <w:rPr>
          <w:rFonts w:hint="eastAsia" w:ascii="宋体" w:hAnsi="宋体" w:eastAsia="宋体" w:cs="宋体"/>
          <w:b/>
          <w:bCs/>
          <w:sz w:val="21"/>
          <w:szCs w:val="21"/>
          <w:lang w:val="en-US" w:eastAsia="zh-CN"/>
        </w:rPr>
        <w:t>4.1</w:t>
      </w:r>
      <w:r>
        <w:rPr>
          <w:rFonts w:hint="eastAsia" w:ascii="宋体" w:hAnsi="宋体" w:eastAsia="宋体" w:cs="宋体"/>
          <w:b/>
          <w:bCs/>
          <w:sz w:val="21"/>
          <w:szCs w:val="21"/>
        </w:rPr>
        <w:t>客观（4 分）</w:t>
      </w:r>
      <w:r>
        <w:rPr>
          <w:rFonts w:hint="eastAsia" w:ascii="宋体" w:hAnsi="宋体" w:eastAsia="宋体" w:cs="宋体"/>
          <w:b w:val="0"/>
          <w:bCs w:val="0"/>
          <w:sz w:val="21"/>
          <w:szCs w:val="21"/>
        </w:rPr>
        <w:br w:type="textWrapping"/>
      </w:r>
      <w:r>
        <w:rPr>
          <w:rFonts w:hint="eastAsia" w:ascii="宋体" w:hAnsi="宋体" w:eastAsia="宋体" w:cs="宋体"/>
          <w:b w:val="0"/>
          <w:bCs w:val="0"/>
          <w:sz w:val="21"/>
          <w:szCs w:val="21"/>
        </w:rPr>
        <w:t>4 项要素全部载明，无明显专业错误，得 4 分；</w:t>
      </w:r>
    </w:p>
    <w:p w14:paraId="4F26E405">
      <w:pPr>
        <w:pStyle w:val="27"/>
        <w:keepNext w:val="0"/>
        <w:keepLines w:val="0"/>
        <w:pageBreakBefore w:val="0"/>
        <w:widowControl w:val="0"/>
        <w:kinsoku/>
        <w:wordWrap/>
        <w:overflowPunct/>
        <w:topLinePunct w:val="0"/>
        <w:autoSpaceDE/>
        <w:autoSpaceDN/>
        <w:bidi w:val="0"/>
        <w:adjustRightInd/>
        <w:snapToGrid/>
        <w:spacing w:line="440" w:lineRule="exact"/>
        <w:ind w:left="210" w:leftChars="100" w:firstLine="210" w:firstLineChars="1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每缺失任意 1 项要素扣 1 分，扣完本客观小项为止。</w:t>
      </w:r>
    </w:p>
    <w:p w14:paraId="1DDFC64F">
      <w:pPr>
        <w:pStyle w:val="27"/>
        <w:keepNext w:val="0"/>
        <w:keepLines w:val="0"/>
        <w:pageBreakBefore w:val="0"/>
        <w:widowControl w:val="0"/>
        <w:kinsoku/>
        <w:wordWrap/>
        <w:overflowPunct/>
        <w:topLinePunct w:val="0"/>
        <w:autoSpaceDE/>
        <w:autoSpaceDN/>
        <w:bidi w:val="0"/>
        <w:adjustRightInd/>
        <w:snapToGrid/>
        <w:spacing w:line="440" w:lineRule="exact"/>
        <w:ind w:left="0" w:leftChars="0" w:firstLine="422" w:firstLineChars="200"/>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4.2</w:t>
      </w:r>
      <w:r>
        <w:rPr>
          <w:rFonts w:hint="eastAsia" w:ascii="宋体" w:hAnsi="宋体" w:eastAsia="宋体" w:cs="宋体"/>
          <w:b/>
          <w:bCs/>
          <w:sz w:val="21"/>
          <w:szCs w:val="21"/>
        </w:rPr>
        <w:t>主观（4 分）</w:t>
      </w:r>
    </w:p>
    <w:p w14:paraId="5C7BBAE0">
      <w:pPr>
        <w:pStyle w:val="2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评判</w:t>
      </w:r>
      <w:r>
        <w:rPr>
          <w:rFonts w:hint="eastAsia" w:ascii="宋体" w:hAnsi="宋体" w:eastAsia="宋体" w:cs="宋体"/>
          <w:b w:val="0"/>
          <w:bCs w:val="0"/>
          <w:sz w:val="21"/>
          <w:szCs w:val="21"/>
          <w:lang w:val="en-US" w:eastAsia="zh-CN"/>
        </w:rPr>
        <w:t>响应</w:t>
      </w:r>
      <w:r>
        <w:rPr>
          <w:rFonts w:hint="eastAsia" w:ascii="宋体" w:hAnsi="宋体" w:eastAsia="宋体" w:cs="宋体"/>
          <w:b w:val="0"/>
          <w:bCs w:val="0"/>
          <w:sz w:val="21"/>
          <w:szCs w:val="21"/>
        </w:rPr>
        <w:t>文件已写明调试、检测、验收方案，按 4 个专业判断点逐项打分，每个判断点 0 分、0.5 分、1 分，四项累加合计 4 分。</w:t>
      </w:r>
    </w:p>
    <w:p w14:paraId="163A39DA">
      <w:pPr>
        <w:pStyle w:val="2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4.2.1</w:t>
      </w:r>
      <w:r>
        <w:rPr>
          <w:rFonts w:hint="eastAsia" w:ascii="宋体" w:hAnsi="宋体" w:eastAsia="宋体" w:cs="宋体"/>
          <w:b w:val="0"/>
          <w:bCs w:val="0"/>
          <w:sz w:val="21"/>
          <w:szCs w:val="21"/>
        </w:rPr>
        <w:t>检测项目覆盖风险点（1 分）</w:t>
      </w:r>
    </w:p>
    <w:p w14:paraId="2FB0F5DB">
      <w:pPr>
        <w:pStyle w:val="2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一档（0分）：</w:t>
      </w:r>
      <w:r>
        <w:rPr>
          <w:rFonts w:hint="eastAsia" w:ascii="宋体" w:hAnsi="宋体" w:eastAsia="宋体" w:cs="宋体"/>
          <w:b w:val="0"/>
          <w:bCs w:val="0"/>
          <w:sz w:val="21"/>
          <w:szCs w:val="21"/>
        </w:rPr>
        <w:t>缺关键检测项</w:t>
      </w:r>
    </w:p>
    <w:p w14:paraId="14371D8F">
      <w:pPr>
        <w:pStyle w:val="2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二档（0.5分）：</w:t>
      </w:r>
      <w:r>
        <w:rPr>
          <w:rFonts w:hint="eastAsia" w:ascii="宋体" w:hAnsi="宋体" w:eastAsia="宋体" w:cs="宋体"/>
          <w:b w:val="0"/>
          <w:bCs w:val="0"/>
          <w:sz w:val="21"/>
          <w:szCs w:val="21"/>
        </w:rPr>
        <w:t>覆盖但不全</w:t>
      </w:r>
    </w:p>
    <w:p w14:paraId="2B7C7897">
      <w:pPr>
        <w:pStyle w:val="2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b w:val="0"/>
          <w:bCs w:val="0"/>
          <w:kern w:val="0"/>
          <w:sz w:val="21"/>
          <w:szCs w:val="21"/>
          <w:lang w:val="en-US" w:eastAsia="zh-CN" w:bidi="ar-SA"/>
        </w:rPr>
      </w:pPr>
      <w:r>
        <w:rPr>
          <w:rFonts w:hint="eastAsia" w:ascii="宋体" w:hAnsi="宋体" w:eastAsia="宋体" w:cs="宋体"/>
          <w:b w:val="0"/>
          <w:bCs w:val="0"/>
          <w:sz w:val="21"/>
          <w:szCs w:val="21"/>
          <w:lang w:val="en-US" w:eastAsia="zh-CN"/>
        </w:rPr>
        <w:t>三档（1分）：</w:t>
      </w:r>
      <w:r>
        <w:rPr>
          <w:rFonts w:hint="eastAsia" w:ascii="宋体" w:hAnsi="宋体" w:eastAsia="宋体" w:cs="宋体"/>
          <w:b w:val="0"/>
          <w:bCs w:val="0"/>
          <w:kern w:val="0"/>
          <w:sz w:val="21"/>
          <w:szCs w:val="21"/>
          <w:lang w:val="en-US" w:eastAsia="zh-CN" w:bidi="ar-SA"/>
        </w:rPr>
        <w:t>覆盖变压器、断路器、环网柜、低压柜、电缆、接地、保护、计量</w:t>
      </w:r>
    </w:p>
    <w:p w14:paraId="3454B724">
      <w:pPr>
        <w:pStyle w:val="2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b w:val="0"/>
          <w:bCs w:val="0"/>
          <w:sz w:val="21"/>
          <w:szCs w:val="21"/>
        </w:rPr>
      </w:pPr>
      <w:r>
        <w:rPr>
          <w:rFonts w:hint="eastAsia" w:ascii="宋体" w:hAnsi="宋体" w:eastAsia="宋体" w:cs="宋体"/>
          <w:b w:val="0"/>
          <w:bCs w:val="0"/>
          <w:kern w:val="0"/>
          <w:sz w:val="21"/>
          <w:szCs w:val="21"/>
          <w:lang w:val="en-US" w:eastAsia="zh-CN" w:bidi="ar-SA"/>
        </w:rPr>
        <w:t>4.2.2</w:t>
      </w:r>
      <w:r>
        <w:rPr>
          <w:rFonts w:hint="eastAsia" w:ascii="宋体" w:hAnsi="宋体" w:eastAsia="宋体" w:cs="宋体"/>
          <w:b w:val="0"/>
          <w:bCs w:val="0"/>
          <w:sz w:val="21"/>
          <w:szCs w:val="21"/>
        </w:rPr>
        <w:t>试验方法与判定标准（1 分）</w:t>
      </w:r>
    </w:p>
    <w:p w14:paraId="66CBB49A">
      <w:pPr>
        <w:pStyle w:val="2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一档（0分）：</w:t>
      </w:r>
      <w:r>
        <w:rPr>
          <w:rFonts w:hint="eastAsia" w:ascii="宋体" w:hAnsi="宋体" w:eastAsia="宋体" w:cs="宋体"/>
          <w:b w:val="0"/>
          <w:bCs w:val="0"/>
          <w:sz w:val="21"/>
          <w:szCs w:val="21"/>
        </w:rPr>
        <w:t>无标准</w:t>
      </w:r>
    </w:p>
    <w:p w14:paraId="1D0AAADC">
      <w:pPr>
        <w:pStyle w:val="2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二档（0.5分）：</w:t>
      </w:r>
      <w:r>
        <w:rPr>
          <w:rFonts w:hint="eastAsia" w:ascii="宋体" w:hAnsi="宋体" w:eastAsia="宋体" w:cs="宋体"/>
          <w:b w:val="0"/>
          <w:bCs w:val="0"/>
          <w:sz w:val="21"/>
          <w:szCs w:val="21"/>
        </w:rPr>
        <w:t>有标准但不完整</w:t>
      </w:r>
    </w:p>
    <w:p w14:paraId="48909426">
      <w:pPr>
        <w:pStyle w:val="2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三档（1分）：</w:t>
      </w:r>
      <w:r>
        <w:rPr>
          <w:rFonts w:hint="eastAsia" w:ascii="宋体" w:hAnsi="宋体" w:eastAsia="宋体" w:cs="宋体"/>
          <w:b w:val="0"/>
          <w:bCs w:val="0"/>
          <w:sz w:val="21"/>
          <w:szCs w:val="21"/>
        </w:rPr>
        <w:t>引用 GB 50150 等，试验电压、时间、合格值正确</w:t>
      </w:r>
    </w:p>
    <w:p w14:paraId="2B20BD45">
      <w:pPr>
        <w:pStyle w:val="2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4.2.3</w:t>
      </w:r>
      <w:r>
        <w:rPr>
          <w:rFonts w:hint="eastAsia" w:ascii="宋体" w:hAnsi="宋体" w:eastAsia="宋体" w:cs="宋体"/>
          <w:b w:val="0"/>
          <w:bCs w:val="0"/>
          <w:sz w:val="21"/>
          <w:szCs w:val="21"/>
        </w:rPr>
        <w:t>带负荷与保护联动（1 分）</w:t>
      </w:r>
    </w:p>
    <w:p w14:paraId="3652496C">
      <w:pPr>
        <w:pStyle w:val="2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一档（0分）：</w:t>
      </w:r>
      <w:r>
        <w:rPr>
          <w:rFonts w:hint="eastAsia" w:ascii="宋体" w:hAnsi="宋体" w:eastAsia="宋体" w:cs="宋体"/>
          <w:b w:val="0"/>
          <w:bCs w:val="0"/>
          <w:sz w:val="21"/>
          <w:szCs w:val="21"/>
        </w:rPr>
        <w:t>无安排</w:t>
      </w:r>
    </w:p>
    <w:p w14:paraId="20C9A7CF">
      <w:pPr>
        <w:pStyle w:val="2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二档（0.5分）：</w:t>
      </w:r>
      <w:r>
        <w:rPr>
          <w:rFonts w:hint="eastAsia" w:ascii="宋体" w:hAnsi="宋体" w:eastAsia="宋体" w:cs="宋体"/>
          <w:b w:val="0"/>
          <w:bCs w:val="0"/>
          <w:sz w:val="21"/>
          <w:szCs w:val="21"/>
        </w:rPr>
        <w:t>有但无异常处置</w:t>
      </w:r>
    </w:p>
    <w:p w14:paraId="21C39013">
      <w:pPr>
        <w:pStyle w:val="2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三档（1分）：</w:t>
      </w:r>
      <w:r>
        <w:rPr>
          <w:rFonts w:hint="eastAsia" w:ascii="宋体" w:hAnsi="宋体" w:eastAsia="宋体" w:cs="宋体"/>
          <w:b w:val="0"/>
          <w:bCs w:val="0"/>
          <w:sz w:val="21"/>
          <w:szCs w:val="21"/>
        </w:rPr>
        <w:t>明确负荷率、时长、联动逻辑、异常处置</w:t>
      </w:r>
    </w:p>
    <w:p w14:paraId="308B613E">
      <w:pPr>
        <w:pStyle w:val="2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4.2.4</w:t>
      </w:r>
      <w:r>
        <w:rPr>
          <w:rFonts w:hint="eastAsia" w:ascii="宋体" w:hAnsi="宋体" w:eastAsia="宋体" w:cs="宋体"/>
          <w:b w:val="0"/>
          <w:bCs w:val="0"/>
          <w:sz w:val="21"/>
          <w:szCs w:val="21"/>
        </w:rPr>
        <w:t>竣工资料与验收程序（1 分）</w:t>
      </w:r>
    </w:p>
    <w:p w14:paraId="55848E88">
      <w:pPr>
        <w:pStyle w:val="2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一档（0分）：</w:t>
      </w:r>
      <w:r>
        <w:rPr>
          <w:rFonts w:hint="eastAsia" w:ascii="宋体" w:hAnsi="宋体" w:eastAsia="宋体" w:cs="宋体"/>
          <w:b w:val="0"/>
          <w:bCs w:val="0"/>
          <w:sz w:val="21"/>
          <w:szCs w:val="21"/>
        </w:rPr>
        <w:t>无清单</w:t>
      </w:r>
    </w:p>
    <w:p w14:paraId="14192E2D">
      <w:pPr>
        <w:pStyle w:val="2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二档（0.5分）：</w:t>
      </w:r>
      <w:r>
        <w:rPr>
          <w:rFonts w:hint="eastAsia" w:ascii="宋体" w:hAnsi="宋体" w:eastAsia="宋体" w:cs="宋体"/>
          <w:b w:val="0"/>
          <w:bCs w:val="0"/>
          <w:sz w:val="21"/>
          <w:szCs w:val="21"/>
        </w:rPr>
        <w:t>有清单但不完整</w:t>
      </w:r>
    </w:p>
    <w:p w14:paraId="1194A4D5">
      <w:pPr>
        <w:pStyle w:val="27"/>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val="0"/>
          <w:bCs w:val="0"/>
          <w:sz w:val="21"/>
          <w:szCs w:val="21"/>
          <w:lang w:val="en-US" w:eastAsia="zh-CN"/>
        </w:rPr>
        <w:t>三档（1分）：</w:t>
      </w:r>
      <w:r>
        <w:rPr>
          <w:rFonts w:hint="eastAsia" w:ascii="宋体" w:hAnsi="宋体" w:eastAsia="宋体" w:cs="宋体"/>
          <w:b w:val="0"/>
          <w:bCs w:val="0"/>
          <w:sz w:val="21"/>
          <w:szCs w:val="21"/>
        </w:rPr>
        <w:t>明确资料清单、归档、主管部门验收流程</w:t>
      </w:r>
    </w:p>
    <w:p w14:paraId="33A857A1">
      <w:pPr>
        <w:pStyle w:val="27"/>
        <w:keepNext w:val="0"/>
        <w:keepLines w:val="0"/>
        <w:pageBreakBefore w:val="0"/>
        <w:widowControl w:val="0"/>
        <w:numPr>
          <w:ilvl w:val="0"/>
          <w:numId w:val="7"/>
        </w:numPr>
        <w:kinsoku/>
        <w:wordWrap/>
        <w:overflowPunct/>
        <w:topLinePunct w:val="0"/>
        <w:autoSpaceDE/>
        <w:autoSpaceDN/>
        <w:bidi w:val="0"/>
        <w:adjustRightInd/>
        <w:snapToGrid/>
        <w:spacing w:line="440" w:lineRule="exact"/>
        <w:ind w:left="0" w:leftChars="0" w:firstLine="422" w:firstLineChars="200"/>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商务分</w:t>
      </w:r>
      <w:r>
        <w:rPr>
          <w:rFonts w:hint="eastAsia" w:ascii="宋体" w:hAnsi="宋体" w:eastAsia="宋体" w:cs="宋体"/>
          <w:b/>
          <w:bCs/>
          <w:sz w:val="21"/>
          <w:szCs w:val="21"/>
        </w:rPr>
        <w:t xml:space="preserve">（满分 </w:t>
      </w:r>
      <w:r>
        <w:rPr>
          <w:rFonts w:hint="eastAsia" w:ascii="宋体" w:hAnsi="宋体" w:eastAsia="宋体" w:cs="宋体"/>
          <w:b/>
          <w:bCs/>
          <w:sz w:val="21"/>
          <w:szCs w:val="21"/>
          <w:lang w:val="en-US" w:eastAsia="zh-CN"/>
        </w:rPr>
        <w:t>1</w:t>
      </w:r>
      <w:r>
        <w:rPr>
          <w:rFonts w:hint="eastAsia" w:ascii="宋体" w:hAnsi="宋体" w:eastAsia="宋体" w:cs="宋体"/>
          <w:b/>
          <w:bCs/>
          <w:sz w:val="21"/>
          <w:szCs w:val="21"/>
        </w:rPr>
        <w:t>0 分）</w:t>
      </w:r>
    </w:p>
    <w:p w14:paraId="6DABD612">
      <w:pPr>
        <w:pStyle w:val="27"/>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1.类似项目业绩（4 分）</w:t>
      </w:r>
    </w:p>
    <w:p w14:paraId="2694591B">
      <w:pPr>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color w:val="auto"/>
          <w:sz w:val="21"/>
          <w:szCs w:val="21"/>
          <w:lang w:val="en-US"/>
        </w:rPr>
      </w:pP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lang w:val="en-US"/>
        </w:rPr>
        <w:t>提供已完成医疗机构高低压供电改造工程合同关键页（项目工作内容包含高低压设备安装或改造）</w:t>
      </w:r>
      <w:r>
        <w:rPr>
          <w:rFonts w:hint="eastAsia" w:ascii="宋体" w:hAnsi="宋体" w:eastAsia="宋体" w:cs="宋体"/>
          <w:color w:val="auto"/>
          <w:sz w:val="21"/>
          <w:szCs w:val="21"/>
          <w:highlight w:val="none"/>
        </w:rPr>
        <w:t>的每个得</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分，满分</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val="en-US" w:eastAsia="zh-CN"/>
        </w:rPr>
        <w:t>。</w:t>
      </w:r>
    </w:p>
    <w:p w14:paraId="0FEB520A">
      <w:pPr>
        <w:pStyle w:val="27"/>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color w:val="auto"/>
          <w:sz w:val="21"/>
          <w:szCs w:val="21"/>
          <w:lang w:val="en-US"/>
        </w:rPr>
      </w:pPr>
      <w:r>
        <w:rPr>
          <w:rFonts w:hint="eastAsia" w:ascii="宋体" w:hAnsi="宋体" w:eastAsia="宋体" w:cs="宋体"/>
          <w:color w:val="auto"/>
          <w:sz w:val="21"/>
          <w:szCs w:val="21"/>
          <w:lang w:val="en-US"/>
        </w:rPr>
        <w:t>说明：本项设置医疗机构业绩基于医院在用院区施工环境特殊性，不限地域、不限政府采购 / 非政府采购。无法体现项目工作内容的业绩不予认可。</w:t>
      </w:r>
    </w:p>
    <w:p w14:paraId="5266EA31">
      <w:pPr>
        <w:pStyle w:val="27"/>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22"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kern w:val="0"/>
          <w:sz w:val="21"/>
          <w:szCs w:val="21"/>
          <w:lang w:val="en-US" w:eastAsia="zh-CN" w:bidi="ar-SA"/>
        </w:rPr>
        <w:t>2.</w:t>
      </w:r>
      <w:r>
        <w:rPr>
          <w:rFonts w:hint="eastAsia" w:ascii="宋体" w:hAnsi="宋体" w:eastAsia="宋体" w:cs="宋体"/>
          <w:b/>
          <w:bCs/>
          <w:color w:val="auto"/>
          <w:sz w:val="21"/>
          <w:szCs w:val="21"/>
          <w:highlight w:val="none"/>
          <w:lang w:val="en-US" w:eastAsia="zh-CN"/>
        </w:rPr>
        <w:t>高压电工人员配置（6分）</w:t>
      </w:r>
    </w:p>
    <w:p w14:paraId="04C47C71">
      <w:pPr>
        <w:pStyle w:val="16"/>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hAnsi="宋体" w:cs="宋体"/>
          <w:b w:val="0"/>
          <w:bCs w:val="0"/>
          <w:color w:val="auto"/>
          <w:sz w:val="21"/>
          <w:szCs w:val="21"/>
          <w:highlight w:val="none"/>
          <w:lang w:val="en-US" w:eastAsia="zh-CN"/>
        </w:rPr>
      </w:pPr>
      <w:r>
        <w:rPr>
          <w:rFonts w:hint="eastAsia" w:hAnsi="宋体" w:cs="宋体"/>
          <w:b w:val="0"/>
          <w:bCs w:val="0"/>
          <w:color w:val="auto"/>
          <w:sz w:val="21"/>
          <w:szCs w:val="21"/>
          <w:highlight w:val="none"/>
          <w:lang w:val="en-US" w:eastAsia="zh-CN"/>
        </w:rPr>
        <w:t>供应商</w:t>
      </w:r>
      <w:r>
        <w:rPr>
          <w:rFonts w:hint="eastAsia" w:ascii="宋体" w:hAnsi="宋体" w:eastAsia="宋体" w:cs="宋体"/>
          <w:b w:val="0"/>
          <w:bCs w:val="0"/>
          <w:color w:val="auto"/>
          <w:sz w:val="21"/>
          <w:szCs w:val="21"/>
          <w:highlight w:val="none"/>
          <w:lang w:val="en-US" w:eastAsia="zh-CN"/>
        </w:rPr>
        <w:t>拟投入本项目的高压电工人员</w:t>
      </w:r>
      <w:r>
        <w:rPr>
          <w:rFonts w:hint="eastAsia" w:hAnsi="宋体" w:cs="宋体"/>
          <w:b w:val="0"/>
          <w:bCs w:val="0"/>
          <w:color w:val="auto"/>
          <w:sz w:val="21"/>
          <w:szCs w:val="21"/>
          <w:highlight w:val="none"/>
          <w:lang w:val="en-US" w:eastAsia="zh-CN"/>
        </w:rPr>
        <w:t>在满足资格要求的情况下，增加</w:t>
      </w:r>
      <w:r>
        <w:rPr>
          <w:rFonts w:hint="eastAsia" w:ascii="宋体" w:hAnsi="宋体" w:eastAsia="宋体" w:cs="宋体"/>
          <w:b w:val="0"/>
          <w:bCs w:val="0"/>
          <w:color w:val="auto"/>
          <w:sz w:val="21"/>
          <w:szCs w:val="21"/>
          <w:highlight w:val="none"/>
          <w:lang w:val="en-US" w:eastAsia="zh-CN"/>
        </w:rPr>
        <w:t>高压电工人员</w:t>
      </w:r>
      <w:r>
        <w:rPr>
          <w:rFonts w:hint="eastAsia" w:hAnsi="宋体" w:cs="宋体"/>
          <w:b w:val="0"/>
          <w:bCs w:val="0"/>
          <w:color w:val="auto"/>
          <w:sz w:val="21"/>
          <w:szCs w:val="21"/>
          <w:highlight w:val="none"/>
          <w:lang w:val="en-US" w:eastAsia="zh-CN"/>
        </w:rPr>
        <w:t>2名得3分，增加</w:t>
      </w:r>
      <w:r>
        <w:rPr>
          <w:rFonts w:hint="eastAsia" w:ascii="宋体" w:hAnsi="宋体" w:eastAsia="宋体" w:cs="宋体"/>
          <w:b w:val="0"/>
          <w:bCs w:val="0"/>
          <w:color w:val="auto"/>
          <w:sz w:val="21"/>
          <w:szCs w:val="21"/>
          <w:highlight w:val="none"/>
          <w:lang w:val="en-US" w:eastAsia="zh-CN"/>
        </w:rPr>
        <w:t>高压电工人员</w:t>
      </w:r>
      <w:r>
        <w:rPr>
          <w:rFonts w:hint="eastAsia" w:hAnsi="宋体" w:cs="宋体"/>
          <w:b w:val="0"/>
          <w:bCs w:val="0"/>
          <w:color w:val="auto"/>
          <w:sz w:val="21"/>
          <w:szCs w:val="21"/>
          <w:highlight w:val="none"/>
          <w:lang w:val="en-US" w:eastAsia="zh-CN"/>
        </w:rPr>
        <w:t>3名及以上得6分。</w:t>
      </w:r>
    </w:p>
    <w:p w14:paraId="0390A181">
      <w:pPr>
        <w:pStyle w:val="16"/>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注:</w:t>
      </w:r>
      <w:r>
        <w:rPr>
          <w:rFonts w:hint="eastAsia" w:hAnsi="宋体" w:cs="宋体"/>
          <w:color w:val="auto"/>
          <w:sz w:val="21"/>
          <w:szCs w:val="21"/>
          <w:highlight w:val="none"/>
          <w:lang w:val="en-US" w:eastAsia="zh-CN"/>
        </w:rPr>
        <w:t>以上</w:t>
      </w:r>
      <w:r>
        <w:rPr>
          <w:rFonts w:hint="eastAsia" w:ascii="宋体" w:hAnsi="宋体" w:eastAsia="宋体" w:cs="宋体"/>
          <w:color w:val="auto"/>
          <w:sz w:val="21"/>
          <w:szCs w:val="21"/>
          <w:highlight w:val="none"/>
          <w:lang w:val="en-US" w:eastAsia="zh-CN"/>
        </w:rPr>
        <w:t>人员</w:t>
      </w:r>
      <w:r>
        <w:rPr>
          <w:rFonts w:hint="eastAsia" w:hAnsi="宋体" w:cs="宋体"/>
          <w:color w:val="auto"/>
          <w:sz w:val="21"/>
          <w:szCs w:val="21"/>
          <w:highlight w:val="none"/>
          <w:lang w:val="en-US" w:eastAsia="zh-CN"/>
        </w:rPr>
        <w:t>须提供有效的特种作业操作证（高压电工作业）复印件及</w:t>
      </w:r>
      <w:r>
        <w:rPr>
          <w:rFonts w:hint="eastAsia" w:ascii="宋体" w:hAnsi="宋体" w:eastAsia="宋体" w:cs="宋体"/>
          <w:color w:val="auto"/>
          <w:sz w:val="21"/>
          <w:szCs w:val="21"/>
          <w:highlight w:val="none"/>
          <w:lang w:val="en-US" w:eastAsia="zh-CN"/>
        </w:rPr>
        <w:t>归属有效证明材料按下列情形提供：常规在职人员（存在劳动关系），可选择以下任一组材料：</w:t>
      </w:r>
    </w:p>
    <w:p w14:paraId="528D51F2">
      <w:pPr>
        <w:pStyle w:val="16"/>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①</w:t>
      </w:r>
      <w:r>
        <w:rPr>
          <w:rFonts w:hint="eastAsia" w:hAnsi="宋体" w:cs="宋体"/>
          <w:color w:val="auto"/>
          <w:sz w:val="21"/>
          <w:szCs w:val="21"/>
          <w:highlight w:val="none"/>
          <w:lang w:val="en-US" w:eastAsia="zh-CN"/>
        </w:rPr>
        <w:t>响应文件提交</w:t>
      </w:r>
      <w:r>
        <w:rPr>
          <w:rFonts w:hint="eastAsia" w:ascii="宋体" w:hAnsi="宋体" w:eastAsia="宋体" w:cs="宋体"/>
          <w:color w:val="auto"/>
          <w:sz w:val="21"/>
          <w:szCs w:val="21"/>
          <w:highlight w:val="none"/>
          <w:lang w:val="en-US" w:eastAsia="zh-CN"/>
        </w:rPr>
        <w:t>截止日前 6 个月内任意一个月由</w:t>
      </w:r>
      <w:r>
        <w:rPr>
          <w:rFonts w:hint="eastAsia" w:hAnsi="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en-US" w:eastAsia="zh-CN"/>
        </w:rPr>
        <w:t>缴纳的社保证明；</w:t>
      </w:r>
    </w:p>
    <w:p w14:paraId="6D17D039">
      <w:pPr>
        <w:pStyle w:val="16"/>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②劳动合同，搭配近 1 个月工资银行发放流水或个税申报记录。</w:t>
      </w:r>
    </w:p>
    <w:p w14:paraId="743A5AA0">
      <w:pPr>
        <w:pStyle w:val="16"/>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③新入职尚未产生社保缴费记录：提供劳动合同、工资发放流水，并附书面入职情况说明，承诺</w:t>
      </w:r>
      <w:r>
        <w:rPr>
          <w:rFonts w:hint="eastAsia" w:hAnsi="宋体" w:cs="宋体"/>
          <w:color w:val="auto"/>
          <w:sz w:val="21"/>
          <w:szCs w:val="21"/>
          <w:highlight w:val="none"/>
          <w:lang w:val="en-US" w:eastAsia="zh-CN"/>
        </w:rPr>
        <w:t>成交</w:t>
      </w:r>
      <w:r>
        <w:rPr>
          <w:rFonts w:hint="eastAsia" w:ascii="宋体" w:hAnsi="宋体" w:eastAsia="宋体" w:cs="宋体"/>
          <w:color w:val="auto"/>
          <w:sz w:val="21"/>
          <w:szCs w:val="21"/>
          <w:highlight w:val="none"/>
          <w:lang w:val="en-US" w:eastAsia="zh-CN"/>
        </w:rPr>
        <w:t>进场前完成社保参保。</w:t>
      </w:r>
    </w:p>
    <w:p w14:paraId="79BC08AD">
      <w:pPr>
        <w:pStyle w:val="16"/>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④退休返聘人员：提供退休证明以及正式返聘劳务协议。</w:t>
      </w:r>
    </w:p>
    <w:p w14:paraId="1B3974C0">
      <w:pPr>
        <w:pStyle w:val="16"/>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⑤劳务派遣人员：提供合法劳务派遣协议、人员劳动合同、派遣单位缴纳的社保证明。</w:t>
      </w:r>
    </w:p>
    <w:p w14:paraId="1C0F2DE5">
      <w:pPr>
        <w:pStyle w:val="27"/>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不按照上述要求提供资料者。不能作为评分依据。</w:t>
      </w:r>
    </w:p>
    <w:p w14:paraId="35FE276F">
      <w:pPr>
        <w:pStyle w:val="27"/>
        <w:keepNext w:val="0"/>
        <w:keepLines w:val="0"/>
        <w:pageBreakBefore w:val="0"/>
        <w:widowControl w:val="0"/>
        <w:numPr>
          <w:ilvl w:val="0"/>
          <w:numId w:val="7"/>
        </w:numPr>
        <w:kinsoku/>
        <w:wordWrap/>
        <w:overflowPunct/>
        <w:topLinePunct w:val="0"/>
        <w:autoSpaceDE/>
        <w:autoSpaceDN/>
        <w:bidi w:val="0"/>
        <w:adjustRightInd/>
        <w:snapToGrid/>
        <w:spacing w:line="440" w:lineRule="exact"/>
        <w:ind w:left="0" w:leftChars="0"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综合得分</w:t>
      </w:r>
    </w:p>
    <w:p w14:paraId="45F8463E">
      <w:pPr>
        <w:pStyle w:val="27"/>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20" w:firstLineChars="200"/>
        <w:textAlignment w:val="auto"/>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综合得分=价格分+技术分+商务分</w:t>
      </w:r>
    </w:p>
    <w:p w14:paraId="799C9CB7">
      <w:pPr>
        <w:keepNext w:val="0"/>
        <w:keepLines w:val="0"/>
        <w:pageBreakBefore w:val="0"/>
        <w:widowControl w:val="0"/>
        <w:kinsoku/>
        <w:wordWrap/>
        <w:overflowPunct/>
        <w:topLinePunct w:val="0"/>
        <w:autoSpaceDE/>
        <w:autoSpaceDN/>
        <w:bidi w:val="0"/>
        <w:adjustRightInd/>
        <w:snapToGrid/>
        <w:spacing w:line="440" w:lineRule="exact"/>
        <w:ind w:left="0" w:leftChars="0" w:firstLine="422" w:firstLineChars="200"/>
        <w:textAlignment w:val="auto"/>
        <w:rPr>
          <w:rFonts w:ascii="宋体" w:hAnsi="宋体"/>
          <w:b/>
          <w:color w:val="auto"/>
          <w:szCs w:val="21"/>
        </w:rPr>
      </w:pPr>
      <w:r>
        <w:rPr>
          <w:rFonts w:hint="eastAsia" w:ascii="宋体" w:hAnsi="宋体"/>
          <w:b/>
          <w:color w:val="auto"/>
          <w:szCs w:val="21"/>
          <w:lang w:val="en-US" w:eastAsia="zh-CN"/>
        </w:rPr>
        <w:t>五</w:t>
      </w:r>
      <w:r>
        <w:rPr>
          <w:rFonts w:hint="eastAsia" w:ascii="宋体" w:hAnsi="宋体"/>
          <w:b/>
          <w:color w:val="auto"/>
          <w:szCs w:val="21"/>
        </w:rPr>
        <w:t>、成交候选供应商推荐原则</w:t>
      </w:r>
    </w:p>
    <w:p w14:paraId="3802EC86">
      <w:pPr>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bCs/>
          <w:color w:val="auto"/>
          <w:szCs w:val="21"/>
        </w:rPr>
      </w:pPr>
      <w:r>
        <w:rPr>
          <w:rFonts w:hint="eastAsia" w:ascii="宋体" w:hAnsi="宋体"/>
          <w:bCs/>
          <w:color w:val="auto"/>
          <w:szCs w:val="21"/>
        </w:rPr>
        <w:t>由磋商小组根据综合评分情况，按照评审得分由高到低顺序推荐3名以上成交候选供应商，并编写评审报告。符合本章第</w:t>
      </w:r>
      <w:r>
        <w:rPr>
          <w:rFonts w:ascii="宋体" w:hAnsi="宋体"/>
          <w:bCs/>
          <w:color w:val="auto"/>
          <w:szCs w:val="21"/>
        </w:rPr>
        <w:t>4.3</w:t>
      </w:r>
      <w:r>
        <w:rPr>
          <w:rFonts w:hint="eastAsia" w:ascii="宋体" w:hAnsi="宋体"/>
          <w:bCs/>
          <w:color w:val="auto"/>
          <w:szCs w:val="21"/>
        </w:rPr>
        <w:t>条情形的，可以推荐2家成交候选供应商。评审得分相同的，按照最后报价（不计算价格折扣）由低到高的顺序推荐。评审得分且最后报价（不计算价格折扣）相同的，按照技术指标优劣顺序推荐（按技术得分由高到低排序）。评审得分、最后报价（不计算价格折扣）、技术得分均相同的，由磋商小组随机抽取推荐。</w:t>
      </w:r>
      <w:bookmarkStart w:id="93" w:name="_Toc44229897"/>
    </w:p>
    <w:p w14:paraId="06B6038C">
      <w:pPr>
        <w:pStyle w:val="26"/>
        <w:rPr>
          <w:rFonts w:hint="eastAsia" w:ascii="宋体" w:hAnsi="宋体"/>
          <w:bCs/>
          <w:color w:val="auto"/>
          <w:szCs w:val="21"/>
        </w:rPr>
      </w:pPr>
    </w:p>
    <w:p w14:paraId="22A1FD8D">
      <w:pPr>
        <w:pStyle w:val="3"/>
        <w:keepNext/>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eastAsia" w:ascii="Times New Roman" w:hAnsi="Times New Roman" w:eastAsia="宋体" w:cs="Times New Roman"/>
          <w:b/>
          <w:bCs/>
          <w:color w:val="auto"/>
          <w:kern w:val="2"/>
          <w:sz w:val="36"/>
          <w:szCs w:val="36"/>
          <w:lang w:val="en-US" w:eastAsia="zh-CN" w:bidi="ar-SA"/>
        </w:rPr>
      </w:pPr>
      <w:bookmarkStart w:id="94" w:name="_Toc19821"/>
    </w:p>
    <w:p w14:paraId="072A0F52">
      <w:pPr>
        <w:pStyle w:val="3"/>
        <w:keepNext/>
        <w:keepLines w:val="0"/>
        <w:pageBreakBefore w:val="0"/>
        <w:widowControl w:val="0"/>
        <w:numPr>
          <w:ilvl w:val="0"/>
          <w:numId w:val="0"/>
        </w:numPr>
        <w:kinsoku/>
        <w:wordWrap/>
        <w:overflowPunct/>
        <w:topLinePunct w:val="0"/>
        <w:autoSpaceDE/>
        <w:autoSpaceDN/>
        <w:bidi w:val="0"/>
        <w:adjustRightInd/>
        <w:snapToGrid/>
        <w:spacing w:line="520" w:lineRule="exact"/>
        <w:ind w:firstLine="2891" w:firstLineChars="800"/>
        <w:jc w:val="both"/>
        <w:textAlignment w:val="auto"/>
        <w:rPr>
          <w:rFonts w:hint="eastAsia"/>
          <w:color w:val="auto"/>
          <w:sz w:val="36"/>
          <w:szCs w:val="36"/>
          <w:lang w:val="en-US" w:eastAsia="zh-CN"/>
        </w:rPr>
      </w:pPr>
      <w:r>
        <w:rPr>
          <w:rFonts w:hint="eastAsia" w:ascii="Times New Roman" w:hAnsi="Times New Roman" w:eastAsia="宋体" w:cs="Times New Roman"/>
          <w:b/>
          <w:bCs/>
          <w:color w:val="auto"/>
          <w:kern w:val="2"/>
          <w:sz w:val="36"/>
          <w:szCs w:val="36"/>
          <w:lang w:val="en-US" w:eastAsia="zh-CN" w:bidi="ar-SA"/>
        </w:rPr>
        <w:t>第五章</w:t>
      </w:r>
      <w:r>
        <w:rPr>
          <w:rFonts w:hint="eastAsia"/>
          <w:color w:val="auto"/>
          <w:sz w:val="36"/>
          <w:szCs w:val="36"/>
          <w:lang w:val="en-US" w:eastAsia="zh-CN"/>
        </w:rPr>
        <w:t xml:space="preserve">   工程量清单</w:t>
      </w:r>
      <w:bookmarkEnd w:id="94"/>
    </w:p>
    <w:p w14:paraId="7EF88DCC">
      <w:pPr>
        <w:rPr>
          <w:rFonts w:hint="eastAsia"/>
          <w:color w:val="auto"/>
          <w:lang w:val="en-US" w:eastAsia="zh-CN"/>
        </w:rPr>
      </w:pPr>
    </w:p>
    <w:p w14:paraId="6D3E72DE">
      <w:pPr>
        <w:pStyle w:val="4"/>
        <w:spacing w:before="0" w:after="0" w:line="360" w:lineRule="auto"/>
        <w:rPr>
          <w:color w:val="auto"/>
          <w:kern w:val="44"/>
        </w:rPr>
      </w:pPr>
      <w:bookmarkStart w:id="95" w:name="_Toc1386396751"/>
      <w:bookmarkStart w:id="96" w:name="_Toc407135284"/>
      <w:bookmarkStart w:id="97" w:name="_Toc1392571603"/>
      <w:bookmarkStart w:id="98" w:name="_Toc78449869"/>
      <w:bookmarkStart w:id="99" w:name="_Toc122424493"/>
      <w:r>
        <w:rPr>
          <w:color w:val="auto"/>
        </w:rPr>
        <w:t>1</w:t>
      </w:r>
      <w:r>
        <w:rPr>
          <w:rFonts w:hint="eastAsia"/>
          <w:color w:val="auto"/>
        </w:rPr>
        <w:t>.</w:t>
      </w:r>
      <w:r>
        <w:rPr>
          <w:rFonts w:hint="eastAsia" w:cs="黑体"/>
          <w:color w:val="auto"/>
        </w:rPr>
        <w:t>工程量清单编制说明</w:t>
      </w:r>
      <w:bookmarkEnd w:id="95"/>
      <w:bookmarkEnd w:id="96"/>
      <w:bookmarkEnd w:id="97"/>
      <w:bookmarkEnd w:id="98"/>
      <w:bookmarkEnd w:id="99"/>
    </w:p>
    <w:p w14:paraId="6D727F17">
      <w:pPr>
        <w:spacing w:line="360" w:lineRule="auto"/>
        <w:ind w:firstLine="420" w:firstLineChars="200"/>
        <w:rPr>
          <w:color w:val="auto"/>
          <w:highlight w:val="none"/>
        </w:rPr>
      </w:pPr>
      <w:r>
        <w:rPr>
          <w:color w:val="auto"/>
          <w:highlight w:val="none"/>
        </w:rPr>
        <w:t>1.1工程量清单依据《建设工程工程量清单计价规范》（GB50500-2013）</w:t>
      </w:r>
      <w:r>
        <w:rPr>
          <w:rFonts w:hint="eastAsia"/>
          <w:color w:val="auto"/>
          <w:highlight w:val="none"/>
          <w:lang w:eastAsia="zh-CN"/>
        </w:rPr>
        <w:t>、</w:t>
      </w:r>
      <w:r>
        <w:rPr>
          <w:color w:val="auto"/>
          <w:highlight w:val="none"/>
        </w:rPr>
        <w:t>《建设工程工程量清单计价规范（GB50500-2013）广西壮族自治区实施细则</w:t>
      </w:r>
      <w:r>
        <w:rPr>
          <w:rFonts w:hint="eastAsia"/>
          <w:color w:val="auto"/>
          <w:highlight w:val="none"/>
          <w:lang w:eastAsia="zh-CN"/>
        </w:rPr>
        <w:t>》《</w:t>
      </w:r>
      <w:r>
        <w:rPr>
          <w:color w:val="auto"/>
          <w:highlight w:val="none"/>
        </w:rPr>
        <w:t>建设工程工程量清单计算规范》（GB50854~50862-2013）</w:t>
      </w:r>
      <w:r>
        <w:rPr>
          <w:rFonts w:hint="eastAsia"/>
          <w:color w:val="auto"/>
          <w:highlight w:val="none"/>
          <w:lang w:eastAsia="zh-CN"/>
        </w:rPr>
        <w:t>、</w:t>
      </w:r>
      <w:r>
        <w:rPr>
          <w:color w:val="auto"/>
          <w:highlight w:val="none"/>
        </w:rPr>
        <w:t>《建设工程工程量清单计算规范（GB50854~50862-2013）》及广西实施细则（修订本）、 《关于建筑业实施营业税改征增值税后广西壮族自治区建设工程计价依据调整的通知》（桂建标〔2016〕17号）、</w:t>
      </w:r>
      <w:r>
        <w:rPr>
          <w:rFonts w:hint="eastAsia"/>
          <w:color w:val="auto"/>
          <w:highlight w:val="none"/>
          <w:lang w:val="en-US" w:eastAsia="zh-CN"/>
        </w:rPr>
        <w:t>磋商</w:t>
      </w:r>
      <w:r>
        <w:rPr>
          <w:color w:val="auto"/>
          <w:highlight w:val="none"/>
        </w:rPr>
        <w:t>文件、施工图等编制。计算规范中没有的清单项目，应在本章第1.4款约定。</w:t>
      </w:r>
    </w:p>
    <w:p w14:paraId="6AFE6848">
      <w:pPr>
        <w:spacing w:line="360" w:lineRule="auto"/>
        <w:ind w:firstLine="420" w:firstLineChars="200"/>
        <w:rPr>
          <w:color w:val="auto"/>
        </w:rPr>
      </w:pPr>
      <w:r>
        <w:rPr>
          <w:color w:val="auto"/>
        </w:rPr>
        <w:t xml:space="preserve">1.2 </w:t>
      </w:r>
      <w:r>
        <w:rPr>
          <w:rFonts w:hint="eastAsia"/>
          <w:color w:val="auto"/>
        </w:rPr>
        <w:t>工程量清单应与供应商须知、合同协议条款、合同的通用条款、合同专用条款、技术规范及图纸等文件一起结合使用。</w:t>
      </w:r>
    </w:p>
    <w:p w14:paraId="532F833F">
      <w:pPr>
        <w:spacing w:line="360" w:lineRule="auto"/>
        <w:ind w:firstLine="420" w:firstLineChars="200"/>
        <w:rPr>
          <w:color w:val="auto"/>
        </w:rPr>
      </w:pPr>
      <w:r>
        <w:rPr>
          <w:color w:val="auto"/>
        </w:rPr>
        <w:t xml:space="preserve">1.3 </w:t>
      </w:r>
      <w:r>
        <w:rPr>
          <w:rFonts w:hint="eastAsia" w:cs="宋体"/>
          <w:color w:val="auto"/>
        </w:rPr>
        <w:t>工程量清单是</w:t>
      </w:r>
      <w:r>
        <w:rPr>
          <w:rFonts w:hint="eastAsia" w:cs="宋体"/>
          <w:color w:val="auto"/>
          <w:lang w:val="en-US" w:eastAsia="zh-CN"/>
        </w:rPr>
        <w:t>磋商</w:t>
      </w:r>
      <w:r>
        <w:rPr>
          <w:rFonts w:hint="eastAsia" w:cs="宋体"/>
          <w:color w:val="auto"/>
        </w:rPr>
        <w:t>文件的组成部分，是工程量清单计价的基础，作为编制招标控制价、竞标报价、计算或调整工程量、索赔等的依据之一。</w:t>
      </w:r>
    </w:p>
    <w:p w14:paraId="2BC2F797">
      <w:pPr>
        <w:spacing w:line="360" w:lineRule="auto"/>
        <w:ind w:firstLine="420" w:firstLineChars="200"/>
        <w:rPr>
          <w:color w:val="auto"/>
        </w:rPr>
      </w:pPr>
      <w:r>
        <w:rPr>
          <w:color w:val="auto"/>
        </w:rPr>
        <w:t xml:space="preserve">1.4 </w:t>
      </w:r>
      <w:r>
        <w:rPr>
          <w:rFonts w:hint="eastAsia" w:cs="宋体"/>
          <w:color w:val="auto"/>
        </w:rPr>
        <w:t>补充清单项目的特征、计量单位、工程量计算规则及工作内容说明如下：/。</w:t>
      </w:r>
    </w:p>
    <w:p w14:paraId="352F2AE5">
      <w:pPr>
        <w:spacing w:line="360" w:lineRule="auto"/>
        <w:ind w:left="2"/>
        <w:rPr>
          <w:color w:val="auto"/>
        </w:rPr>
      </w:pPr>
      <w:r>
        <w:rPr>
          <w:color w:val="auto"/>
        </w:rPr>
        <w:t xml:space="preserve">  </w:t>
      </w:r>
      <w:r>
        <w:rPr>
          <w:rFonts w:hint="eastAsia"/>
          <w:color w:val="auto"/>
        </w:rPr>
        <w:t xml:space="preserve"> </w:t>
      </w:r>
      <w:r>
        <w:rPr>
          <w:rFonts w:hint="eastAsia"/>
          <w:color w:val="auto"/>
          <w:lang w:val="en-US" w:eastAsia="zh-CN"/>
        </w:rPr>
        <w:t xml:space="preserve"> </w:t>
      </w:r>
      <w:r>
        <w:rPr>
          <w:color w:val="auto"/>
        </w:rPr>
        <w:t xml:space="preserve">1.5 </w:t>
      </w:r>
      <w:r>
        <w:rPr>
          <w:rFonts w:hint="eastAsia"/>
          <w:color w:val="auto"/>
        </w:rPr>
        <w:t>《允许调整主要材料和工程设备一览表》（表</w:t>
      </w:r>
      <w:r>
        <w:rPr>
          <w:color w:val="auto"/>
        </w:rPr>
        <w:t>-22</w:t>
      </w:r>
      <w:r>
        <w:rPr>
          <w:rFonts w:hint="eastAsia"/>
          <w:color w:val="auto"/>
        </w:rPr>
        <w:t>，表格编号为计价规范相应表格编号，下同）作为项目实施过程中材料和设备价格风险调整依据。</w:t>
      </w:r>
    </w:p>
    <w:p w14:paraId="0B34A664">
      <w:pPr>
        <w:pStyle w:val="16"/>
        <w:spacing w:line="360" w:lineRule="auto"/>
        <w:ind w:firstLine="420" w:firstLineChars="200"/>
        <w:rPr>
          <w:rFonts w:ascii="Times New Roman" w:hAnsi="Times New Roman"/>
          <w:color w:val="auto"/>
          <w:sz w:val="21"/>
        </w:rPr>
      </w:pPr>
      <w:r>
        <w:rPr>
          <w:rFonts w:ascii="Times New Roman" w:hAnsi="Times New Roman"/>
          <w:color w:val="auto"/>
          <w:sz w:val="21"/>
        </w:rPr>
        <w:t xml:space="preserve">1.6 </w:t>
      </w:r>
      <w:r>
        <w:rPr>
          <w:rFonts w:hint="eastAsia" w:ascii="Times New Roman" w:hAnsi="Times New Roman"/>
          <w:color w:val="auto"/>
          <w:sz w:val="21"/>
        </w:rPr>
        <w:t>本工程暂列金额（约按合同造价</w:t>
      </w:r>
      <w:r>
        <w:rPr>
          <w:rFonts w:ascii="Times New Roman" w:hAnsi="Times New Roman"/>
          <w:color w:val="auto"/>
          <w:sz w:val="21"/>
          <w:u w:val="single"/>
        </w:rPr>
        <w:t xml:space="preserve">  </w:t>
      </w:r>
      <w:r>
        <w:rPr>
          <w:rFonts w:hint="eastAsia" w:ascii="Times New Roman" w:hAnsi="Times New Roman"/>
          <w:color w:val="auto"/>
          <w:sz w:val="21"/>
          <w:u w:val="single"/>
        </w:rPr>
        <w:t>/</w:t>
      </w:r>
      <w:r>
        <w:rPr>
          <w:rFonts w:ascii="Times New Roman" w:hAnsi="Times New Roman"/>
          <w:color w:val="auto"/>
          <w:sz w:val="21"/>
          <w:u w:val="single"/>
        </w:rPr>
        <w:t xml:space="preserve">   </w:t>
      </w:r>
      <w:r>
        <w:rPr>
          <w:rFonts w:ascii="Times New Roman" w:hAnsi="Times New Roman"/>
          <w:color w:val="auto"/>
          <w:sz w:val="21"/>
        </w:rPr>
        <w:t>%</w:t>
      </w:r>
      <w:r>
        <w:rPr>
          <w:rFonts w:hint="eastAsia" w:ascii="Times New Roman" w:hAnsi="Times New Roman"/>
          <w:color w:val="auto"/>
          <w:sz w:val="21"/>
        </w:rPr>
        <w:t>计算），共</w:t>
      </w:r>
      <w:r>
        <w:rPr>
          <w:rFonts w:ascii="Times New Roman" w:hAnsi="Times New Roman"/>
          <w:color w:val="auto"/>
          <w:sz w:val="21"/>
          <w:u w:val="single"/>
        </w:rPr>
        <w:t xml:space="preserve">  </w:t>
      </w:r>
      <w:r>
        <w:rPr>
          <w:rFonts w:hint="eastAsia" w:ascii="Times New Roman" w:hAnsi="Times New Roman"/>
          <w:color w:val="auto"/>
          <w:sz w:val="21"/>
          <w:u w:val="single"/>
        </w:rPr>
        <w:t>/</w:t>
      </w:r>
      <w:r>
        <w:rPr>
          <w:rFonts w:ascii="Times New Roman" w:hAnsi="Times New Roman"/>
          <w:color w:val="auto"/>
          <w:sz w:val="21"/>
          <w:u w:val="single"/>
        </w:rPr>
        <w:t xml:space="preserve">  </w:t>
      </w:r>
      <w:r>
        <w:rPr>
          <w:rFonts w:hint="eastAsia" w:ascii="Times New Roman" w:hAnsi="Times New Roman"/>
          <w:color w:val="auto"/>
          <w:sz w:val="21"/>
        </w:rPr>
        <w:t>元，作为合同签订时尚未确定或者不可预见但施工中可能发生的费用。</w:t>
      </w:r>
    </w:p>
    <w:p w14:paraId="33A71204">
      <w:pPr>
        <w:pStyle w:val="16"/>
        <w:spacing w:line="360" w:lineRule="auto"/>
        <w:ind w:firstLine="420" w:firstLineChars="200"/>
        <w:rPr>
          <w:rFonts w:ascii="Times New Roman" w:hAnsi="Times New Roman"/>
          <w:color w:val="auto"/>
          <w:sz w:val="21"/>
        </w:rPr>
      </w:pPr>
      <w:r>
        <w:rPr>
          <w:rFonts w:ascii="Times New Roman" w:hAnsi="Times New Roman"/>
          <w:color w:val="auto"/>
          <w:sz w:val="21"/>
        </w:rPr>
        <w:t xml:space="preserve">1.7 </w:t>
      </w:r>
      <w:r>
        <w:rPr>
          <w:rFonts w:hint="eastAsia" w:ascii="Times New Roman" w:hAnsi="Times New Roman"/>
          <w:color w:val="auto"/>
          <w:sz w:val="21"/>
        </w:rPr>
        <w:t>本工程发包人提供的材料和设备详见《发包人提供的主要材料和工程设备一览表》（表</w:t>
      </w:r>
      <w:r>
        <w:rPr>
          <w:rFonts w:ascii="Times New Roman" w:hAnsi="Times New Roman"/>
          <w:color w:val="auto"/>
          <w:sz w:val="21"/>
        </w:rPr>
        <w:t>-21</w:t>
      </w:r>
      <w:r>
        <w:rPr>
          <w:rFonts w:hint="eastAsia" w:ascii="Times New Roman" w:hAnsi="Times New Roman"/>
          <w:color w:val="auto"/>
          <w:sz w:val="21"/>
        </w:rPr>
        <w:t>）。</w:t>
      </w:r>
    </w:p>
    <w:p w14:paraId="3559F7A1">
      <w:pPr>
        <w:spacing w:line="360" w:lineRule="auto"/>
        <w:ind w:firstLine="420" w:firstLineChars="200"/>
        <w:rPr>
          <w:color w:val="auto"/>
        </w:rPr>
      </w:pPr>
      <w:r>
        <w:rPr>
          <w:color w:val="auto"/>
        </w:rPr>
        <w:t xml:space="preserve">1.8 </w:t>
      </w:r>
      <w:r>
        <w:rPr>
          <w:rFonts w:hint="eastAsia" w:cs="宋体"/>
          <w:color w:val="auto"/>
        </w:rPr>
        <w:t>本工程部分材料和设备在招标时作为暂估价计列，结算按实调整，具体内容详见《材料（工程设备）暂估单价及调整表》（表</w:t>
      </w:r>
      <w:r>
        <w:rPr>
          <w:color w:val="auto"/>
        </w:rPr>
        <w:t>12-2</w:t>
      </w:r>
      <w:r>
        <w:rPr>
          <w:rFonts w:hint="eastAsia" w:cs="宋体"/>
          <w:color w:val="auto"/>
        </w:rPr>
        <w:t>）。</w:t>
      </w:r>
    </w:p>
    <w:p w14:paraId="4D5E4B2C">
      <w:pPr>
        <w:spacing w:line="360" w:lineRule="auto"/>
        <w:ind w:firstLine="420" w:firstLineChars="200"/>
        <w:rPr>
          <w:color w:val="auto"/>
        </w:rPr>
      </w:pPr>
      <w:r>
        <w:rPr>
          <w:color w:val="auto"/>
        </w:rPr>
        <w:t xml:space="preserve">1.9 </w:t>
      </w:r>
      <w:r>
        <w:rPr>
          <w:rFonts w:hint="eastAsia" w:cs="宋体"/>
          <w:color w:val="auto"/>
        </w:rPr>
        <w:t>招标时暂估专业工程的价款属于暂估价，结算按实调整，具体内容详见《专业工程暂估价及结算价表》（表</w:t>
      </w:r>
      <w:r>
        <w:rPr>
          <w:color w:val="auto"/>
        </w:rPr>
        <w:t>12-3</w:t>
      </w:r>
      <w:r>
        <w:rPr>
          <w:rFonts w:hint="eastAsia" w:cs="宋体"/>
          <w:color w:val="auto"/>
        </w:rPr>
        <w:t>）。</w:t>
      </w:r>
    </w:p>
    <w:p w14:paraId="6B3C076B">
      <w:pPr>
        <w:spacing w:line="360" w:lineRule="auto"/>
        <w:ind w:firstLine="420" w:firstLineChars="200"/>
        <w:rPr>
          <w:color w:val="auto"/>
        </w:rPr>
      </w:pPr>
      <w:r>
        <w:rPr>
          <w:color w:val="auto"/>
        </w:rPr>
        <w:t xml:space="preserve">1.10 </w:t>
      </w:r>
      <w:r>
        <w:rPr>
          <w:rFonts w:hint="eastAsia" w:cs="宋体"/>
          <w:color w:val="auto"/>
        </w:rPr>
        <w:t>本工程量清单编码处标注</w:t>
      </w:r>
      <w:r>
        <w:rPr>
          <w:color w:val="auto"/>
        </w:rPr>
        <w:t>“*”</w:t>
      </w:r>
      <w:r>
        <w:rPr>
          <w:rFonts w:hint="eastAsia" w:cs="宋体"/>
          <w:color w:val="auto"/>
        </w:rPr>
        <w:t>号的清单项目作为主要清单项目，需要供应商提供</w:t>
      </w:r>
      <w:r>
        <w:rPr>
          <w:rFonts w:hint="eastAsia" w:hAnsi="宋体" w:cs="宋体"/>
          <w:color w:val="auto"/>
        </w:rPr>
        <w:t>《主要清单项目工料机分析表》（表</w:t>
      </w:r>
      <w:r>
        <w:rPr>
          <w:color w:val="auto"/>
        </w:rPr>
        <w:t>-10</w:t>
      </w:r>
      <w:r>
        <w:rPr>
          <w:rFonts w:hint="eastAsia" w:hAnsi="宋体" w:cs="宋体"/>
          <w:color w:val="auto"/>
        </w:rPr>
        <w:t>）</w:t>
      </w:r>
      <w:r>
        <w:rPr>
          <w:rFonts w:hint="eastAsia" w:cs="宋体"/>
          <w:color w:val="auto"/>
        </w:rPr>
        <w:t>。</w:t>
      </w:r>
    </w:p>
    <w:p w14:paraId="0F0894D3">
      <w:pPr>
        <w:spacing w:line="360" w:lineRule="auto"/>
        <w:ind w:firstLine="420" w:firstLineChars="200"/>
        <w:rPr>
          <w:color w:val="auto"/>
          <w:u w:val="single"/>
        </w:rPr>
      </w:pPr>
      <w:r>
        <w:rPr>
          <w:color w:val="auto"/>
        </w:rPr>
        <w:t xml:space="preserve">1.11 </w:t>
      </w:r>
      <w:r>
        <w:rPr>
          <w:rFonts w:hint="eastAsia" w:cs="宋体"/>
          <w:color w:val="auto"/>
        </w:rPr>
        <w:t>其他需要说明的问题：</w:t>
      </w:r>
      <w:r>
        <w:rPr>
          <w:color w:val="auto"/>
          <w:u w:val="single"/>
        </w:rPr>
        <w:t xml:space="preserve">   </w:t>
      </w:r>
      <w:r>
        <w:rPr>
          <w:rFonts w:hint="eastAsia"/>
          <w:color w:val="auto"/>
          <w:u w:val="single"/>
        </w:rPr>
        <w:t>/</w:t>
      </w:r>
      <w:r>
        <w:rPr>
          <w:color w:val="auto"/>
          <w:u w:val="single"/>
        </w:rPr>
        <w:t xml:space="preserve">                                              </w:t>
      </w:r>
    </w:p>
    <w:p w14:paraId="08FB040B">
      <w:pPr>
        <w:spacing w:line="360" w:lineRule="auto"/>
        <w:rPr>
          <w:color w:val="auto"/>
        </w:rPr>
      </w:pPr>
      <w:r>
        <w:rPr>
          <w:color w:val="auto"/>
          <w:u w:val="single"/>
        </w:rPr>
        <w:t xml:space="preserve">                                                                     </w:t>
      </w:r>
      <w:r>
        <w:rPr>
          <w:rFonts w:hint="eastAsia" w:cs="宋体"/>
          <w:color w:val="auto"/>
        </w:rPr>
        <w:t>。</w:t>
      </w:r>
    </w:p>
    <w:p w14:paraId="7AA5C070">
      <w:pPr>
        <w:spacing w:line="360" w:lineRule="auto"/>
        <w:ind w:firstLine="420" w:firstLineChars="200"/>
        <w:jc w:val="left"/>
        <w:rPr>
          <w:rFonts w:hint="eastAsia" w:cs="宋体"/>
          <w:color w:val="auto"/>
        </w:rPr>
      </w:pPr>
      <w:r>
        <w:rPr>
          <w:color w:val="auto"/>
        </w:rPr>
        <w:t xml:space="preserve">1.12 </w:t>
      </w:r>
      <w:r>
        <w:rPr>
          <w:rFonts w:hint="eastAsia" w:cs="宋体"/>
          <w:color w:val="auto"/>
        </w:rPr>
        <w:t>工程量清单与</w:t>
      </w:r>
      <w:r>
        <w:rPr>
          <w:rFonts w:hint="eastAsia" w:cs="宋体"/>
          <w:color w:val="auto"/>
          <w:lang w:val="en-US" w:eastAsia="zh-CN"/>
        </w:rPr>
        <w:t>磋商</w:t>
      </w:r>
      <w:r>
        <w:rPr>
          <w:rFonts w:hint="eastAsia" w:cs="宋体"/>
          <w:color w:val="auto"/>
        </w:rPr>
        <w:t>文件同时发布。</w:t>
      </w:r>
      <w:r>
        <w:rPr>
          <w:color w:val="auto"/>
        </w:rPr>
        <w:t xml:space="preserve"> </w:t>
      </w:r>
      <w:r>
        <w:rPr>
          <w:rFonts w:hint="eastAsia" w:cs="宋体"/>
          <w:color w:val="auto"/>
        </w:rPr>
        <w:t>一般计税法建设工程的工程量清单表格按</w:t>
      </w:r>
      <w:r>
        <w:rPr>
          <w:rFonts w:hint="eastAsia" w:hAnsi="宋体" w:cs="宋体"/>
          <w:color w:val="auto"/>
          <w:kern w:val="0"/>
        </w:rPr>
        <w:t>《关于建筑业实施营业税改征增值税后广西壮族自治区建设工程计价依据调整的通知》（桂建标〔</w:t>
      </w:r>
      <w:r>
        <w:rPr>
          <w:rFonts w:hAnsi="宋体"/>
          <w:color w:val="auto"/>
          <w:kern w:val="0"/>
        </w:rPr>
        <w:t>2016</w:t>
      </w:r>
      <w:r>
        <w:rPr>
          <w:rFonts w:hint="eastAsia" w:hAnsi="宋体" w:cs="宋体"/>
          <w:color w:val="auto"/>
          <w:kern w:val="0"/>
        </w:rPr>
        <w:t>〕</w:t>
      </w:r>
      <w:r>
        <w:rPr>
          <w:rFonts w:hAnsi="宋体"/>
          <w:color w:val="auto"/>
          <w:kern w:val="0"/>
        </w:rPr>
        <w:t>17</w:t>
      </w:r>
      <w:r>
        <w:rPr>
          <w:rFonts w:hint="eastAsia" w:hAnsi="宋体" w:cs="宋体"/>
          <w:color w:val="auto"/>
          <w:kern w:val="0"/>
        </w:rPr>
        <w:t>号）</w:t>
      </w:r>
      <w:r>
        <w:rPr>
          <w:rFonts w:hint="eastAsia" w:ascii="宋体" w:hAnsi="宋体" w:cs="宋体"/>
          <w:color w:val="auto"/>
        </w:rPr>
        <w:t>附件“增值税一般计税方法工程计价表”要求提供；简易计税法建设工程按照《计价规范》要求的</w:t>
      </w:r>
      <w:r>
        <w:rPr>
          <w:rFonts w:hint="eastAsia" w:cs="宋体"/>
          <w:color w:val="auto"/>
        </w:rPr>
        <w:t>表格提供，但规费和税费要按照《关于建筑业实施营业税改征增值税后广西壮族自治区建设工程计价依据调整的通知》（桂建标〔</w:t>
      </w:r>
      <w:r>
        <w:rPr>
          <w:color w:val="auto"/>
        </w:rPr>
        <w:t>2016</w:t>
      </w:r>
      <w:r>
        <w:rPr>
          <w:rFonts w:hint="eastAsia" w:cs="宋体"/>
          <w:color w:val="auto"/>
        </w:rPr>
        <w:t>〕</w:t>
      </w:r>
      <w:r>
        <w:rPr>
          <w:color w:val="auto"/>
        </w:rPr>
        <w:t>17</w:t>
      </w:r>
      <w:r>
        <w:rPr>
          <w:rFonts w:hint="eastAsia" w:cs="宋体"/>
          <w:color w:val="auto"/>
        </w:rPr>
        <w:t>号）</w:t>
      </w:r>
      <w:r>
        <w:rPr>
          <w:rFonts w:hint="eastAsia" w:ascii="宋体" w:hAnsi="宋体" w:cs="宋体"/>
          <w:color w:val="auto"/>
        </w:rPr>
        <w:t>要求调整，具体</w:t>
      </w:r>
      <w:r>
        <w:rPr>
          <w:rFonts w:hint="eastAsia" w:cs="宋体"/>
          <w:color w:val="auto"/>
        </w:rPr>
        <w:t>包括：</w:t>
      </w:r>
      <w:bookmarkStart w:id="100" w:name="_Toc407135285"/>
      <w:bookmarkStart w:id="101" w:name="_Toc78449870"/>
      <w:bookmarkStart w:id="102" w:name="_Toc347872619"/>
      <w:bookmarkStart w:id="103" w:name="_Toc122424494"/>
      <w:bookmarkStart w:id="104" w:name="_Toc990933621"/>
    </w:p>
    <w:p w14:paraId="371CD4DB">
      <w:pPr>
        <w:spacing w:line="360" w:lineRule="auto"/>
        <w:ind w:firstLine="420" w:firstLineChars="200"/>
        <w:jc w:val="left"/>
        <w:rPr>
          <w:rFonts w:ascii="宋体" w:hAnsi="宋体" w:eastAsia="宋体" w:cs="宋体"/>
          <w:b w:val="0"/>
          <w:bCs w:val="0"/>
          <w:color w:val="auto"/>
          <w:sz w:val="21"/>
          <w:szCs w:val="21"/>
        </w:rPr>
      </w:pPr>
      <w:r>
        <w:rPr>
          <w:rFonts w:ascii="宋体" w:hAnsi="宋体" w:eastAsia="宋体" w:cs="宋体"/>
          <w:b w:val="0"/>
          <w:bCs w:val="0"/>
          <w:color w:val="auto"/>
          <w:sz w:val="21"/>
          <w:szCs w:val="21"/>
        </w:rPr>
        <w:t>1.1 招标工程量清单（封-1）</w:t>
      </w:r>
    </w:p>
    <w:p w14:paraId="7BBBCEB5">
      <w:pPr>
        <w:spacing w:line="360" w:lineRule="auto"/>
        <w:ind w:firstLine="420" w:firstLineChars="200"/>
        <w:jc w:val="left"/>
        <w:rPr>
          <w:rFonts w:ascii="宋体" w:hAnsi="宋体" w:eastAsia="宋体" w:cs="宋体"/>
          <w:b w:val="0"/>
          <w:bCs w:val="0"/>
          <w:color w:val="auto"/>
          <w:sz w:val="21"/>
          <w:szCs w:val="21"/>
        </w:rPr>
      </w:pPr>
      <w:r>
        <w:rPr>
          <w:rFonts w:ascii="宋体" w:hAnsi="宋体" w:eastAsia="宋体" w:cs="宋体"/>
          <w:b w:val="0"/>
          <w:bCs w:val="0"/>
          <w:color w:val="auto"/>
          <w:sz w:val="21"/>
          <w:szCs w:val="21"/>
        </w:rPr>
        <w:t>1.2 招标工程量清单（封扉-1）</w:t>
      </w:r>
    </w:p>
    <w:p w14:paraId="746215E3">
      <w:pPr>
        <w:spacing w:line="360" w:lineRule="auto"/>
        <w:ind w:firstLine="420" w:firstLineChars="200"/>
        <w:jc w:val="left"/>
        <w:rPr>
          <w:rFonts w:ascii="宋体" w:hAnsi="宋体" w:eastAsia="宋体" w:cs="宋体"/>
          <w:b w:val="0"/>
          <w:bCs w:val="0"/>
          <w:color w:val="auto"/>
          <w:sz w:val="21"/>
          <w:szCs w:val="21"/>
        </w:rPr>
      </w:pPr>
      <w:r>
        <w:rPr>
          <w:rFonts w:ascii="宋体" w:hAnsi="宋体" w:eastAsia="宋体" w:cs="宋体"/>
          <w:b w:val="0"/>
          <w:bCs w:val="0"/>
          <w:color w:val="auto"/>
          <w:sz w:val="21"/>
          <w:szCs w:val="21"/>
        </w:rPr>
        <w:t>1.3 总说明（表-01）</w:t>
      </w:r>
    </w:p>
    <w:p w14:paraId="5DE61835">
      <w:pPr>
        <w:spacing w:line="360" w:lineRule="auto"/>
        <w:ind w:firstLine="420" w:firstLineChars="200"/>
        <w:jc w:val="left"/>
        <w:rPr>
          <w:rFonts w:ascii="宋体" w:hAnsi="宋体" w:eastAsia="宋体" w:cs="宋体"/>
          <w:b w:val="0"/>
          <w:bCs w:val="0"/>
          <w:color w:val="auto"/>
          <w:sz w:val="21"/>
          <w:szCs w:val="21"/>
        </w:rPr>
      </w:pPr>
      <w:r>
        <w:rPr>
          <w:rFonts w:ascii="宋体" w:hAnsi="宋体" w:eastAsia="宋体" w:cs="宋体"/>
          <w:b w:val="0"/>
          <w:bCs w:val="0"/>
          <w:color w:val="auto"/>
          <w:sz w:val="21"/>
          <w:szCs w:val="21"/>
        </w:rPr>
        <w:t>1.4 建设项目投标报价汇总表（表-02）</w:t>
      </w:r>
    </w:p>
    <w:p w14:paraId="1667B981">
      <w:pPr>
        <w:spacing w:line="360" w:lineRule="auto"/>
        <w:ind w:firstLine="420" w:firstLineChars="200"/>
        <w:jc w:val="left"/>
        <w:rPr>
          <w:rFonts w:ascii="宋体" w:hAnsi="宋体" w:eastAsia="宋体" w:cs="宋体"/>
          <w:b w:val="0"/>
          <w:bCs w:val="0"/>
          <w:color w:val="auto"/>
          <w:sz w:val="21"/>
          <w:szCs w:val="21"/>
        </w:rPr>
      </w:pPr>
      <w:r>
        <w:rPr>
          <w:rFonts w:ascii="宋体" w:hAnsi="宋体" w:eastAsia="宋体" w:cs="宋体"/>
          <w:b w:val="0"/>
          <w:bCs w:val="0"/>
          <w:color w:val="auto"/>
          <w:sz w:val="21"/>
          <w:szCs w:val="21"/>
        </w:rPr>
        <w:t>1.5 单项工程投标报价汇总表（表-03）</w:t>
      </w:r>
    </w:p>
    <w:p w14:paraId="2ACC6A64">
      <w:pPr>
        <w:spacing w:line="360" w:lineRule="auto"/>
        <w:ind w:firstLine="420" w:firstLineChars="200"/>
        <w:jc w:val="left"/>
        <w:rPr>
          <w:rFonts w:ascii="宋体" w:hAnsi="宋体" w:eastAsia="宋体" w:cs="宋体"/>
          <w:b w:val="0"/>
          <w:bCs w:val="0"/>
          <w:color w:val="auto"/>
          <w:sz w:val="21"/>
          <w:szCs w:val="21"/>
        </w:rPr>
      </w:pPr>
      <w:r>
        <w:rPr>
          <w:rFonts w:ascii="宋体" w:hAnsi="宋体" w:eastAsia="宋体" w:cs="宋体"/>
          <w:b w:val="0"/>
          <w:bCs w:val="0"/>
          <w:color w:val="auto"/>
          <w:sz w:val="21"/>
          <w:szCs w:val="21"/>
        </w:rPr>
        <w:t xml:space="preserve">1.6 单位工程投标报价汇总表（表-04） </w:t>
      </w:r>
    </w:p>
    <w:p w14:paraId="58898EE7">
      <w:pPr>
        <w:spacing w:line="360" w:lineRule="auto"/>
        <w:ind w:firstLine="420" w:firstLineChars="200"/>
        <w:jc w:val="left"/>
        <w:rPr>
          <w:rFonts w:ascii="宋体" w:hAnsi="宋体" w:eastAsia="宋体" w:cs="宋体"/>
          <w:b w:val="0"/>
          <w:bCs w:val="0"/>
          <w:color w:val="auto"/>
          <w:sz w:val="21"/>
          <w:szCs w:val="21"/>
        </w:rPr>
      </w:pPr>
      <w:r>
        <w:rPr>
          <w:rFonts w:ascii="宋体" w:hAnsi="宋体" w:eastAsia="宋体" w:cs="宋体"/>
          <w:b w:val="0"/>
          <w:bCs w:val="0"/>
          <w:color w:val="auto"/>
          <w:sz w:val="21"/>
          <w:szCs w:val="21"/>
        </w:rPr>
        <w:t>1.7 分部分项工程和单价措施项目清单与计价表（表-08）</w:t>
      </w:r>
    </w:p>
    <w:p w14:paraId="0E2273F0">
      <w:pPr>
        <w:spacing w:line="360" w:lineRule="auto"/>
        <w:ind w:firstLine="420" w:firstLineChars="200"/>
        <w:jc w:val="left"/>
        <w:rPr>
          <w:rFonts w:ascii="宋体" w:hAnsi="宋体" w:eastAsia="宋体" w:cs="宋体"/>
          <w:b w:val="0"/>
          <w:bCs w:val="0"/>
          <w:color w:val="auto"/>
          <w:sz w:val="21"/>
          <w:szCs w:val="21"/>
        </w:rPr>
      </w:pPr>
      <w:r>
        <w:rPr>
          <w:rFonts w:ascii="宋体" w:hAnsi="宋体" w:eastAsia="宋体" w:cs="宋体"/>
          <w:b w:val="0"/>
          <w:bCs w:val="0"/>
          <w:color w:val="auto"/>
          <w:sz w:val="21"/>
          <w:szCs w:val="21"/>
        </w:rPr>
        <w:t>1.8 总价措施项目清单与计价表（表-11）</w:t>
      </w:r>
    </w:p>
    <w:p w14:paraId="2FDFBF0E">
      <w:pPr>
        <w:spacing w:line="360" w:lineRule="auto"/>
        <w:ind w:firstLine="420" w:firstLineChars="200"/>
        <w:jc w:val="left"/>
        <w:rPr>
          <w:rFonts w:ascii="宋体" w:hAnsi="宋体" w:eastAsia="宋体" w:cs="宋体"/>
          <w:b w:val="0"/>
          <w:bCs w:val="0"/>
          <w:color w:val="auto"/>
          <w:sz w:val="21"/>
          <w:szCs w:val="21"/>
        </w:rPr>
      </w:pPr>
      <w:r>
        <w:rPr>
          <w:rFonts w:ascii="宋体" w:hAnsi="宋体" w:eastAsia="宋体" w:cs="宋体"/>
          <w:b w:val="0"/>
          <w:bCs w:val="0"/>
          <w:color w:val="auto"/>
          <w:sz w:val="21"/>
          <w:szCs w:val="21"/>
        </w:rPr>
        <w:t>1.9 其他项目清单与计价汇总表（表-12）</w:t>
      </w:r>
    </w:p>
    <w:p w14:paraId="0202C2EB">
      <w:pPr>
        <w:spacing w:line="360" w:lineRule="auto"/>
        <w:ind w:firstLine="420" w:firstLineChars="200"/>
        <w:jc w:val="left"/>
        <w:rPr>
          <w:rFonts w:ascii="宋体" w:hAnsi="宋体" w:eastAsia="宋体" w:cs="宋体"/>
          <w:b w:val="0"/>
          <w:bCs w:val="0"/>
          <w:color w:val="auto"/>
          <w:sz w:val="21"/>
          <w:szCs w:val="21"/>
        </w:rPr>
      </w:pPr>
      <w:r>
        <w:rPr>
          <w:rFonts w:ascii="宋体" w:hAnsi="宋体" w:eastAsia="宋体" w:cs="宋体"/>
          <w:b w:val="0"/>
          <w:bCs w:val="0"/>
          <w:color w:val="auto"/>
          <w:sz w:val="21"/>
          <w:szCs w:val="21"/>
        </w:rPr>
        <w:t>1.10 暂列金额明细表（表12-1）</w:t>
      </w:r>
    </w:p>
    <w:p w14:paraId="3E244EDB">
      <w:pPr>
        <w:spacing w:line="360" w:lineRule="auto"/>
        <w:ind w:firstLine="420" w:firstLineChars="200"/>
        <w:jc w:val="left"/>
        <w:rPr>
          <w:rFonts w:ascii="宋体" w:hAnsi="宋体" w:eastAsia="宋体" w:cs="宋体"/>
          <w:b w:val="0"/>
          <w:bCs w:val="0"/>
          <w:color w:val="auto"/>
          <w:sz w:val="21"/>
          <w:szCs w:val="21"/>
        </w:rPr>
      </w:pPr>
      <w:r>
        <w:rPr>
          <w:rFonts w:ascii="宋体" w:hAnsi="宋体" w:eastAsia="宋体" w:cs="宋体"/>
          <w:b w:val="0"/>
          <w:bCs w:val="0"/>
          <w:color w:val="auto"/>
          <w:sz w:val="21"/>
          <w:szCs w:val="21"/>
        </w:rPr>
        <w:t>1.11 材料（工程设备）暂估单价及调整表（表12-2）</w:t>
      </w:r>
    </w:p>
    <w:p w14:paraId="78A8C67F">
      <w:pPr>
        <w:spacing w:line="360" w:lineRule="auto"/>
        <w:ind w:firstLine="420" w:firstLineChars="200"/>
        <w:jc w:val="left"/>
        <w:rPr>
          <w:rFonts w:ascii="宋体" w:hAnsi="宋体" w:eastAsia="宋体" w:cs="宋体"/>
          <w:b w:val="0"/>
          <w:bCs w:val="0"/>
          <w:color w:val="auto"/>
          <w:sz w:val="21"/>
          <w:szCs w:val="21"/>
        </w:rPr>
      </w:pPr>
      <w:r>
        <w:rPr>
          <w:rFonts w:ascii="宋体" w:hAnsi="宋体" w:eastAsia="宋体" w:cs="宋体"/>
          <w:b w:val="0"/>
          <w:bCs w:val="0"/>
          <w:color w:val="auto"/>
          <w:sz w:val="21"/>
          <w:szCs w:val="21"/>
        </w:rPr>
        <w:t>1.12 专业工程暂估价及结算价表（表12-3）</w:t>
      </w:r>
    </w:p>
    <w:p w14:paraId="0C816DA3">
      <w:pPr>
        <w:spacing w:line="360" w:lineRule="auto"/>
        <w:ind w:firstLine="420" w:firstLineChars="200"/>
        <w:jc w:val="left"/>
        <w:rPr>
          <w:rFonts w:ascii="宋体" w:hAnsi="宋体" w:eastAsia="宋体" w:cs="宋体"/>
          <w:b w:val="0"/>
          <w:bCs w:val="0"/>
          <w:color w:val="auto"/>
          <w:sz w:val="21"/>
          <w:szCs w:val="21"/>
        </w:rPr>
      </w:pPr>
      <w:r>
        <w:rPr>
          <w:rFonts w:ascii="宋体" w:hAnsi="宋体" w:eastAsia="宋体" w:cs="宋体"/>
          <w:b w:val="0"/>
          <w:bCs w:val="0"/>
          <w:color w:val="auto"/>
          <w:sz w:val="21"/>
          <w:szCs w:val="21"/>
        </w:rPr>
        <w:t>1.13 计日工表（表12-4）</w:t>
      </w:r>
    </w:p>
    <w:p w14:paraId="2F7B6892">
      <w:pPr>
        <w:spacing w:line="360" w:lineRule="auto"/>
        <w:ind w:firstLine="420" w:firstLineChars="200"/>
        <w:jc w:val="left"/>
        <w:rPr>
          <w:rFonts w:ascii="宋体" w:hAnsi="宋体" w:eastAsia="宋体" w:cs="宋体"/>
          <w:b w:val="0"/>
          <w:bCs w:val="0"/>
          <w:color w:val="auto"/>
          <w:sz w:val="21"/>
          <w:szCs w:val="21"/>
        </w:rPr>
      </w:pPr>
      <w:r>
        <w:rPr>
          <w:rFonts w:ascii="宋体" w:hAnsi="宋体" w:eastAsia="宋体" w:cs="宋体"/>
          <w:b w:val="0"/>
          <w:bCs w:val="0"/>
          <w:color w:val="auto"/>
          <w:sz w:val="21"/>
          <w:szCs w:val="21"/>
        </w:rPr>
        <w:t xml:space="preserve">1.14 总承包服务费计价表（表12-5） </w:t>
      </w:r>
    </w:p>
    <w:p w14:paraId="57F7F5AF">
      <w:pPr>
        <w:spacing w:line="360" w:lineRule="auto"/>
        <w:ind w:firstLine="420" w:firstLineChars="200"/>
        <w:jc w:val="left"/>
        <w:rPr>
          <w:rFonts w:ascii="宋体" w:hAnsi="宋体" w:eastAsia="宋体" w:cs="宋体"/>
          <w:b w:val="0"/>
          <w:bCs w:val="0"/>
          <w:color w:val="auto"/>
          <w:sz w:val="21"/>
          <w:szCs w:val="21"/>
        </w:rPr>
      </w:pPr>
      <w:r>
        <w:rPr>
          <w:rFonts w:ascii="宋体" w:hAnsi="宋体" w:eastAsia="宋体" w:cs="宋体"/>
          <w:b w:val="0"/>
          <w:bCs w:val="0"/>
          <w:color w:val="auto"/>
          <w:sz w:val="21"/>
          <w:szCs w:val="21"/>
        </w:rPr>
        <w:t>1.15 税前项目清单与计价表（表-14）</w:t>
      </w:r>
    </w:p>
    <w:p w14:paraId="7C482F1F">
      <w:pPr>
        <w:spacing w:line="360" w:lineRule="auto"/>
        <w:ind w:firstLine="420" w:firstLineChars="200"/>
        <w:jc w:val="left"/>
        <w:rPr>
          <w:rFonts w:ascii="宋体" w:hAnsi="宋体" w:eastAsia="宋体" w:cs="宋体"/>
          <w:b w:val="0"/>
          <w:bCs w:val="0"/>
          <w:color w:val="auto"/>
          <w:sz w:val="21"/>
          <w:szCs w:val="21"/>
        </w:rPr>
      </w:pPr>
      <w:r>
        <w:rPr>
          <w:rFonts w:ascii="宋体" w:hAnsi="宋体" w:eastAsia="宋体" w:cs="宋体"/>
          <w:b w:val="0"/>
          <w:bCs w:val="0"/>
          <w:color w:val="auto"/>
          <w:sz w:val="21"/>
          <w:szCs w:val="21"/>
        </w:rPr>
        <w:t>1.16 规费、增值税计价表（表-15）</w:t>
      </w:r>
    </w:p>
    <w:p w14:paraId="09590702">
      <w:pPr>
        <w:spacing w:line="360" w:lineRule="auto"/>
        <w:ind w:firstLine="420" w:firstLineChars="200"/>
        <w:jc w:val="left"/>
        <w:rPr>
          <w:rFonts w:ascii="宋体" w:hAnsi="宋体" w:eastAsia="宋体" w:cs="宋体"/>
          <w:b w:val="0"/>
          <w:bCs w:val="0"/>
          <w:color w:val="auto"/>
          <w:sz w:val="21"/>
          <w:szCs w:val="21"/>
        </w:rPr>
      </w:pPr>
      <w:r>
        <w:rPr>
          <w:rFonts w:ascii="宋体" w:hAnsi="宋体" w:eastAsia="宋体" w:cs="宋体"/>
          <w:b w:val="0"/>
          <w:bCs w:val="0"/>
          <w:color w:val="auto"/>
          <w:sz w:val="21"/>
          <w:szCs w:val="21"/>
        </w:rPr>
        <w:t>1.17 发包人提供主要材料和工程设备一览表（表-21）</w:t>
      </w:r>
    </w:p>
    <w:p w14:paraId="7BA7020A">
      <w:pPr>
        <w:spacing w:line="360" w:lineRule="auto"/>
        <w:ind w:firstLine="420" w:firstLineChars="200"/>
        <w:jc w:val="left"/>
        <w:rPr>
          <w:rFonts w:ascii="宋体" w:hAnsi="宋体" w:eastAsia="宋体" w:cs="宋体"/>
          <w:b w:val="0"/>
          <w:bCs w:val="0"/>
          <w:color w:val="auto"/>
          <w:sz w:val="21"/>
          <w:szCs w:val="21"/>
        </w:rPr>
      </w:pPr>
      <w:r>
        <w:rPr>
          <w:rFonts w:ascii="宋体" w:hAnsi="宋体" w:eastAsia="宋体" w:cs="宋体"/>
          <w:b w:val="0"/>
          <w:bCs w:val="0"/>
          <w:color w:val="auto"/>
          <w:sz w:val="21"/>
          <w:szCs w:val="21"/>
        </w:rPr>
        <w:t xml:space="preserve">1.18 允许调整主要材料和工程设备一览表（适用于造价信息差额调整法）（表-22） </w:t>
      </w:r>
    </w:p>
    <w:p w14:paraId="042DD143">
      <w:pPr>
        <w:spacing w:line="360" w:lineRule="auto"/>
        <w:ind w:firstLine="420" w:firstLineChars="200"/>
        <w:jc w:val="left"/>
        <w:rPr>
          <w:rFonts w:ascii="宋体" w:hAnsi="宋体" w:eastAsia="宋体" w:cs="宋体"/>
          <w:b w:val="0"/>
          <w:bCs w:val="0"/>
          <w:color w:val="auto"/>
          <w:sz w:val="21"/>
          <w:szCs w:val="21"/>
        </w:rPr>
      </w:pPr>
      <w:r>
        <w:rPr>
          <w:rFonts w:ascii="宋体" w:hAnsi="宋体" w:eastAsia="宋体" w:cs="宋体"/>
          <w:b w:val="0"/>
          <w:bCs w:val="0"/>
          <w:color w:val="auto"/>
          <w:sz w:val="21"/>
          <w:szCs w:val="21"/>
        </w:rPr>
        <w:t>1.19 允许调整主要材料和工程设备一览表（适用于价格指数差额调整法）（表-23）</w:t>
      </w:r>
    </w:p>
    <w:p w14:paraId="198EEBB6">
      <w:pPr>
        <w:spacing w:line="360" w:lineRule="auto"/>
        <w:ind w:firstLine="420" w:firstLineChars="200"/>
        <w:jc w:val="left"/>
        <w:rPr>
          <w:rFonts w:ascii="宋体" w:hAnsi="宋体" w:eastAsia="宋体" w:cs="宋体"/>
          <w:b w:val="0"/>
          <w:bCs w:val="0"/>
          <w:color w:val="auto"/>
          <w:sz w:val="21"/>
          <w:szCs w:val="21"/>
        </w:rPr>
      </w:pPr>
      <w:r>
        <w:rPr>
          <w:rFonts w:ascii="宋体" w:hAnsi="宋体" w:eastAsia="宋体" w:cs="宋体"/>
          <w:b w:val="0"/>
          <w:bCs w:val="0"/>
          <w:color w:val="auto"/>
          <w:sz w:val="21"/>
          <w:szCs w:val="21"/>
        </w:rPr>
        <w:t>1.20 本工程材料和工程设备一览表（表-24）</w:t>
      </w:r>
    </w:p>
    <w:p w14:paraId="670417FE">
      <w:pPr>
        <w:spacing w:line="360" w:lineRule="auto"/>
        <w:ind w:firstLine="420" w:firstLineChars="200"/>
        <w:jc w:val="left"/>
        <w:rPr>
          <w:rFonts w:ascii="宋体" w:hAnsi="宋体" w:eastAsia="宋体" w:cs="宋体"/>
          <w:b w:val="0"/>
          <w:bCs w:val="0"/>
          <w:color w:val="auto"/>
          <w:sz w:val="21"/>
          <w:szCs w:val="21"/>
        </w:rPr>
      </w:pPr>
      <w:r>
        <w:rPr>
          <w:rFonts w:ascii="宋体" w:hAnsi="宋体" w:eastAsia="宋体" w:cs="宋体"/>
          <w:b w:val="0"/>
          <w:bCs w:val="0"/>
          <w:color w:val="auto"/>
          <w:sz w:val="21"/>
          <w:szCs w:val="21"/>
        </w:rPr>
        <w:t>注：如本工程在合同中约定采用造价信息价差调整法，1.18 允许调整主要材料和工程设备一览 表（适用于造价信息差额调整法）（表-22）载明的主要材料和工程设备为本工程允许调整材料 和工程设备，招标工程量清单必须提供该表格，并应载明允许调整材料和工程设备名称型号规 格、单位、风险系数、基准单价等内容，且不能提供空白表。</w:t>
      </w:r>
    </w:p>
    <w:p w14:paraId="54133385">
      <w:pPr>
        <w:spacing w:line="360" w:lineRule="auto"/>
        <w:ind w:firstLine="420" w:firstLineChars="200"/>
        <w:jc w:val="left"/>
        <w:rPr>
          <w:rFonts w:ascii="宋体" w:hAnsi="宋体" w:eastAsia="宋体" w:cs="宋体"/>
          <w:b w:val="0"/>
          <w:bCs w:val="0"/>
          <w:color w:val="auto"/>
          <w:sz w:val="21"/>
          <w:szCs w:val="21"/>
        </w:rPr>
      </w:pPr>
      <w:r>
        <w:rPr>
          <w:rFonts w:ascii="宋体" w:hAnsi="宋体" w:eastAsia="宋体" w:cs="宋体"/>
          <w:b w:val="0"/>
          <w:bCs w:val="0"/>
          <w:color w:val="auto"/>
          <w:sz w:val="21"/>
          <w:szCs w:val="21"/>
        </w:rPr>
        <w:t xml:space="preserve">以下表格视工程实际需要选用，如该工程不发生如下表格相关项目和费用，所编制招标工程量清单则不需列入相应表格： </w:t>
      </w:r>
    </w:p>
    <w:p w14:paraId="6B1316EB">
      <w:pPr>
        <w:keepNext/>
        <w:keepLines/>
        <w:pageBreakBefore w:val="0"/>
        <w:widowControl w:val="0"/>
        <w:kinsoku/>
        <w:wordWrap/>
        <w:overflowPunct/>
        <w:topLinePunct w:val="0"/>
        <w:autoSpaceDE/>
        <w:autoSpaceDN/>
        <w:bidi w:val="0"/>
        <w:adjustRightInd/>
        <w:snapToGrid/>
        <w:spacing w:before="0" w:after="0" w:line="360" w:lineRule="auto"/>
        <w:ind w:firstLine="420" w:firstLineChars="200"/>
        <w:textAlignment w:val="auto"/>
        <w:outlineLvl w:val="9"/>
        <w:rPr>
          <w:rFonts w:ascii="宋体" w:hAnsi="宋体" w:eastAsia="宋体" w:cs="宋体"/>
          <w:b w:val="0"/>
          <w:bCs w:val="0"/>
          <w:color w:val="auto"/>
          <w:sz w:val="21"/>
          <w:szCs w:val="21"/>
        </w:rPr>
      </w:pPr>
      <w:r>
        <w:rPr>
          <w:rFonts w:ascii="宋体" w:hAnsi="宋体" w:eastAsia="宋体" w:cs="宋体"/>
          <w:b w:val="0"/>
          <w:bCs w:val="0"/>
          <w:color w:val="auto"/>
          <w:sz w:val="21"/>
          <w:szCs w:val="21"/>
        </w:rPr>
        <w:t>①建设项目投标报价汇总表（表-02）</w:t>
      </w:r>
    </w:p>
    <w:p w14:paraId="622EFE3C">
      <w:pPr>
        <w:keepNext/>
        <w:keepLines/>
        <w:pageBreakBefore w:val="0"/>
        <w:widowControl w:val="0"/>
        <w:kinsoku/>
        <w:wordWrap/>
        <w:overflowPunct/>
        <w:topLinePunct w:val="0"/>
        <w:autoSpaceDE/>
        <w:autoSpaceDN/>
        <w:bidi w:val="0"/>
        <w:adjustRightInd/>
        <w:snapToGrid/>
        <w:spacing w:before="0" w:after="0" w:line="360" w:lineRule="auto"/>
        <w:ind w:firstLine="420" w:firstLineChars="200"/>
        <w:textAlignment w:val="auto"/>
        <w:outlineLvl w:val="9"/>
        <w:rPr>
          <w:rFonts w:ascii="宋体" w:hAnsi="宋体" w:eastAsia="宋体" w:cs="宋体"/>
          <w:b w:val="0"/>
          <w:bCs w:val="0"/>
          <w:color w:val="auto"/>
          <w:sz w:val="21"/>
          <w:szCs w:val="21"/>
        </w:rPr>
      </w:pPr>
      <w:r>
        <w:rPr>
          <w:rFonts w:ascii="宋体" w:hAnsi="宋体" w:eastAsia="宋体" w:cs="宋体"/>
          <w:b w:val="0"/>
          <w:bCs w:val="0"/>
          <w:color w:val="auto"/>
          <w:sz w:val="21"/>
          <w:szCs w:val="21"/>
        </w:rPr>
        <w:t>②暂列金额明细表（表12-1）</w:t>
      </w:r>
    </w:p>
    <w:p w14:paraId="0CC59AD6">
      <w:pPr>
        <w:keepNext/>
        <w:keepLines/>
        <w:pageBreakBefore w:val="0"/>
        <w:widowControl w:val="0"/>
        <w:kinsoku/>
        <w:wordWrap/>
        <w:overflowPunct/>
        <w:topLinePunct w:val="0"/>
        <w:autoSpaceDE/>
        <w:autoSpaceDN/>
        <w:bidi w:val="0"/>
        <w:adjustRightInd/>
        <w:snapToGrid/>
        <w:spacing w:before="0" w:after="0" w:line="360" w:lineRule="auto"/>
        <w:ind w:firstLine="420" w:firstLineChars="200"/>
        <w:textAlignment w:val="auto"/>
        <w:outlineLvl w:val="9"/>
        <w:rPr>
          <w:rFonts w:ascii="宋体" w:hAnsi="宋体" w:eastAsia="宋体" w:cs="宋体"/>
          <w:b w:val="0"/>
          <w:bCs w:val="0"/>
          <w:color w:val="auto"/>
          <w:sz w:val="21"/>
          <w:szCs w:val="21"/>
        </w:rPr>
      </w:pPr>
      <w:r>
        <w:rPr>
          <w:rFonts w:ascii="宋体" w:hAnsi="宋体" w:eastAsia="宋体" w:cs="宋体"/>
          <w:b w:val="0"/>
          <w:bCs w:val="0"/>
          <w:color w:val="auto"/>
          <w:sz w:val="21"/>
          <w:szCs w:val="21"/>
        </w:rPr>
        <w:t>③材料（工程设备）暂估单价及调整表（表12-2）</w:t>
      </w:r>
    </w:p>
    <w:p w14:paraId="368D3721">
      <w:pPr>
        <w:keepNext/>
        <w:keepLines/>
        <w:pageBreakBefore w:val="0"/>
        <w:widowControl w:val="0"/>
        <w:kinsoku/>
        <w:wordWrap/>
        <w:overflowPunct/>
        <w:topLinePunct w:val="0"/>
        <w:autoSpaceDE/>
        <w:autoSpaceDN/>
        <w:bidi w:val="0"/>
        <w:adjustRightInd/>
        <w:snapToGrid/>
        <w:spacing w:before="0" w:after="0" w:line="360" w:lineRule="auto"/>
        <w:textAlignment w:val="auto"/>
        <w:outlineLvl w:val="9"/>
        <w:rPr>
          <w:rFonts w:ascii="宋体" w:hAnsi="宋体" w:eastAsia="宋体" w:cs="宋体"/>
          <w:b w:val="0"/>
          <w:bCs w:val="0"/>
          <w:color w:val="auto"/>
          <w:sz w:val="21"/>
          <w:szCs w:val="21"/>
        </w:rPr>
      </w:pPr>
      <w:r>
        <w:rPr>
          <w:rFonts w:ascii="宋体" w:hAnsi="宋体" w:eastAsia="宋体" w:cs="宋体"/>
          <w:b w:val="0"/>
          <w:bCs w:val="0"/>
          <w:color w:val="auto"/>
          <w:sz w:val="21"/>
          <w:szCs w:val="21"/>
        </w:rPr>
        <w:t xml:space="preserve"> </w:t>
      </w:r>
      <w:r>
        <w:rPr>
          <w:rFonts w:hint="eastAsia" w:ascii="宋体" w:hAnsi="宋体" w:eastAsia="宋体" w:cs="宋体"/>
          <w:b w:val="0"/>
          <w:bCs w:val="0"/>
          <w:color w:val="auto"/>
          <w:sz w:val="21"/>
          <w:szCs w:val="21"/>
          <w:lang w:val="en-US" w:eastAsia="zh-CN"/>
        </w:rPr>
        <w:t xml:space="preserve">   </w:t>
      </w:r>
      <w:r>
        <w:rPr>
          <w:rFonts w:ascii="宋体" w:hAnsi="宋体" w:eastAsia="宋体" w:cs="宋体"/>
          <w:b w:val="0"/>
          <w:bCs w:val="0"/>
          <w:color w:val="auto"/>
          <w:sz w:val="21"/>
          <w:szCs w:val="21"/>
        </w:rPr>
        <w:t>④专业工程暂估价表（表12-3）</w:t>
      </w:r>
    </w:p>
    <w:p w14:paraId="3C85B72B">
      <w:pPr>
        <w:keepNext/>
        <w:keepLines/>
        <w:pageBreakBefore w:val="0"/>
        <w:widowControl w:val="0"/>
        <w:kinsoku/>
        <w:wordWrap/>
        <w:overflowPunct/>
        <w:topLinePunct w:val="0"/>
        <w:autoSpaceDE/>
        <w:autoSpaceDN/>
        <w:bidi w:val="0"/>
        <w:adjustRightInd/>
        <w:snapToGrid/>
        <w:spacing w:before="0" w:after="0" w:line="360" w:lineRule="auto"/>
        <w:ind w:firstLine="420" w:firstLineChars="200"/>
        <w:textAlignment w:val="auto"/>
        <w:outlineLvl w:val="9"/>
        <w:rPr>
          <w:rFonts w:ascii="宋体" w:hAnsi="宋体" w:eastAsia="宋体" w:cs="宋体"/>
          <w:b w:val="0"/>
          <w:bCs w:val="0"/>
          <w:color w:val="auto"/>
          <w:sz w:val="21"/>
          <w:szCs w:val="21"/>
        </w:rPr>
      </w:pPr>
      <w:r>
        <w:rPr>
          <w:rFonts w:ascii="宋体" w:hAnsi="宋体" w:eastAsia="宋体" w:cs="宋体"/>
          <w:b w:val="0"/>
          <w:bCs w:val="0"/>
          <w:color w:val="auto"/>
          <w:sz w:val="21"/>
          <w:szCs w:val="21"/>
        </w:rPr>
        <w:t xml:space="preserve">⑤计日工表（表12-4） </w:t>
      </w:r>
    </w:p>
    <w:p w14:paraId="554A0959">
      <w:pPr>
        <w:keepNext/>
        <w:keepLines/>
        <w:pageBreakBefore w:val="0"/>
        <w:widowControl w:val="0"/>
        <w:kinsoku/>
        <w:wordWrap/>
        <w:overflowPunct/>
        <w:topLinePunct w:val="0"/>
        <w:autoSpaceDE/>
        <w:autoSpaceDN/>
        <w:bidi w:val="0"/>
        <w:adjustRightInd/>
        <w:snapToGrid/>
        <w:spacing w:before="0" w:after="0" w:line="360" w:lineRule="auto"/>
        <w:ind w:firstLine="420" w:firstLineChars="200"/>
        <w:textAlignment w:val="auto"/>
        <w:outlineLvl w:val="9"/>
        <w:rPr>
          <w:rFonts w:ascii="宋体" w:hAnsi="宋体" w:eastAsia="宋体" w:cs="宋体"/>
          <w:b w:val="0"/>
          <w:bCs w:val="0"/>
          <w:color w:val="auto"/>
          <w:sz w:val="21"/>
          <w:szCs w:val="21"/>
        </w:rPr>
      </w:pPr>
      <w:r>
        <w:rPr>
          <w:rFonts w:ascii="宋体" w:hAnsi="宋体" w:eastAsia="宋体" w:cs="宋体"/>
          <w:b w:val="0"/>
          <w:bCs w:val="0"/>
          <w:color w:val="auto"/>
          <w:sz w:val="21"/>
          <w:szCs w:val="21"/>
        </w:rPr>
        <w:t>⑥总承包服务费计价表（表12-5）</w:t>
      </w:r>
    </w:p>
    <w:p w14:paraId="1D956A17">
      <w:pPr>
        <w:keepNext/>
        <w:keepLines/>
        <w:pageBreakBefore w:val="0"/>
        <w:widowControl w:val="0"/>
        <w:kinsoku/>
        <w:wordWrap/>
        <w:overflowPunct/>
        <w:topLinePunct w:val="0"/>
        <w:autoSpaceDE/>
        <w:autoSpaceDN/>
        <w:bidi w:val="0"/>
        <w:adjustRightInd/>
        <w:snapToGrid/>
        <w:spacing w:before="0" w:after="0" w:line="360" w:lineRule="auto"/>
        <w:ind w:firstLine="420" w:firstLineChars="200"/>
        <w:textAlignment w:val="auto"/>
        <w:outlineLvl w:val="9"/>
        <w:rPr>
          <w:rFonts w:ascii="宋体" w:hAnsi="宋体" w:eastAsia="宋体" w:cs="宋体"/>
          <w:b w:val="0"/>
          <w:bCs w:val="0"/>
          <w:color w:val="auto"/>
          <w:sz w:val="21"/>
          <w:szCs w:val="21"/>
        </w:rPr>
      </w:pPr>
      <w:r>
        <w:rPr>
          <w:rFonts w:ascii="宋体" w:hAnsi="宋体" w:eastAsia="宋体" w:cs="宋体"/>
          <w:b w:val="0"/>
          <w:bCs w:val="0"/>
          <w:color w:val="auto"/>
          <w:sz w:val="21"/>
          <w:szCs w:val="21"/>
        </w:rPr>
        <w:t>⑦税前项目清单与计价表（表-14）</w:t>
      </w:r>
    </w:p>
    <w:p w14:paraId="0004F820">
      <w:pPr>
        <w:keepNext/>
        <w:keepLines/>
        <w:pageBreakBefore w:val="0"/>
        <w:widowControl w:val="0"/>
        <w:kinsoku/>
        <w:wordWrap/>
        <w:overflowPunct/>
        <w:topLinePunct w:val="0"/>
        <w:autoSpaceDE/>
        <w:autoSpaceDN/>
        <w:bidi w:val="0"/>
        <w:adjustRightInd/>
        <w:snapToGrid/>
        <w:spacing w:before="0" w:after="0" w:line="360" w:lineRule="auto"/>
        <w:ind w:firstLine="420" w:firstLineChars="200"/>
        <w:textAlignment w:val="auto"/>
        <w:outlineLvl w:val="9"/>
        <w:rPr>
          <w:rFonts w:ascii="宋体" w:hAnsi="宋体" w:eastAsia="宋体" w:cs="宋体"/>
          <w:b w:val="0"/>
          <w:bCs w:val="0"/>
          <w:color w:val="auto"/>
          <w:sz w:val="21"/>
          <w:szCs w:val="21"/>
        </w:rPr>
      </w:pPr>
      <w:r>
        <w:rPr>
          <w:rFonts w:ascii="宋体" w:hAnsi="宋体" w:eastAsia="宋体" w:cs="宋体"/>
          <w:b w:val="0"/>
          <w:bCs w:val="0"/>
          <w:color w:val="auto"/>
          <w:sz w:val="21"/>
          <w:szCs w:val="21"/>
        </w:rPr>
        <w:t>⑧ 允许调整主要材料和工程设备一览表（适用于价格指数差额调整法）（表-23）</w:t>
      </w:r>
    </w:p>
    <w:p w14:paraId="403C0FFD">
      <w:pPr>
        <w:pStyle w:val="4"/>
        <w:spacing w:before="0" w:after="0" w:line="360" w:lineRule="auto"/>
        <w:rPr>
          <w:color w:val="auto"/>
        </w:rPr>
      </w:pPr>
      <w:r>
        <w:rPr>
          <w:color w:val="auto"/>
        </w:rPr>
        <w:t>2</w:t>
      </w:r>
      <w:r>
        <w:rPr>
          <w:rFonts w:hint="eastAsia"/>
          <w:color w:val="auto"/>
        </w:rPr>
        <w:t>.</w:t>
      </w:r>
      <w:r>
        <w:rPr>
          <w:rFonts w:hint="eastAsia"/>
          <w:color w:val="auto"/>
          <w:lang w:val="en-US" w:eastAsia="zh-CN"/>
        </w:rPr>
        <w:t>预算</w:t>
      </w:r>
      <w:r>
        <w:rPr>
          <w:rFonts w:hint="eastAsia" w:cs="黑体"/>
          <w:color w:val="auto"/>
        </w:rPr>
        <w:t>价编制说明</w:t>
      </w:r>
      <w:bookmarkEnd w:id="100"/>
      <w:bookmarkEnd w:id="101"/>
      <w:bookmarkEnd w:id="102"/>
      <w:bookmarkEnd w:id="103"/>
      <w:bookmarkEnd w:id="104"/>
    </w:p>
    <w:p w14:paraId="575B4029">
      <w:pPr>
        <w:spacing w:line="360" w:lineRule="auto"/>
        <w:ind w:firstLine="420" w:firstLineChars="200"/>
        <w:rPr>
          <w:color w:val="auto"/>
        </w:rPr>
      </w:pPr>
      <w:r>
        <w:rPr>
          <w:color w:val="auto"/>
        </w:rPr>
        <w:t xml:space="preserve">2.1 </w:t>
      </w:r>
      <w:r>
        <w:rPr>
          <w:rFonts w:hint="eastAsia" w:hAnsi="宋体" w:cs="宋体"/>
          <w:color w:val="auto"/>
        </w:rPr>
        <w:t>编制依据：</w:t>
      </w:r>
    </w:p>
    <w:p w14:paraId="2D55AFC0">
      <w:pPr>
        <w:spacing w:line="360" w:lineRule="auto"/>
        <w:ind w:firstLine="420" w:firstLineChars="200"/>
        <w:rPr>
          <w:rFonts w:hint="default"/>
          <w:color w:val="auto"/>
          <w:lang w:val="en-US" w:eastAsia="zh-CN"/>
        </w:rPr>
      </w:pPr>
      <w:r>
        <w:rPr>
          <w:rFonts w:hint="eastAsia"/>
          <w:color w:val="auto"/>
          <w:lang w:val="en-US" w:eastAsia="zh-CN"/>
        </w:rPr>
        <w:t>详见工程量清单。</w:t>
      </w:r>
    </w:p>
    <w:p w14:paraId="11D50E05">
      <w:pPr>
        <w:spacing w:line="360" w:lineRule="auto"/>
        <w:ind w:firstLine="420" w:firstLineChars="200"/>
        <w:rPr>
          <w:color w:val="auto"/>
        </w:rPr>
      </w:pPr>
      <w:r>
        <w:rPr>
          <w:color w:val="auto"/>
        </w:rPr>
        <w:t xml:space="preserve">2.2 </w:t>
      </w:r>
      <w:r>
        <w:rPr>
          <w:rFonts w:hint="eastAsia" w:hAnsi="宋体" w:cs="宋体"/>
          <w:color w:val="auto"/>
        </w:rPr>
        <w:t>分部分项及单价措施项目综合单价应包括</w:t>
      </w:r>
      <w:r>
        <w:rPr>
          <w:rFonts w:hint="eastAsia" w:hAnsi="宋体" w:cs="宋体"/>
          <w:color w:val="auto"/>
          <w:lang w:val="en-US" w:eastAsia="zh-CN"/>
        </w:rPr>
        <w:t>磋商</w:t>
      </w:r>
      <w:r>
        <w:rPr>
          <w:rFonts w:hint="eastAsia" w:hAnsi="宋体" w:cs="宋体"/>
          <w:color w:val="auto"/>
        </w:rPr>
        <w:t>文件中采购人要求供应商所承担的风险内容及其范围（幅度）产生的风险费用。</w:t>
      </w:r>
    </w:p>
    <w:p w14:paraId="35FCD715">
      <w:pPr>
        <w:spacing w:line="360" w:lineRule="auto"/>
        <w:ind w:firstLine="420"/>
        <w:rPr>
          <w:color w:val="auto"/>
        </w:rPr>
      </w:pPr>
      <w:r>
        <w:rPr>
          <w:color w:val="auto"/>
        </w:rPr>
        <w:t xml:space="preserve">2.3 </w:t>
      </w:r>
      <w:r>
        <w:rPr>
          <w:rFonts w:hint="eastAsia" w:hAnsi="宋体" w:cs="宋体"/>
          <w:color w:val="auto"/>
        </w:rPr>
        <w:t>总价措施项目应根据拟定的</w:t>
      </w:r>
      <w:r>
        <w:rPr>
          <w:rFonts w:hint="eastAsia" w:hAnsi="宋体" w:cs="宋体"/>
          <w:color w:val="auto"/>
          <w:lang w:val="en-US" w:eastAsia="zh-CN"/>
        </w:rPr>
        <w:t>磋商</w:t>
      </w:r>
      <w:r>
        <w:rPr>
          <w:rFonts w:hint="eastAsia" w:hAnsi="宋体" w:cs="宋体"/>
          <w:color w:val="auto"/>
        </w:rPr>
        <w:t>文件和常规施工方案按《计价规范》和《计算规范》规定编制。</w:t>
      </w:r>
    </w:p>
    <w:p w14:paraId="5D44A37C">
      <w:pPr>
        <w:spacing w:line="360" w:lineRule="auto"/>
        <w:ind w:firstLine="420" w:firstLineChars="200"/>
        <w:rPr>
          <w:color w:val="auto"/>
        </w:rPr>
      </w:pPr>
      <w:r>
        <w:rPr>
          <w:color w:val="auto"/>
        </w:rPr>
        <w:t xml:space="preserve">2.4 </w:t>
      </w:r>
      <w:r>
        <w:rPr>
          <w:rFonts w:hint="eastAsia" w:cs="宋体"/>
          <w:color w:val="auto"/>
        </w:rPr>
        <w:t>其他项目费应按下列规定报价：</w:t>
      </w:r>
    </w:p>
    <w:p w14:paraId="71833829">
      <w:pPr>
        <w:spacing w:line="360" w:lineRule="auto"/>
        <w:ind w:firstLine="420" w:firstLineChars="200"/>
        <w:rPr>
          <w:color w:val="auto"/>
        </w:rPr>
      </w:pPr>
      <w:r>
        <w:rPr>
          <w:rFonts w:hint="eastAsia" w:cs="宋体"/>
          <w:color w:val="auto"/>
        </w:rPr>
        <w:t>（</w:t>
      </w:r>
      <w:r>
        <w:rPr>
          <w:color w:val="auto"/>
        </w:rPr>
        <w:t>1</w:t>
      </w:r>
      <w:r>
        <w:rPr>
          <w:rFonts w:hint="eastAsia" w:cs="宋体"/>
          <w:color w:val="auto"/>
        </w:rPr>
        <w:t>）暂列金额应按工程量清单中列出的金额填写；</w:t>
      </w:r>
    </w:p>
    <w:p w14:paraId="270AF2A1">
      <w:pPr>
        <w:pStyle w:val="47"/>
        <w:spacing w:line="360" w:lineRule="auto"/>
        <w:ind w:firstLine="420" w:firstLineChars="200"/>
        <w:rPr>
          <w:color w:val="auto"/>
        </w:rPr>
      </w:pPr>
      <w:r>
        <w:rPr>
          <w:rFonts w:hint="eastAsia" w:cs="宋体"/>
          <w:color w:val="auto"/>
        </w:rPr>
        <w:t>（</w:t>
      </w:r>
      <w:r>
        <w:rPr>
          <w:color w:val="auto"/>
        </w:rPr>
        <w:t>2</w:t>
      </w:r>
      <w:r>
        <w:rPr>
          <w:rFonts w:hint="eastAsia" w:cs="宋体"/>
          <w:color w:val="auto"/>
        </w:rPr>
        <w:t>）材料、工程设备暂估价应按工程量清单中列出的单价计入综合单价；</w:t>
      </w:r>
    </w:p>
    <w:p w14:paraId="0B04E6FF">
      <w:pPr>
        <w:spacing w:line="360" w:lineRule="auto"/>
        <w:ind w:firstLine="420" w:firstLineChars="200"/>
        <w:rPr>
          <w:color w:val="auto"/>
        </w:rPr>
      </w:pPr>
      <w:r>
        <w:rPr>
          <w:rFonts w:hint="eastAsia" w:cs="宋体"/>
          <w:color w:val="auto"/>
        </w:rPr>
        <w:t>（</w:t>
      </w:r>
      <w:r>
        <w:rPr>
          <w:color w:val="auto"/>
        </w:rPr>
        <w:t>3</w:t>
      </w:r>
      <w:r>
        <w:rPr>
          <w:rFonts w:hint="eastAsia" w:cs="宋体"/>
          <w:color w:val="auto"/>
        </w:rPr>
        <w:t>）专业工程暂估价应按工程量清单中列出的金额填写；</w:t>
      </w:r>
    </w:p>
    <w:p w14:paraId="4152AE30">
      <w:pPr>
        <w:spacing w:line="360" w:lineRule="auto"/>
        <w:ind w:firstLine="420" w:firstLineChars="200"/>
        <w:rPr>
          <w:color w:val="auto"/>
        </w:rPr>
      </w:pPr>
      <w:r>
        <w:rPr>
          <w:rFonts w:hint="eastAsia" w:cs="宋体"/>
          <w:color w:val="auto"/>
        </w:rPr>
        <w:t>（</w:t>
      </w:r>
      <w:r>
        <w:rPr>
          <w:color w:val="auto"/>
        </w:rPr>
        <w:t>4</w:t>
      </w:r>
      <w:r>
        <w:rPr>
          <w:rFonts w:hint="eastAsia" w:cs="宋体"/>
          <w:color w:val="auto"/>
        </w:rPr>
        <w:t>）计日工应按工程量清单中列出的项目和数量，根据工程特点和有关计价依据确定的综合单价计算；</w:t>
      </w:r>
    </w:p>
    <w:p w14:paraId="6D7A61D8">
      <w:pPr>
        <w:spacing w:line="360" w:lineRule="auto"/>
        <w:ind w:firstLine="420" w:firstLineChars="200"/>
        <w:rPr>
          <w:rFonts w:cs="宋体"/>
          <w:color w:val="auto"/>
        </w:rPr>
      </w:pPr>
      <w:r>
        <w:rPr>
          <w:rFonts w:hint="eastAsia" w:cs="宋体"/>
          <w:color w:val="auto"/>
        </w:rPr>
        <w:t>（</w:t>
      </w:r>
      <w:r>
        <w:rPr>
          <w:color w:val="auto"/>
        </w:rPr>
        <w:t>5</w:t>
      </w:r>
      <w:r>
        <w:rPr>
          <w:rFonts w:hint="eastAsia" w:cs="宋体"/>
          <w:color w:val="auto"/>
        </w:rPr>
        <w:t>）总承包服务费应根据工程量清单列出的内容</w:t>
      </w:r>
      <w:r>
        <w:rPr>
          <w:rFonts w:hint="eastAsia" w:hAnsi="宋体" w:cs="宋体"/>
          <w:color w:val="auto"/>
        </w:rPr>
        <w:t>和要求，按自治区住</w:t>
      </w:r>
      <w:r>
        <w:rPr>
          <w:rFonts w:hint="eastAsia" w:hAnsi="宋体" w:cs="宋体"/>
          <w:color w:val="auto"/>
          <w:lang w:eastAsia="zh-CN"/>
        </w:rPr>
        <w:t>房和</w:t>
      </w:r>
      <w:r>
        <w:rPr>
          <w:rFonts w:hint="eastAsia" w:hAnsi="宋体" w:cs="宋体"/>
          <w:color w:val="auto"/>
        </w:rPr>
        <w:t>城乡建设行政主管部门颁发的计价定额及有关规定计算</w:t>
      </w:r>
      <w:r>
        <w:rPr>
          <w:rFonts w:hint="eastAsia" w:cs="宋体"/>
          <w:color w:val="auto"/>
        </w:rPr>
        <w:t>。</w:t>
      </w:r>
    </w:p>
    <w:p w14:paraId="2DAB70F5">
      <w:pPr>
        <w:spacing w:line="360" w:lineRule="auto"/>
        <w:ind w:firstLine="420" w:firstLineChars="200"/>
        <w:rPr>
          <w:rFonts w:hint="eastAsia"/>
          <w:color w:val="auto"/>
        </w:rPr>
      </w:pPr>
      <w:r>
        <w:rPr>
          <w:rFonts w:hint="eastAsia"/>
          <w:color w:val="auto"/>
        </w:rPr>
        <w:t>（6）对建设单位创建优质工程的，鼓励在招标控制价和预算中按广西区工程建设定额规定计列工程优质费，并明确工程优质费不可竞争。</w:t>
      </w:r>
    </w:p>
    <w:p w14:paraId="2AEE36F8">
      <w:pPr>
        <w:spacing w:line="360" w:lineRule="auto"/>
        <w:ind w:firstLine="420" w:firstLineChars="200"/>
        <w:rPr>
          <w:color w:val="auto"/>
        </w:rPr>
      </w:pPr>
      <w:r>
        <w:rPr>
          <w:color w:val="auto"/>
        </w:rPr>
        <w:t xml:space="preserve">2.5 </w:t>
      </w:r>
      <w:r>
        <w:rPr>
          <w:rFonts w:hint="eastAsia" w:cs="宋体"/>
          <w:color w:val="auto"/>
        </w:rPr>
        <w:t>规费和增值税应按规定确定，作为不可竞争费用。</w:t>
      </w:r>
    </w:p>
    <w:p w14:paraId="3D5E0414">
      <w:pPr>
        <w:spacing w:line="360" w:lineRule="auto"/>
        <w:ind w:firstLine="420"/>
        <w:rPr>
          <w:rFonts w:hAnsi="宋体"/>
          <w:color w:val="auto"/>
        </w:rPr>
      </w:pPr>
      <w:r>
        <w:rPr>
          <w:color w:val="auto"/>
        </w:rPr>
        <w:t xml:space="preserve">2.6 </w:t>
      </w:r>
      <w:r>
        <w:rPr>
          <w:rFonts w:hint="eastAsia" w:hAnsi="宋体" w:cs="宋体"/>
          <w:color w:val="auto"/>
        </w:rPr>
        <w:t>其他需要说明的问题：</w:t>
      </w:r>
      <w:r>
        <w:rPr>
          <w:color w:val="auto"/>
          <w:u w:val="single"/>
        </w:rPr>
        <w:t xml:space="preserve">   </w:t>
      </w:r>
      <w:r>
        <w:rPr>
          <w:rFonts w:hint="eastAsia"/>
          <w:color w:val="auto"/>
          <w:u w:val="single"/>
        </w:rPr>
        <w:t>/</w:t>
      </w:r>
      <w:r>
        <w:rPr>
          <w:color w:val="auto"/>
          <w:u w:val="single"/>
        </w:rPr>
        <w:t xml:space="preserve">                                   </w:t>
      </w:r>
      <w:r>
        <w:rPr>
          <w:rFonts w:hint="eastAsia" w:hAnsi="宋体" w:cs="宋体"/>
          <w:color w:val="auto"/>
        </w:rPr>
        <w:t>。</w:t>
      </w:r>
    </w:p>
    <w:p w14:paraId="3B697DCE">
      <w:pPr>
        <w:pStyle w:val="4"/>
        <w:spacing w:before="0" w:after="0" w:line="360" w:lineRule="auto"/>
        <w:rPr>
          <w:color w:val="auto"/>
        </w:rPr>
      </w:pPr>
      <w:bookmarkStart w:id="105" w:name="_Toc122424495"/>
      <w:bookmarkStart w:id="106" w:name="_Toc78449871"/>
      <w:bookmarkStart w:id="107" w:name="_Toc378483916"/>
      <w:bookmarkStart w:id="108" w:name="_Toc407135286"/>
      <w:bookmarkStart w:id="109" w:name="_Toc879821176"/>
      <w:r>
        <w:rPr>
          <w:color w:val="auto"/>
        </w:rPr>
        <w:t>3</w:t>
      </w:r>
      <w:r>
        <w:rPr>
          <w:rFonts w:hint="eastAsia"/>
          <w:color w:val="auto"/>
        </w:rPr>
        <w:t>.</w:t>
      </w:r>
      <w:r>
        <w:rPr>
          <w:rFonts w:hint="eastAsia" w:cs="黑体"/>
          <w:color w:val="auto"/>
        </w:rPr>
        <w:t>竞标报价（已标价工程量清单）编制说明</w:t>
      </w:r>
      <w:bookmarkEnd w:id="105"/>
      <w:bookmarkEnd w:id="106"/>
      <w:bookmarkEnd w:id="107"/>
      <w:bookmarkEnd w:id="108"/>
      <w:bookmarkEnd w:id="109"/>
    </w:p>
    <w:p w14:paraId="4C902F33">
      <w:pPr>
        <w:spacing w:line="360" w:lineRule="auto"/>
        <w:ind w:firstLine="420" w:firstLineChars="200"/>
        <w:rPr>
          <w:color w:val="auto"/>
        </w:rPr>
      </w:pPr>
      <w:r>
        <w:rPr>
          <w:color w:val="auto"/>
        </w:rPr>
        <w:t xml:space="preserve">3.1 </w:t>
      </w:r>
      <w:r>
        <w:rPr>
          <w:rFonts w:hint="eastAsia" w:cs="宋体"/>
          <w:color w:val="auto"/>
        </w:rPr>
        <w:t>供应商应依据</w:t>
      </w:r>
      <w:r>
        <w:rPr>
          <w:rFonts w:hint="eastAsia" w:cs="宋体"/>
          <w:color w:val="auto"/>
          <w:lang w:val="en-US" w:eastAsia="zh-CN"/>
        </w:rPr>
        <w:t>磋商</w:t>
      </w:r>
      <w:r>
        <w:rPr>
          <w:rFonts w:hint="eastAsia" w:cs="宋体"/>
          <w:color w:val="auto"/>
        </w:rPr>
        <w:t>文件、工程量清单以及《计价规范</w:t>
      </w:r>
      <w:r>
        <w:rPr>
          <w:rFonts w:hint="eastAsia" w:cs="宋体"/>
          <w:color w:val="auto"/>
          <w:lang w:eastAsia="zh-CN"/>
        </w:rPr>
        <w:t>》《</w:t>
      </w:r>
      <w:r>
        <w:rPr>
          <w:rFonts w:hint="eastAsia" w:cs="宋体"/>
          <w:color w:val="auto"/>
        </w:rPr>
        <w:t>计算规范》自主报价，自主报价</w:t>
      </w:r>
      <w:r>
        <w:rPr>
          <w:rFonts w:hint="eastAsia" w:hAnsi="宋体" w:cs="宋体"/>
          <w:color w:val="auto"/>
        </w:rPr>
        <w:t>不得违反计价规范强制性条文规定。</w:t>
      </w:r>
      <w:r>
        <w:rPr>
          <w:rFonts w:hint="eastAsia" w:cs="宋体"/>
          <w:color w:val="auto"/>
        </w:rPr>
        <w:t>供应商不得采用总价让利或以百分比让利等形式进行报价，任何优惠（或降价、让利）均应反映在相应清单项目的综合单价中。同时，不得出现任意一项单价重大让利，</w:t>
      </w:r>
      <w:r>
        <w:rPr>
          <w:rFonts w:hint="eastAsia" w:hAnsi="宋体" w:cs="宋体"/>
          <w:color w:val="auto"/>
        </w:rPr>
        <w:t>不得以自有机械闲置、自有材料等不计成本为由</w:t>
      </w:r>
      <w:r>
        <w:rPr>
          <w:rFonts w:hint="eastAsia" w:cs="宋体"/>
          <w:color w:val="auto"/>
        </w:rPr>
        <w:t>低于工程成本报价。</w:t>
      </w:r>
    </w:p>
    <w:p w14:paraId="581584A9">
      <w:pPr>
        <w:spacing w:line="360" w:lineRule="auto"/>
        <w:ind w:firstLine="420" w:firstLineChars="200"/>
        <w:rPr>
          <w:rFonts w:hAnsi="宋体"/>
          <w:color w:val="auto"/>
        </w:rPr>
      </w:pPr>
      <w:r>
        <w:rPr>
          <w:color w:val="auto"/>
        </w:rPr>
        <w:t xml:space="preserve">3.2 </w:t>
      </w:r>
      <w:r>
        <w:rPr>
          <w:rFonts w:hint="eastAsia" w:cs="宋体"/>
          <w:color w:val="auto"/>
        </w:rPr>
        <w:t>供应商应按工程量清单填报价格。项目编码、项目名称、项目特征、计量单位、工程量必须与工程量清单一致，</w:t>
      </w:r>
      <w:r>
        <w:rPr>
          <w:rFonts w:hint="eastAsia" w:hAnsi="宋体" w:cs="宋体"/>
          <w:color w:val="auto"/>
        </w:rPr>
        <w:t>供应商不得对工程量清单项目进行增减调整。</w:t>
      </w:r>
    </w:p>
    <w:p w14:paraId="291A306C">
      <w:pPr>
        <w:spacing w:line="360" w:lineRule="auto"/>
        <w:ind w:firstLine="420" w:firstLineChars="200"/>
        <w:rPr>
          <w:color w:val="auto"/>
        </w:rPr>
      </w:pPr>
      <w:r>
        <w:rPr>
          <w:color w:val="auto"/>
        </w:rPr>
        <w:t xml:space="preserve">3.3 </w:t>
      </w:r>
      <w:r>
        <w:rPr>
          <w:rFonts w:hint="eastAsia" w:cs="宋体"/>
          <w:color w:val="auto"/>
        </w:rPr>
        <w:t>综合单价中应包含</w:t>
      </w:r>
      <w:r>
        <w:rPr>
          <w:rFonts w:hint="eastAsia" w:cs="宋体"/>
          <w:color w:val="auto"/>
          <w:lang w:val="en-US" w:eastAsia="zh-CN"/>
        </w:rPr>
        <w:t>磋商</w:t>
      </w:r>
      <w:r>
        <w:rPr>
          <w:rFonts w:hint="eastAsia" w:cs="宋体"/>
          <w:color w:val="auto"/>
        </w:rPr>
        <w:t>文件中划分的应由供应商承担的风险范围及其费用。</w:t>
      </w:r>
    </w:p>
    <w:p w14:paraId="0A6FBC26">
      <w:pPr>
        <w:spacing w:line="360" w:lineRule="auto"/>
        <w:ind w:firstLine="420" w:firstLineChars="200"/>
        <w:rPr>
          <w:rFonts w:hAnsi="宋体"/>
          <w:color w:val="auto"/>
        </w:rPr>
      </w:pPr>
      <w:r>
        <w:rPr>
          <w:color w:val="auto"/>
        </w:rPr>
        <w:t xml:space="preserve">3.4 </w:t>
      </w:r>
      <w:r>
        <w:rPr>
          <w:rFonts w:hint="eastAsia" w:hAnsi="宋体" w:cs="宋体"/>
          <w:color w:val="auto"/>
        </w:rPr>
        <w:t>分部分项工程项目和单价措施项目，应根据</w:t>
      </w:r>
      <w:r>
        <w:rPr>
          <w:rFonts w:hint="eastAsia" w:hAnsi="宋体" w:cs="宋体"/>
          <w:color w:val="auto"/>
          <w:lang w:val="en-US" w:eastAsia="zh-CN"/>
        </w:rPr>
        <w:t>磋商</w:t>
      </w:r>
      <w:r>
        <w:rPr>
          <w:rFonts w:hint="eastAsia" w:hAnsi="宋体" w:cs="宋体"/>
          <w:color w:val="auto"/>
        </w:rPr>
        <w:t>文件和工程量清单项目中的特征描述确定综合单价计算。如出现工程量清单特征描述与设计图纸不符时，供应商应以工程量清单的项目特征描述为准，确定竞标报价的综合单价。</w:t>
      </w:r>
    </w:p>
    <w:p w14:paraId="5F012B56">
      <w:pPr>
        <w:spacing w:line="360" w:lineRule="auto"/>
        <w:ind w:firstLine="420" w:firstLineChars="200"/>
        <w:rPr>
          <w:color w:val="auto"/>
        </w:rPr>
      </w:pPr>
      <w:r>
        <w:rPr>
          <w:color w:val="auto"/>
        </w:rPr>
        <w:t xml:space="preserve">3.5 </w:t>
      </w:r>
      <w:r>
        <w:rPr>
          <w:rFonts w:hint="eastAsia" w:hAnsi="宋体" w:cs="宋体"/>
          <w:color w:val="auto"/>
        </w:rPr>
        <w:t>总价措施项目的金额应根据</w:t>
      </w:r>
      <w:r>
        <w:rPr>
          <w:rFonts w:hint="eastAsia" w:hAnsi="宋体" w:cs="宋体"/>
          <w:color w:val="auto"/>
          <w:lang w:val="en-US" w:eastAsia="zh-CN"/>
        </w:rPr>
        <w:t>磋商</w:t>
      </w:r>
      <w:r>
        <w:rPr>
          <w:rFonts w:hint="eastAsia" w:hAnsi="宋体" w:cs="宋体"/>
          <w:color w:val="auto"/>
        </w:rPr>
        <w:t>文件及竞标时拟定的施工组织设计或施工方案，按计价规范的规定自主确定。但</w:t>
      </w:r>
      <w:r>
        <w:rPr>
          <w:rFonts w:hint="eastAsia" w:cs="宋体"/>
          <w:color w:val="auto"/>
        </w:rPr>
        <w:t>安全文明施工费按国家、省级或行业建设主管部门的有关规定执行，作为不竞争费用单列。</w:t>
      </w:r>
    </w:p>
    <w:p w14:paraId="6B6EA57D">
      <w:pPr>
        <w:spacing w:line="360" w:lineRule="auto"/>
        <w:ind w:firstLine="420" w:firstLineChars="200"/>
        <w:rPr>
          <w:color w:val="auto"/>
        </w:rPr>
      </w:pPr>
      <w:r>
        <w:rPr>
          <w:color w:val="auto"/>
        </w:rPr>
        <w:t xml:space="preserve">3.6 </w:t>
      </w:r>
      <w:r>
        <w:rPr>
          <w:rFonts w:hint="eastAsia" w:cs="宋体"/>
          <w:color w:val="auto"/>
        </w:rPr>
        <w:t>其他项目费应按下列规定报价：</w:t>
      </w:r>
    </w:p>
    <w:p w14:paraId="34F99BCD">
      <w:pPr>
        <w:spacing w:line="360" w:lineRule="auto"/>
        <w:ind w:firstLine="420" w:firstLineChars="200"/>
        <w:rPr>
          <w:color w:val="auto"/>
        </w:rPr>
      </w:pPr>
      <w:r>
        <w:rPr>
          <w:rFonts w:hint="eastAsia" w:cs="宋体"/>
          <w:color w:val="auto"/>
        </w:rPr>
        <w:t>（</w:t>
      </w:r>
      <w:r>
        <w:rPr>
          <w:color w:val="auto"/>
        </w:rPr>
        <w:t>1</w:t>
      </w:r>
      <w:r>
        <w:rPr>
          <w:rFonts w:hint="eastAsia" w:cs="宋体"/>
          <w:color w:val="auto"/>
        </w:rPr>
        <w:t>）暂列金额应按工程量清单中列出的金额填写；</w:t>
      </w:r>
    </w:p>
    <w:p w14:paraId="311BA09F">
      <w:pPr>
        <w:pStyle w:val="47"/>
        <w:spacing w:line="360" w:lineRule="auto"/>
        <w:ind w:firstLine="420" w:firstLineChars="200"/>
        <w:rPr>
          <w:color w:val="auto"/>
        </w:rPr>
      </w:pPr>
      <w:r>
        <w:rPr>
          <w:rFonts w:hint="eastAsia" w:cs="宋体"/>
          <w:color w:val="auto"/>
        </w:rPr>
        <w:t>（</w:t>
      </w:r>
      <w:r>
        <w:rPr>
          <w:color w:val="auto"/>
        </w:rPr>
        <w:t>2</w:t>
      </w:r>
      <w:r>
        <w:rPr>
          <w:rFonts w:hint="eastAsia" w:cs="宋体"/>
          <w:color w:val="auto"/>
        </w:rPr>
        <w:t>）材料、工程设备暂估价应按工程量清单中列出的单价计入综合单价；</w:t>
      </w:r>
    </w:p>
    <w:p w14:paraId="6426B38C">
      <w:pPr>
        <w:spacing w:line="360" w:lineRule="auto"/>
        <w:ind w:firstLine="420" w:firstLineChars="200"/>
        <w:rPr>
          <w:color w:val="auto"/>
        </w:rPr>
      </w:pPr>
      <w:r>
        <w:rPr>
          <w:rFonts w:hint="eastAsia" w:cs="宋体"/>
          <w:color w:val="auto"/>
        </w:rPr>
        <w:t>（</w:t>
      </w:r>
      <w:r>
        <w:rPr>
          <w:color w:val="auto"/>
        </w:rPr>
        <w:t>3</w:t>
      </w:r>
      <w:r>
        <w:rPr>
          <w:rFonts w:hint="eastAsia" w:cs="宋体"/>
          <w:color w:val="auto"/>
        </w:rPr>
        <w:t>）专业工程暂估价应按工程量清单中列出的金额填写；</w:t>
      </w:r>
    </w:p>
    <w:p w14:paraId="0DB2D1F0">
      <w:pPr>
        <w:spacing w:line="360" w:lineRule="auto"/>
        <w:ind w:firstLine="420" w:firstLineChars="200"/>
        <w:rPr>
          <w:color w:val="auto"/>
        </w:rPr>
      </w:pPr>
      <w:r>
        <w:rPr>
          <w:rFonts w:hint="eastAsia" w:cs="宋体"/>
          <w:color w:val="auto"/>
        </w:rPr>
        <w:t>（</w:t>
      </w:r>
      <w:r>
        <w:rPr>
          <w:color w:val="auto"/>
        </w:rPr>
        <w:t>4</w:t>
      </w:r>
      <w:r>
        <w:rPr>
          <w:rFonts w:hint="eastAsia" w:cs="宋体"/>
          <w:color w:val="auto"/>
        </w:rPr>
        <w:t>）计日工应按工程量清单中列出的项目和估算数量，自主确定综合单价并计算计日工总额；计日工单价均不含规费和税金；</w:t>
      </w:r>
    </w:p>
    <w:p w14:paraId="72FB9DD3">
      <w:pPr>
        <w:spacing w:line="360" w:lineRule="auto"/>
        <w:ind w:firstLine="420" w:firstLineChars="200"/>
        <w:rPr>
          <w:rFonts w:cs="宋体"/>
          <w:color w:val="auto"/>
        </w:rPr>
      </w:pPr>
      <w:r>
        <w:rPr>
          <w:rFonts w:hint="eastAsia" w:cs="宋体"/>
          <w:color w:val="auto"/>
        </w:rPr>
        <w:t>（</w:t>
      </w:r>
      <w:r>
        <w:rPr>
          <w:color w:val="auto"/>
        </w:rPr>
        <w:t>5</w:t>
      </w:r>
      <w:r>
        <w:rPr>
          <w:rFonts w:hint="eastAsia" w:cs="宋体"/>
          <w:color w:val="auto"/>
        </w:rPr>
        <w:t>）总承包服务费应根据工程量清单中列出的内容</w:t>
      </w:r>
      <w:r>
        <w:rPr>
          <w:rFonts w:hint="eastAsia" w:hAnsi="宋体" w:cs="宋体"/>
          <w:color w:val="auto"/>
        </w:rPr>
        <w:t>和供应材料、设备情况，按照采购人提出的协调、配合与服务要求和施工现场管理需要</w:t>
      </w:r>
      <w:r>
        <w:rPr>
          <w:rFonts w:hint="eastAsia" w:cs="宋体"/>
          <w:color w:val="auto"/>
        </w:rPr>
        <w:t>自主确定。</w:t>
      </w:r>
    </w:p>
    <w:p w14:paraId="607CC7CA">
      <w:pPr>
        <w:spacing w:line="360" w:lineRule="auto"/>
        <w:ind w:firstLine="420" w:firstLineChars="200"/>
        <w:rPr>
          <w:rFonts w:hint="eastAsia"/>
          <w:color w:val="auto"/>
        </w:rPr>
      </w:pPr>
      <w:r>
        <w:rPr>
          <w:rFonts w:hint="eastAsia"/>
          <w:color w:val="auto"/>
        </w:rPr>
        <w:t>（6）对建设单位创建优质工程的，鼓励在招标控制价和预算中按我区工程建设定额规定计列工程优质费，并明确工程优质费不可竞争。</w:t>
      </w:r>
    </w:p>
    <w:p w14:paraId="468AF7F2">
      <w:pPr>
        <w:spacing w:line="360" w:lineRule="auto"/>
        <w:ind w:firstLine="420" w:firstLineChars="200"/>
        <w:rPr>
          <w:color w:val="auto"/>
        </w:rPr>
      </w:pPr>
      <w:r>
        <w:rPr>
          <w:color w:val="auto"/>
        </w:rPr>
        <w:t xml:space="preserve">3.7 </w:t>
      </w:r>
      <w:r>
        <w:rPr>
          <w:rFonts w:hint="eastAsia" w:cs="宋体"/>
          <w:color w:val="auto"/>
        </w:rPr>
        <w:t>规费和增值税应按规定确定，作为不可竞争费用。</w:t>
      </w:r>
    </w:p>
    <w:p w14:paraId="0D3DC993">
      <w:pPr>
        <w:spacing w:line="360" w:lineRule="auto"/>
        <w:ind w:firstLine="420" w:firstLineChars="200"/>
        <w:rPr>
          <w:color w:val="auto"/>
        </w:rPr>
      </w:pPr>
      <w:r>
        <w:rPr>
          <w:color w:val="auto"/>
        </w:rPr>
        <w:t xml:space="preserve">3.8 </w:t>
      </w:r>
      <w:r>
        <w:rPr>
          <w:rFonts w:hint="eastAsia" w:cs="宋体"/>
          <w:color w:val="auto"/>
        </w:rPr>
        <w:t>工程量清单与计价表中列明的所有需要填写的单价和合价的项目，供应商均应填写且只允许有一个报价。未填写单价和合价的项目，视为此项费用已包含在已标价工程量清单中其他项目的单价和合价之中。竣工结算时，此项目不得重新组价予以调整。</w:t>
      </w:r>
    </w:p>
    <w:p w14:paraId="461D0E0B">
      <w:pPr>
        <w:spacing w:line="360" w:lineRule="auto"/>
        <w:ind w:firstLine="420" w:firstLineChars="200"/>
        <w:rPr>
          <w:color w:val="auto"/>
        </w:rPr>
      </w:pPr>
      <w:r>
        <w:rPr>
          <w:color w:val="auto"/>
        </w:rPr>
        <w:t xml:space="preserve">3.9 </w:t>
      </w:r>
      <w:r>
        <w:rPr>
          <w:rFonts w:hint="eastAsia" w:cs="宋体"/>
          <w:color w:val="auto"/>
        </w:rPr>
        <w:t>投标总价应当与分部分项工程费、措施项目费、其他项目费和规费、增值税的合计金额一致。</w:t>
      </w:r>
    </w:p>
    <w:p w14:paraId="6F9966A0">
      <w:pPr>
        <w:spacing w:line="360" w:lineRule="auto"/>
        <w:ind w:firstLine="420" w:firstLineChars="200"/>
        <w:rPr>
          <w:color w:val="auto"/>
        </w:rPr>
      </w:pPr>
      <w:r>
        <w:rPr>
          <w:color w:val="auto"/>
        </w:rPr>
        <w:t>3.1</w:t>
      </w:r>
      <w:r>
        <w:rPr>
          <w:rFonts w:hint="eastAsia"/>
          <w:color w:val="auto"/>
        </w:rPr>
        <w:t>0</w:t>
      </w:r>
      <w:r>
        <w:rPr>
          <w:color w:val="auto"/>
        </w:rPr>
        <w:t xml:space="preserve"> </w:t>
      </w:r>
      <w:r>
        <w:rPr>
          <w:rFonts w:hint="eastAsia" w:cs="宋体"/>
          <w:color w:val="auto"/>
        </w:rPr>
        <w:t>供应商应按《允许调整主要材料和工程设备一览表》的内容填报，不得擅自调整材料和设备名称型号规格、单位、风险系数、基准单价。</w:t>
      </w:r>
    </w:p>
    <w:p w14:paraId="45D0602E">
      <w:pPr>
        <w:spacing w:line="360" w:lineRule="auto"/>
        <w:ind w:firstLine="420" w:firstLineChars="200"/>
        <w:rPr>
          <w:rFonts w:hAnsi="宋体"/>
          <w:color w:val="auto"/>
        </w:rPr>
      </w:pPr>
      <w:r>
        <w:rPr>
          <w:color w:val="auto"/>
        </w:rPr>
        <w:t>3.1</w:t>
      </w:r>
      <w:r>
        <w:rPr>
          <w:rFonts w:hint="eastAsia"/>
          <w:color w:val="auto"/>
        </w:rPr>
        <w:t>1</w:t>
      </w:r>
      <w:r>
        <w:rPr>
          <w:rFonts w:hint="eastAsia" w:hAnsi="宋体" w:cs="宋体"/>
          <w:color w:val="auto"/>
        </w:rPr>
        <w:t>竞标报价</w:t>
      </w:r>
      <w:r>
        <w:rPr>
          <w:rFonts w:hint="eastAsia" w:cs="宋体"/>
          <w:color w:val="auto"/>
        </w:rPr>
        <w:t>表格按本工程工程量清单表格要求填写，并</w:t>
      </w:r>
      <w:r>
        <w:rPr>
          <w:rFonts w:hint="eastAsia" w:hAnsi="宋体" w:cs="宋体"/>
          <w:color w:val="auto"/>
        </w:rPr>
        <w:t>应按</w:t>
      </w:r>
      <w:r>
        <w:rPr>
          <w:rFonts w:hint="eastAsia" w:hAnsi="宋体" w:cs="宋体"/>
          <w:color w:val="auto"/>
          <w:lang w:val="en-US" w:eastAsia="zh-CN"/>
        </w:rPr>
        <w:t>磋商</w:t>
      </w:r>
      <w:r>
        <w:rPr>
          <w:rFonts w:hint="eastAsia" w:hAnsi="宋体" w:cs="宋体"/>
          <w:color w:val="auto"/>
        </w:rPr>
        <w:t>文件的要求，附上《工程量清单综合单价分析表》（表</w:t>
      </w:r>
      <w:r>
        <w:rPr>
          <w:color w:val="auto"/>
        </w:rPr>
        <w:t>-09</w:t>
      </w:r>
      <w:r>
        <w:rPr>
          <w:rFonts w:hint="eastAsia" w:hAnsi="宋体" w:cs="宋体"/>
          <w:color w:val="auto"/>
        </w:rPr>
        <w:t>）和《主要清单项目工料机分析表》（表</w:t>
      </w:r>
      <w:r>
        <w:rPr>
          <w:color w:val="auto"/>
        </w:rPr>
        <w:t>-10</w:t>
      </w:r>
      <w:r>
        <w:rPr>
          <w:rFonts w:hint="eastAsia" w:hAnsi="宋体" w:cs="宋体"/>
          <w:color w:val="auto"/>
        </w:rPr>
        <w:t>）。</w:t>
      </w:r>
    </w:p>
    <w:p w14:paraId="39BDD251">
      <w:pPr>
        <w:spacing w:line="360" w:lineRule="auto"/>
        <w:ind w:firstLine="420" w:firstLineChars="200"/>
        <w:rPr>
          <w:rFonts w:hint="eastAsia" w:cs="宋体"/>
          <w:color w:val="auto"/>
        </w:rPr>
      </w:pPr>
      <w:r>
        <w:rPr>
          <w:rFonts w:hint="eastAsia" w:cs="宋体"/>
          <w:color w:val="auto"/>
        </w:rPr>
        <w:t>未尽事宜详见本工程工程量清单、招标控制价编制说明以及现行《计价规范》等有关规定执行。</w:t>
      </w:r>
    </w:p>
    <w:p w14:paraId="0F8F586F">
      <w:pPr>
        <w:spacing w:line="360" w:lineRule="auto"/>
        <w:ind w:firstLine="420" w:firstLineChars="200"/>
        <w:rPr>
          <w:rFonts w:hint="eastAsia" w:cs="宋体"/>
          <w:color w:val="auto"/>
        </w:rPr>
      </w:pPr>
      <w:r>
        <w:rPr>
          <w:rFonts w:hint="eastAsia" w:cs="宋体"/>
          <w:color w:val="auto"/>
          <w:lang w:val="en-US" w:eastAsia="zh-CN"/>
        </w:rPr>
        <w:t xml:space="preserve">注：因 </w:t>
      </w:r>
      <w:r>
        <w:rPr>
          <w:rFonts w:hint="default" w:cs="宋体"/>
          <w:color w:val="auto"/>
          <w:lang w:val="en-US" w:eastAsia="zh-CN"/>
        </w:rPr>
        <w:t xml:space="preserve">2021 </w:t>
      </w:r>
      <w:r>
        <w:rPr>
          <w:rFonts w:hint="eastAsia" w:cs="宋体"/>
          <w:color w:val="auto"/>
          <w:lang w:val="en-US" w:eastAsia="zh-CN"/>
        </w:rPr>
        <w:t>年《广西壮族自治区园林绿化及仿古建筑工程费用定额》采用全费用综合单价形式，故园林绿化及仿古建筑工程的工程量清单及计价采用《自治区住房和城乡建设厅关于建设工程造价改革试点项目招投标及计价规定调整的通知》（桂建标〔</w:t>
      </w:r>
      <w:r>
        <w:rPr>
          <w:rFonts w:hint="default" w:cs="宋体"/>
          <w:color w:val="auto"/>
          <w:lang w:val="en-US" w:eastAsia="zh-CN"/>
        </w:rPr>
        <w:t>2021</w:t>
      </w:r>
      <w:r>
        <w:rPr>
          <w:rFonts w:hint="eastAsia" w:cs="宋体"/>
          <w:color w:val="auto"/>
          <w:lang w:val="en-US" w:eastAsia="zh-CN"/>
        </w:rPr>
        <w:t>〕</w:t>
      </w:r>
      <w:r>
        <w:rPr>
          <w:rFonts w:hint="default" w:cs="宋体"/>
          <w:color w:val="auto"/>
          <w:lang w:val="en-US" w:eastAsia="zh-CN"/>
        </w:rPr>
        <w:t xml:space="preserve">6 </w:t>
      </w:r>
      <w:r>
        <w:rPr>
          <w:rFonts w:hint="eastAsia" w:cs="宋体"/>
          <w:color w:val="auto"/>
          <w:lang w:val="en-US" w:eastAsia="zh-CN"/>
        </w:rPr>
        <w:t xml:space="preserve">号）中附件 </w:t>
      </w:r>
      <w:r>
        <w:rPr>
          <w:rFonts w:hint="default" w:cs="宋体"/>
          <w:color w:val="auto"/>
          <w:lang w:val="en-US" w:eastAsia="zh-CN"/>
        </w:rPr>
        <w:t>1</w:t>
      </w:r>
      <w:r>
        <w:rPr>
          <w:rFonts w:hint="eastAsia" w:cs="宋体"/>
          <w:color w:val="auto"/>
          <w:lang w:val="en-US" w:eastAsia="zh-CN"/>
        </w:rPr>
        <w:t>《建设工程工程量清单计价规范（</w:t>
      </w:r>
      <w:r>
        <w:rPr>
          <w:rFonts w:hint="default" w:cs="宋体"/>
          <w:color w:val="auto"/>
          <w:lang w:val="en-US" w:eastAsia="zh-CN"/>
        </w:rPr>
        <w:t>GB50500-2013</w:t>
      </w:r>
      <w:r>
        <w:rPr>
          <w:rFonts w:hint="eastAsia" w:cs="宋体"/>
          <w:color w:val="auto"/>
          <w:lang w:val="en-US" w:eastAsia="zh-CN"/>
        </w:rPr>
        <w:t>）广西壮族自治区实施细则》（适用于工程造价改革试点项目）相关表格，具体以采购人另册发放的工程量清单及相关说明为准。</w:t>
      </w:r>
    </w:p>
    <w:p w14:paraId="250042C4">
      <w:pPr>
        <w:pStyle w:val="35"/>
        <w:rPr>
          <w:color w:val="auto"/>
        </w:rPr>
      </w:pPr>
    </w:p>
    <w:p w14:paraId="5F1BF2C6">
      <w:pPr>
        <w:pStyle w:val="4"/>
        <w:spacing w:before="0" w:after="0" w:line="360" w:lineRule="auto"/>
        <w:jc w:val="both"/>
        <w:rPr>
          <w:rFonts w:hint="eastAsia"/>
          <w:color w:val="auto"/>
        </w:rPr>
      </w:pPr>
    </w:p>
    <w:p w14:paraId="1142FC8E">
      <w:pPr>
        <w:rPr>
          <w:rFonts w:hint="eastAsia"/>
          <w:color w:val="auto"/>
        </w:rPr>
      </w:pPr>
    </w:p>
    <w:p w14:paraId="18523E41">
      <w:pPr>
        <w:pStyle w:val="35"/>
        <w:rPr>
          <w:rFonts w:hint="eastAsia"/>
          <w:color w:val="auto"/>
        </w:rPr>
      </w:pPr>
    </w:p>
    <w:p w14:paraId="74D191E1">
      <w:pPr>
        <w:pStyle w:val="13"/>
        <w:rPr>
          <w:rFonts w:hint="eastAsia"/>
          <w:color w:val="auto"/>
        </w:rPr>
      </w:pPr>
    </w:p>
    <w:p w14:paraId="23822530">
      <w:pPr>
        <w:rPr>
          <w:rFonts w:hint="eastAsia"/>
          <w:color w:val="auto"/>
        </w:rPr>
      </w:pPr>
    </w:p>
    <w:p w14:paraId="37488622">
      <w:pPr>
        <w:pStyle w:val="35"/>
        <w:rPr>
          <w:rFonts w:hint="eastAsia"/>
          <w:color w:val="auto"/>
        </w:rPr>
      </w:pPr>
    </w:p>
    <w:p w14:paraId="0A64CD65">
      <w:pPr>
        <w:pStyle w:val="13"/>
        <w:rPr>
          <w:rFonts w:hint="eastAsia"/>
          <w:color w:val="auto"/>
        </w:rPr>
      </w:pPr>
    </w:p>
    <w:p w14:paraId="6DE1E459">
      <w:pPr>
        <w:rPr>
          <w:rFonts w:hint="eastAsia"/>
          <w:color w:val="auto"/>
        </w:rPr>
      </w:pPr>
    </w:p>
    <w:p w14:paraId="39E4B096">
      <w:pPr>
        <w:pStyle w:val="35"/>
        <w:rPr>
          <w:rFonts w:hint="eastAsia"/>
          <w:color w:val="auto"/>
        </w:rPr>
      </w:pPr>
    </w:p>
    <w:p w14:paraId="279CA91C">
      <w:pPr>
        <w:pStyle w:val="13"/>
        <w:rPr>
          <w:rFonts w:hint="eastAsia"/>
          <w:color w:val="auto"/>
        </w:rPr>
      </w:pPr>
    </w:p>
    <w:p w14:paraId="5BDC17BB">
      <w:pPr>
        <w:pStyle w:val="25"/>
        <w:rPr>
          <w:rFonts w:hint="eastAsia"/>
          <w:color w:val="auto"/>
        </w:rPr>
      </w:pPr>
    </w:p>
    <w:p w14:paraId="27D1F5AC">
      <w:pPr>
        <w:pStyle w:val="14"/>
        <w:rPr>
          <w:rFonts w:hint="eastAsia"/>
          <w:color w:val="auto"/>
        </w:rPr>
      </w:pPr>
    </w:p>
    <w:p w14:paraId="5F6E0BCB">
      <w:pPr>
        <w:pStyle w:val="14"/>
        <w:rPr>
          <w:rFonts w:hint="eastAsia"/>
          <w:color w:val="auto"/>
        </w:rPr>
      </w:pPr>
    </w:p>
    <w:p w14:paraId="073603D5">
      <w:pPr>
        <w:pStyle w:val="14"/>
        <w:rPr>
          <w:rFonts w:hint="eastAsia"/>
          <w:color w:val="auto"/>
        </w:rPr>
      </w:pPr>
    </w:p>
    <w:p w14:paraId="30C5D315">
      <w:pPr>
        <w:pStyle w:val="14"/>
        <w:rPr>
          <w:rFonts w:hint="eastAsia"/>
          <w:color w:val="auto"/>
        </w:rPr>
      </w:pPr>
    </w:p>
    <w:p w14:paraId="266F858B">
      <w:pPr>
        <w:pStyle w:val="14"/>
        <w:rPr>
          <w:rFonts w:hint="eastAsia"/>
          <w:color w:val="auto"/>
        </w:rPr>
      </w:pPr>
    </w:p>
    <w:p w14:paraId="5BE69875">
      <w:pPr>
        <w:pStyle w:val="14"/>
        <w:rPr>
          <w:rFonts w:hint="eastAsia"/>
          <w:color w:val="auto"/>
        </w:rPr>
      </w:pPr>
    </w:p>
    <w:p w14:paraId="7B20C84A">
      <w:pPr>
        <w:pStyle w:val="14"/>
        <w:rPr>
          <w:rFonts w:hint="eastAsia"/>
          <w:color w:val="auto"/>
        </w:rPr>
      </w:pPr>
    </w:p>
    <w:p w14:paraId="515D1575">
      <w:pPr>
        <w:pStyle w:val="14"/>
        <w:rPr>
          <w:rFonts w:hint="eastAsia"/>
          <w:color w:val="auto"/>
        </w:rPr>
      </w:pPr>
    </w:p>
    <w:p w14:paraId="6E24BCDB">
      <w:pPr>
        <w:pStyle w:val="13"/>
        <w:rPr>
          <w:rFonts w:hint="eastAsia"/>
          <w:color w:val="auto"/>
          <w:lang w:val="en-US" w:eastAsia="zh-CN"/>
        </w:rPr>
      </w:pPr>
    </w:p>
    <w:p w14:paraId="6B97008B">
      <w:pPr>
        <w:jc w:val="both"/>
        <w:outlineLvl w:val="0"/>
        <w:rPr>
          <w:rFonts w:hint="default" w:ascii="宋体" w:hAnsi="宋体" w:cs="Times New Roman"/>
          <w:b/>
          <w:bCs/>
          <w:color w:val="auto"/>
          <w:sz w:val="36"/>
          <w:szCs w:val="44"/>
          <w:lang w:val="en-US" w:eastAsia="zh-CN"/>
        </w:rPr>
      </w:pPr>
    </w:p>
    <w:p w14:paraId="39FFB840">
      <w:pPr>
        <w:jc w:val="center"/>
        <w:outlineLvl w:val="0"/>
        <w:rPr>
          <w:rFonts w:hint="eastAsia" w:ascii="宋体" w:hAnsi="宋体" w:eastAsia="宋体" w:cs="Times New Roman"/>
          <w:b/>
          <w:bCs/>
          <w:color w:val="auto"/>
          <w:sz w:val="36"/>
          <w:szCs w:val="44"/>
        </w:rPr>
      </w:pPr>
      <w:bookmarkStart w:id="110" w:name="_Toc26975"/>
      <w:r>
        <w:rPr>
          <w:rFonts w:hint="eastAsia" w:ascii="宋体" w:hAnsi="宋体" w:eastAsia="宋体" w:cs="Times New Roman"/>
          <w:b/>
          <w:bCs/>
          <w:color w:val="auto"/>
          <w:sz w:val="36"/>
          <w:szCs w:val="44"/>
        </w:rPr>
        <w:t>第</w:t>
      </w:r>
      <w:r>
        <w:rPr>
          <w:rFonts w:hint="eastAsia" w:ascii="宋体" w:hAnsi="宋体" w:cs="Times New Roman"/>
          <w:b/>
          <w:bCs/>
          <w:color w:val="auto"/>
          <w:sz w:val="36"/>
          <w:szCs w:val="44"/>
          <w:lang w:val="en-US" w:eastAsia="zh-CN"/>
        </w:rPr>
        <w:t>六</w:t>
      </w:r>
      <w:r>
        <w:rPr>
          <w:rFonts w:hint="eastAsia" w:ascii="宋体" w:hAnsi="宋体" w:eastAsia="宋体" w:cs="Times New Roman"/>
          <w:b/>
          <w:bCs/>
          <w:color w:val="auto"/>
          <w:sz w:val="36"/>
          <w:szCs w:val="44"/>
        </w:rPr>
        <w:t>章 响应文件格式</w:t>
      </w:r>
      <w:bookmarkEnd w:id="93"/>
      <w:bookmarkEnd w:id="110"/>
    </w:p>
    <w:p w14:paraId="61B86AA8">
      <w:pPr>
        <w:snapToGrid w:val="0"/>
        <w:spacing w:before="156" w:beforeLines="50" w:after="50"/>
        <w:jc w:val="center"/>
        <w:rPr>
          <w:rFonts w:hint="eastAsia" w:ascii="宋体" w:hAnsi="宋体" w:eastAsia="宋体" w:cs="宋体"/>
          <w:bCs/>
          <w:color w:val="auto"/>
          <w:sz w:val="44"/>
          <w:szCs w:val="44"/>
          <w:highlight w:val="none"/>
        </w:rPr>
      </w:pPr>
      <w:bookmarkStart w:id="111" w:name="_Toc22189"/>
    </w:p>
    <w:p w14:paraId="66DAF42A">
      <w:pPr>
        <w:snapToGrid w:val="0"/>
        <w:spacing w:before="156" w:beforeLines="50" w:after="50"/>
        <w:jc w:val="center"/>
        <w:rPr>
          <w:rFonts w:hint="eastAsia" w:ascii="宋体" w:hAnsi="宋体" w:eastAsia="宋体" w:cs="宋体"/>
          <w:bCs/>
          <w:color w:val="auto"/>
          <w:sz w:val="44"/>
          <w:szCs w:val="44"/>
          <w:highlight w:val="none"/>
        </w:rPr>
      </w:pPr>
    </w:p>
    <w:p w14:paraId="6BDA40CA">
      <w:pPr>
        <w:snapToGrid w:val="0"/>
        <w:spacing w:before="156" w:beforeLines="50" w:after="50"/>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响  应  文  件</w:t>
      </w:r>
    </w:p>
    <w:p w14:paraId="58A2A41B">
      <w:pPr>
        <w:snapToGrid w:val="0"/>
        <w:spacing w:before="156" w:beforeLines="50" w:after="50"/>
        <w:rPr>
          <w:rFonts w:hint="eastAsia" w:ascii="宋体" w:hAnsi="宋体" w:eastAsia="宋体" w:cs="宋体"/>
          <w:bCs/>
          <w:color w:val="auto"/>
          <w:sz w:val="24"/>
          <w:szCs w:val="20"/>
          <w:highlight w:val="none"/>
        </w:rPr>
      </w:pPr>
    </w:p>
    <w:p w14:paraId="5D2494BF">
      <w:pPr>
        <w:snapToGrid w:val="0"/>
        <w:spacing w:before="156" w:beforeLines="50" w:after="50"/>
        <w:rPr>
          <w:rFonts w:hint="eastAsia" w:ascii="宋体" w:hAnsi="宋体" w:eastAsia="宋体" w:cs="宋体"/>
          <w:bCs/>
          <w:color w:val="auto"/>
          <w:sz w:val="24"/>
          <w:szCs w:val="20"/>
          <w:highlight w:val="none"/>
        </w:rPr>
      </w:pPr>
    </w:p>
    <w:p w14:paraId="4D7CE9B1">
      <w:pPr>
        <w:snapToGrid w:val="0"/>
        <w:spacing w:before="156" w:beforeLines="50" w:after="50"/>
        <w:rPr>
          <w:rFonts w:hint="eastAsia" w:ascii="宋体" w:hAnsi="宋体" w:eastAsia="宋体" w:cs="宋体"/>
          <w:bCs/>
          <w:color w:val="auto"/>
          <w:sz w:val="32"/>
          <w:szCs w:val="32"/>
          <w:highlight w:val="none"/>
        </w:rPr>
      </w:pPr>
    </w:p>
    <w:p w14:paraId="75994BD6">
      <w:pPr>
        <w:snapToGrid w:val="0"/>
        <w:spacing w:before="156"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0013C50B">
      <w:pPr>
        <w:snapToGrid w:val="0"/>
        <w:spacing w:before="156" w:beforeLines="50" w:after="50"/>
        <w:ind w:firstLine="480" w:firstLineChars="150"/>
        <w:rPr>
          <w:rFonts w:hint="eastAsia" w:ascii="宋体" w:hAnsi="宋体" w:eastAsia="宋体" w:cs="宋体"/>
          <w:bCs/>
          <w:color w:val="auto"/>
          <w:sz w:val="32"/>
          <w:szCs w:val="32"/>
          <w:highlight w:val="none"/>
        </w:rPr>
      </w:pPr>
    </w:p>
    <w:p w14:paraId="74FCAF2A">
      <w:pPr>
        <w:snapToGrid w:val="0"/>
        <w:spacing w:before="156"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项目编号：</w:t>
      </w:r>
    </w:p>
    <w:p w14:paraId="342A6251">
      <w:pPr>
        <w:snapToGrid w:val="0"/>
        <w:spacing w:before="156" w:beforeLines="50" w:after="50"/>
        <w:ind w:firstLine="480" w:firstLineChars="150"/>
        <w:rPr>
          <w:rFonts w:hint="eastAsia" w:ascii="宋体" w:hAnsi="宋体" w:eastAsia="宋体" w:cs="宋体"/>
          <w:bCs/>
          <w:color w:val="auto"/>
          <w:sz w:val="32"/>
          <w:szCs w:val="32"/>
          <w:highlight w:val="none"/>
        </w:rPr>
      </w:pPr>
    </w:p>
    <w:p w14:paraId="66E95BE6">
      <w:pPr>
        <w:snapToGrid w:val="0"/>
        <w:spacing w:before="156"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3C13C6B2">
      <w:pPr>
        <w:snapToGrid w:val="0"/>
        <w:spacing w:before="156" w:beforeLines="50" w:after="50"/>
        <w:rPr>
          <w:rFonts w:hint="eastAsia" w:ascii="宋体" w:hAnsi="宋体" w:eastAsia="宋体" w:cs="宋体"/>
          <w:bCs/>
          <w:color w:val="auto"/>
          <w:sz w:val="32"/>
          <w:szCs w:val="32"/>
          <w:highlight w:val="none"/>
        </w:rPr>
      </w:pPr>
    </w:p>
    <w:p w14:paraId="4E58AE82">
      <w:pPr>
        <w:snapToGrid w:val="0"/>
        <w:spacing w:before="156" w:beforeLines="50" w:after="50"/>
        <w:ind w:firstLine="480" w:firstLineChars="150"/>
        <w:jc w:val="center"/>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首次响应文件提交截止时间前不得启封</w:t>
      </w:r>
    </w:p>
    <w:p w14:paraId="5F945CED">
      <w:pPr>
        <w:snapToGrid w:val="0"/>
        <w:spacing w:before="156" w:beforeLines="50" w:after="50"/>
        <w:ind w:firstLine="5440" w:firstLineChars="1700"/>
        <w:jc w:val="center"/>
        <w:rPr>
          <w:rFonts w:hint="eastAsia" w:ascii="宋体" w:hAnsi="宋体" w:eastAsia="宋体" w:cs="宋体"/>
          <w:bCs/>
          <w:color w:val="auto"/>
          <w:sz w:val="32"/>
          <w:szCs w:val="32"/>
          <w:highlight w:val="none"/>
        </w:rPr>
      </w:pPr>
    </w:p>
    <w:p w14:paraId="6E802731">
      <w:pPr>
        <w:snapToGrid w:val="0"/>
        <w:spacing w:before="156" w:beforeLines="50" w:after="50"/>
        <w:ind w:firstLine="645"/>
        <w:jc w:val="center"/>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年    月    日</w:t>
      </w:r>
    </w:p>
    <w:p w14:paraId="306F32FB">
      <w:pPr>
        <w:rPr>
          <w:rFonts w:hint="eastAsia"/>
          <w:b/>
          <w:color w:val="auto"/>
          <w:sz w:val="28"/>
          <w:szCs w:val="28"/>
          <w:highlight w:val="none"/>
        </w:rPr>
      </w:pPr>
      <w:r>
        <w:rPr>
          <w:rFonts w:hint="eastAsia" w:ascii="宋体" w:hAnsi="宋体" w:eastAsia="宋体" w:cs="宋体"/>
          <w:bCs/>
          <w:color w:val="auto"/>
          <w:sz w:val="24"/>
          <w:highlight w:val="none"/>
        </w:rPr>
        <w:br w:type="page"/>
      </w:r>
      <w:bookmarkStart w:id="112" w:name="_Toc31728084"/>
      <w:bookmarkStart w:id="113" w:name="_Toc31723070"/>
      <w:bookmarkStart w:id="114" w:name="_Toc35611516"/>
      <w:bookmarkStart w:id="115" w:name="_Toc44229899"/>
      <w:bookmarkStart w:id="116" w:name="_Toc71366186"/>
      <w:bookmarkStart w:id="117" w:name="_Toc35611438"/>
      <w:r>
        <w:rPr>
          <w:rFonts w:hint="eastAsia"/>
          <w:b/>
          <w:color w:val="auto"/>
          <w:sz w:val="28"/>
          <w:szCs w:val="28"/>
          <w:highlight w:val="none"/>
        </w:rPr>
        <w:t>一、资格证明文件格式</w:t>
      </w:r>
      <w:bookmarkEnd w:id="112"/>
      <w:bookmarkEnd w:id="113"/>
      <w:bookmarkEnd w:id="114"/>
      <w:bookmarkEnd w:id="115"/>
      <w:bookmarkEnd w:id="116"/>
      <w:bookmarkEnd w:id="117"/>
    </w:p>
    <w:p w14:paraId="697033A4">
      <w:pPr>
        <w:snapToGrid w:val="0"/>
        <w:spacing w:before="156" w:beforeLines="50" w:after="50" w:line="360" w:lineRule="auto"/>
        <w:jc w:val="left"/>
        <w:rPr>
          <w:rFonts w:hint="eastAsia" w:ascii="宋体" w:hAnsi="宋体"/>
          <w:b/>
          <w:color w:val="auto"/>
          <w:sz w:val="22"/>
          <w:szCs w:val="22"/>
          <w:highlight w:val="none"/>
        </w:rPr>
      </w:pPr>
      <w:r>
        <w:rPr>
          <w:rFonts w:hint="eastAsia" w:ascii="宋体" w:hAnsi="宋体"/>
          <w:b/>
          <w:color w:val="auto"/>
          <w:sz w:val="28"/>
          <w:szCs w:val="28"/>
          <w:highlight w:val="none"/>
        </w:rPr>
        <w:t>1.资格证明文件封面格式：</w:t>
      </w:r>
      <w:r>
        <w:rPr>
          <w:rFonts w:hint="eastAsia" w:ascii="宋体" w:hAnsi="宋体"/>
          <w:b/>
          <w:color w:val="auto"/>
          <w:sz w:val="22"/>
          <w:szCs w:val="22"/>
          <w:highlight w:val="none"/>
        </w:rPr>
        <w:t xml:space="preserve"> </w:t>
      </w:r>
    </w:p>
    <w:p w14:paraId="1B5BEAE8">
      <w:pPr>
        <w:snapToGrid w:val="0"/>
        <w:spacing w:before="156" w:beforeLines="50" w:after="50"/>
        <w:jc w:val="center"/>
        <w:rPr>
          <w:rFonts w:ascii="宋体" w:hAnsi="宋体"/>
          <w:color w:val="auto"/>
          <w:sz w:val="40"/>
          <w:szCs w:val="40"/>
          <w:highlight w:val="none"/>
        </w:rPr>
      </w:pPr>
    </w:p>
    <w:p w14:paraId="46B14BD5">
      <w:pPr>
        <w:snapToGrid w:val="0"/>
        <w:spacing w:before="156" w:beforeLines="50" w:after="50"/>
        <w:jc w:val="center"/>
        <w:rPr>
          <w:rFonts w:ascii="宋体" w:hAnsi="宋体"/>
          <w:color w:val="auto"/>
          <w:sz w:val="40"/>
          <w:szCs w:val="40"/>
          <w:highlight w:val="none"/>
        </w:rPr>
      </w:pPr>
      <w:r>
        <w:rPr>
          <w:rFonts w:hint="eastAsia" w:ascii="宋体" w:hAnsi="宋体"/>
          <w:color w:val="auto"/>
          <w:sz w:val="40"/>
          <w:szCs w:val="40"/>
          <w:highlight w:val="none"/>
        </w:rPr>
        <w:t>电 子 响 应 文 件</w:t>
      </w:r>
    </w:p>
    <w:p w14:paraId="481BAC14">
      <w:pPr>
        <w:snapToGrid w:val="0"/>
        <w:spacing w:before="156" w:beforeLines="50" w:after="50"/>
        <w:rPr>
          <w:rFonts w:hint="eastAsia" w:ascii="宋体" w:hAnsi="宋体"/>
          <w:color w:val="auto"/>
          <w:sz w:val="22"/>
          <w:szCs w:val="18"/>
          <w:highlight w:val="none"/>
        </w:rPr>
      </w:pPr>
    </w:p>
    <w:p w14:paraId="0E3CE61A">
      <w:pPr>
        <w:snapToGrid w:val="0"/>
        <w:spacing w:before="156" w:beforeLines="50" w:after="50"/>
        <w:jc w:val="center"/>
        <w:rPr>
          <w:rFonts w:hint="eastAsia" w:ascii="方正小标宋简体" w:hAnsi="方正小标宋简体" w:eastAsia="方正小标宋简体" w:cs="方正小标宋简体"/>
          <w:bCs/>
          <w:color w:val="auto"/>
          <w:sz w:val="40"/>
          <w:szCs w:val="40"/>
          <w:highlight w:val="none"/>
        </w:rPr>
      </w:pPr>
      <w:r>
        <w:rPr>
          <w:rFonts w:hint="eastAsia" w:ascii="方正小标宋简体" w:hAnsi="方正小标宋简体" w:eastAsia="方正小标宋简体" w:cs="方正小标宋简体"/>
          <w:bCs/>
          <w:color w:val="auto"/>
          <w:sz w:val="40"/>
          <w:szCs w:val="40"/>
          <w:highlight w:val="none"/>
        </w:rPr>
        <w:t>资  格  证  明  文  件</w:t>
      </w:r>
    </w:p>
    <w:p w14:paraId="758CBB21">
      <w:pPr>
        <w:snapToGrid w:val="0"/>
        <w:spacing w:before="156" w:beforeLines="50" w:after="50"/>
        <w:rPr>
          <w:rFonts w:hint="eastAsia" w:ascii="宋体" w:hAnsi="宋体"/>
          <w:bCs/>
          <w:color w:val="auto"/>
          <w:sz w:val="22"/>
          <w:szCs w:val="18"/>
          <w:highlight w:val="none"/>
        </w:rPr>
      </w:pPr>
    </w:p>
    <w:p w14:paraId="3A3AD9B1">
      <w:pPr>
        <w:snapToGrid w:val="0"/>
        <w:spacing w:before="156" w:beforeLines="50" w:after="50"/>
        <w:rPr>
          <w:rFonts w:hint="eastAsia" w:ascii="宋体" w:hAnsi="宋体"/>
          <w:bCs/>
          <w:color w:val="auto"/>
          <w:sz w:val="22"/>
          <w:szCs w:val="18"/>
          <w:highlight w:val="none"/>
        </w:rPr>
      </w:pPr>
    </w:p>
    <w:p w14:paraId="578A6B65">
      <w:pPr>
        <w:snapToGrid w:val="0"/>
        <w:spacing w:before="156" w:beforeLines="50" w:after="50"/>
        <w:rPr>
          <w:rFonts w:hint="eastAsia" w:ascii="宋体" w:hAnsi="宋体"/>
          <w:bCs/>
          <w:color w:val="auto"/>
          <w:sz w:val="22"/>
          <w:szCs w:val="18"/>
          <w:highlight w:val="none"/>
        </w:rPr>
      </w:pPr>
    </w:p>
    <w:p w14:paraId="149AD0E6">
      <w:pPr>
        <w:snapToGrid w:val="0"/>
        <w:spacing w:before="156" w:beforeLines="50" w:after="50"/>
        <w:rPr>
          <w:rFonts w:hint="eastAsia" w:ascii="宋体" w:hAnsi="宋体"/>
          <w:bCs/>
          <w:color w:val="auto"/>
          <w:sz w:val="22"/>
          <w:szCs w:val="18"/>
          <w:highlight w:val="none"/>
        </w:rPr>
      </w:pPr>
    </w:p>
    <w:p w14:paraId="0C5A8994">
      <w:pPr>
        <w:snapToGrid w:val="0"/>
        <w:spacing w:before="156" w:beforeLines="50" w:after="50"/>
        <w:rPr>
          <w:rFonts w:hint="eastAsia" w:ascii="宋体" w:hAnsi="宋体"/>
          <w:bCs/>
          <w:color w:val="auto"/>
          <w:sz w:val="22"/>
          <w:szCs w:val="18"/>
          <w:highlight w:val="none"/>
        </w:rPr>
      </w:pPr>
    </w:p>
    <w:p w14:paraId="5DB34BDC">
      <w:pPr>
        <w:snapToGrid w:val="0"/>
        <w:spacing w:before="156" w:beforeLines="50" w:after="50"/>
        <w:ind w:firstLine="560" w:firstLineChars="200"/>
        <w:rPr>
          <w:rFonts w:hint="eastAsia" w:ascii="宋体" w:hAnsi="宋体" w:cs="仿宋_GB2312"/>
          <w:bCs/>
          <w:color w:val="auto"/>
          <w:sz w:val="28"/>
          <w:szCs w:val="28"/>
          <w:highlight w:val="none"/>
        </w:rPr>
      </w:pPr>
      <w:r>
        <w:rPr>
          <w:rFonts w:hint="eastAsia" w:ascii="宋体" w:hAnsi="宋体" w:cs="仿宋_GB2312"/>
          <w:bCs/>
          <w:color w:val="auto"/>
          <w:sz w:val="28"/>
          <w:szCs w:val="28"/>
          <w:highlight w:val="none"/>
        </w:rPr>
        <w:t>项目名称：</w:t>
      </w:r>
    </w:p>
    <w:p w14:paraId="656FDC1E">
      <w:pPr>
        <w:snapToGrid w:val="0"/>
        <w:spacing w:before="156" w:beforeLines="50" w:after="50"/>
        <w:ind w:firstLine="630" w:firstLineChars="225"/>
        <w:rPr>
          <w:rFonts w:hint="eastAsia" w:ascii="宋体" w:hAnsi="宋体" w:cs="仿宋_GB2312"/>
          <w:bCs/>
          <w:color w:val="auto"/>
          <w:sz w:val="28"/>
          <w:szCs w:val="28"/>
          <w:highlight w:val="none"/>
        </w:rPr>
      </w:pPr>
    </w:p>
    <w:p w14:paraId="109E08B2">
      <w:pPr>
        <w:snapToGrid w:val="0"/>
        <w:spacing w:before="156" w:beforeLines="50" w:after="50"/>
        <w:ind w:firstLine="630" w:firstLineChars="225"/>
        <w:rPr>
          <w:rFonts w:hint="eastAsia" w:ascii="宋体" w:hAnsi="宋体" w:cs="仿宋_GB2312"/>
          <w:bCs/>
          <w:color w:val="auto"/>
          <w:sz w:val="28"/>
          <w:szCs w:val="28"/>
          <w:highlight w:val="none"/>
        </w:rPr>
      </w:pPr>
      <w:r>
        <w:rPr>
          <w:rFonts w:hint="eastAsia" w:ascii="宋体" w:hAnsi="宋体" w:cs="仿宋_GB2312"/>
          <w:bCs/>
          <w:color w:val="auto"/>
          <w:sz w:val="28"/>
          <w:szCs w:val="28"/>
          <w:highlight w:val="none"/>
        </w:rPr>
        <w:t>项目编号：</w:t>
      </w:r>
    </w:p>
    <w:p w14:paraId="1A8256FB">
      <w:pPr>
        <w:snapToGrid w:val="0"/>
        <w:spacing w:before="156" w:beforeLines="50" w:after="50"/>
        <w:ind w:firstLine="630" w:firstLineChars="225"/>
        <w:rPr>
          <w:rFonts w:hint="eastAsia" w:ascii="宋体" w:hAnsi="宋体" w:cs="仿宋_GB2312"/>
          <w:bCs/>
          <w:color w:val="auto"/>
          <w:sz w:val="28"/>
          <w:szCs w:val="28"/>
          <w:highlight w:val="none"/>
        </w:rPr>
      </w:pPr>
      <w:r>
        <w:rPr>
          <w:rFonts w:hint="eastAsia" w:ascii="宋体" w:hAnsi="宋体" w:cs="仿宋_GB2312"/>
          <w:bCs/>
          <w:color w:val="auto"/>
          <w:sz w:val="28"/>
          <w:szCs w:val="28"/>
          <w:highlight w:val="none"/>
        </w:rPr>
        <w:t xml:space="preserve"> </w:t>
      </w:r>
    </w:p>
    <w:p w14:paraId="68C1A212">
      <w:pPr>
        <w:pStyle w:val="8"/>
        <w:snapToGrid w:val="0"/>
        <w:spacing w:before="50" w:after="50"/>
        <w:ind w:firstLine="630" w:firstLineChars="225"/>
        <w:rPr>
          <w:rFonts w:hint="eastAsia" w:ascii="宋体" w:hAnsi="宋体" w:cs="仿宋_GB2312"/>
          <w:bCs/>
          <w:color w:val="auto"/>
          <w:sz w:val="28"/>
          <w:szCs w:val="28"/>
          <w:highlight w:val="none"/>
        </w:rPr>
      </w:pPr>
      <w:r>
        <w:rPr>
          <w:rFonts w:hint="eastAsia" w:ascii="宋体" w:hAnsi="宋体" w:cs="仿宋_GB2312"/>
          <w:bCs/>
          <w:color w:val="auto"/>
          <w:sz w:val="28"/>
          <w:szCs w:val="28"/>
          <w:highlight w:val="none"/>
        </w:rPr>
        <w:t>供应商名称：</w:t>
      </w:r>
    </w:p>
    <w:p w14:paraId="3AD84E5F">
      <w:pPr>
        <w:snapToGrid w:val="0"/>
        <w:spacing w:before="156" w:beforeLines="50" w:after="50"/>
        <w:ind w:firstLine="560" w:firstLineChars="200"/>
        <w:rPr>
          <w:rFonts w:hint="eastAsia" w:ascii="宋体" w:hAnsi="宋体" w:cs="仿宋_GB2312"/>
          <w:bCs/>
          <w:color w:val="auto"/>
          <w:sz w:val="28"/>
          <w:szCs w:val="28"/>
          <w:highlight w:val="none"/>
        </w:rPr>
      </w:pPr>
    </w:p>
    <w:p w14:paraId="53A8BC5D">
      <w:pPr>
        <w:pStyle w:val="8"/>
        <w:snapToGrid w:val="0"/>
        <w:spacing w:before="50" w:after="50"/>
        <w:ind w:firstLine="630" w:firstLineChars="225"/>
        <w:rPr>
          <w:rFonts w:hint="eastAsia" w:ascii="宋体" w:hAnsi="宋体" w:cs="仿宋_GB2312"/>
          <w:bCs/>
          <w:color w:val="auto"/>
          <w:sz w:val="28"/>
          <w:szCs w:val="28"/>
          <w:highlight w:val="none"/>
        </w:rPr>
      </w:pPr>
    </w:p>
    <w:p w14:paraId="398BE2AC">
      <w:pPr>
        <w:pStyle w:val="8"/>
        <w:snapToGrid w:val="0"/>
        <w:spacing w:before="50" w:after="50"/>
        <w:ind w:firstLine="630" w:firstLineChars="225"/>
        <w:rPr>
          <w:rFonts w:hint="eastAsia" w:ascii="宋体" w:hAnsi="宋体" w:cs="仿宋_GB2312"/>
          <w:bCs/>
          <w:color w:val="auto"/>
          <w:sz w:val="28"/>
          <w:szCs w:val="28"/>
          <w:highlight w:val="none"/>
        </w:rPr>
      </w:pPr>
    </w:p>
    <w:p w14:paraId="10E386B5">
      <w:pPr>
        <w:pStyle w:val="8"/>
        <w:snapToGrid w:val="0"/>
        <w:spacing w:before="50" w:after="50"/>
        <w:ind w:firstLine="1120" w:firstLineChars="400"/>
        <w:rPr>
          <w:rFonts w:hint="eastAsia" w:ascii="宋体" w:hAnsi="宋体" w:cs="仿宋_GB2312"/>
          <w:bCs/>
          <w:color w:val="auto"/>
          <w:sz w:val="28"/>
          <w:szCs w:val="28"/>
          <w:highlight w:val="none"/>
        </w:rPr>
      </w:pPr>
    </w:p>
    <w:p w14:paraId="16C93F8F">
      <w:pPr>
        <w:snapToGrid w:val="0"/>
        <w:spacing w:before="156" w:beforeLines="50" w:after="50"/>
        <w:jc w:val="center"/>
        <w:rPr>
          <w:rFonts w:hint="eastAsia" w:ascii="宋体" w:hAnsi="宋体" w:cs="仿宋_GB2312"/>
          <w:color w:val="auto"/>
          <w:sz w:val="28"/>
          <w:szCs w:val="28"/>
          <w:highlight w:val="none"/>
        </w:rPr>
      </w:pPr>
      <w:r>
        <w:rPr>
          <w:rFonts w:hint="eastAsia" w:ascii="宋体" w:hAnsi="宋体" w:cs="仿宋_GB2312"/>
          <w:color w:val="auto"/>
          <w:sz w:val="28"/>
          <w:szCs w:val="28"/>
          <w:highlight w:val="none"/>
        </w:rPr>
        <w:t>年    月    日</w:t>
      </w:r>
    </w:p>
    <w:p w14:paraId="0F70F3C3">
      <w:pPr>
        <w:snapToGrid w:val="0"/>
        <w:spacing w:before="156" w:beforeLines="50" w:after="50" w:line="360" w:lineRule="auto"/>
        <w:ind w:left="142"/>
        <w:jc w:val="left"/>
        <w:rPr>
          <w:rFonts w:hint="eastAsia" w:ascii="宋体" w:hAnsi="宋体"/>
          <w:b/>
          <w:bCs/>
          <w:color w:val="auto"/>
          <w:sz w:val="28"/>
          <w:szCs w:val="28"/>
          <w:highlight w:val="none"/>
        </w:rPr>
      </w:pPr>
      <w:r>
        <w:rPr>
          <w:rFonts w:ascii="宋体" w:hAnsi="宋体"/>
          <w:color w:val="auto"/>
          <w:sz w:val="22"/>
          <w:szCs w:val="22"/>
          <w:highlight w:val="none"/>
        </w:rPr>
        <w:br w:type="page"/>
      </w:r>
      <w:r>
        <w:rPr>
          <w:rFonts w:hint="eastAsia" w:ascii="宋体" w:hAnsi="宋体"/>
          <w:b/>
          <w:bCs/>
          <w:color w:val="auto"/>
          <w:sz w:val="28"/>
          <w:szCs w:val="28"/>
          <w:highlight w:val="none"/>
        </w:rPr>
        <w:t>2.资格证明文件目录</w:t>
      </w:r>
    </w:p>
    <w:p w14:paraId="51F26B2F">
      <w:pPr>
        <w:pStyle w:val="2"/>
        <w:numPr>
          <w:ilvl w:val="0"/>
          <w:numId w:val="0"/>
        </w:numPr>
        <w:rPr>
          <w:rFonts w:hint="default"/>
          <w:color w:val="auto"/>
          <w:lang w:val="en-US" w:eastAsia="zh-CN"/>
        </w:rPr>
      </w:pPr>
      <w:r>
        <w:rPr>
          <w:rFonts w:hint="eastAsia"/>
          <w:color w:val="auto"/>
          <w:lang w:val="en-US" w:eastAsia="zh-CN"/>
        </w:rPr>
        <w:t>根据《供应商须知前附表》第12.1.1要求编制</w:t>
      </w:r>
    </w:p>
    <w:p w14:paraId="630B9983">
      <w:pPr>
        <w:snapToGrid w:val="0"/>
        <w:spacing w:before="156" w:beforeLines="50" w:after="50"/>
        <w:rPr>
          <w:rFonts w:ascii="宋体" w:hAnsi="宋体"/>
          <w:color w:val="auto"/>
          <w:sz w:val="22"/>
          <w:szCs w:val="18"/>
          <w:highlight w:val="none"/>
        </w:rPr>
      </w:pPr>
      <w:r>
        <w:rPr>
          <w:rFonts w:ascii="宋体" w:hAnsi="宋体"/>
          <w:color w:val="auto"/>
          <w:sz w:val="22"/>
          <w:szCs w:val="18"/>
          <w:highlight w:val="none"/>
        </w:rPr>
        <w:t xml:space="preserve"> </w:t>
      </w:r>
    </w:p>
    <w:p w14:paraId="6AFEE8A0">
      <w:pPr>
        <w:spacing w:line="300" w:lineRule="auto"/>
        <w:rPr>
          <w:rFonts w:hint="eastAsia" w:ascii="宋体" w:hAnsi="宋体"/>
          <w:color w:val="auto"/>
          <w:sz w:val="20"/>
          <w:szCs w:val="20"/>
          <w:highlight w:val="none"/>
        </w:rPr>
      </w:pPr>
    </w:p>
    <w:p w14:paraId="6E47C6EA">
      <w:pPr>
        <w:spacing w:line="300" w:lineRule="auto"/>
        <w:rPr>
          <w:rFonts w:hint="eastAsia" w:ascii="宋体" w:hAnsi="宋体"/>
          <w:color w:val="auto"/>
          <w:sz w:val="20"/>
          <w:szCs w:val="20"/>
          <w:highlight w:val="none"/>
        </w:rPr>
      </w:pPr>
    </w:p>
    <w:p w14:paraId="246311DC">
      <w:pPr>
        <w:spacing w:line="300" w:lineRule="auto"/>
        <w:rPr>
          <w:rFonts w:hint="eastAsia" w:ascii="宋体" w:hAnsi="宋体"/>
          <w:color w:val="auto"/>
          <w:sz w:val="20"/>
          <w:szCs w:val="20"/>
          <w:highlight w:val="none"/>
        </w:rPr>
      </w:pPr>
    </w:p>
    <w:p w14:paraId="6CA58525">
      <w:pPr>
        <w:spacing w:line="300" w:lineRule="auto"/>
        <w:rPr>
          <w:rFonts w:hint="eastAsia" w:ascii="宋体" w:hAnsi="宋体"/>
          <w:color w:val="auto"/>
          <w:sz w:val="20"/>
          <w:szCs w:val="20"/>
          <w:highlight w:val="none"/>
        </w:rPr>
      </w:pPr>
    </w:p>
    <w:p w14:paraId="0D925EF6">
      <w:pPr>
        <w:spacing w:line="300" w:lineRule="auto"/>
        <w:rPr>
          <w:rFonts w:hint="eastAsia" w:ascii="宋体" w:hAnsi="宋体"/>
          <w:color w:val="auto"/>
          <w:sz w:val="20"/>
          <w:szCs w:val="20"/>
          <w:highlight w:val="none"/>
        </w:rPr>
      </w:pPr>
    </w:p>
    <w:p w14:paraId="051FBDF8">
      <w:pPr>
        <w:spacing w:line="300" w:lineRule="auto"/>
        <w:rPr>
          <w:rFonts w:hint="eastAsia" w:ascii="宋体" w:hAnsi="宋体"/>
          <w:color w:val="auto"/>
          <w:sz w:val="20"/>
          <w:szCs w:val="20"/>
          <w:highlight w:val="none"/>
        </w:rPr>
      </w:pPr>
    </w:p>
    <w:p w14:paraId="3F2CCA7C">
      <w:pPr>
        <w:spacing w:line="300" w:lineRule="auto"/>
        <w:rPr>
          <w:rFonts w:hint="eastAsia" w:ascii="宋体" w:hAnsi="宋体"/>
          <w:color w:val="auto"/>
          <w:sz w:val="20"/>
          <w:szCs w:val="20"/>
          <w:highlight w:val="none"/>
        </w:rPr>
      </w:pPr>
    </w:p>
    <w:p w14:paraId="31559CD1">
      <w:pPr>
        <w:spacing w:line="300" w:lineRule="auto"/>
        <w:rPr>
          <w:rFonts w:hint="eastAsia" w:ascii="宋体" w:hAnsi="宋体"/>
          <w:color w:val="auto"/>
          <w:sz w:val="20"/>
          <w:szCs w:val="20"/>
          <w:highlight w:val="none"/>
        </w:rPr>
      </w:pPr>
    </w:p>
    <w:p w14:paraId="0F8DAFC4">
      <w:pPr>
        <w:spacing w:line="300" w:lineRule="auto"/>
        <w:rPr>
          <w:rFonts w:hint="eastAsia" w:ascii="宋体" w:hAnsi="宋体"/>
          <w:color w:val="auto"/>
          <w:sz w:val="20"/>
          <w:szCs w:val="20"/>
          <w:highlight w:val="none"/>
        </w:rPr>
      </w:pPr>
    </w:p>
    <w:p w14:paraId="3B29F491">
      <w:pPr>
        <w:spacing w:line="300" w:lineRule="auto"/>
        <w:rPr>
          <w:rFonts w:hint="eastAsia" w:ascii="宋体" w:hAnsi="宋体"/>
          <w:color w:val="auto"/>
          <w:sz w:val="20"/>
          <w:szCs w:val="20"/>
          <w:highlight w:val="none"/>
        </w:rPr>
      </w:pPr>
    </w:p>
    <w:p w14:paraId="2F8DC939">
      <w:pPr>
        <w:spacing w:line="300" w:lineRule="auto"/>
        <w:rPr>
          <w:rFonts w:hint="eastAsia" w:ascii="宋体" w:hAnsi="宋体"/>
          <w:color w:val="auto"/>
          <w:sz w:val="20"/>
          <w:szCs w:val="20"/>
          <w:highlight w:val="none"/>
        </w:rPr>
      </w:pPr>
    </w:p>
    <w:p w14:paraId="54EAB9ED">
      <w:pPr>
        <w:spacing w:line="300" w:lineRule="auto"/>
        <w:rPr>
          <w:rFonts w:hint="eastAsia" w:ascii="宋体" w:hAnsi="宋体"/>
          <w:color w:val="auto"/>
          <w:sz w:val="20"/>
          <w:szCs w:val="20"/>
          <w:highlight w:val="none"/>
        </w:rPr>
      </w:pPr>
    </w:p>
    <w:p w14:paraId="46AE13E3">
      <w:pPr>
        <w:spacing w:line="300" w:lineRule="auto"/>
        <w:rPr>
          <w:rFonts w:hint="eastAsia" w:ascii="宋体" w:hAnsi="宋体"/>
          <w:color w:val="auto"/>
          <w:sz w:val="20"/>
          <w:szCs w:val="20"/>
          <w:highlight w:val="none"/>
        </w:rPr>
      </w:pPr>
    </w:p>
    <w:p w14:paraId="429274F2">
      <w:pPr>
        <w:spacing w:line="300" w:lineRule="auto"/>
        <w:rPr>
          <w:rFonts w:hint="eastAsia" w:ascii="宋体" w:hAnsi="宋体"/>
          <w:color w:val="auto"/>
          <w:sz w:val="20"/>
          <w:szCs w:val="20"/>
          <w:highlight w:val="none"/>
        </w:rPr>
      </w:pPr>
    </w:p>
    <w:p w14:paraId="763BEA47">
      <w:pPr>
        <w:spacing w:line="300" w:lineRule="auto"/>
        <w:rPr>
          <w:rFonts w:hint="eastAsia" w:ascii="宋体" w:hAnsi="宋体"/>
          <w:color w:val="auto"/>
          <w:sz w:val="20"/>
          <w:szCs w:val="20"/>
          <w:highlight w:val="none"/>
        </w:rPr>
      </w:pPr>
    </w:p>
    <w:p w14:paraId="7715DD98">
      <w:pPr>
        <w:spacing w:line="320" w:lineRule="exact"/>
        <w:jc w:val="left"/>
        <w:rPr>
          <w:rFonts w:hint="eastAsia" w:ascii="宋体" w:hAnsi="宋体"/>
          <w:color w:val="auto"/>
          <w:sz w:val="20"/>
          <w:szCs w:val="20"/>
          <w:highlight w:val="none"/>
        </w:rPr>
      </w:pPr>
      <w:r>
        <w:rPr>
          <w:rFonts w:ascii="宋体" w:hAnsi="宋体"/>
          <w:color w:val="auto"/>
          <w:sz w:val="20"/>
          <w:szCs w:val="20"/>
          <w:highlight w:val="none"/>
        </w:rPr>
        <w:br w:type="page"/>
      </w:r>
      <w:r>
        <w:rPr>
          <w:rFonts w:hint="eastAsia" w:ascii="宋体" w:hAnsi="宋体"/>
          <w:color w:val="auto"/>
          <w:sz w:val="20"/>
          <w:szCs w:val="20"/>
          <w:highlight w:val="none"/>
        </w:rPr>
        <w:t xml:space="preserve"> </w:t>
      </w:r>
    </w:p>
    <w:p w14:paraId="765DE655">
      <w:pPr>
        <w:pStyle w:val="35"/>
        <w:jc w:val="both"/>
        <w:rPr>
          <w:rFonts w:hint="eastAsia" w:ascii="宋体" w:hAnsi="宋体" w:eastAsia="宋体" w:cs="宋体"/>
          <w:b/>
          <w:bCs/>
          <w:color w:val="auto"/>
          <w:sz w:val="32"/>
          <w:szCs w:val="32"/>
          <w:highlight w:val="none"/>
        </w:rPr>
      </w:pPr>
    </w:p>
    <w:p w14:paraId="3B311716">
      <w:pPr>
        <w:spacing w:line="320" w:lineRule="exact"/>
        <w:jc w:val="center"/>
        <w:rPr>
          <w:rFonts w:hint="eastAsia" w:ascii="宋体" w:hAnsi="宋体"/>
          <w:b/>
          <w:color w:val="auto"/>
          <w:sz w:val="28"/>
          <w:szCs w:val="28"/>
          <w:highlight w:val="none"/>
        </w:rPr>
      </w:pPr>
      <w:r>
        <w:rPr>
          <w:rFonts w:hint="eastAsia" w:ascii="宋体" w:hAnsi="宋体"/>
          <w:b/>
          <w:color w:val="auto"/>
          <w:sz w:val="28"/>
          <w:szCs w:val="28"/>
          <w:highlight w:val="none"/>
        </w:rPr>
        <w:t>供应商直接控股、管理关系信息表</w:t>
      </w:r>
    </w:p>
    <w:p w14:paraId="042A5FBE">
      <w:pPr>
        <w:snapToGrid w:val="0"/>
        <w:spacing w:before="156" w:beforeLines="50" w:after="50" w:line="360" w:lineRule="auto"/>
        <w:jc w:val="center"/>
        <w:rPr>
          <w:rFonts w:hint="eastAsia" w:ascii="宋体" w:hAnsi="宋体"/>
          <w:b/>
          <w:color w:val="auto"/>
          <w:sz w:val="22"/>
          <w:szCs w:val="22"/>
          <w:highlight w:val="none"/>
        </w:rPr>
      </w:pPr>
    </w:p>
    <w:p w14:paraId="76AD0805">
      <w:pPr>
        <w:spacing w:line="360" w:lineRule="auto"/>
        <w:contextualSpacing/>
        <w:jc w:val="center"/>
        <w:rPr>
          <w:rFonts w:hint="eastAsia" w:ascii="宋体" w:hAnsi="宋体"/>
          <w:b/>
          <w:color w:val="auto"/>
          <w:sz w:val="28"/>
          <w:szCs w:val="28"/>
          <w:highlight w:val="none"/>
        </w:rPr>
      </w:pPr>
      <w:r>
        <w:rPr>
          <w:rFonts w:hint="eastAsia" w:ascii="宋体" w:hAnsi="宋体"/>
          <w:b/>
          <w:color w:val="auto"/>
          <w:sz w:val="28"/>
          <w:szCs w:val="28"/>
          <w:highlight w:val="none"/>
        </w:rPr>
        <w:t>供应商直接控股股东信息表</w:t>
      </w:r>
    </w:p>
    <w:p w14:paraId="233278FA">
      <w:pPr>
        <w:spacing w:line="360" w:lineRule="auto"/>
        <w:contextualSpacing/>
        <w:jc w:val="center"/>
        <w:rPr>
          <w:rFonts w:hint="eastAsia" w:ascii="宋体" w:hAnsi="宋体"/>
          <w:b/>
          <w:color w:val="auto"/>
          <w:sz w:val="22"/>
          <w:szCs w:val="22"/>
          <w:highlight w:val="none"/>
        </w:rPr>
      </w:pPr>
    </w:p>
    <w:tbl>
      <w:tblPr>
        <w:tblStyle w:val="28"/>
        <w:tblW w:w="10147" w:type="dxa"/>
        <w:jc w:val="center"/>
        <w:shd w:val="clear" w:color="auto" w:fill="FBFBFB"/>
        <w:tblLayout w:type="fixed"/>
        <w:tblCellMar>
          <w:top w:w="0" w:type="dxa"/>
          <w:left w:w="0" w:type="dxa"/>
          <w:bottom w:w="0" w:type="dxa"/>
          <w:right w:w="0" w:type="dxa"/>
        </w:tblCellMar>
      </w:tblPr>
      <w:tblGrid>
        <w:gridCol w:w="880"/>
        <w:gridCol w:w="2655"/>
        <w:gridCol w:w="1455"/>
        <w:gridCol w:w="4287"/>
        <w:gridCol w:w="870"/>
      </w:tblGrid>
      <w:tr w14:paraId="196E88EB">
        <w:tblPrEx>
          <w:shd w:val="clear" w:color="auto" w:fill="FBFBFB"/>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060BCF2">
            <w:pPr>
              <w:widowControl/>
              <w:spacing w:line="360" w:lineRule="auto"/>
              <w:contextualSpacing/>
              <w:jc w:val="center"/>
              <w:rPr>
                <w:rFonts w:hint="eastAsia" w:ascii="宋体" w:hAnsi="宋体" w:cs="宋体"/>
                <w:b/>
                <w:bCs/>
                <w:color w:val="auto"/>
                <w:kern w:val="0"/>
                <w:sz w:val="22"/>
                <w:szCs w:val="22"/>
                <w:highlight w:val="none"/>
              </w:rPr>
            </w:pPr>
            <w:r>
              <w:rPr>
                <w:rFonts w:hint="eastAsia" w:ascii="宋体" w:hAnsi="宋体" w:cs="宋体"/>
                <w:b/>
                <w:bCs/>
                <w:color w:val="auto"/>
                <w:kern w:val="0"/>
                <w:sz w:val="22"/>
                <w:szCs w:val="22"/>
                <w:highlight w:val="none"/>
              </w:rPr>
              <w:t>序号</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216A809">
            <w:pPr>
              <w:widowControl/>
              <w:spacing w:line="360" w:lineRule="auto"/>
              <w:contextualSpacing/>
              <w:jc w:val="center"/>
              <w:rPr>
                <w:rFonts w:hint="eastAsia" w:ascii="宋体" w:hAnsi="宋体" w:cs="宋体"/>
                <w:b/>
                <w:bCs/>
                <w:color w:val="auto"/>
                <w:kern w:val="0"/>
                <w:sz w:val="22"/>
                <w:szCs w:val="22"/>
                <w:highlight w:val="none"/>
              </w:rPr>
            </w:pPr>
            <w:r>
              <w:rPr>
                <w:rFonts w:hint="eastAsia" w:ascii="宋体" w:hAnsi="宋体" w:cs="宋体"/>
                <w:b/>
                <w:bCs/>
                <w:color w:val="auto"/>
                <w:kern w:val="0"/>
                <w:sz w:val="22"/>
                <w:szCs w:val="22"/>
                <w:highlight w:val="none"/>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5810CA7">
            <w:pPr>
              <w:widowControl/>
              <w:spacing w:line="360" w:lineRule="auto"/>
              <w:contextualSpacing/>
              <w:jc w:val="center"/>
              <w:rPr>
                <w:rFonts w:hint="eastAsia" w:ascii="宋体" w:hAnsi="宋体" w:cs="宋体"/>
                <w:b/>
                <w:bCs/>
                <w:color w:val="auto"/>
                <w:kern w:val="0"/>
                <w:sz w:val="22"/>
                <w:szCs w:val="22"/>
                <w:highlight w:val="none"/>
              </w:rPr>
            </w:pPr>
            <w:r>
              <w:rPr>
                <w:rFonts w:hint="eastAsia" w:ascii="宋体" w:hAnsi="宋体" w:cs="宋体"/>
                <w:b/>
                <w:bCs/>
                <w:color w:val="auto"/>
                <w:kern w:val="0"/>
                <w:sz w:val="22"/>
                <w:szCs w:val="22"/>
                <w:highlight w:val="none"/>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5B54AF0">
            <w:pPr>
              <w:widowControl/>
              <w:spacing w:line="360" w:lineRule="auto"/>
              <w:contextualSpacing/>
              <w:jc w:val="center"/>
              <w:rPr>
                <w:rFonts w:hint="eastAsia" w:ascii="宋体" w:hAnsi="宋体" w:cs="宋体"/>
                <w:b/>
                <w:bCs/>
                <w:color w:val="auto"/>
                <w:kern w:val="0"/>
                <w:sz w:val="22"/>
                <w:szCs w:val="22"/>
                <w:highlight w:val="none"/>
              </w:rPr>
            </w:pPr>
            <w:r>
              <w:rPr>
                <w:rFonts w:hint="eastAsia" w:ascii="宋体" w:hAnsi="宋体" w:cs="宋体"/>
                <w:b/>
                <w:bCs/>
                <w:color w:val="auto"/>
                <w:kern w:val="0"/>
                <w:sz w:val="22"/>
                <w:szCs w:val="22"/>
                <w:highlight w:val="none"/>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3679899">
            <w:pPr>
              <w:widowControl/>
              <w:spacing w:line="360" w:lineRule="auto"/>
              <w:contextualSpacing/>
              <w:jc w:val="center"/>
              <w:rPr>
                <w:rFonts w:hint="eastAsia" w:ascii="宋体" w:hAnsi="宋体" w:cs="宋体"/>
                <w:b/>
                <w:bCs/>
                <w:color w:val="auto"/>
                <w:kern w:val="0"/>
                <w:sz w:val="22"/>
                <w:szCs w:val="22"/>
                <w:highlight w:val="none"/>
              </w:rPr>
            </w:pPr>
            <w:r>
              <w:rPr>
                <w:rFonts w:hint="eastAsia" w:ascii="宋体" w:hAnsi="宋体" w:cs="宋体"/>
                <w:b/>
                <w:bCs/>
                <w:color w:val="auto"/>
                <w:kern w:val="0"/>
                <w:sz w:val="22"/>
                <w:szCs w:val="22"/>
                <w:highlight w:val="none"/>
              </w:rPr>
              <w:t>备注</w:t>
            </w:r>
          </w:p>
        </w:tc>
      </w:tr>
      <w:tr w14:paraId="6791EBD6">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A5AD4FA">
            <w:pPr>
              <w:widowControl/>
              <w:spacing w:line="360" w:lineRule="auto"/>
              <w:contextualSpacing/>
              <w:jc w:val="center"/>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rPr>
              <w:t>1</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5FF647D">
            <w:pPr>
              <w:widowControl/>
              <w:spacing w:line="360" w:lineRule="auto"/>
              <w:contextualSpacing/>
              <w:jc w:val="center"/>
              <w:rPr>
                <w:rFonts w:hint="eastAsia" w:ascii="宋体" w:hAnsi="宋体" w:cs="宋体"/>
                <w:color w:val="auto"/>
                <w:kern w:val="0"/>
                <w:sz w:val="22"/>
                <w:szCs w:val="22"/>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A0F38D5">
            <w:pPr>
              <w:widowControl/>
              <w:spacing w:line="360" w:lineRule="auto"/>
              <w:contextualSpacing/>
              <w:jc w:val="center"/>
              <w:rPr>
                <w:rFonts w:hint="eastAsia" w:ascii="宋体" w:hAnsi="宋体" w:cs="宋体"/>
                <w:color w:val="auto"/>
                <w:kern w:val="0"/>
                <w:sz w:val="22"/>
                <w:szCs w:val="22"/>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535742C">
            <w:pPr>
              <w:widowControl/>
              <w:spacing w:line="360" w:lineRule="auto"/>
              <w:contextualSpacing/>
              <w:jc w:val="center"/>
              <w:rPr>
                <w:rFonts w:hint="eastAsia" w:ascii="宋体" w:hAnsi="宋体" w:cs="宋体"/>
                <w:color w:val="auto"/>
                <w:kern w:val="0"/>
                <w:sz w:val="22"/>
                <w:szCs w:val="22"/>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1A8C1B1">
            <w:pPr>
              <w:widowControl/>
              <w:spacing w:line="360" w:lineRule="auto"/>
              <w:contextualSpacing/>
              <w:jc w:val="center"/>
              <w:rPr>
                <w:rFonts w:hint="eastAsia" w:ascii="宋体" w:hAnsi="宋体" w:cs="宋体"/>
                <w:color w:val="auto"/>
                <w:kern w:val="0"/>
                <w:sz w:val="22"/>
                <w:szCs w:val="22"/>
                <w:highlight w:val="none"/>
              </w:rPr>
            </w:pPr>
          </w:p>
        </w:tc>
      </w:tr>
      <w:tr w14:paraId="0F4B7F54">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681C4D6">
            <w:pPr>
              <w:widowControl/>
              <w:spacing w:line="360" w:lineRule="auto"/>
              <w:contextualSpacing/>
              <w:jc w:val="center"/>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rPr>
              <w:t>2</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57E5CC3">
            <w:pPr>
              <w:widowControl/>
              <w:spacing w:line="360" w:lineRule="auto"/>
              <w:contextualSpacing/>
              <w:jc w:val="center"/>
              <w:rPr>
                <w:rFonts w:hint="eastAsia" w:ascii="宋体" w:hAnsi="宋体" w:cs="宋体"/>
                <w:color w:val="auto"/>
                <w:kern w:val="0"/>
                <w:sz w:val="22"/>
                <w:szCs w:val="22"/>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25F19C7">
            <w:pPr>
              <w:widowControl/>
              <w:spacing w:line="360" w:lineRule="auto"/>
              <w:contextualSpacing/>
              <w:jc w:val="center"/>
              <w:rPr>
                <w:rFonts w:hint="eastAsia" w:ascii="宋体" w:hAnsi="宋体" w:cs="宋体"/>
                <w:color w:val="auto"/>
                <w:kern w:val="0"/>
                <w:sz w:val="22"/>
                <w:szCs w:val="22"/>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EE8B8EC">
            <w:pPr>
              <w:widowControl/>
              <w:spacing w:line="360" w:lineRule="auto"/>
              <w:contextualSpacing/>
              <w:jc w:val="center"/>
              <w:rPr>
                <w:rFonts w:hint="eastAsia" w:ascii="宋体" w:hAnsi="宋体" w:cs="宋体"/>
                <w:color w:val="auto"/>
                <w:kern w:val="0"/>
                <w:sz w:val="22"/>
                <w:szCs w:val="22"/>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778C569">
            <w:pPr>
              <w:widowControl/>
              <w:spacing w:line="360" w:lineRule="auto"/>
              <w:contextualSpacing/>
              <w:jc w:val="center"/>
              <w:rPr>
                <w:rFonts w:hint="eastAsia" w:ascii="宋体" w:hAnsi="宋体" w:cs="宋体"/>
                <w:color w:val="auto"/>
                <w:kern w:val="0"/>
                <w:sz w:val="22"/>
                <w:szCs w:val="22"/>
                <w:highlight w:val="none"/>
              </w:rPr>
            </w:pPr>
          </w:p>
        </w:tc>
      </w:tr>
      <w:tr w14:paraId="78B1508A">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47CC0C3">
            <w:pPr>
              <w:widowControl/>
              <w:spacing w:line="360" w:lineRule="auto"/>
              <w:contextualSpacing/>
              <w:jc w:val="center"/>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rPr>
              <w:t>3</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9D04872">
            <w:pPr>
              <w:widowControl/>
              <w:spacing w:line="360" w:lineRule="auto"/>
              <w:contextualSpacing/>
              <w:jc w:val="center"/>
              <w:rPr>
                <w:rFonts w:hint="eastAsia" w:ascii="宋体" w:hAnsi="宋体" w:cs="宋体"/>
                <w:color w:val="auto"/>
                <w:kern w:val="0"/>
                <w:sz w:val="22"/>
                <w:szCs w:val="22"/>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48FE916">
            <w:pPr>
              <w:widowControl/>
              <w:spacing w:line="360" w:lineRule="auto"/>
              <w:contextualSpacing/>
              <w:jc w:val="center"/>
              <w:rPr>
                <w:rFonts w:hint="eastAsia" w:ascii="宋体" w:hAnsi="宋体" w:cs="宋体"/>
                <w:color w:val="auto"/>
                <w:kern w:val="0"/>
                <w:sz w:val="22"/>
                <w:szCs w:val="22"/>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1F9D0EA">
            <w:pPr>
              <w:widowControl/>
              <w:spacing w:line="360" w:lineRule="auto"/>
              <w:contextualSpacing/>
              <w:jc w:val="center"/>
              <w:rPr>
                <w:rFonts w:hint="eastAsia" w:ascii="宋体" w:hAnsi="宋体" w:cs="宋体"/>
                <w:color w:val="auto"/>
                <w:kern w:val="0"/>
                <w:sz w:val="22"/>
                <w:szCs w:val="22"/>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AA6ED69">
            <w:pPr>
              <w:widowControl/>
              <w:spacing w:line="360" w:lineRule="auto"/>
              <w:contextualSpacing/>
              <w:jc w:val="center"/>
              <w:rPr>
                <w:rFonts w:hint="eastAsia" w:ascii="宋体" w:hAnsi="宋体" w:cs="宋体"/>
                <w:color w:val="auto"/>
                <w:kern w:val="0"/>
                <w:sz w:val="22"/>
                <w:szCs w:val="22"/>
                <w:highlight w:val="none"/>
              </w:rPr>
            </w:pPr>
          </w:p>
        </w:tc>
      </w:tr>
      <w:tr w14:paraId="1DEC7619">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6B552BA">
            <w:pPr>
              <w:widowControl/>
              <w:spacing w:line="360" w:lineRule="auto"/>
              <w:contextualSpacing/>
              <w:jc w:val="center"/>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rPr>
              <w:t>……</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71A2110">
            <w:pPr>
              <w:widowControl/>
              <w:spacing w:line="360" w:lineRule="auto"/>
              <w:contextualSpacing/>
              <w:jc w:val="center"/>
              <w:rPr>
                <w:rFonts w:hint="eastAsia" w:ascii="宋体" w:hAnsi="宋体" w:cs="宋体"/>
                <w:color w:val="auto"/>
                <w:kern w:val="0"/>
                <w:sz w:val="22"/>
                <w:szCs w:val="22"/>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4135D09">
            <w:pPr>
              <w:widowControl/>
              <w:spacing w:line="360" w:lineRule="auto"/>
              <w:contextualSpacing/>
              <w:jc w:val="center"/>
              <w:rPr>
                <w:rFonts w:hint="eastAsia" w:ascii="宋体" w:hAnsi="宋体" w:cs="宋体"/>
                <w:color w:val="auto"/>
                <w:kern w:val="0"/>
                <w:sz w:val="22"/>
                <w:szCs w:val="22"/>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16A4AA0">
            <w:pPr>
              <w:widowControl/>
              <w:spacing w:line="360" w:lineRule="auto"/>
              <w:contextualSpacing/>
              <w:jc w:val="center"/>
              <w:rPr>
                <w:rFonts w:hint="eastAsia" w:ascii="宋体" w:hAnsi="宋体" w:cs="宋体"/>
                <w:color w:val="auto"/>
                <w:kern w:val="0"/>
                <w:sz w:val="22"/>
                <w:szCs w:val="22"/>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51A238F">
            <w:pPr>
              <w:widowControl/>
              <w:spacing w:line="360" w:lineRule="auto"/>
              <w:contextualSpacing/>
              <w:jc w:val="center"/>
              <w:rPr>
                <w:rFonts w:hint="eastAsia" w:ascii="宋体" w:hAnsi="宋体" w:cs="宋体"/>
                <w:color w:val="auto"/>
                <w:kern w:val="0"/>
                <w:sz w:val="22"/>
                <w:szCs w:val="22"/>
                <w:highlight w:val="none"/>
              </w:rPr>
            </w:pPr>
          </w:p>
        </w:tc>
      </w:tr>
    </w:tbl>
    <w:p w14:paraId="09FB07EF">
      <w:pPr>
        <w:spacing w:line="360" w:lineRule="auto"/>
        <w:contextualSpacing/>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注：</w:t>
      </w:r>
    </w:p>
    <w:p w14:paraId="7EE035C7">
      <w:pPr>
        <w:spacing w:line="360" w:lineRule="auto"/>
        <w:ind w:firstLine="420" w:firstLineChars="200"/>
        <w:contextualSpacing/>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388064C6">
      <w:pPr>
        <w:spacing w:line="360" w:lineRule="auto"/>
        <w:ind w:firstLine="420" w:firstLineChars="200"/>
        <w:contextualSpacing/>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2.本表所指的控股关系仅限于直接控股关系，不包括间接的控股关系。公司实际控制人与公司之间的关系不属于本表所指的直接控股关系。</w:t>
      </w:r>
    </w:p>
    <w:p w14:paraId="546799E2">
      <w:pPr>
        <w:spacing w:line="360" w:lineRule="auto"/>
        <w:ind w:firstLine="420" w:firstLineChars="200"/>
        <w:contextualSpacing/>
        <w:jc w:val="left"/>
        <w:rPr>
          <w:rFonts w:ascii="宋体" w:hAnsi="宋体" w:cs="宋体"/>
          <w:color w:val="auto"/>
          <w:sz w:val="21"/>
          <w:szCs w:val="21"/>
          <w:highlight w:val="none"/>
        </w:rPr>
      </w:pPr>
      <w:r>
        <w:rPr>
          <w:rFonts w:hint="eastAsia" w:ascii="宋体" w:hAnsi="宋体" w:cs="宋体"/>
          <w:color w:val="auto"/>
          <w:sz w:val="21"/>
          <w:szCs w:val="21"/>
          <w:highlight w:val="none"/>
        </w:rPr>
        <w:t>3.供应商不存在直接控股股东的，</w:t>
      </w:r>
      <w:r>
        <w:rPr>
          <w:rFonts w:hint="eastAsia" w:ascii="宋体" w:hAnsi="宋体"/>
          <w:color w:val="auto"/>
          <w:sz w:val="21"/>
          <w:szCs w:val="21"/>
          <w:highlight w:val="none"/>
        </w:rPr>
        <w:t>则在“直接控股股东名称”填“无”</w:t>
      </w:r>
      <w:r>
        <w:rPr>
          <w:rFonts w:hint="eastAsia" w:ascii="宋体" w:hAnsi="宋体" w:cs="宋体"/>
          <w:color w:val="auto"/>
          <w:sz w:val="21"/>
          <w:szCs w:val="21"/>
          <w:highlight w:val="none"/>
        </w:rPr>
        <w:t>。</w:t>
      </w:r>
    </w:p>
    <w:p w14:paraId="7C4CC4CA">
      <w:pPr>
        <w:spacing w:line="360" w:lineRule="auto"/>
        <w:ind w:firstLine="420" w:firstLineChars="200"/>
        <w:contextualSpacing/>
        <w:jc w:val="left"/>
        <w:rPr>
          <w:rFonts w:ascii="宋体" w:hAnsi="宋体" w:cs="宋体"/>
          <w:color w:val="auto"/>
          <w:sz w:val="21"/>
          <w:szCs w:val="21"/>
          <w:highlight w:val="none"/>
        </w:rPr>
      </w:pPr>
    </w:p>
    <w:p w14:paraId="1609A2F2">
      <w:pPr>
        <w:spacing w:line="360" w:lineRule="auto"/>
        <w:ind w:firstLine="420" w:firstLineChars="200"/>
        <w:contextualSpacing/>
        <w:jc w:val="left"/>
        <w:rPr>
          <w:rFonts w:hint="eastAsia" w:ascii="宋体" w:hAnsi="宋体" w:cs="宋体"/>
          <w:color w:val="auto"/>
          <w:sz w:val="21"/>
          <w:szCs w:val="21"/>
          <w:highlight w:val="none"/>
        </w:rPr>
      </w:pPr>
    </w:p>
    <w:p w14:paraId="72BBB080">
      <w:pPr>
        <w:spacing w:line="360" w:lineRule="auto"/>
        <w:ind w:firstLine="4200" w:firstLineChars="2000"/>
        <w:jc w:val="left"/>
        <w:rPr>
          <w:rFonts w:hint="eastAsia" w:ascii="宋体" w:hAnsi="宋体" w:eastAsia="宋体" w:cs="宋体"/>
          <w:color w:val="auto"/>
          <w:u w:val="single"/>
        </w:rPr>
      </w:pPr>
      <w:r>
        <w:rPr>
          <w:rFonts w:hint="eastAsia" w:ascii="宋体" w:hAnsi="宋体" w:cs="宋体"/>
          <w:color w:val="auto"/>
          <w:sz w:val="21"/>
          <w:szCs w:val="21"/>
          <w:highlight w:val="none"/>
        </w:rPr>
        <w:t xml:space="preserve"> </w:t>
      </w:r>
      <w:r>
        <w:rPr>
          <w:rFonts w:ascii="宋体" w:hAnsi="宋体" w:cs="宋体"/>
          <w:color w:val="auto"/>
          <w:sz w:val="21"/>
          <w:szCs w:val="21"/>
          <w:highlight w:val="none"/>
        </w:rPr>
        <w:t xml:space="preserve">       </w:t>
      </w:r>
      <w:r>
        <w:rPr>
          <w:rFonts w:hint="eastAsia" w:ascii="宋体" w:hAnsi="宋体" w:eastAsia="宋体" w:cs="宋体"/>
          <w:color w:val="auto"/>
          <w:sz w:val="21"/>
          <w:szCs w:val="21"/>
          <w:lang w:eastAsia="zh-CN"/>
        </w:rPr>
        <w:t>供应商</w:t>
      </w:r>
      <w:r>
        <w:rPr>
          <w:rFonts w:hint="eastAsia" w:ascii="宋体" w:hAnsi="宋体" w:eastAsia="宋体" w:cs="宋体"/>
          <w:color w:val="auto"/>
          <w:kern w:val="0"/>
          <w:sz w:val="21"/>
          <w:szCs w:val="21"/>
          <w:highlight w:val="none"/>
          <w:lang w:val="zh-CN"/>
        </w:rPr>
        <w:t>名称（</w:t>
      </w:r>
      <w:r>
        <w:rPr>
          <w:rFonts w:hint="eastAsia" w:ascii="宋体" w:hAnsi="宋体" w:eastAsia="宋体" w:cs="宋体"/>
          <w:color w:val="auto"/>
          <w:kern w:val="0"/>
          <w:sz w:val="21"/>
          <w:szCs w:val="21"/>
          <w:highlight w:val="none"/>
          <w:lang w:val="zh-CN" w:eastAsia="zh-CN"/>
        </w:rPr>
        <w:t>电子签章</w:t>
      </w:r>
      <w:r>
        <w:rPr>
          <w:rFonts w:hint="eastAsia" w:ascii="宋体" w:hAnsi="宋体" w:eastAsia="宋体" w:cs="宋体"/>
          <w:color w:val="auto"/>
          <w:kern w:val="0"/>
          <w:sz w:val="21"/>
          <w:szCs w:val="21"/>
          <w:highlight w:val="none"/>
          <w:lang w:val="zh-CN"/>
        </w:rPr>
        <w:t>）</w:t>
      </w:r>
      <w:r>
        <w:rPr>
          <w:rFonts w:hint="eastAsia" w:ascii="宋体" w:hAnsi="宋体" w:eastAsia="宋体" w:cs="宋体"/>
          <w:color w:val="auto"/>
          <w:sz w:val="21"/>
          <w:szCs w:val="21"/>
        </w:rPr>
        <w:t>：</w:t>
      </w:r>
      <w:r>
        <w:rPr>
          <w:rFonts w:hint="eastAsia" w:ascii="宋体" w:hAnsi="宋体" w:eastAsia="宋体" w:cs="宋体"/>
          <w:color w:val="auto"/>
          <w:u w:val="single"/>
        </w:rPr>
        <w:t xml:space="preserve">                     </w:t>
      </w:r>
    </w:p>
    <w:p w14:paraId="2136AEAF">
      <w:pPr>
        <w:pStyle w:val="46"/>
        <w:keepNext w:val="0"/>
        <w:keepLines w:val="0"/>
        <w:widowControl w:val="0"/>
        <w:shd w:val="clear" w:color="auto" w:fill="auto"/>
        <w:bidi w:val="0"/>
        <w:spacing w:before="0" w:afterAutospacing="0" w:line="415" w:lineRule="exact"/>
        <w:ind w:left="0" w:leftChars="0" w:right="0" w:firstLine="0" w:firstLineChars="0"/>
        <w:jc w:val="left"/>
        <w:rPr>
          <w:rFonts w:hint="eastAsia" w:ascii="宋体" w:hAnsi="宋体" w:eastAsia="宋体" w:cs="宋体"/>
          <w:color w:val="auto"/>
          <w:spacing w:val="0"/>
          <w:w w:val="100"/>
          <w:position w:val="0"/>
          <w:sz w:val="21"/>
          <w:szCs w:val="21"/>
          <w:lang w:eastAsia="zh-CN"/>
        </w:rPr>
        <w:sectPr>
          <w:headerReference r:id="rId10" w:type="default"/>
          <w:footnotePr>
            <w:numFmt w:val="decimal"/>
          </w:footnotePr>
          <w:pgSz w:w="11905" w:h="16838"/>
          <w:pgMar w:top="1134" w:right="1134" w:bottom="1134" w:left="1134" w:header="720" w:footer="720" w:gutter="0"/>
          <w:pgNumType w:fmt="decimal"/>
          <w:cols w:space="720" w:num="1"/>
          <w:rtlGutter w:val="0"/>
          <w:docGrid w:type="lines" w:linePitch="332" w:charSpace="0"/>
        </w:sectPr>
      </w:pPr>
      <w:r>
        <w:rPr>
          <w:rFonts w:hint="eastAsia" w:ascii="宋体" w:hAnsi="宋体" w:eastAsia="宋体" w:cs="宋体"/>
          <w:color w:val="auto"/>
          <w:lang w:val="en-US" w:eastAsia="zh-CN"/>
        </w:rPr>
        <w:t xml:space="preserve">                                   </w:t>
      </w:r>
      <w:r>
        <w:rPr>
          <w:rFonts w:hint="eastAsia" w:ascii="宋体" w:hAnsi="宋体" w:eastAsia="宋体" w:cs="宋体"/>
          <w:color w:val="auto"/>
          <w:sz w:val="21"/>
          <w:szCs w:val="21"/>
          <w:lang w:val="en-US" w:eastAsia="zh-CN"/>
        </w:rPr>
        <w:t xml:space="preserve">     </w:t>
      </w:r>
      <w:r>
        <w:rPr>
          <w:rFonts w:hint="eastAsia" w:cs="宋体"/>
          <w:color w:val="auto"/>
          <w:sz w:val="21"/>
          <w:szCs w:val="21"/>
          <w:lang w:val="en-US" w:eastAsia="zh-CN"/>
        </w:rPr>
        <w:t xml:space="preserve">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日期：</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年</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月</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u w:val="none"/>
          <w:lang w:eastAsia="zh-CN"/>
        </w:rPr>
        <w:t>日</w:t>
      </w:r>
    </w:p>
    <w:p w14:paraId="4E5343D7">
      <w:pPr>
        <w:spacing w:line="360" w:lineRule="auto"/>
        <w:ind w:firstLine="420" w:firstLineChars="200"/>
        <w:contextualSpacing/>
        <w:jc w:val="center"/>
        <w:rPr>
          <w:rFonts w:hint="eastAsia" w:ascii="宋体" w:hAnsi="宋体" w:cs="宋体"/>
          <w:color w:val="auto"/>
          <w:sz w:val="21"/>
          <w:szCs w:val="21"/>
          <w:highlight w:val="none"/>
        </w:rPr>
      </w:pPr>
    </w:p>
    <w:p w14:paraId="704BE56B">
      <w:pPr>
        <w:snapToGrid w:val="0"/>
        <w:jc w:val="center"/>
        <w:rPr>
          <w:rFonts w:hint="eastAsia" w:ascii="宋体" w:hAnsi="宋体"/>
          <w:b/>
          <w:color w:val="auto"/>
          <w:sz w:val="28"/>
          <w:szCs w:val="28"/>
          <w:highlight w:val="none"/>
        </w:rPr>
      </w:pPr>
      <w:r>
        <w:rPr>
          <w:rFonts w:hint="eastAsia" w:ascii="宋体" w:hAnsi="宋体"/>
          <w:b/>
          <w:color w:val="auto"/>
          <w:sz w:val="28"/>
          <w:szCs w:val="28"/>
          <w:highlight w:val="none"/>
        </w:rPr>
        <w:t>供应商直接管理关系信息表</w:t>
      </w:r>
    </w:p>
    <w:p w14:paraId="042C569F">
      <w:pPr>
        <w:snapToGrid w:val="0"/>
        <w:spacing w:line="360" w:lineRule="auto"/>
        <w:jc w:val="center"/>
        <w:rPr>
          <w:rFonts w:hint="eastAsia" w:ascii="宋体" w:hAnsi="宋体"/>
          <w:b/>
          <w:color w:val="auto"/>
          <w:sz w:val="22"/>
          <w:szCs w:val="22"/>
          <w:highlight w:val="none"/>
        </w:rPr>
      </w:pPr>
    </w:p>
    <w:tbl>
      <w:tblPr>
        <w:tblStyle w:val="28"/>
        <w:tblW w:w="9652" w:type="dxa"/>
        <w:jc w:val="center"/>
        <w:shd w:val="clear" w:color="auto" w:fill="FBFBFB"/>
        <w:tblLayout w:type="fixed"/>
        <w:tblCellMar>
          <w:top w:w="0" w:type="dxa"/>
          <w:left w:w="0" w:type="dxa"/>
          <w:bottom w:w="0" w:type="dxa"/>
          <w:right w:w="0" w:type="dxa"/>
        </w:tblCellMar>
      </w:tblPr>
      <w:tblGrid>
        <w:gridCol w:w="808"/>
        <w:gridCol w:w="3600"/>
        <w:gridCol w:w="3555"/>
        <w:gridCol w:w="1689"/>
      </w:tblGrid>
      <w:tr w14:paraId="2249A4EF">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0756824">
            <w:pPr>
              <w:widowControl/>
              <w:spacing w:line="360" w:lineRule="auto"/>
              <w:contextualSpacing/>
              <w:jc w:val="center"/>
              <w:rPr>
                <w:rFonts w:ascii="宋体" w:hAnsi="宋体" w:cs="宋体"/>
                <w:b/>
                <w:bCs/>
                <w:color w:val="auto"/>
                <w:kern w:val="0"/>
                <w:sz w:val="22"/>
                <w:szCs w:val="22"/>
                <w:highlight w:val="none"/>
              </w:rPr>
            </w:pPr>
            <w:r>
              <w:rPr>
                <w:rFonts w:hint="eastAsia" w:ascii="宋体" w:hAnsi="宋体" w:cs="宋体"/>
                <w:b/>
                <w:bCs/>
                <w:color w:val="auto"/>
                <w:kern w:val="0"/>
                <w:sz w:val="22"/>
                <w:szCs w:val="22"/>
                <w:highlight w:val="none"/>
              </w:rPr>
              <w:t>序号</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D5AE520">
            <w:pPr>
              <w:widowControl/>
              <w:spacing w:line="360" w:lineRule="auto"/>
              <w:contextualSpacing/>
              <w:jc w:val="center"/>
              <w:rPr>
                <w:rFonts w:ascii="宋体" w:hAnsi="宋体" w:cs="宋体"/>
                <w:b/>
                <w:bCs/>
                <w:color w:val="auto"/>
                <w:kern w:val="0"/>
                <w:sz w:val="22"/>
                <w:szCs w:val="22"/>
                <w:highlight w:val="none"/>
              </w:rPr>
            </w:pPr>
            <w:r>
              <w:rPr>
                <w:rFonts w:hint="eastAsia" w:ascii="宋体" w:hAnsi="宋体" w:cs="宋体"/>
                <w:b/>
                <w:bCs/>
                <w:color w:val="auto"/>
                <w:kern w:val="0"/>
                <w:sz w:val="22"/>
                <w:szCs w:val="22"/>
                <w:highlight w:val="none"/>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3146AF4">
            <w:pPr>
              <w:widowControl/>
              <w:spacing w:line="360" w:lineRule="auto"/>
              <w:contextualSpacing/>
              <w:jc w:val="center"/>
              <w:rPr>
                <w:rFonts w:ascii="宋体" w:hAnsi="宋体" w:cs="宋体"/>
                <w:b/>
                <w:bCs/>
                <w:color w:val="auto"/>
                <w:kern w:val="0"/>
                <w:sz w:val="22"/>
                <w:szCs w:val="22"/>
                <w:highlight w:val="none"/>
              </w:rPr>
            </w:pPr>
            <w:r>
              <w:rPr>
                <w:rFonts w:hint="eastAsia" w:ascii="宋体" w:hAnsi="宋体" w:cs="宋体"/>
                <w:b/>
                <w:bCs/>
                <w:color w:val="auto"/>
                <w:kern w:val="0"/>
                <w:sz w:val="22"/>
                <w:szCs w:val="22"/>
                <w:highlight w:val="none"/>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843D1E7">
            <w:pPr>
              <w:widowControl/>
              <w:spacing w:line="360" w:lineRule="auto"/>
              <w:contextualSpacing/>
              <w:jc w:val="center"/>
              <w:rPr>
                <w:rFonts w:ascii="宋体" w:hAnsi="宋体" w:cs="宋体"/>
                <w:b/>
                <w:bCs/>
                <w:color w:val="auto"/>
                <w:kern w:val="0"/>
                <w:sz w:val="22"/>
                <w:szCs w:val="22"/>
                <w:highlight w:val="none"/>
              </w:rPr>
            </w:pPr>
            <w:r>
              <w:rPr>
                <w:rFonts w:hint="eastAsia" w:ascii="宋体" w:hAnsi="宋体" w:cs="宋体"/>
                <w:b/>
                <w:bCs/>
                <w:color w:val="auto"/>
                <w:kern w:val="0"/>
                <w:sz w:val="22"/>
                <w:szCs w:val="22"/>
                <w:highlight w:val="none"/>
              </w:rPr>
              <w:t>备注</w:t>
            </w:r>
          </w:p>
        </w:tc>
      </w:tr>
      <w:tr w14:paraId="0180921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C56619A">
            <w:pPr>
              <w:widowControl/>
              <w:spacing w:line="360" w:lineRule="auto"/>
              <w:contextualSpacing/>
              <w:jc w:val="center"/>
              <w:rPr>
                <w:rFonts w:ascii="宋体" w:hAnsi="宋体" w:cs="宋体"/>
                <w:color w:val="auto"/>
                <w:kern w:val="0"/>
                <w:sz w:val="22"/>
                <w:szCs w:val="22"/>
                <w:highlight w:val="none"/>
              </w:rPr>
            </w:pPr>
            <w:r>
              <w:rPr>
                <w:rFonts w:hint="eastAsia" w:ascii="宋体" w:hAnsi="宋体" w:cs="宋体"/>
                <w:color w:val="auto"/>
                <w:kern w:val="0"/>
                <w:sz w:val="22"/>
                <w:szCs w:val="22"/>
                <w:highlight w:val="none"/>
              </w:rPr>
              <w:t>1</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3D7AC2B">
            <w:pPr>
              <w:widowControl/>
              <w:spacing w:line="360" w:lineRule="auto"/>
              <w:contextualSpacing/>
              <w:jc w:val="center"/>
              <w:rPr>
                <w:rFonts w:ascii="宋体" w:hAnsi="宋体" w:cs="宋体"/>
                <w:color w:val="auto"/>
                <w:kern w:val="0"/>
                <w:sz w:val="22"/>
                <w:szCs w:val="22"/>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52D3D2B">
            <w:pPr>
              <w:widowControl/>
              <w:spacing w:line="360" w:lineRule="auto"/>
              <w:contextualSpacing/>
              <w:jc w:val="center"/>
              <w:rPr>
                <w:rFonts w:ascii="宋体" w:hAnsi="宋体" w:cs="宋体"/>
                <w:color w:val="auto"/>
                <w:kern w:val="0"/>
                <w:sz w:val="22"/>
                <w:szCs w:val="22"/>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476EB5C">
            <w:pPr>
              <w:widowControl/>
              <w:spacing w:line="360" w:lineRule="auto"/>
              <w:contextualSpacing/>
              <w:jc w:val="center"/>
              <w:rPr>
                <w:rFonts w:ascii="宋体" w:hAnsi="宋体" w:cs="宋体"/>
                <w:color w:val="auto"/>
                <w:kern w:val="0"/>
                <w:sz w:val="22"/>
                <w:szCs w:val="22"/>
                <w:highlight w:val="none"/>
              </w:rPr>
            </w:pPr>
          </w:p>
        </w:tc>
      </w:tr>
      <w:tr w14:paraId="41598177">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42EF2C3">
            <w:pPr>
              <w:widowControl/>
              <w:spacing w:line="360" w:lineRule="auto"/>
              <w:contextualSpacing/>
              <w:jc w:val="center"/>
              <w:rPr>
                <w:rFonts w:ascii="宋体" w:hAnsi="宋体" w:cs="宋体"/>
                <w:color w:val="auto"/>
                <w:kern w:val="0"/>
                <w:sz w:val="22"/>
                <w:szCs w:val="22"/>
                <w:highlight w:val="none"/>
              </w:rPr>
            </w:pPr>
            <w:r>
              <w:rPr>
                <w:rFonts w:hint="eastAsia" w:ascii="宋体" w:hAnsi="宋体" w:cs="宋体"/>
                <w:color w:val="auto"/>
                <w:kern w:val="0"/>
                <w:sz w:val="22"/>
                <w:szCs w:val="22"/>
                <w:highlight w:val="none"/>
              </w:rPr>
              <w:t>2</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112030C">
            <w:pPr>
              <w:widowControl/>
              <w:spacing w:line="360" w:lineRule="auto"/>
              <w:contextualSpacing/>
              <w:jc w:val="center"/>
              <w:rPr>
                <w:rFonts w:ascii="宋体" w:hAnsi="宋体" w:cs="宋体"/>
                <w:color w:val="auto"/>
                <w:kern w:val="0"/>
                <w:sz w:val="22"/>
                <w:szCs w:val="22"/>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C193090">
            <w:pPr>
              <w:widowControl/>
              <w:spacing w:line="360" w:lineRule="auto"/>
              <w:contextualSpacing/>
              <w:jc w:val="center"/>
              <w:rPr>
                <w:rFonts w:ascii="宋体" w:hAnsi="宋体" w:cs="宋体"/>
                <w:color w:val="auto"/>
                <w:kern w:val="0"/>
                <w:sz w:val="22"/>
                <w:szCs w:val="22"/>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83FE21F">
            <w:pPr>
              <w:widowControl/>
              <w:spacing w:line="360" w:lineRule="auto"/>
              <w:contextualSpacing/>
              <w:jc w:val="center"/>
              <w:rPr>
                <w:rFonts w:ascii="宋体" w:hAnsi="宋体" w:cs="宋体"/>
                <w:color w:val="auto"/>
                <w:kern w:val="0"/>
                <w:sz w:val="22"/>
                <w:szCs w:val="22"/>
                <w:highlight w:val="none"/>
              </w:rPr>
            </w:pPr>
          </w:p>
        </w:tc>
      </w:tr>
      <w:tr w14:paraId="1C19C948">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3DA59FD">
            <w:pPr>
              <w:widowControl/>
              <w:spacing w:line="360" w:lineRule="auto"/>
              <w:contextualSpacing/>
              <w:jc w:val="center"/>
              <w:rPr>
                <w:rFonts w:ascii="宋体" w:hAnsi="宋体" w:cs="宋体"/>
                <w:color w:val="auto"/>
                <w:kern w:val="0"/>
                <w:sz w:val="22"/>
                <w:szCs w:val="22"/>
                <w:highlight w:val="none"/>
              </w:rPr>
            </w:pPr>
            <w:r>
              <w:rPr>
                <w:rFonts w:hint="eastAsia" w:ascii="宋体" w:hAnsi="宋体" w:cs="宋体"/>
                <w:color w:val="auto"/>
                <w:kern w:val="0"/>
                <w:sz w:val="22"/>
                <w:szCs w:val="22"/>
                <w:highlight w:val="none"/>
              </w:rPr>
              <w:t>3</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DFC0C75">
            <w:pPr>
              <w:widowControl/>
              <w:spacing w:line="360" w:lineRule="auto"/>
              <w:contextualSpacing/>
              <w:jc w:val="center"/>
              <w:rPr>
                <w:rFonts w:ascii="宋体" w:hAnsi="宋体" w:cs="宋体"/>
                <w:color w:val="auto"/>
                <w:kern w:val="0"/>
                <w:sz w:val="22"/>
                <w:szCs w:val="22"/>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8B86DBC">
            <w:pPr>
              <w:widowControl/>
              <w:spacing w:line="360" w:lineRule="auto"/>
              <w:contextualSpacing/>
              <w:jc w:val="center"/>
              <w:rPr>
                <w:rFonts w:ascii="宋体" w:hAnsi="宋体" w:cs="宋体"/>
                <w:color w:val="auto"/>
                <w:kern w:val="0"/>
                <w:sz w:val="22"/>
                <w:szCs w:val="22"/>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EFAEA52">
            <w:pPr>
              <w:widowControl/>
              <w:spacing w:line="360" w:lineRule="auto"/>
              <w:contextualSpacing/>
              <w:jc w:val="center"/>
              <w:rPr>
                <w:rFonts w:ascii="宋体" w:hAnsi="宋体" w:cs="宋体"/>
                <w:color w:val="auto"/>
                <w:kern w:val="0"/>
                <w:sz w:val="22"/>
                <w:szCs w:val="22"/>
                <w:highlight w:val="none"/>
              </w:rPr>
            </w:pPr>
          </w:p>
        </w:tc>
      </w:tr>
      <w:tr w14:paraId="72005A13">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3551FC2">
            <w:pPr>
              <w:widowControl/>
              <w:spacing w:line="360" w:lineRule="auto"/>
              <w:contextualSpacing/>
              <w:jc w:val="center"/>
              <w:rPr>
                <w:rFonts w:ascii="宋体" w:hAnsi="宋体" w:cs="宋体"/>
                <w:color w:val="auto"/>
                <w:kern w:val="0"/>
                <w:sz w:val="22"/>
                <w:szCs w:val="22"/>
                <w:highlight w:val="none"/>
              </w:rPr>
            </w:pPr>
            <w:r>
              <w:rPr>
                <w:rFonts w:hint="eastAsia" w:ascii="宋体" w:hAnsi="宋体" w:cs="宋体"/>
                <w:color w:val="auto"/>
                <w:kern w:val="0"/>
                <w:sz w:val="22"/>
                <w:szCs w:val="22"/>
                <w:highlight w:val="none"/>
              </w:rPr>
              <w:t>……</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A1F5627">
            <w:pPr>
              <w:widowControl/>
              <w:spacing w:line="360" w:lineRule="auto"/>
              <w:contextualSpacing/>
              <w:jc w:val="center"/>
              <w:rPr>
                <w:rFonts w:ascii="宋体" w:hAnsi="宋体" w:cs="宋体"/>
                <w:color w:val="auto"/>
                <w:kern w:val="0"/>
                <w:sz w:val="22"/>
                <w:szCs w:val="22"/>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1CBE26E">
            <w:pPr>
              <w:widowControl/>
              <w:spacing w:line="360" w:lineRule="auto"/>
              <w:contextualSpacing/>
              <w:jc w:val="center"/>
              <w:rPr>
                <w:rFonts w:ascii="宋体" w:hAnsi="宋体" w:cs="宋体"/>
                <w:color w:val="auto"/>
                <w:kern w:val="0"/>
                <w:sz w:val="22"/>
                <w:szCs w:val="22"/>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BEA9E83">
            <w:pPr>
              <w:widowControl/>
              <w:spacing w:line="360" w:lineRule="auto"/>
              <w:contextualSpacing/>
              <w:jc w:val="center"/>
              <w:rPr>
                <w:rFonts w:ascii="宋体" w:hAnsi="宋体" w:cs="宋体"/>
                <w:color w:val="auto"/>
                <w:kern w:val="0"/>
                <w:sz w:val="22"/>
                <w:szCs w:val="22"/>
                <w:highlight w:val="none"/>
              </w:rPr>
            </w:pPr>
          </w:p>
        </w:tc>
      </w:tr>
    </w:tbl>
    <w:p w14:paraId="6EB63650">
      <w:pPr>
        <w:spacing w:line="360" w:lineRule="auto"/>
        <w:contextualSpacing/>
        <w:jc w:val="left"/>
        <w:rPr>
          <w:rFonts w:hint="eastAsia" w:ascii="宋体" w:hAnsi="宋体"/>
          <w:color w:val="auto"/>
          <w:sz w:val="21"/>
          <w:szCs w:val="21"/>
          <w:highlight w:val="none"/>
        </w:rPr>
      </w:pPr>
      <w:r>
        <w:rPr>
          <w:rFonts w:hint="eastAsia" w:ascii="宋体" w:hAnsi="宋体"/>
          <w:color w:val="auto"/>
          <w:sz w:val="21"/>
          <w:szCs w:val="21"/>
          <w:highlight w:val="none"/>
        </w:rPr>
        <w:t>注：</w:t>
      </w:r>
    </w:p>
    <w:p w14:paraId="70EDA657">
      <w:pPr>
        <w:spacing w:line="360" w:lineRule="auto"/>
        <w:ind w:firstLine="420" w:firstLineChars="200"/>
        <w:contextualSpacing/>
        <w:jc w:val="left"/>
        <w:rPr>
          <w:rFonts w:hint="eastAsia" w:ascii="宋体" w:hAnsi="宋体"/>
          <w:color w:val="auto"/>
          <w:sz w:val="21"/>
          <w:szCs w:val="21"/>
          <w:highlight w:val="none"/>
        </w:rPr>
      </w:pPr>
      <w:r>
        <w:rPr>
          <w:rFonts w:hint="eastAsia" w:ascii="宋体" w:hAnsi="宋体"/>
          <w:color w:val="auto"/>
          <w:sz w:val="21"/>
          <w:szCs w:val="21"/>
          <w:highlight w:val="none"/>
        </w:rPr>
        <w:t>1.管理关系：是指不具有出资持股关系的其他单位之间存在的管理与被管理关系，如一些上下级关系的事业单位和团体组织。</w:t>
      </w:r>
    </w:p>
    <w:p w14:paraId="0AC3852A">
      <w:pPr>
        <w:spacing w:line="360" w:lineRule="auto"/>
        <w:ind w:firstLine="420" w:firstLineChars="200"/>
        <w:contextualSpacing/>
        <w:jc w:val="left"/>
        <w:rPr>
          <w:rFonts w:hint="eastAsia" w:ascii="宋体" w:hAnsi="宋体"/>
          <w:color w:val="auto"/>
          <w:sz w:val="21"/>
          <w:szCs w:val="21"/>
          <w:highlight w:val="none"/>
        </w:rPr>
      </w:pPr>
      <w:r>
        <w:rPr>
          <w:rFonts w:hint="eastAsia" w:ascii="宋体" w:hAnsi="宋体"/>
          <w:color w:val="auto"/>
          <w:sz w:val="21"/>
          <w:szCs w:val="21"/>
          <w:highlight w:val="none"/>
        </w:rPr>
        <w:t>2.</w:t>
      </w:r>
      <w:r>
        <w:rPr>
          <w:rFonts w:hint="eastAsia" w:ascii="宋体" w:hAnsi="宋体"/>
          <w:color w:val="auto"/>
          <w:spacing w:val="-6"/>
          <w:sz w:val="21"/>
          <w:szCs w:val="21"/>
          <w:highlight w:val="none"/>
        </w:rPr>
        <w:t>本表所指的管理关系仅限于直接管理关系，不包括间接的管理关系。</w:t>
      </w:r>
    </w:p>
    <w:p w14:paraId="2888CF44">
      <w:pPr>
        <w:spacing w:line="360" w:lineRule="auto"/>
        <w:ind w:firstLine="420" w:firstLineChars="200"/>
        <w:contextualSpacing/>
        <w:jc w:val="left"/>
        <w:rPr>
          <w:rFonts w:hint="eastAsia" w:ascii="宋体" w:hAnsi="宋体"/>
          <w:color w:val="auto"/>
          <w:sz w:val="21"/>
          <w:szCs w:val="21"/>
          <w:highlight w:val="none"/>
        </w:rPr>
      </w:pPr>
      <w:r>
        <w:rPr>
          <w:rFonts w:hint="eastAsia" w:ascii="宋体" w:hAnsi="宋体"/>
          <w:color w:val="auto"/>
          <w:sz w:val="21"/>
          <w:szCs w:val="21"/>
          <w:highlight w:val="none"/>
        </w:rPr>
        <w:t>3.供应商不存在直接管理关系的，则在“直接管理关系单位名称”填“无”。</w:t>
      </w:r>
    </w:p>
    <w:p w14:paraId="06E8CAE0">
      <w:pPr>
        <w:spacing w:line="360" w:lineRule="auto"/>
        <w:contextualSpacing/>
        <w:jc w:val="left"/>
        <w:rPr>
          <w:rFonts w:hint="eastAsia" w:ascii="宋体" w:hAnsi="宋体"/>
          <w:color w:val="auto"/>
          <w:sz w:val="21"/>
          <w:szCs w:val="21"/>
          <w:highlight w:val="none"/>
        </w:rPr>
      </w:pPr>
    </w:p>
    <w:p w14:paraId="78362237">
      <w:pPr>
        <w:spacing w:line="360" w:lineRule="auto"/>
        <w:contextualSpacing/>
        <w:jc w:val="left"/>
        <w:rPr>
          <w:rFonts w:hint="eastAsia" w:ascii="宋体" w:hAnsi="宋体"/>
          <w:color w:val="auto"/>
          <w:sz w:val="21"/>
          <w:szCs w:val="21"/>
          <w:highlight w:val="none"/>
        </w:rPr>
      </w:pPr>
    </w:p>
    <w:p w14:paraId="5AB780D4">
      <w:pPr>
        <w:spacing w:line="360" w:lineRule="auto"/>
        <w:contextualSpacing/>
        <w:jc w:val="left"/>
        <w:rPr>
          <w:rFonts w:hint="eastAsia"/>
          <w:color w:val="auto"/>
          <w:sz w:val="21"/>
          <w:szCs w:val="21"/>
          <w:highlight w:val="none"/>
        </w:rPr>
      </w:pPr>
    </w:p>
    <w:p w14:paraId="5F13D33D">
      <w:pPr>
        <w:spacing w:line="360" w:lineRule="auto"/>
        <w:contextualSpacing/>
        <w:jc w:val="left"/>
        <w:rPr>
          <w:rFonts w:hint="eastAsia" w:ascii="宋体" w:hAnsi="宋体"/>
          <w:color w:val="auto"/>
          <w:sz w:val="21"/>
          <w:szCs w:val="21"/>
          <w:highlight w:val="none"/>
        </w:rPr>
      </w:pPr>
    </w:p>
    <w:p w14:paraId="05C701D6">
      <w:pPr>
        <w:spacing w:line="360" w:lineRule="auto"/>
        <w:ind w:firstLine="4200" w:firstLineChars="2000"/>
        <w:jc w:val="left"/>
        <w:rPr>
          <w:rFonts w:hint="eastAsia" w:ascii="宋体" w:hAnsi="宋体" w:eastAsia="宋体" w:cs="宋体"/>
          <w:color w:val="auto"/>
          <w:u w:val="single"/>
        </w:rPr>
      </w:pPr>
      <w:r>
        <w:rPr>
          <w:rFonts w:hint="eastAsia" w:ascii="宋体" w:hAnsi="宋体"/>
          <w:color w:val="auto"/>
          <w:sz w:val="21"/>
          <w:szCs w:val="21"/>
          <w:highlight w:val="none"/>
        </w:rPr>
        <w:t xml:space="preserve"> </w:t>
      </w:r>
      <w:r>
        <w:rPr>
          <w:rFonts w:ascii="宋体" w:hAnsi="宋体"/>
          <w:color w:val="auto"/>
          <w:sz w:val="21"/>
          <w:szCs w:val="21"/>
          <w:highlight w:val="none"/>
        </w:rPr>
        <w:t xml:space="preserve">        </w:t>
      </w:r>
      <w:r>
        <w:rPr>
          <w:rFonts w:hint="eastAsia" w:ascii="宋体" w:hAnsi="宋体" w:eastAsia="宋体" w:cs="宋体"/>
          <w:color w:val="auto"/>
          <w:sz w:val="21"/>
          <w:szCs w:val="21"/>
          <w:lang w:eastAsia="zh-CN"/>
        </w:rPr>
        <w:t>供应商</w:t>
      </w:r>
      <w:r>
        <w:rPr>
          <w:rFonts w:hint="eastAsia" w:ascii="宋体" w:hAnsi="宋体" w:eastAsia="宋体" w:cs="宋体"/>
          <w:color w:val="auto"/>
          <w:kern w:val="0"/>
          <w:sz w:val="21"/>
          <w:szCs w:val="21"/>
          <w:highlight w:val="none"/>
          <w:lang w:val="zh-CN"/>
        </w:rPr>
        <w:t>名称（</w:t>
      </w:r>
      <w:r>
        <w:rPr>
          <w:rFonts w:hint="eastAsia" w:ascii="宋体" w:hAnsi="宋体" w:eastAsia="宋体" w:cs="宋体"/>
          <w:color w:val="auto"/>
          <w:kern w:val="0"/>
          <w:sz w:val="21"/>
          <w:szCs w:val="21"/>
          <w:highlight w:val="none"/>
          <w:lang w:val="zh-CN" w:eastAsia="zh-CN"/>
        </w:rPr>
        <w:t>电子签章</w:t>
      </w:r>
      <w:r>
        <w:rPr>
          <w:rFonts w:hint="eastAsia" w:ascii="宋体" w:hAnsi="宋体" w:eastAsia="宋体" w:cs="宋体"/>
          <w:color w:val="auto"/>
          <w:kern w:val="0"/>
          <w:sz w:val="21"/>
          <w:szCs w:val="21"/>
          <w:highlight w:val="none"/>
          <w:lang w:val="zh-CN"/>
        </w:rPr>
        <w:t>）</w:t>
      </w:r>
      <w:r>
        <w:rPr>
          <w:rFonts w:hint="eastAsia" w:ascii="宋体" w:hAnsi="宋体" w:eastAsia="宋体" w:cs="宋体"/>
          <w:color w:val="auto"/>
          <w:sz w:val="21"/>
          <w:szCs w:val="21"/>
        </w:rPr>
        <w:t>：</w:t>
      </w:r>
      <w:r>
        <w:rPr>
          <w:rFonts w:hint="eastAsia" w:ascii="宋体" w:hAnsi="宋体" w:eastAsia="宋体" w:cs="宋体"/>
          <w:color w:val="auto"/>
          <w:u w:val="single"/>
        </w:rPr>
        <w:t xml:space="preserve">                     </w:t>
      </w:r>
    </w:p>
    <w:p w14:paraId="6B80EAA4">
      <w:pPr>
        <w:pStyle w:val="46"/>
        <w:keepNext w:val="0"/>
        <w:keepLines w:val="0"/>
        <w:widowControl w:val="0"/>
        <w:shd w:val="clear" w:color="auto" w:fill="auto"/>
        <w:bidi w:val="0"/>
        <w:spacing w:before="0" w:afterAutospacing="0" w:line="415" w:lineRule="exact"/>
        <w:ind w:left="0" w:leftChars="0" w:right="0" w:firstLine="0" w:firstLineChars="0"/>
        <w:jc w:val="left"/>
        <w:rPr>
          <w:rFonts w:hint="eastAsia" w:ascii="宋体" w:hAnsi="宋体" w:eastAsia="宋体" w:cs="宋体"/>
          <w:color w:val="auto"/>
          <w:spacing w:val="0"/>
          <w:w w:val="100"/>
          <w:position w:val="0"/>
          <w:sz w:val="21"/>
          <w:szCs w:val="21"/>
          <w:lang w:eastAsia="zh-CN"/>
        </w:rPr>
        <w:sectPr>
          <w:footnotePr>
            <w:numFmt w:val="decimal"/>
          </w:footnotePr>
          <w:pgSz w:w="11905" w:h="16838"/>
          <w:pgMar w:top="1134" w:right="1134" w:bottom="1134" w:left="1134" w:header="720" w:footer="720" w:gutter="0"/>
          <w:pgNumType w:fmt="decimal"/>
          <w:cols w:space="720" w:num="1"/>
          <w:rtlGutter w:val="0"/>
          <w:docGrid w:type="lines" w:linePitch="332" w:charSpace="0"/>
        </w:sectPr>
      </w:pPr>
      <w:r>
        <w:rPr>
          <w:rFonts w:hint="eastAsia" w:ascii="宋体" w:hAnsi="宋体" w:eastAsia="宋体" w:cs="宋体"/>
          <w:color w:val="auto"/>
          <w:lang w:val="en-US" w:eastAsia="zh-CN"/>
        </w:rPr>
        <w:t xml:space="preserve">                                   </w:t>
      </w:r>
      <w:r>
        <w:rPr>
          <w:rFonts w:hint="eastAsia" w:ascii="宋体" w:hAnsi="宋体" w:eastAsia="宋体" w:cs="宋体"/>
          <w:color w:val="auto"/>
          <w:sz w:val="21"/>
          <w:szCs w:val="21"/>
          <w:lang w:val="en-US" w:eastAsia="zh-CN"/>
        </w:rPr>
        <w:t xml:space="preserve">     </w:t>
      </w:r>
      <w:r>
        <w:rPr>
          <w:rFonts w:hint="eastAsia" w:cs="宋体"/>
          <w:color w:val="auto"/>
          <w:sz w:val="21"/>
          <w:szCs w:val="21"/>
          <w:lang w:val="en-US" w:eastAsia="zh-CN"/>
        </w:rPr>
        <w:t xml:space="preserve">        </w:t>
      </w:r>
      <w:r>
        <w:rPr>
          <w:rFonts w:hint="eastAsia" w:ascii="宋体" w:hAnsi="宋体" w:eastAsia="宋体" w:cs="宋体"/>
          <w:color w:val="auto"/>
          <w:sz w:val="21"/>
          <w:szCs w:val="21"/>
          <w:lang w:val="en-US" w:eastAsia="zh-CN"/>
        </w:rPr>
        <w:t xml:space="preserve"> </w:t>
      </w:r>
      <w:r>
        <w:rPr>
          <w:rFonts w:hint="eastAsia" w:cs="宋体"/>
          <w:color w:val="auto"/>
          <w:sz w:val="21"/>
          <w:szCs w:val="21"/>
          <w:lang w:val="en-US" w:eastAsia="zh-CN"/>
        </w:rPr>
        <w:t xml:space="preserve">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日期：</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年</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月</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u w:val="none"/>
          <w:lang w:eastAsia="zh-CN"/>
        </w:rPr>
        <w:t>日</w:t>
      </w:r>
    </w:p>
    <w:p w14:paraId="323A5927">
      <w:pPr>
        <w:spacing w:line="320" w:lineRule="exact"/>
        <w:jc w:val="center"/>
        <w:rPr>
          <w:rFonts w:hint="eastAsia" w:ascii="宋体" w:hAnsi="宋体"/>
          <w:b/>
          <w:color w:val="auto"/>
          <w:sz w:val="28"/>
          <w:szCs w:val="28"/>
          <w:highlight w:val="none"/>
        </w:rPr>
      </w:pPr>
      <w:r>
        <w:rPr>
          <w:rFonts w:hint="eastAsia" w:ascii="宋体" w:hAnsi="宋体"/>
          <w:b/>
          <w:color w:val="auto"/>
          <w:sz w:val="28"/>
          <w:szCs w:val="28"/>
          <w:highlight w:val="none"/>
        </w:rPr>
        <w:t>竞标声明</w:t>
      </w:r>
    </w:p>
    <w:p w14:paraId="45D58E14">
      <w:pPr>
        <w:spacing w:line="320" w:lineRule="exact"/>
        <w:jc w:val="center"/>
        <w:rPr>
          <w:rFonts w:hint="eastAsia" w:ascii="宋体" w:hAnsi="宋体"/>
          <w:color w:val="auto"/>
          <w:sz w:val="22"/>
          <w:szCs w:val="18"/>
          <w:highlight w:val="none"/>
        </w:rPr>
      </w:pPr>
    </w:p>
    <w:p w14:paraId="752AE70E">
      <w:pPr>
        <w:spacing w:line="360" w:lineRule="auto"/>
        <w:ind w:firstLine="420" w:firstLineChars="200"/>
        <w:contextualSpacing/>
        <w:jc w:val="left"/>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致：</w:t>
      </w:r>
      <w:r>
        <w:rPr>
          <w:rFonts w:hint="eastAsia" w:ascii="宋体" w:hAnsi="宋体" w:cs="Times New Roman"/>
          <w:color w:val="auto"/>
          <w:sz w:val="21"/>
          <w:szCs w:val="21"/>
          <w:highlight w:val="none"/>
          <w:u w:val="single"/>
          <w:lang w:val="en-US" w:eastAsia="zh-CN"/>
        </w:rPr>
        <w:t xml:space="preserve">             </w:t>
      </w:r>
      <w:r>
        <w:rPr>
          <w:rFonts w:hint="eastAsia" w:ascii="宋体" w:hAnsi="宋体" w:eastAsia="宋体" w:cs="Times New Roman"/>
          <w:color w:val="auto"/>
          <w:sz w:val="21"/>
          <w:szCs w:val="21"/>
          <w:highlight w:val="none"/>
          <w:u w:val="single"/>
        </w:rPr>
        <w:t>（采购人名称）</w:t>
      </w:r>
      <w:r>
        <w:rPr>
          <w:rFonts w:hint="eastAsia" w:ascii="宋体" w:hAnsi="宋体" w:cs="Times New Roman"/>
          <w:color w:val="auto"/>
          <w:sz w:val="21"/>
          <w:szCs w:val="21"/>
          <w:highlight w:val="none"/>
          <w:u w:val="single"/>
          <w:lang w:val="en-US" w:eastAsia="zh-CN"/>
        </w:rPr>
        <w:t xml:space="preserve"> </w:t>
      </w:r>
      <w:r>
        <w:rPr>
          <w:rFonts w:hint="eastAsia" w:ascii="宋体" w:hAnsi="宋体" w:eastAsia="宋体" w:cs="Times New Roman"/>
          <w:color w:val="auto"/>
          <w:sz w:val="21"/>
          <w:szCs w:val="21"/>
          <w:highlight w:val="none"/>
        </w:rPr>
        <w:t>：</w:t>
      </w:r>
    </w:p>
    <w:p w14:paraId="4C06FE42">
      <w:pPr>
        <w:spacing w:line="360" w:lineRule="auto"/>
        <w:ind w:firstLine="420" w:firstLineChars="200"/>
        <w:contextualSpacing/>
        <w:jc w:val="left"/>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u w:val="single"/>
        </w:rPr>
        <w:t>（供应商名称）</w:t>
      </w:r>
      <w:r>
        <w:rPr>
          <w:rFonts w:hint="eastAsia" w:ascii="宋体" w:hAnsi="宋体" w:eastAsia="宋体" w:cs="Times New Roman"/>
          <w:color w:val="auto"/>
          <w:sz w:val="21"/>
          <w:szCs w:val="21"/>
          <w:highlight w:val="none"/>
        </w:rPr>
        <w:t>系中华人民共和国合法供应商，经营地址</w:t>
      </w:r>
      <w:r>
        <w:rPr>
          <w:rFonts w:hint="eastAsia" w:ascii="宋体" w:hAnsi="宋体" w:eastAsia="宋体" w:cs="Times New Roman"/>
          <w:color w:val="auto"/>
          <w:sz w:val="21"/>
          <w:szCs w:val="21"/>
          <w:highlight w:val="none"/>
          <w:u w:val="single"/>
        </w:rPr>
        <w:t xml:space="preserve">                             </w:t>
      </w:r>
      <w:r>
        <w:rPr>
          <w:rFonts w:hint="eastAsia" w:ascii="宋体" w:hAnsi="宋体" w:eastAsia="宋体" w:cs="Times New Roman"/>
          <w:color w:val="auto"/>
          <w:sz w:val="21"/>
          <w:szCs w:val="21"/>
          <w:highlight w:val="none"/>
        </w:rPr>
        <w:t xml:space="preserve"> 。</w:t>
      </w:r>
    </w:p>
    <w:p w14:paraId="1378024A">
      <w:pPr>
        <w:spacing w:line="360" w:lineRule="auto"/>
        <w:ind w:firstLine="420" w:firstLineChars="200"/>
        <w:contextualSpacing/>
        <w:jc w:val="left"/>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我方愿意参加贵方组织的</w:t>
      </w:r>
      <w:r>
        <w:rPr>
          <w:rFonts w:hint="eastAsia" w:ascii="宋体" w:hAnsi="宋体" w:eastAsia="宋体" w:cs="Times New Roman"/>
          <w:color w:val="auto"/>
          <w:sz w:val="21"/>
          <w:szCs w:val="21"/>
          <w:highlight w:val="none"/>
          <w:u w:val="single"/>
        </w:rPr>
        <w:t>（项目名称）</w:t>
      </w:r>
      <w:r>
        <w:rPr>
          <w:rFonts w:hint="eastAsia" w:ascii="宋体" w:hAnsi="宋体" w:eastAsia="宋体" w:cs="Times New Roman"/>
          <w:color w:val="auto"/>
          <w:sz w:val="21"/>
          <w:szCs w:val="21"/>
          <w:highlight w:val="none"/>
        </w:rPr>
        <w:t>项目的竞标，为便于贵方公正、择优地确定成交供应商及其竞标产品和服务，我方就本次竞标有关事项郑重声明如下：</w:t>
      </w:r>
    </w:p>
    <w:p w14:paraId="219721FF">
      <w:pPr>
        <w:spacing w:line="360" w:lineRule="auto"/>
        <w:ind w:firstLine="420" w:firstLineChars="200"/>
        <w:contextualSpacing/>
        <w:jc w:val="left"/>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1.我方向贵方提交的所有响应文件、资料都是准确的和真实的。</w:t>
      </w:r>
    </w:p>
    <w:p w14:paraId="001CC117">
      <w:pPr>
        <w:spacing w:line="360" w:lineRule="auto"/>
        <w:ind w:firstLine="420" w:firstLineChars="200"/>
        <w:contextualSpacing/>
        <w:jc w:val="left"/>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2.我方不是为本次采购项目提供整体设计、规范编制或者项目管理、监理、检测等服务的供应商。</w:t>
      </w:r>
    </w:p>
    <w:p w14:paraId="418DE2BF">
      <w:pPr>
        <w:spacing w:line="360" w:lineRule="auto"/>
        <w:ind w:firstLine="420" w:firstLineChars="200"/>
        <w:contextualSpacing/>
        <w:jc w:val="left"/>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3.在此，我方宣布同意如下：</w:t>
      </w:r>
    </w:p>
    <w:p w14:paraId="1C28972D">
      <w:pPr>
        <w:spacing w:line="360" w:lineRule="auto"/>
        <w:ind w:firstLine="420" w:firstLineChars="200"/>
        <w:contextualSpacing/>
        <w:jc w:val="left"/>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（1）将按磋商文件的约定履行合同责任和义务；</w:t>
      </w:r>
    </w:p>
    <w:p w14:paraId="5E57FD81">
      <w:pPr>
        <w:spacing w:line="360" w:lineRule="auto"/>
        <w:ind w:firstLine="420" w:firstLineChars="200"/>
        <w:contextualSpacing/>
        <w:jc w:val="left"/>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（2）已详细审查全部磋商文件，包括澄清或者更正公告（如有）；</w:t>
      </w:r>
    </w:p>
    <w:p w14:paraId="7BD2DB2C">
      <w:pPr>
        <w:spacing w:line="360" w:lineRule="auto"/>
        <w:ind w:firstLine="420" w:firstLineChars="200"/>
        <w:contextualSpacing/>
        <w:jc w:val="left"/>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（3）同意提供按照贵方可能要求的与磋商有关的一切数据或者资料；</w:t>
      </w:r>
    </w:p>
    <w:p w14:paraId="41557434">
      <w:pPr>
        <w:spacing w:line="360" w:lineRule="auto"/>
        <w:ind w:firstLine="420" w:firstLineChars="200"/>
        <w:contextualSpacing/>
        <w:jc w:val="left"/>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（4）响应磋商文件规定的竞标有效期。</w:t>
      </w:r>
    </w:p>
    <w:p w14:paraId="6342CD8A">
      <w:pPr>
        <w:spacing w:line="360" w:lineRule="auto"/>
        <w:ind w:firstLine="420" w:firstLineChars="200"/>
        <w:contextualSpacing/>
        <w:jc w:val="left"/>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4.我方承诺符合《中华人民共和国政府采购法》第二十二条规定：</w:t>
      </w:r>
    </w:p>
    <w:p w14:paraId="3594BA85">
      <w:pPr>
        <w:spacing w:line="360" w:lineRule="auto"/>
        <w:ind w:firstLine="420" w:firstLineChars="200"/>
        <w:contextualSpacing/>
        <w:jc w:val="left"/>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（1）具有独立承担民事责任的能力；</w:t>
      </w:r>
    </w:p>
    <w:p w14:paraId="18B8F05D">
      <w:pPr>
        <w:spacing w:line="360" w:lineRule="auto"/>
        <w:ind w:firstLine="420" w:firstLineChars="200"/>
        <w:contextualSpacing/>
        <w:jc w:val="left"/>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（2）具有良好的商业信誉和健全的财务会计制度；</w:t>
      </w:r>
    </w:p>
    <w:p w14:paraId="2205BE76">
      <w:pPr>
        <w:spacing w:line="360" w:lineRule="auto"/>
        <w:ind w:firstLine="420" w:firstLineChars="200"/>
        <w:contextualSpacing/>
        <w:jc w:val="left"/>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（3）具有履行合同所必需的设备和专业技术能力；</w:t>
      </w:r>
    </w:p>
    <w:p w14:paraId="7CC9F38B">
      <w:pPr>
        <w:spacing w:line="360" w:lineRule="auto"/>
        <w:ind w:firstLine="420" w:firstLineChars="200"/>
        <w:contextualSpacing/>
        <w:jc w:val="left"/>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（4）有依法缴纳税收和社会保障资金的良好记录；</w:t>
      </w:r>
    </w:p>
    <w:p w14:paraId="17054746">
      <w:pPr>
        <w:spacing w:line="360" w:lineRule="auto"/>
        <w:ind w:firstLine="420" w:firstLineChars="200"/>
        <w:contextualSpacing/>
        <w:jc w:val="left"/>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（5）参加政府采购活动前三年内，在经营活动中没有重大违法记录；</w:t>
      </w:r>
    </w:p>
    <w:p w14:paraId="564B4E80">
      <w:pPr>
        <w:spacing w:line="360" w:lineRule="auto"/>
        <w:ind w:firstLine="420" w:firstLineChars="200"/>
        <w:contextualSpacing/>
        <w:jc w:val="left"/>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（6）法律、行政法规规定的其他条件。</w:t>
      </w:r>
    </w:p>
    <w:p w14:paraId="3F055206">
      <w:pPr>
        <w:spacing w:line="360" w:lineRule="auto"/>
        <w:ind w:firstLine="420" w:firstLineChars="200"/>
        <w:contextualSpacing/>
        <w:jc w:val="left"/>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2C4CDAB1">
      <w:pPr>
        <w:spacing w:line="360" w:lineRule="auto"/>
        <w:ind w:firstLine="420" w:firstLineChars="200"/>
        <w:contextualSpacing/>
        <w:jc w:val="left"/>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18D6AF8B">
      <w:pPr>
        <w:spacing w:line="360" w:lineRule="auto"/>
        <w:ind w:firstLine="420" w:firstLineChars="200"/>
        <w:contextualSpacing/>
        <w:jc w:val="left"/>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□我方本次响应文件内容中未涉及商业秘密；</w:t>
      </w:r>
    </w:p>
    <w:p w14:paraId="26013666">
      <w:pPr>
        <w:spacing w:line="360" w:lineRule="auto"/>
        <w:ind w:firstLine="420" w:firstLineChars="200"/>
        <w:contextualSpacing/>
        <w:jc w:val="left"/>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□我方本次响应文件涉及商业秘密的内容有：</w:t>
      </w:r>
      <w:r>
        <w:rPr>
          <w:rFonts w:hint="eastAsia" w:ascii="宋体" w:hAnsi="宋体" w:eastAsia="宋体" w:cs="Times New Roman"/>
          <w:color w:val="auto"/>
          <w:sz w:val="21"/>
          <w:szCs w:val="21"/>
          <w:highlight w:val="none"/>
          <w:u w:val="single"/>
        </w:rPr>
        <w:t xml:space="preserve">                         </w:t>
      </w:r>
      <w:r>
        <w:rPr>
          <w:rFonts w:hint="eastAsia" w:ascii="宋体" w:hAnsi="宋体" w:eastAsia="宋体" w:cs="Times New Roman"/>
          <w:color w:val="auto"/>
          <w:sz w:val="21"/>
          <w:szCs w:val="21"/>
          <w:highlight w:val="none"/>
        </w:rPr>
        <w:t>；</w:t>
      </w:r>
    </w:p>
    <w:p w14:paraId="025ABE68">
      <w:pPr>
        <w:spacing w:line="360" w:lineRule="auto"/>
        <w:ind w:firstLine="420" w:firstLineChars="200"/>
        <w:contextualSpacing/>
        <w:jc w:val="left"/>
        <w:rPr>
          <w:rFonts w:hint="eastAsia" w:ascii="宋体" w:hAnsi="宋体" w:eastAsia="宋体" w:cs="Times New Roman"/>
          <w:color w:val="auto"/>
          <w:sz w:val="21"/>
          <w:szCs w:val="21"/>
          <w:highlight w:val="none"/>
          <w:u w:val="single"/>
        </w:rPr>
      </w:pPr>
      <w:r>
        <w:rPr>
          <w:rFonts w:hint="eastAsia" w:ascii="宋体" w:hAnsi="宋体" w:eastAsia="宋体" w:cs="Times New Roman"/>
          <w:color w:val="auto"/>
          <w:sz w:val="21"/>
          <w:szCs w:val="21"/>
          <w:highlight w:val="none"/>
        </w:rPr>
        <w:t xml:space="preserve">7.与本磋商有关的一切正式往来信函请寄： </w:t>
      </w:r>
      <w:r>
        <w:rPr>
          <w:rFonts w:hint="eastAsia" w:ascii="宋体" w:hAnsi="宋体" w:eastAsia="宋体" w:cs="Times New Roman"/>
          <w:color w:val="auto"/>
          <w:sz w:val="21"/>
          <w:szCs w:val="21"/>
          <w:highlight w:val="none"/>
          <w:u w:val="single"/>
        </w:rPr>
        <w:t xml:space="preserve">              </w:t>
      </w:r>
      <w:r>
        <w:rPr>
          <w:rFonts w:hint="eastAsia" w:ascii="宋体" w:hAnsi="宋体" w:eastAsia="宋体" w:cs="Times New Roman"/>
          <w:color w:val="auto"/>
          <w:sz w:val="21"/>
          <w:szCs w:val="21"/>
          <w:highlight w:val="none"/>
        </w:rPr>
        <w:t xml:space="preserve">   邮政编号： </w:t>
      </w:r>
      <w:r>
        <w:rPr>
          <w:rFonts w:hint="eastAsia" w:ascii="宋体" w:hAnsi="宋体" w:eastAsia="宋体" w:cs="Times New Roman"/>
          <w:color w:val="auto"/>
          <w:sz w:val="21"/>
          <w:szCs w:val="21"/>
          <w:highlight w:val="none"/>
          <w:u w:val="single"/>
        </w:rPr>
        <w:t xml:space="preserve">       </w:t>
      </w:r>
    </w:p>
    <w:p w14:paraId="0F62712D">
      <w:pPr>
        <w:spacing w:line="360" w:lineRule="auto"/>
        <w:ind w:firstLine="420" w:firstLineChars="200"/>
        <w:contextualSpacing/>
        <w:jc w:val="left"/>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 xml:space="preserve">电话/传真： </w:t>
      </w:r>
      <w:r>
        <w:rPr>
          <w:rFonts w:hint="eastAsia" w:ascii="宋体" w:hAnsi="宋体" w:eastAsia="宋体" w:cs="Times New Roman"/>
          <w:color w:val="auto"/>
          <w:sz w:val="21"/>
          <w:szCs w:val="21"/>
          <w:highlight w:val="none"/>
          <w:u w:val="single"/>
        </w:rPr>
        <w:t xml:space="preserve">          </w:t>
      </w:r>
      <w:r>
        <w:rPr>
          <w:rFonts w:hint="eastAsia" w:ascii="宋体" w:hAnsi="宋体" w:eastAsia="宋体" w:cs="Times New Roman"/>
          <w:color w:val="auto"/>
          <w:sz w:val="21"/>
          <w:szCs w:val="21"/>
          <w:highlight w:val="none"/>
        </w:rPr>
        <w:t xml:space="preserve">              电子</w:t>
      </w:r>
      <w:r>
        <w:rPr>
          <w:rFonts w:hint="eastAsia" w:ascii="宋体" w:hAnsi="宋体" w:eastAsia="宋体" w:cs="Times New Roman"/>
          <w:color w:val="auto"/>
          <w:sz w:val="21"/>
          <w:szCs w:val="21"/>
          <w:highlight w:val="none"/>
          <w:lang w:eastAsia="zh-CN"/>
        </w:rPr>
        <w:t>邮箱</w:t>
      </w:r>
      <w:r>
        <w:rPr>
          <w:rFonts w:hint="eastAsia" w:ascii="宋体" w:hAnsi="宋体" w:eastAsia="宋体" w:cs="Times New Roman"/>
          <w:color w:val="auto"/>
          <w:sz w:val="21"/>
          <w:szCs w:val="21"/>
          <w:highlight w:val="none"/>
        </w:rPr>
        <w:t>：</w:t>
      </w:r>
      <w:r>
        <w:rPr>
          <w:rFonts w:hint="eastAsia" w:ascii="宋体" w:hAnsi="宋体" w:eastAsia="宋体" w:cs="Times New Roman"/>
          <w:color w:val="auto"/>
          <w:sz w:val="21"/>
          <w:szCs w:val="21"/>
          <w:highlight w:val="none"/>
          <w:u w:val="single"/>
        </w:rPr>
        <w:t xml:space="preserve">                   </w:t>
      </w:r>
      <w:r>
        <w:rPr>
          <w:rFonts w:hint="eastAsia" w:ascii="宋体" w:hAnsi="宋体" w:eastAsia="宋体" w:cs="Times New Roman"/>
          <w:color w:val="auto"/>
          <w:sz w:val="21"/>
          <w:szCs w:val="21"/>
          <w:highlight w:val="none"/>
        </w:rPr>
        <w:t xml:space="preserve">             </w:t>
      </w:r>
    </w:p>
    <w:p w14:paraId="70DC24AA">
      <w:pPr>
        <w:spacing w:line="360" w:lineRule="auto"/>
        <w:ind w:firstLine="420" w:firstLineChars="200"/>
        <w:contextualSpacing/>
        <w:jc w:val="left"/>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开户银行：</w:t>
      </w:r>
      <w:r>
        <w:rPr>
          <w:rFonts w:hint="eastAsia" w:ascii="宋体" w:hAnsi="宋体" w:eastAsia="宋体" w:cs="Times New Roman"/>
          <w:color w:val="auto"/>
          <w:sz w:val="21"/>
          <w:szCs w:val="21"/>
          <w:highlight w:val="none"/>
          <w:u w:val="single"/>
        </w:rPr>
        <w:t xml:space="preserve">              </w:t>
      </w:r>
      <w:r>
        <w:rPr>
          <w:rFonts w:hint="eastAsia" w:ascii="宋体" w:hAnsi="宋体" w:eastAsia="宋体" w:cs="Times New Roman"/>
          <w:color w:val="auto"/>
          <w:sz w:val="21"/>
          <w:szCs w:val="21"/>
          <w:highlight w:val="none"/>
        </w:rPr>
        <w:t xml:space="preserve">             </w:t>
      </w:r>
      <w:r>
        <w:rPr>
          <w:rFonts w:hint="eastAsia" w:ascii="宋体" w:hAnsi="宋体" w:cs="Times New Roman"/>
          <w:color w:val="auto"/>
          <w:sz w:val="21"/>
          <w:szCs w:val="21"/>
          <w:highlight w:val="none"/>
          <w:lang w:val="en-US" w:eastAsia="zh-CN"/>
        </w:rPr>
        <w:t>账</w:t>
      </w:r>
      <w:r>
        <w:rPr>
          <w:rFonts w:hint="eastAsia" w:ascii="宋体" w:hAnsi="宋体" w:eastAsia="宋体" w:cs="Times New Roman"/>
          <w:color w:val="auto"/>
          <w:sz w:val="21"/>
          <w:szCs w:val="21"/>
          <w:highlight w:val="none"/>
        </w:rPr>
        <w:t xml:space="preserve">号：  </w:t>
      </w:r>
      <w:r>
        <w:rPr>
          <w:rFonts w:hint="eastAsia" w:ascii="宋体" w:hAnsi="宋体" w:eastAsia="宋体" w:cs="Times New Roman"/>
          <w:color w:val="auto"/>
          <w:sz w:val="21"/>
          <w:szCs w:val="21"/>
          <w:highlight w:val="none"/>
          <w:u w:val="single"/>
        </w:rPr>
        <w:t xml:space="preserve">                 </w:t>
      </w:r>
      <w:r>
        <w:rPr>
          <w:rFonts w:hint="eastAsia" w:ascii="宋体" w:hAnsi="宋体" w:eastAsia="宋体" w:cs="Times New Roman"/>
          <w:color w:val="auto"/>
          <w:sz w:val="21"/>
          <w:szCs w:val="21"/>
          <w:highlight w:val="none"/>
        </w:rPr>
        <w:t xml:space="preserve">            </w:t>
      </w:r>
    </w:p>
    <w:p w14:paraId="66D01A55">
      <w:pPr>
        <w:spacing w:line="360" w:lineRule="auto"/>
        <w:ind w:firstLine="420" w:firstLineChars="200"/>
        <w:contextualSpacing/>
        <w:jc w:val="left"/>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8.以上事项如有虚假或者隐瞒，我方愿意承担一切后果，并不再寻求任何旨在减轻或者免除法律责任的辩解。</w:t>
      </w:r>
    </w:p>
    <w:p w14:paraId="321FDE2D">
      <w:pPr>
        <w:spacing w:line="360" w:lineRule="auto"/>
        <w:ind w:firstLine="420" w:firstLineChars="200"/>
        <w:contextualSpacing/>
        <w:jc w:val="left"/>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特此承诺。</w:t>
      </w:r>
    </w:p>
    <w:p w14:paraId="20BCAE35">
      <w:pPr>
        <w:spacing w:line="360" w:lineRule="auto"/>
        <w:contextualSpacing/>
        <w:jc w:val="left"/>
        <w:rPr>
          <w:rFonts w:hint="eastAsia" w:ascii="宋体" w:hAnsi="宋体"/>
          <w:b/>
          <w:color w:val="auto"/>
          <w:sz w:val="22"/>
          <w:szCs w:val="22"/>
          <w:highlight w:val="none"/>
        </w:rPr>
      </w:pPr>
      <w:r>
        <w:rPr>
          <w:rFonts w:hint="eastAsia" w:ascii="宋体" w:hAnsi="宋体" w:cs="宋体"/>
          <w:b/>
          <w:color w:val="auto"/>
          <w:sz w:val="22"/>
          <w:szCs w:val="22"/>
          <w:highlight w:val="none"/>
        </w:rPr>
        <w:t>注：</w:t>
      </w:r>
      <w:r>
        <w:rPr>
          <w:rFonts w:hint="eastAsia" w:ascii="宋体" w:hAnsi="宋体"/>
          <w:b/>
          <w:color w:val="auto"/>
          <w:sz w:val="22"/>
          <w:szCs w:val="22"/>
          <w:highlight w:val="none"/>
        </w:rPr>
        <w:t>如为联合体竞标，盖章处须加盖联合体牵头人电子签章并由联合体牵头人法定代表人签字或者盖章或者电子签名，否则响应文件按无效处理。</w:t>
      </w:r>
    </w:p>
    <w:p w14:paraId="04CF17B7">
      <w:pPr>
        <w:spacing w:line="360" w:lineRule="auto"/>
        <w:contextualSpacing/>
        <w:jc w:val="left"/>
        <w:rPr>
          <w:rFonts w:hint="eastAsia" w:ascii="宋体" w:hAnsi="宋体" w:cs="宋体"/>
          <w:color w:val="auto"/>
          <w:sz w:val="20"/>
          <w:szCs w:val="20"/>
          <w:highlight w:val="none"/>
        </w:rPr>
      </w:pPr>
    </w:p>
    <w:p w14:paraId="6BB37476">
      <w:pPr>
        <w:spacing w:line="360" w:lineRule="auto"/>
        <w:ind w:firstLine="3780" w:firstLineChars="1800"/>
        <w:contextualSpacing/>
        <w:rPr>
          <w:rFonts w:hint="eastAsia"/>
          <w:color w:val="auto"/>
          <w:sz w:val="21"/>
          <w:szCs w:val="21"/>
          <w:highlight w:val="none"/>
        </w:rPr>
      </w:pPr>
      <w:r>
        <w:rPr>
          <w:rFonts w:hint="eastAsia" w:ascii="宋体" w:hAnsi="宋体" w:eastAsia="宋体" w:cs="Times New Roman"/>
          <w:color w:val="auto"/>
          <w:sz w:val="21"/>
          <w:szCs w:val="21"/>
          <w:highlight w:val="none"/>
        </w:rPr>
        <w:t>法定代表人</w:t>
      </w:r>
      <w:r>
        <w:rPr>
          <w:rFonts w:hint="eastAsia" w:ascii="宋体" w:hAnsi="宋体" w:eastAsia="宋体" w:cs="宋体"/>
          <w:color w:val="auto"/>
          <w:sz w:val="21"/>
          <w:szCs w:val="21"/>
          <w:highlight w:val="none"/>
        </w:rPr>
        <w:t>（签字或者盖章或者电子签名）</w:t>
      </w:r>
      <w:r>
        <w:rPr>
          <w:rFonts w:hint="eastAsia"/>
          <w:color w:val="auto"/>
          <w:sz w:val="21"/>
          <w:szCs w:val="21"/>
          <w:highlight w:val="none"/>
        </w:rPr>
        <w:t>：</w:t>
      </w:r>
      <w:r>
        <w:rPr>
          <w:rFonts w:hint="eastAsia"/>
          <w:color w:val="auto"/>
          <w:sz w:val="21"/>
          <w:szCs w:val="21"/>
          <w:highlight w:val="none"/>
          <w:u w:val="single"/>
        </w:rPr>
        <w:t xml:space="preserve">          </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w:t>
      </w:r>
      <w:r>
        <w:rPr>
          <w:rFonts w:hint="eastAsia"/>
          <w:color w:val="auto"/>
          <w:sz w:val="21"/>
          <w:szCs w:val="21"/>
          <w:highlight w:val="none"/>
        </w:rPr>
        <w:t xml:space="preserve">                                    </w:t>
      </w:r>
    </w:p>
    <w:p w14:paraId="4F96FD59">
      <w:pPr>
        <w:spacing w:line="360" w:lineRule="auto"/>
        <w:ind w:firstLine="5460" w:firstLineChars="2600"/>
        <w:contextualSpacing/>
        <w:rPr>
          <w:rFonts w:hint="eastAsia" w:ascii="宋体" w:hAnsi="宋体" w:cs="宋体"/>
          <w:color w:val="auto"/>
          <w:sz w:val="21"/>
          <w:szCs w:val="21"/>
          <w:highlight w:val="none"/>
          <w:u w:val="single"/>
        </w:rPr>
      </w:pPr>
      <w:r>
        <w:rPr>
          <w:rFonts w:hint="eastAsia"/>
          <w:color w:val="auto"/>
          <w:sz w:val="21"/>
          <w:szCs w:val="21"/>
          <w:highlight w:val="none"/>
        </w:rPr>
        <w:t>供应商</w:t>
      </w:r>
      <w:r>
        <w:rPr>
          <w:rFonts w:hint="eastAsia"/>
          <w:color w:val="auto"/>
          <w:sz w:val="21"/>
          <w:szCs w:val="21"/>
          <w:highlight w:val="none"/>
          <w:lang w:val="en-US" w:eastAsia="zh-CN"/>
        </w:rPr>
        <w:t>名称</w:t>
      </w:r>
      <w:r>
        <w:rPr>
          <w:rFonts w:hint="eastAsia"/>
          <w:color w:val="auto"/>
          <w:sz w:val="21"/>
          <w:szCs w:val="21"/>
          <w:highlight w:val="none"/>
        </w:rPr>
        <w:t>（电子签章）：</w:t>
      </w:r>
      <w:r>
        <w:rPr>
          <w:rFonts w:hint="eastAsia"/>
          <w:color w:val="auto"/>
          <w:sz w:val="21"/>
          <w:szCs w:val="21"/>
          <w:highlight w:val="none"/>
          <w:u w:val="single"/>
        </w:rPr>
        <w:t xml:space="preserve">       </w:t>
      </w:r>
      <w:r>
        <w:rPr>
          <w:rFonts w:hint="eastAsia"/>
          <w:color w:val="auto"/>
          <w:sz w:val="21"/>
          <w:szCs w:val="21"/>
          <w:highlight w:val="none"/>
          <w:u w:val="single"/>
          <w:lang w:val="en-US" w:eastAsia="zh-CN"/>
        </w:rPr>
        <w:t xml:space="preserve">         </w:t>
      </w:r>
      <w:r>
        <w:rPr>
          <w:rFonts w:hint="eastAsia"/>
          <w:color w:val="auto"/>
          <w:sz w:val="21"/>
          <w:szCs w:val="21"/>
          <w:highlight w:val="none"/>
        </w:rPr>
        <w:t xml:space="preserve">     </w:t>
      </w:r>
      <w:r>
        <w:rPr>
          <w:rFonts w:hint="eastAsia" w:ascii="宋体" w:hAnsi="宋体" w:cs="宋体"/>
          <w:color w:val="auto"/>
          <w:sz w:val="21"/>
          <w:szCs w:val="21"/>
          <w:highlight w:val="none"/>
        </w:rPr>
        <w:t xml:space="preserve">    </w:t>
      </w:r>
    </w:p>
    <w:p w14:paraId="554F5C38">
      <w:pPr>
        <w:pStyle w:val="15"/>
        <w:tabs>
          <w:tab w:val="left" w:pos="939"/>
        </w:tabs>
        <w:spacing w:line="360" w:lineRule="auto"/>
        <w:ind w:left="0" w:leftChars="0" w:firstLine="420" w:firstLineChars="200"/>
        <w:rPr>
          <w:rFonts w:hint="default" w:eastAsia="宋体"/>
          <w:color w:val="auto"/>
          <w:sz w:val="22"/>
          <w:szCs w:val="22"/>
          <w:highlight w:val="none"/>
          <w:lang w:val="en-US" w:eastAsia="zh-CN"/>
        </w:rPr>
      </w:pPr>
      <w:r>
        <w:rPr>
          <w:rFonts w:hint="eastAsia" w:ascii="宋体" w:hAnsi="宋体" w:cs="宋体"/>
          <w:color w:val="auto"/>
          <w:sz w:val="21"/>
          <w:szCs w:val="21"/>
          <w:highlight w:val="none"/>
        </w:rPr>
        <w:t xml:space="preserve">                                                </w:t>
      </w:r>
      <w:r>
        <w:rPr>
          <w:rFonts w:hint="eastAsia" w:ascii="宋体" w:hAnsi="宋体" w:eastAsia="宋体" w:cs="宋体"/>
          <w:color w:val="auto"/>
          <w:sz w:val="21"/>
          <w:szCs w:val="21"/>
          <w:lang w:val="en-US" w:eastAsia="zh-CN"/>
        </w:rPr>
        <w:t xml:space="preserve"> </w:t>
      </w:r>
      <w:r>
        <w:rPr>
          <w:rFonts w:hint="eastAsia" w:ascii="宋体" w:hAnsi="宋体" w:cs="宋体"/>
          <w:color w:val="auto"/>
          <w:sz w:val="21"/>
          <w:szCs w:val="21"/>
          <w:lang w:val="en-US" w:eastAsia="zh-CN"/>
        </w:rPr>
        <w:t xml:space="preserve">           </w:t>
      </w:r>
      <w:r>
        <w:rPr>
          <w:rFonts w:hint="eastAsia" w:ascii="宋体" w:hAnsi="宋体" w:eastAsia="宋体" w:cs="宋体"/>
          <w:color w:val="auto"/>
          <w:sz w:val="21"/>
          <w:szCs w:val="21"/>
        </w:rPr>
        <w:t>日期：</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年</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月</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u w:val="none"/>
          <w:lang w:eastAsia="zh-CN"/>
        </w:rPr>
        <w:t>日</w:t>
      </w:r>
      <w:r>
        <w:rPr>
          <w:rFonts w:hint="eastAsia" w:ascii="宋体" w:hAnsi="宋体" w:cs="宋体"/>
          <w:color w:val="auto"/>
          <w:sz w:val="20"/>
          <w:szCs w:val="20"/>
          <w:highlight w:val="none"/>
        </w:rPr>
        <w:t xml:space="preserve">        </w:t>
      </w:r>
    </w:p>
    <w:p w14:paraId="735B8455">
      <w:pPr>
        <w:snapToGrid w:val="0"/>
        <w:spacing w:before="156" w:beforeLines="50" w:after="50"/>
        <w:ind w:right="480" w:firstLine="281" w:firstLineChars="100"/>
        <w:rPr>
          <w:rFonts w:hint="eastAsia" w:ascii="宋体" w:hAnsi="宋体" w:eastAsia="宋体" w:cs="宋体"/>
          <w:b/>
          <w:bCs/>
          <w:color w:val="auto"/>
          <w:sz w:val="28"/>
          <w:szCs w:val="28"/>
          <w:highlight w:val="none"/>
        </w:rPr>
      </w:pPr>
    </w:p>
    <w:p w14:paraId="21548DD6">
      <w:pPr>
        <w:snapToGrid w:val="0"/>
        <w:spacing w:before="156" w:beforeLines="50" w:after="50"/>
        <w:ind w:right="480" w:firstLine="281" w:firstLineChars="100"/>
        <w:rPr>
          <w:rFonts w:hint="eastAsia" w:ascii="宋体" w:hAnsi="宋体" w:eastAsia="宋体" w:cs="宋体"/>
          <w:b/>
          <w:bCs/>
          <w:color w:val="auto"/>
          <w:sz w:val="28"/>
          <w:szCs w:val="28"/>
          <w:highlight w:val="none"/>
        </w:rPr>
      </w:pPr>
    </w:p>
    <w:p w14:paraId="5CB1F8DB">
      <w:pPr>
        <w:snapToGrid w:val="0"/>
        <w:spacing w:before="156" w:beforeLines="50" w:after="50"/>
        <w:ind w:right="480" w:firstLine="281" w:firstLineChars="100"/>
        <w:rPr>
          <w:rFonts w:hint="eastAsia" w:ascii="宋体" w:hAnsi="宋体" w:eastAsia="宋体" w:cs="宋体"/>
          <w:b/>
          <w:bCs/>
          <w:color w:val="auto"/>
          <w:sz w:val="28"/>
          <w:szCs w:val="28"/>
          <w:highlight w:val="none"/>
        </w:rPr>
      </w:pPr>
    </w:p>
    <w:p w14:paraId="5B793CD7">
      <w:pPr>
        <w:snapToGrid w:val="0"/>
        <w:spacing w:before="156" w:beforeLines="50" w:after="50"/>
        <w:ind w:right="480" w:firstLine="281" w:firstLineChars="100"/>
        <w:rPr>
          <w:rFonts w:hint="eastAsia" w:ascii="宋体" w:hAnsi="宋体" w:eastAsia="宋体" w:cs="宋体"/>
          <w:b/>
          <w:bCs/>
          <w:color w:val="auto"/>
          <w:sz w:val="28"/>
          <w:szCs w:val="28"/>
          <w:highlight w:val="none"/>
        </w:rPr>
      </w:pPr>
    </w:p>
    <w:p w14:paraId="35488A82">
      <w:pPr>
        <w:snapToGrid w:val="0"/>
        <w:spacing w:before="156" w:beforeLines="50" w:after="50"/>
        <w:ind w:right="480" w:firstLine="281" w:firstLineChars="100"/>
        <w:rPr>
          <w:rFonts w:hint="eastAsia" w:ascii="宋体" w:hAnsi="宋体" w:eastAsia="宋体" w:cs="宋体"/>
          <w:b/>
          <w:bCs/>
          <w:color w:val="auto"/>
          <w:sz w:val="28"/>
          <w:szCs w:val="28"/>
          <w:highlight w:val="none"/>
        </w:rPr>
      </w:pPr>
    </w:p>
    <w:p w14:paraId="4538A93E">
      <w:pPr>
        <w:snapToGrid w:val="0"/>
        <w:spacing w:before="156" w:beforeLines="50" w:after="50"/>
        <w:ind w:right="480" w:firstLine="281" w:firstLineChars="100"/>
        <w:rPr>
          <w:rFonts w:hint="eastAsia" w:ascii="宋体" w:hAnsi="宋体" w:eastAsia="宋体" w:cs="宋体"/>
          <w:b/>
          <w:bCs/>
          <w:color w:val="auto"/>
          <w:sz w:val="28"/>
          <w:szCs w:val="28"/>
          <w:highlight w:val="none"/>
        </w:rPr>
      </w:pPr>
    </w:p>
    <w:p w14:paraId="6F866E84">
      <w:pPr>
        <w:snapToGrid w:val="0"/>
        <w:spacing w:before="156" w:beforeLines="50" w:after="50"/>
        <w:ind w:right="480" w:firstLine="281" w:firstLineChars="100"/>
        <w:rPr>
          <w:rFonts w:hint="eastAsia" w:ascii="宋体" w:hAnsi="宋体" w:eastAsia="宋体" w:cs="宋体"/>
          <w:b/>
          <w:bCs/>
          <w:color w:val="auto"/>
          <w:sz w:val="28"/>
          <w:szCs w:val="28"/>
          <w:highlight w:val="none"/>
        </w:rPr>
      </w:pPr>
    </w:p>
    <w:p w14:paraId="1E5EC95B">
      <w:pPr>
        <w:snapToGrid w:val="0"/>
        <w:spacing w:before="156" w:beforeLines="50" w:after="50"/>
        <w:ind w:right="480" w:firstLine="281" w:firstLineChars="100"/>
        <w:rPr>
          <w:rFonts w:hint="eastAsia" w:ascii="宋体" w:hAnsi="宋体" w:eastAsia="宋体" w:cs="宋体"/>
          <w:b/>
          <w:bCs/>
          <w:color w:val="auto"/>
          <w:sz w:val="28"/>
          <w:szCs w:val="28"/>
          <w:highlight w:val="none"/>
        </w:rPr>
      </w:pPr>
    </w:p>
    <w:p w14:paraId="42C2EE9A">
      <w:pPr>
        <w:snapToGrid w:val="0"/>
        <w:spacing w:before="156" w:beforeLines="50" w:after="50"/>
        <w:ind w:right="480" w:firstLine="281" w:firstLineChars="100"/>
        <w:rPr>
          <w:rFonts w:hint="eastAsia" w:ascii="宋体" w:hAnsi="宋体" w:eastAsia="宋体" w:cs="宋体"/>
          <w:b/>
          <w:bCs/>
          <w:color w:val="auto"/>
          <w:sz w:val="28"/>
          <w:szCs w:val="28"/>
          <w:highlight w:val="none"/>
        </w:rPr>
      </w:pPr>
    </w:p>
    <w:p w14:paraId="102FF1CA">
      <w:pPr>
        <w:snapToGrid w:val="0"/>
        <w:spacing w:before="156" w:beforeLines="50" w:after="50"/>
        <w:ind w:right="480" w:firstLine="281" w:firstLineChars="100"/>
        <w:rPr>
          <w:rFonts w:hint="eastAsia" w:ascii="宋体" w:hAnsi="宋体" w:eastAsia="宋体" w:cs="宋体"/>
          <w:b/>
          <w:bCs/>
          <w:color w:val="auto"/>
          <w:sz w:val="28"/>
          <w:szCs w:val="28"/>
          <w:highlight w:val="none"/>
        </w:rPr>
      </w:pPr>
    </w:p>
    <w:p w14:paraId="00DDAA3D">
      <w:pPr>
        <w:pStyle w:val="2"/>
        <w:rPr>
          <w:rFonts w:hint="eastAsia" w:ascii="宋体" w:hAnsi="宋体" w:eastAsia="宋体" w:cs="宋体"/>
          <w:b/>
          <w:bCs/>
          <w:color w:val="auto"/>
          <w:sz w:val="28"/>
          <w:szCs w:val="28"/>
          <w:highlight w:val="none"/>
        </w:rPr>
      </w:pPr>
    </w:p>
    <w:p w14:paraId="1C8D3778">
      <w:pPr>
        <w:pStyle w:val="36"/>
        <w:rPr>
          <w:rFonts w:hint="eastAsia" w:ascii="宋体" w:hAnsi="宋体" w:eastAsia="宋体" w:cs="宋体"/>
          <w:b/>
          <w:bCs/>
          <w:color w:val="auto"/>
          <w:sz w:val="28"/>
          <w:szCs w:val="28"/>
          <w:highlight w:val="none"/>
        </w:rPr>
      </w:pPr>
    </w:p>
    <w:p w14:paraId="50A87772">
      <w:pPr>
        <w:rPr>
          <w:rFonts w:hint="eastAsia"/>
          <w:color w:val="auto"/>
        </w:rPr>
      </w:pPr>
    </w:p>
    <w:p w14:paraId="5168B2E6">
      <w:pPr>
        <w:pStyle w:val="2"/>
        <w:rPr>
          <w:rFonts w:hint="eastAsia"/>
          <w:color w:val="auto"/>
        </w:rPr>
      </w:pPr>
    </w:p>
    <w:p w14:paraId="516C2E09">
      <w:pPr>
        <w:pStyle w:val="36"/>
        <w:rPr>
          <w:rFonts w:hint="eastAsia"/>
          <w:color w:val="auto"/>
        </w:rPr>
      </w:pPr>
    </w:p>
    <w:p w14:paraId="504C2129">
      <w:pPr>
        <w:rPr>
          <w:rFonts w:hint="eastAsia"/>
          <w:color w:val="auto"/>
        </w:rPr>
      </w:pPr>
    </w:p>
    <w:p w14:paraId="675540AF">
      <w:pPr>
        <w:pStyle w:val="16"/>
        <w:spacing w:line="600" w:lineRule="exact"/>
        <w:jc w:val="center"/>
        <w:rPr>
          <w:rFonts w:hint="eastAsia" w:ascii="宋体" w:hAnsi="宋体"/>
          <w:b/>
          <w:color w:val="auto"/>
          <w:kern w:val="2"/>
          <w:sz w:val="32"/>
          <w:szCs w:val="32"/>
          <w:highlight w:val="none"/>
          <w:lang w:val="en-US" w:eastAsia="zh-CN" w:bidi="ar-SA"/>
        </w:rPr>
      </w:pPr>
      <w:r>
        <w:rPr>
          <w:rFonts w:hint="eastAsia" w:ascii="宋体" w:hAnsi="宋体"/>
          <w:b/>
          <w:color w:val="auto"/>
          <w:kern w:val="2"/>
          <w:sz w:val="32"/>
          <w:szCs w:val="32"/>
          <w:highlight w:val="none"/>
          <w:lang w:val="en-US" w:eastAsia="zh-CN" w:bidi="ar-SA"/>
        </w:rPr>
        <w:t>联合体竞标协议书（格式）</w:t>
      </w:r>
    </w:p>
    <w:p w14:paraId="2B2721C8">
      <w:pPr>
        <w:pStyle w:val="9"/>
      </w:pPr>
    </w:p>
    <w:p w14:paraId="39A30AFB">
      <w:pPr>
        <w:autoSpaceDE w:val="0"/>
        <w:autoSpaceDN w:val="0"/>
        <w:adjustRightInd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（所有成员单位名称）自愿组成联合体，共同参加</w:t>
      </w:r>
      <w:r>
        <w:rPr>
          <w:rFonts w:hint="eastAsia" w:ascii="宋体" w:hAnsi="宋体" w:eastAsia="宋体" w:cs="宋体"/>
          <w:color w:val="auto"/>
          <w:kern w:val="0"/>
          <w:sz w:val="21"/>
          <w:szCs w:val="21"/>
          <w:highlight w:val="none"/>
          <w:u w:val="single"/>
        </w:rPr>
        <w:t xml:space="preserve">     （采购代理机构名称）    </w:t>
      </w:r>
      <w:r>
        <w:rPr>
          <w:rFonts w:hint="eastAsia" w:ascii="宋体" w:hAnsi="宋体" w:eastAsia="宋体" w:cs="宋体"/>
          <w:color w:val="auto"/>
          <w:kern w:val="0"/>
          <w:sz w:val="21"/>
          <w:szCs w:val="21"/>
          <w:highlight w:val="none"/>
        </w:rPr>
        <w:t>组织的</w:t>
      </w:r>
      <w:r>
        <w:rPr>
          <w:rFonts w:hint="eastAsia" w:ascii="宋体" w:hAnsi="宋体" w:eastAsia="宋体" w:cs="宋体"/>
          <w:color w:val="auto"/>
          <w:kern w:val="0"/>
          <w:sz w:val="21"/>
          <w:szCs w:val="21"/>
          <w:highlight w:val="none"/>
          <w:u w:val="single"/>
        </w:rPr>
        <w:t xml:space="preserve">         （项目名称）         </w:t>
      </w:r>
      <w:r>
        <w:rPr>
          <w:rFonts w:hint="eastAsia" w:ascii="宋体" w:hAnsi="宋体" w:eastAsia="宋体" w:cs="宋体"/>
          <w:color w:val="auto"/>
          <w:kern w:val="0"/>
          <w:sz w:val="21"/>
          <w:szCs w:val="21"/>
          <w:highlight w:val="none"/>
        </w:rPr>
        <w:t>（项目编号：</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）竞争性磋商采购。现就联合体竞标事宜订立如下协议：</w:t>
      </w:r>
    </w:p>
    <w:p w14:paraId="50671D85">
      <w:pPr>
        <w:autoSpaceDE w:val="0"/>
        <w:autoSpaceDN w:val="0"/>
        <w:adjustRightInd w:val="0"/>
        <w:spacing w:line="360" w:lineRule="auto"/>
        <w:ind w:firstLine="42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r>
        <w:rPr>
          <w:rFonts w:hint="eastAsia" w:ascii="宋体" w:hAnsi="宋体" w:eastAsia="宋体" w:cs="宋体"/>
          <w:color w:val="auto"/>
          <w:sz w:val="21"/>
          <w:szCs w:val="21"/>
          <w:highlight w:val="none"/>
          <w:u w:val="none"/>
        </w:rPr>
        <w:t>________________________</w:t>
      </w:r>
      <w:r>
        <w:rPr>
          <w:rFonts w:hint="eastAsia" w:ascii="宋体" w:hAnsi="宋体" w:eastAsia="宋体" w:cs="宋体"/>
          <w:color w:val="auto"/>
          <w:kern w:val="0"/>
          <w:sz w:val="21"/>
          <w:szCs w:val="21"/>
          <w:highlight w:val="none"/>
        </w:rPr>
        <w:t>（某成员单位名称）为联合体名称牵头人。</w:t>
      </w:r>
    </w:p>
    <w:p w14:paraId="4E121487">
      <w:pPr>
        <w:autoSpaceDE w:val="0"/>
        <w:autoSpaceDN w:val="0"/>
        <w:adjustRightInd w:val="0"/>
        <w:spacing w:line="360" w:lineRule="auto"/>
        <w:ind w:firstLine="42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联合体牵头人合法代表联合体各成员负责本磋商项目响应文件编制和合同谈判活动，并代表联合体提交和接收相关的资料、信息及指示，并处理与之有关的一切事务，负责合同实施阶段的主办、组织和协调工作。</w:t>
      </w:r>
    </w:p>
    <w:p w14:paraId="284790AD">
      <w:pPr>
        <w:autoSpaceDE w:val="0"/>
        <w:autoSpaceDN w:val="0"/>
        <w:adjustRightInd w:val="0"/>
        <w:spacing w:line="360" w:lineRule="auto"/>
        <w:ind w:firstLine="42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3、联合体牵头人在本项目中签署和盖章的一切文件和处理的一切事宜，联合体各成员均予以承认。 联合体各成员将严格按照磋商文件、响应文件和合同的要求全面履行义务，并向采购人承担连带责任。</w:t>
      </w:r>
    </w:p>
    <w:p w14:paraId="7D32731D">
      <w:pPr>
        <w:autoSpaceDE w:val="0"/>
        <w:autoSpaceDN w:val="0"/>
        <w:adjustRightInd w:val="0"/>
        <w:spacing w:line="360" w:lineRule="auto"/>
        <w:ind w:firstLine="42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4、联合体各成员单位内部的职责分工如下</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sz w:val="21"/>
          <w:szCs w:val="21"/>
          <w:highlight w:val="none"/>
          <w:u w:val="none"/>
        </w:rPr>
        <w:t>____________</w:t>
      </w:r>
      <w:r>
        <w:rPr>
          <w:rFonts w:hint="eastAsia" w:ascii="宋体" w:hAnsi="宋体" w:eastAsia="宋体" w:cs="宋体"/>
          <w:color w:val="auto"/>
          <w:kern w:val="0"/>
          <w:sz w:val="21"/>
          <w:szCs w:val="21"/>
          <w:highlight w:val="none"/>
        </w:rPr>
        <w:t>。</w:t>
      </w:r>
    </w:p>
    <w:p w14:paraId="57555DDF">
      <w:pPr>
        <w:pStyle w:val="16"/>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5、本联合体中</w:t>
      </w:r>
      <w:r>
        <w:rPr>
          <w:rFonts w:hint="eastAsia" w:ascii="宋体" w:hAnsi="宋体" w:eastAsia="宋体" w:cs="宋体"/>
          <w:color w:val="auto"/>
          <w:sz w:val="21"/>
          <w:szCs w:val="21"/>
          <w:highlight w:val="none"/>
          <w:u w:val="none"/>
        </w:rPr>
        <w:t>，___________________（某成员单位名称）为______</w:t>
      </w:r>
      <w:r>
        <w:rPr>
          <w:rFonts w:hint="eastAsia" w:ascii="宋体" w:hAnsi="宋体" w:eastAsia="宋体" w:cs="宋体"/>
          <w:color w:val="auto"/>
          <w:sz w:val="21"/>
          <w:szCs w:val="21"/>
          <w:highlight w:val="none"/>
        </w:rPr>
        <w:t>（请填写：中型、小型、微型）企业，其协议合同金额占联合体协议合同总金额的</w:t>
      </w:r>
      <w:r>
        <w:rPr>
          <w:rFonts w:hint="eastAsia" w:ascii="宋体" w:hAnsi="宋体" w:eastAsia="宋体" w:cs="宋体"/>
          <w:color w:val="auto"/>
          <w:sz w:val="21"/>
          <w:szCs w:val="21"/>
          <w:highlight w:val="none"/>
          <w:u w:val="none"/>
        </w:rPr>
        <w:t>______%</w:t>
      </w:r>
      <w:r>
        <w:rPr>
          <w:rFonts w:hint="eastAsia" w:ascii="宋体" w:hAnsi="宋体" w:eastAsia="宋体" w:cs="宋体"/>
          <w:color w:val="auto"/>
          <w:sz w:val="21"/>
          <w:szCs w:val="21"/>
          <w:highlight w:val="none"/>
        </w:rPr>
        <w:t>。【如联合体成员中有小型、微型企业的，请填写此条，否则无需填写；如联合体成员中有多个小型、微型企业的，请逐一列出。】</w:t>
      </w:r>
    </w:p>
    <w:p w14:paraId="41B70AA7">
      <w:pPr>
        <w:autoSpaceDE w:val="0"/>
        <w:autoSpaceDN w:val="0"/>
        <w:adjustRightInd w:val="0"/>
        <w:spacing w:line="360" w:lineRule="auto"/>
        <w:ind w:firstLine="42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6、本协议书自签署之日起生效，合同履行完毕后自动失效。</w:t>
      </w:r>
    </w:p>
    <w:p w14:paraId="0BE5B841">
      <w:pPr>
        <w:pStyle w:val="2"/>
        <w:ind w:firstLine="420" w:firstLineChars="200"/>
        <w:rPr>
          <w:rFonts w:hint="eastAsia"/>
          <w:color w:val="auto"/>
          <w:sz w:val="21"/>
          <w:szCs w:val="21"/>
        </w:rPr>
      </w:pPr>
      <w:r>
        <w:rPr>
          <w:rFonts w:hint="eastAsia"/>
          <w:color w:val="auto"/>
          <w:sz w:val="21"/>
          <w:szCs w:val="21"/>
        </w:rPr>
        <w:t>7、本协议书一式</w:t>
      </w:r>
      <w:r>
        <w:rPr>
          <w:rFonts w:hint="eastAsia"/>
          <w:color w:val="auto"/>
          <w:sz w:val="21"/>
          <w:szCs w:val="21"/>
          <w:u w:val="single"/>
        </w:rPr>
        <w:t xml:space="preserve">    </w:t>
      </w:r>
      <w:r>
        <w:rPr>
          <w:rFonts w:hint="eastAsia"/>
          <w:color w:val="auto"/>
          <w:sz w:val="21"/>
          <w:szCs w:val="21"/>
        </w:rPr>
        <w:t>份，联合体成员和采购代理机构各执一份。</w:t>
      </w:r>
    </w:p>
    <w:p w14:paraId="23CF9476">
      <w:pPr>
        <w:pStyle w:val="2"/>
        <w:rPr>
          <w:rFonts w:hint="eastAsia"/>
          <w:color w:val="auto"/>
          <w:sz w:val="21"/>
          <w:szCs w:val="21"/>
        </w:rPr>
      </w:pPr>
    </w:p>
    <w:p w14:paraId="7A7ABC62">
      <w:pPr>
        <w:autoSpaceDE w:val="0"/>
        <w:autoSpaceDN w:val="0"/>
        <w:adjustRightInd w:val="0"/>
        <w:spacing w:line="360" w:lineRule="auto"/>
        <w:ind w:firstLine="420"/>
        <w:jc w:val="left"/>
        <w:rPr>
          <w:rFonts w:hint="eastAsia"/>
          <w:color w:val="auto"/>
          <w:sz w:val="21"/>
          <w:szCs w:val="21"/>
        </w:rPr>
      </w:pPr>
      <w:r>
        <w:rPr>
          <w:rFonts w:hint="eastAsia" w:ascii="宋体" w:hAnsi="宋体" w:eastAsia="宋体" w:cs="宋体"/>
          <w:color w:val="auto"/>
          <w:kern w:val="0"/>
          <w:sz w:val="21"/>
          <w:szCs w:val="21"/>
          <w:highlight w:val="none"/>
        </w:rPr>
        <w:t>注：本协议书由法定代表人签字的，应附法定代表人身份证明；本协议书由委托代理人签字的，应附法定代表人授权委托书。</w:t>
      </w:r>
    </w:p>
    <w:p w14:paraId="4858F797">
      <w:pPr>
        <w:autoSpaceDE w:val="0"/>
        <w:autoSpaceDN w:val="0"/>
        <w:adjustRightInd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牵头人名称：</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（盖单位公章）</w:t>
      </w:r>
    </w:p>
    <w:p w14:paraId="0B490D03">
      <w:pPr>
        <w:autoSpaceDE w:val="0"/>
        <w:autoSpaceDN w:val="0"/>
        <w:adjustRightInd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法定代表人或其委托代理人：</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（签字或盖章）</w:t>
      </w:r>
    </w:p>
    <w:p w14:paraId="43C51067">
      <w:pPr>
        <w:autoSpaceDE w:val="0"/>
        <w:autoSpaceDN w:val="0"/>
        <w:adjustRightInd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成员一名称：</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（盖单位公章）</w:t>
      </w:r>
    </w:p>
    <w:p w14:paraId="724F3405">
      <w:pPr>
        <w:autoSpaceDE w:val="0"/>
        <w:autoSpaceDN w:val="0"/>
        <w:adjustRightInd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法定代表人或其委托代理人：</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（签字或盖章）</w:t>
      </w:r>
    </w:p>
    <w:p w14:paraId="206AD7B5">
      <w:pPr>
        <w:autoSpaceDE w:val="0"/>
        <w:autoSpaceDN w:val="0"/>
        <w:adjustRightInd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成员二名称：</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（盖单位公章）</w:t>
      </w:r>
    </w:p>
    <w:p w14:paraId="344C663B">
      <w:pPr>
        <w:autoSpaceDE w:val="0"/>
        <w:autoSpaceDN w:val="0"/>
        <w:adjustRightInd w:val="0"/>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法定代表人或其委托代理人：                         （签字或盖章）</w:t>
      </w:r>
    </w:p>
    <w:p w14:paraId="2BCD1986">
      <w:pPr>
        <w:autoSpaceDE w:val="0"/>
        <w:autoSpaceDN w:val="0"/>
        <w:adjustRightInd w:val="0"/>
        <w:spacing w:line="360" w:lineRule="auto"/>
        <w:jc w:val="left"/>
        <w:rPr>
          <w:rFonts w:hint="eastAsia" w:ascii="宋体" w:hAnsi="宋体" w:eastAsia="宋体" w:cs="宋体"/>
          <w:color w:val="auto"/>
          <w:kern w:val="0"/>
          <w:sz w:val="21"/>
          <w:szCs w:val="21"/>
          <w:highlight w:val="none"/>
        </w:rPr>
      </w:pPr>
    </w:p>
    <w:p w14:paraId="1AC3DF4B">
      <w:pPr>
        <w:autoSpaceDE w:val="0"/>
        <w:autoSpaceDN w:val="0"/>
        <w:spacing w:line="360" w:lineRule="auto"/>
        <w:ind w:left="4364" w:leftChars="2078" w:firstLine="630" w:firstLineChars="3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供应商名称（电子签章）：</w:t>
      </w:r>
    </w:p>
    <w:p w14:paraId="79A1F6D8">
      <w:pPr>
        <w:autoSpaceDE w:val="0"/>
        <w:autoSpaceDN w:val="0"/>
        <w:spacing w:line="360" w:lineRule="auto"/>
        <w:ind w:firstLine="5355" w:firstLineChars="2550"/>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日期：  年  月   日</w:t>
      </w:r>
    </w:p>
    <w:p w14:paraId="6D92E47D">
      <w:pPr>
        <w:snapToGrid w:val="0"/>
        <w:spacing w:before="156" w:beforeLines="50" w:after="50"/>
        <w:ind w:right="480"/>
        <w:rPr>
          <w:rFonts w:hint="eastAsia" w:ascii="宋体" w:hAnsi="宋体" w:eastAsia="宋体" w:cs="宋体"/>
          <w:b/>
          <w:bCs/>
          <w:color w:val="auto"/>
          <w:sz w:val="28"/>
          <w:szCs w:val="28"/>
          <w:highlight w:val="none"/>
        </w:rPr>
      </w:pPr>
    </w:p>
    <w:p w14:paraId="51550A96">
      <w:pPr>
        <w:spacing w:line="520" w:lineRule="exact"/>
        <w:jc w:val="center"/>
        <w:rPr>
          <w:rFonts w:hint="eastAsia" w:ascii="宋体" w:hAnsi="宋体" w:eastAsia="宋体" w:cs="宋体"/>
          <w:b/>
          <w:bCs/>
          <w:color w:val="auto"/>
          <w:sz w:val="30"/>
          <w:szCs w:val="30"/>
        </w:rPr>
      </w:pPr>
      <w:r>
        <w:rPr>
          <w:rFonts w:hint="eastAsia" w:ascii="宋体" w:hAnsi="宋体" w:eastAsia="宋体" w:cs="宋体"/>
          <w:b/>
          <w:bCs/>
          <w:color w:val="auto"/>
          <w:sz w:val="30"/>
          <w:szCs w:val="30"/>
        </w:rPr>
        <w:t>中小企业声明函</w:t>
      </w:r>
    </w:p>
    <w:p w14:paraId="4A9948F3">
      <w:pPr>
        <w:pStyle w:val="35"/>
        <w:rPr>
          <w:rFonts w:hint="eastAsia"/>
          <w:color w:val="auto"/>
        </w:rPr>
      </w:pPr>
    </w:p>
    <w:p w14:paraId="1E1A388D">
      <w:pPr>
        <w:keepNext w:val="0"/>
        <w:keepLines w:val="0"/>
        <w:pageBreakBefore w:val="0"/>
        <w:widowControl/>
        <w:kinsoku/>
        <w:wordWrap/>
        <w:overflowPunct/>
        <w:topLinePunct w:val="0"/>
        <w:autoSpaceDE/>
        <w:autoSpaceDN/>
        <w:bidi w:val="0"/>
        <w:adjustRightInd/>
        <w:snapToGrid/>
        <w:spacing w:line="600" w:lineRule="exact"/>
        <w:ind w:firstLine="42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本公司郑重声明，根据《政府采购促进中小企业发展管理办法》（财库﹝2020﹞46 号）的规定，本公司参加</w:t>
      </w:r>
      <w:r>
        <w:rPr>
          <w:rFonts w:hint="eastAsia" w:ascii="宋体" w:hAnsi="宋体" w:eastAsia="宋体" w:cs="宋体"/>
          <w:color w:val="auto"/>
          <w:kern w:val="0"/>
          <w:sz w:val="21"/>
          <w:szCs w:val="21"/>
          <w:u w:val="single"/>
          <w:lang w:val="en-US" w:eastAsia="zh-CN"/>
        </w:rPr>
        <w:t xml:space="preserve">      </w:t>
      </w:r>
      <w:r>
        <w:rPr>
          <w:rFonts w:hint="eastAsia" w:ascii="宋体" w:hAnsi="宋体" w:eastAsia="宋体" w:cs="宋体"/>
          <w:color w:val="auto"/>
          <w:kern w:val="0"/>
          <w:sz w:val="21"/>
          <w:szCs w:val="21"/>
          <w:u w:val="single"/>
        </w:rPr>
        <w:t>（单位名称）</w:t>
      </w:r>
      <w:r>
        <w:rPr>
          <w:rFonts w:hint="eastAsia" w:ascii="宋体" w:hAnsi="宋体" w:eastAsia="宋体" w:cs="宋体"/>
          <w:color w:val="auto"/>
          <w:kern w:val="0"/>
          <w:sz w:val="21"/>
          <w:szCs w:val="21"/>
        </w:rPr>
        <w:t>的</w:t>
      </w:r>
      <w:r>
        <w:rPr>
          <w:rFonts w:hint="eastAsia" w:ascii="宋体" w:hAnsi="宋体" w:eastAsia="宋体" w:cs="宋体"/>
          <w:color w:val="auto"/>
          <w:kern w:val="0"/>
          <w:sz w:val="21"/>
          <w:szCs w:val="21"/>
          <w:u w:val="single"/>
          <w:lang w:val="en-US" w:eastAsia="zh-CN"/>
        </w:rPr>
        <w:t xml:space="preserve">      </w:t>
      </w:r>
      <w:r>
        <w:rPr>
          <w:rFonts w:hint="eastAsia" w:ascii="宋体" w:hAnsi="宋体" w:eastAsia="宋体" w:cs="宋体"/>
          <w:color w:val="auto"/>
          <w:kern w:val="0"/>
          <w:sz w:val="21"/>
          <w:szCs w:val="21"/>
          <w:u w:val="single"/>
        </w:rPr>
        <w:t>（项目名称）</w:t>
      </w:r>
      <w:r>
        <w:rPr>
          <w:rFonts w:hint="eastAsia" w:ascii="宋体" w:hAnsi="宋体" w:eastAsia="宋体" w:cs="宋体"/>
          <w:color w:val="auto"/>
          <w:kern w:val="0"/>
          <w:sz w:val="21"/>
          <w:szCs w:val="21"/>
        </w:rPr>
        <w:t>采购活动，</w:t>
      </w:r>
      <w:r>
        <w:rPr>
          <w:rFonts w:hint="eastAsia" w:ascii="宋体" w:hAnsi="宋体" w:cs="宋体"/>
          <w:color w:val="auto"/>
          <w:kern w:val="0"/>
          <w:sz w:val="21"/>
          <w:szCs w:val="21"/>
          <w:lang w:val="en-US" w:eastAsia="zh-CN"/>
        </w:rPr>
        <w:t>工程</w:t>
      </w:r>
      <w:r>
        <w:rPr>
          <w:rFonts w:hint="eastAsia" w:ascii="宋体" w:hAnsi="宋体" w:eastAsia="宋体" w:cs="宋体"/>
          <w:color w:val="auto"/>
          <w:kern w:val="0"/>
          <w:sz w:val="21"/>
          <w:szCs w:val="21"/>
        </w:rPr>
        <w:t>全部由符合政策要求的中小企业承接）。相关企业的具体情况如下：</w:t>
      </w:r>
    </w:p>
    <w:p w14:paraId="1190DEBA">
      <w:pPr>
        <w:keepNext w:val="0"/>
        <w:keepLines w:val="0"/>
        <w:pageBreakBefore w:val="0"/>
        <w:widowControl/>
        <w:kinsoku/>
        <w:wordWrap/>
        <w:overflowPunct/>
        <w:topLinePunct w:val="0"/>
        <w:autoSpaceDE/>
        <w:autoSpaceDN/>
        <w:bidi w:val="0"/>
        <w:adjustRightInd/>
        <w:snapToGrid/>
        <w:spacing w:line="600" w:lineRule="exact"/>
        <w:ind w:firstLine="42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w:t>
      </w:r>
      <w:r>
        <w:rPr>
          <w:rFonts w:hint="eastAsia" w:ascii="宋体" w:hAnsi="宋体" w:eastAsia="宋体" w:cs="宋体"/>
          <w:color w:val="auto"/>
          <w:kern w:val="0"/>
          <w:sz w:val="21"/>
          <w:szCs w:val="21"/>
          <w:u w:val="single"/>
        </w:rPr>
        <w:t xml:space="preserve"> </w:t>
      </w:r>
      <w:r>
        <w:rPr>
          <w:rFonts w:hint="eastAsia" w:ascii="宋体" w:hAnsi="宋体" w:eastAsia="宋体" w:cs="宋体"/>
          <w:color w:val="auto"/>
          <w:kern w:val="0"/>
          <w:sz w:val="21"/>
          <w:szCs w:val="21"/>
          <w:u w:val="single"/>
          <w:lang w:val="en-US" w:eastAsia="zh-CN"/>
        </w:rPr>
        <w:t xml:space="preserve">     </w:t>
      </w:r>
      <w:r>
        <w:rPr>
          <w:rFonts w:hint="eastAsia" w:ascii="宋体" w:hAnsi="宋体" w:eastAsia="宋体" w:cs="宋体"/>
          <w:color w:val="auto"/>
          <w:kern w:val="0"/>
          <w:sz w:val="21"/>
          <w:szCs w:val="21"/>
          <w:u w:val="single"/>
        </w:rPr>
        <w:t xml:space="preserve">（标的名称） </w:t>
      </w:r>
      <w:r>
        <w:rPr>
          <w:rFonts w:hint="eastAsia" w:ascii="宋体" w:hAnsi="宋体" w:eastAsia="宋体" w:cs="宋体"/>
          <w:color w:val="auto"/>
          <w:kern w:val="0"/>
          <w:sz w:val="21"/>
          <w:szCs w:val="21"/>
        </w:rPr>
        <w:t>，属于</w:t>
      </w:r>
      <w:r>
        <w:rPr>
          <w:rFonts w:hint="eastAsia" w:ascii="宋体" w:hAnsi="宋体" w:eastAsia="宋体" w:cs="宋体"/>
          <w:color w:val="auto"/>
          <w:kern w:val="0"/>
          <w:sz w:val="21"/>
          <w:szCs w:val="21"/>
          <w:u w:val="single"/>
          <w:lang w:val="en-US" w:eastAsia="zh-CN"/>
        </w:rPr>
        <w:t xml:space="preserve">      </w:t>
      </w:r>
      <w:r>
        <w:rPr>
          <w:rFonts w:hint="eastAsia" w:ascii="宋体" w:hAnsi="宋体" w:eastAsia="宋体" w:cs="宋体"/>
          <w:color w:val="auto"/>
          <w:kern w:val="0"/>
          <w:sz w:val="21"/>
          <w:szCs w:val="21"/>
          <w:u w:val="single"/>
        </w:rPr>
        <w:t>（采购文件中明确的所属行业）</w:t>
      </w:r>
      <w:r>
        <w:rPr>
          <w:rFonts w:hint="eastAsia" w:ascii="宋体" w:hAnsi="宋体" w:eastAsia="宋体" w:cs="宋体"/>
          <w:color w:val="auto"/>
          <w:kern w:val="0"/>
          <w:sz w:val="21"/>
          <w:szCs w:val="21"/>
        </w:rPr>
        <w:t>；承建（承接）企业为</w:t>
      </w:r>
      <w:r>
        <w:rPr>
          <w:rFonts w:hint="eastAsia" w:ascii="宋体" w:hAnsi="宋体" w:eastAsia="宋体" w:cs="宋体"/>
          <w:color w:val="auto"/>
          <w:kern w:val="0"/>
          <w:sz w:val="21"/>
          <w:szCs w:val="21"/>
          <w:u w:val="single"/>
          <w:lang w:val="en-US" w:eastAsia="zh-CN"/>
        </w:rPr>
        <w:t xml:space="preserve">     </w:t>
      </w:r>
      <w:r>
        <w:rPr>
          <w:rFonts w:hint="eastAsia" w:ascii="宋体" w:hAnsi="宋体" w:eastAsia="宋体" w:cs="宋体"/>
          <w:color w:val="auto"/>
          <w:kern w:val="0"/>
          <w:sz w:val="21"/>
          <w:szCs w:val="21"/>
          <w:u w:val="single"/>
        </w:rPr>
        <w:t>（企业名称）</w:t>
      </w:r>
      <w:r>
        <w:rPr>
          <w:rFonts w:hint="eastAsia" w:ascii="宋体" w:hAnsi="宋体" w:eastAsia="宋体" w:cs="宋体"/>
          <w:color w:val="auto"/>
          <w:kern w:val="0"/>
          <w:sz w:val="21"/>
          <w:szCs w:val="21"/>
        </w:rPr>
        <w:t>，从业人员</w:t>
      </w:r>
      <w:r>
        <w:rPr>
          <w:rFonts w:hint="eastAsia" w:ascii="宋体" w:hAnsi="宋体" w:eastAsia="宋体" w:cs="宋体"/>
          <w:color w:val="auto"/>
          <w:kern w:val="0"/>
          <w:sz w:val="21"/>
          <w:szCs w:val="21"/>
          <w:u w:val="single"/>
          <w:lang w:val="en-US" w:eastAsia="zh-CN"/>
        </w:rPr>
        <w:t xml:space="preserve">   </w:t>
      </w:r>
      <w:r>
        <w:rPr>
          <w:rFonts w:hint="eastAsia" w:ascii="宋体" w:hAnsi="宋体" w:eastAsia="宋体" w:cs="宋体"/>
          <w:color w:val="auto"/>
          <w:kern w:val="0"/>
          <w:sz w:val="21"/>
          <w:szCs w:val="21"/>
          <w:u w:val="single"/>
        </w:rPr>
        <w:t xml:space="preserve"> </w:t>
      </w:r>
      <w:r>
        <w:rPr>
          <w:rFonts w:hint="eastAsia" w:ascii="宋体" w:hAnsi="宋体" w:eastAsia="宋体" w:cs="宋体"/>
          <w:color w:val="auto"/>
          <w:kern w:val="0"/>
          <w:sz w:val="21"/>
          <w:szCs w:val="21"/>
        </w:rPr>
        <w:t>人，营业收入为</w:t>
      </w:r>
      <w:r>
        <w:rPr>
          <w:rFonts w:hint="eastAsia" w:ascii="宋体" w:hAnsi="宋体" w:eastAsia="宋体" w:cs="宋体"/>
          <w:color w:val="auto"/>
          <w:kern w:val="0"/>
          <w:sz w:val="21"/>
          <w:szCs w:val="21"/>
          <w:u w:val="single"/>
          <w:lang w:val="en-US" w:eastAsia="zh-CN"/>
        </w:rPr>
        <w:t xml:space="preserve">     </w:t>
      </w:r>
      <w:r>
        <w:rPr>
          <w:rFonts w:hint="eastAsia" w:ascii="宋体" w:hAnsi="宋体" w:eastAsia="宋体" w:cs="宋体"/>
          <w:color w:val="auto"/>
          <w:kern w:val="0"/>
          <w:sz w:val="21"/>
          <w:szCs w:val="21"/>
          <w:u w:val="single"/>
        </w:rPr>
        <w:t xml:space="preserve"> </w:t>
      </w:r>
      <w:r>
        <w:rPr>
          <w:rFonts w:hint="eastAsia" w:ascii="宋体" w:hAnsi="宋体" w:eastAsia="宋体" w:cs="宋体"/>
          <w:color w:val="auto"/>
          <w:kern w:val="0"/>
          <w:sz w:val="21"/>
          <w:szCs w:val="21"/>
        </w:rPr>
        <w:t>万元，资产总额为</w:t>
      </w:r>
      <w:r>
        <w:rPr>
          <w:rFonts w:hint="eastAsia" w:ascii="宋体" w:hAnsi="宋体" w:eastAsia="宋体" w:cs="宋体"/>
          <w:color w:val="auto"/>
          <w:kern w:val="0"/>
          <w:sz w:val="21"/>
          <w:szCs w:val="21"/>
          <w:u w:val="single"/>
        </w:rPr>
        <w:t xml:space="preserve"> </w:t>
      </w:r>
      <w:r>
        <w:rPr>
          <w:rFonts w:hint="eastAsia" w:ascii="宋体" w:hAnsi="宋体" w:eastAsia="宋体" w:cs="宋体"/>
          <w:color w:val="auto"/>
          <w:kern w:val="0"/>
          <w:sz w:val="21"/>
          <w:szCs w:val="21"/>
          <w:u w:val="single"/>
          <w:lang w:val="en-US" w:eastAsia="zh-CN"/>
        </w:rPr>
        <w:t xml:space="preserve">    </w:t>
      </w:r>
      <w:r>
        <w:rPr>
          <w:rFonts w:hint="eastAsia" w:ascii="宋体" w:hAnsi="宋体" w:eastAsia="宋体" w:cs="宋体"/>
          <w:color w:val="auto"/>
          <w:kern w:val="0"/>
          <w:sz w:val="21"/>
          <w:szCs w:val="21"/>
          <w:lang w:val="en-US" w:eastAsia="zh-CN"/>
        </w:rPr>
        <w:t xml:space="preserve"> </w:t>
      </w:r>
      <w:r>
        <w:rPr>
          <w:rFonts w:hint="eastAsia" w:ascii="宋体" w:hAnsi="宋体" w:eastAsia="宋体" w:cs="宋体"/>
          <w:color w:val="auto"/>
          <w:kern w:val="0"/>
          <w:sz w:val="21"/>
          <w:szCs w:val="21"/>
        </w:rPr>
        <w:t>万元</w:t>
      </w:r>
      <w:r>
        <w:rPr>
          <w:rFonts w:hint="eastAsia" w:ascii="宋体" w:hAnsi="宋体" w:eastAsia="宋体" w:cs="宋体"/>
          <w:color w:val="auto"/>
          <w:kern w:val="0"/>
          <w:sz w:val="21"/>
          <w:szCs w:val="21"/>
          <w:vertAlign w:val="superscript"/>
        </w:rPr>
        <w:t>1</w:t>
      </w:r>
      <w:r>
        <w:rPr>
          <w:rFonts w:hint="eastAsia" w:ascii="宋体" w:hAnsi="宋体" w:eastAsia="宋体" w:cs="宋体"/>
          <w:color w:val="auto"/>
          <w:kern w:val="0"/>
          <w:sz w:val="21"/>
          <w:szCs w:val="21"/>
        </w:rPr>
        <w:t>，属于</w:t>
      </w:r>
      <w:r>
        <w:rPr>
          <w:rFonts w:hint="eastAsia" w:ascii="宋体" w:hAnsi="宋体" w:eastAsia="宋体" w:cs="宋体"/>
          <w:color w:val="auto"/>
          <w:kern w:val="0"/>
          <w:sz w:val="21"/>
          <w:szCs w:val="21"/>
          <w:u w:val="single"/>
          <w:lang w:val="en-US" w:eastAsia="zh-CN"/>
        </w:rPr>
        <w:t xml:space="preserve">     </w:t>
      </w:r>
      <w:r>
        <w:rPr>
          <w:rFonts w:hint="eastAsia" w:ascii="宋体" w:hAnsi="宋体" w:eastAsia="宋体" w:cs="宋体"/>
          <w:color w:val="auto"/>
          <w:kern w:val="0"/>
          <w:sz w:val="21"/>
          <w:szCs w:val="21"/>
          <w:u w:val="single"/>
        </w:rPr>
        <w:t>（中型企业、小型企业、微型企业）</w:t>
      </w:r>
      <w:r>
        <w:rPr>
          <w:rFonts w:hint="eastAsia" w:ascii="宋体" w:hAnsi="宋体" w:eastAsia="宋体" w:cs="宋体"/>
          <w:color w:val="auto"/>
          <w:kern w:val="0"/>
          <w:sz w:val="21"/>
          <w:szCs w:val="21"/>
        </w:rPr>
        <w:t>；</w:t>
      </w:r>
    </w:p>
    <w:p w14:paraId="651F1096">
      <w:pPr>
        <w:keepNext w:val="0"/>
        <w:keepLines w:val="0"/>
        <w:pageBreakBefore w:val="0"/>
        <w:widowControl/>
        <w:kinsoku/>
        <w:wordWrap/>
        <w:overflowPunct/>
        <w:topLinePunct w:val="0"/>
        <w:autoSpaceDE/>
        <w:autoSpaceDN/>
        <w:bidi w:val="0"/>
        <w:adjustRightInd/>
        <w:snapToGrid/>
        <w:spacing w:line="600" w:lineRule="exact"/>
        <w:ind w:firstLine="42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xml:space="preserve">2. </w:t>
      </w:r>
      <w:r>
        <w:rPr>
          <w:rFonts w:hint="eastAsia" w:ascii="宋体" w:hAnsi="宋体" w:eastAsia="宋体" w:cs="宋体"/>
          <w:color w:val="auto"/>
          <w:kern w:val="0"/>
          <w:sz w:val="21"/>
          <w:szCs w:val="21"/>
          <w:u w:val="single"/>
          <w:lang w:val="en-US" w:eastAsia="zh-CN"/>
        </w:rPr>
        <w:t xml:space="preserve">     </w:t>
      </w:r>
      <w:r>
        <w:rPr>
          <w:rFonts w:hint="eastAsia" w:ascii="宋体" w:hAnsi="宋体" w:eastAsia="宋体" w:cs="宋体"/>
          <w:color w:val="auto"/>
          <w:kern w:val="0"/>
          <w:sz w:val="21"/>
          <w:szCs w:val="21"/>
          <w:u w:val="single"/>
        </w:rPr>
        <w:t>（标的名称）</w:t>
      </w:r>
      <w:r>
        <w:rPr>
          <w:rFonts w:hint="eastAsia" w:ascii="宋体" w:hAnsi="宋体" w:eastAsia="宋体" w:cs="宋体"/>
          <w:color w:val="auto"/>
          <w:kern w:val="0"/>
          <w:sz w:val="21"/>
          <w:szCs w:val="21"/>
        </w:rPr>
        <w:t xml:space="preserve"> ，属于</w:t>
      </w:r>
      <w:r>
        <w:rPr>
          <w:rFonts w:hint="eastAsia" w:ascii="宋体" w:hAnsi="宋体" w:eastAsia="宋体" w:cs="宋体"/>
          <w:color w:val="auto"/>
          <w:kern w:val="0"/>
          <w:sz w:val="21"/>
          <w:szCs w:val="21"/>
          <w:u w:val="single"/>
          <w:lang w:val="en-US" w:eastAsia="zh-CN"/>
        </w:rPr>
        <w:t xml:space="preserve">     </w:t>
      </w:r>
      <w:r>
        <w:rPr>
          <w:rFonts w:hint="eastAsia" w:ascii="宋体" w:hAnsi="宋体" w:eastAsia="宋体" w:cs="宋体"/>
          <w:color w:val="auto"/>
          <w:kern w:val="0"/>
          <w:sz w:val="21"/>
          <w:szCs w:val="21"/>
          <w:u w:val="single"/>
        </w:rPr>
        <w:t>（采购文件中明确的所属行业）</w:t>
      </w:r>
      <w:r>
        <w:rPr>
          <w:rFonts w:hint="eastAsia" w:ascii="宋体" w:hAnsi="宋体" w:eastAsia="宋体" w:cs="宋体"/>
          <w:color w:val="auto"/>
          <w:kern w:val="0"/>
          <w:sz w:val="21"/>
          <w:szCs w:val="21"/>
        </w:rPr>
        <w:t>；承建（承接）企业为</w:t>
      </w:r>
      <w:r>
        <w:rPr>
          <w:rFonts w:hint="eastAsia" w:ascii="宋体" w:hAnsi="宋体" w:eastAsia="宋体" w:cs="宋体"/>
          <w:color w:val="auto"/>
          <w:kern w:val="0"/>
          <w:sz w:val="21"/>
          <w:szCs w:val="21"/>
          <w:u w:val="single"/>
          <w:lang w:val="en-US" w:eastAsia="zh-CN"/>
        </w:rPr>
        <w:t xml:space="preserve">      </w:t>
      </w:r>
      <w:r>
        <w:rPr>
          <w:rFonts w:hint="eastAsia" w:ascii="宋体" w:hAnsi="宋体" w:eastAsia="宋体" w:cs="宋体"/>
          <w:color w:val="auto"/>
          <w:kern w:val="0"/>
          <w:sz w:val="21"/>
          <w:szCs w:val="21"/>
          <w:u w:val="single"/>
        </w:rPr>
        <w:t>（企业名称）</w:t>
      </w:r>
      <w:r>
        <w:rPr>
          <w:rFonts w:hint="eastAsia" w:ascii="宋体" w:hAnsi="宋体" w:eastAsia="宋体" w:cs="宋体"/>
          <w:color w:val="auto"/>
          <w:kern w:val="0"/>
          <w:sz w:val="21"/>
          <w:szCs w:val="21"/>
        </w:rPr>
        <w:t>，从业人员</w:t>
      </w:r>
      <w:r>
        <w:rPr>
          <w:rFonts w:hint="eastAsia" w:ascii="宋体" w:hAnsi="宋体" w:eastAsia="宋体" w:cs="宋体"/>
          <w:color w:val="auto"/>
          <w:kern w:val="0"/>
          <w:sz w:val="21"/>
          <w:szCs w:val="21"/>
          <w:u w:val="single"/>
        </w:rPr>
        <w:t xml:space="preserve"> </w:t>
      </w:r>
      <w:r>
        <w:rPr>
          <w:rFonts w:hint="eastAsia" w:ascii="宋体" w:hAnsi="宋体" w:eastAsia="宋体" w:cs="宋体"/>
          <w:color w:val="auto"/>
          <w:kern w:val="0"/>
          <w:sz w:val="21"/>
          <w:szCs w:val="21"/>
          <w:u w:val="single"/>
          <w:lang w:val="en-US" w:eastAsia="zh-CN"/>
        </w:rPr>
        <w:t xml:space="preserve">     </w:t>
      </w:r>
      <w:r>
        <w:rPr>
          <w:rFonts w:hint="eastAsia" w:ascii="宋体" w:hAnsi="宋体" w:eastAsia="宋体" w:cs="宋体"/>
          <w:color w:val="auto"/>
          <w:kern w:val="0"/>
          <w:sz w:val="21"/>
          <w:szCs w:val="21"/>
        </w:rPr>
        <w:t>人，营业收入为</w:t>
      </w:r>
      <w:r>
        <w:rPr>
          <w:rFonts w:hint="eastAsia" w:ascii="宋体" w:hAnsi="宋体" w:eastAsia="宋体" w:cs="宋体"/>
          <w:color w:val="auto"/>
          <w:kern w:val="0"/>
          <w:sz w:val="21"/>
          <w:szCs w:val="21"/>
          <w:u w:val="single"/>
          <w:lang w:val="en-US" w:eastAsia="zh-CN"/>
        </w:rPr>
        <w:t xml:space="preserve">        </w:t>
      </w:r>
      <w:r>
        <w:rPr>
          <w:rFonts w:hint="eastAsia" w:ascii="宋体" w:hAnsi="宋体" w:eastAsia="宋体" w:cs="宋体"/>
          <w:color w:val="auto"/>
          <w:kern w:val="0"/>
          <w:sz w:val="21"/>
          <w:szCs w:val="21"/>
        </w:rPr>
        <w:t>万元，资产总额为</w:t>
      </w:r>
      <w:r>
        <w:rPr>
          <w:rFonts w:hint="eastAsia" w:ascii="宋体" w:hAnsi="宋体" w:eastAsia="宋体" w:cs="宋体"/>
          <w:color w:val="auto"/>
          <w:kern w:val="0"/>
          <w:sz w:val="21"/>
          <w:szCs w:val="21"/>
          <w:u w:val="single"/>
          <w:lang w:val="en-US" w:eastAsia="zh-CN"/>
        </w:rPr>
        <w:t xml:space="preserve">    </w:t>
      </w:r>
      <w:r>
        <w:rPr>
          <w:rFonts w:hint="eastAsia" w:ascii="宋体" w:hAnsi="宋体" w:eastAsia="宋体" w:cs="宋体"/>
          <w:color w:val="auto"/>
          <w:kern w:val="0"/>
          <w:sz w:val="21"/>
          <w:szCs w:val="21"/>
          <w:u w:val="single"/>
        </w:rPr>
        <w:t xml:space="preserve"> </w:t>
      </w:r>
      <w:r>
        <w:rPr>
          <w:rFonts w:hint="eastAsia" w:ascii="宋体" w:hAnsi="宋体" w:eastAsia="宋体" w:cs="宋体"/>
          <w:color w:val="auto"/>
          <w:kern w:val="0"/>
          <w:sz w:val="21"/>
          <w:szCs w:val="21"/>
        </w:rPr>
        <w:t>万元，属于</w:t>
      </w:r>
      <w:r>
        <w:rPr>
          <w:rFonts w:hint="eastAsia" w:ascii="宋体" w:hAnsi="宋体" w:eastAsia="宋体" w:cs="宋体"/>
          <w:color w:val="auto"/>
          <w:kern w:val="0"/>
          <w:sz w:val="21"/>
          <w:szCs w:val="21"/>
          <w:u w:val="single"/>
          <w:lang w:val="en-US" w:eastAsia="zh-CN"/>
        </w:rPr>
        <w:t xml:space="preserve">    </w:t>
      </w:r>
      <w:r>
        <w:rPr>
          <w:rFonts w:hint="eastAsia" w:ascii="宋体" w:hAnsi="宋体" w:eastAsia="宋体" w:cs="宋体"/>
          <w:color w:val="auto"/>
          <w:kern w:val="0"/>
          <w:sz w:val="21"/>
          <w:szCs w:val="21"/>
          <w:u w:val="single"/>
        </w:rPr>
        <w:t>（中型企业、小型企业、微型企业）</w:t>
      </w:r>
      <w:r>
        <w:rPr>
          <w:rFonts w:hint="eastAsia" w:ascii="宋体" w:hAnsi="宋体" w:eastAsia="宋体" w:cs="宋体"/>
          <w:color w:val="auto"/>
          <w:kern w:val="0"/>
          <w:sz w:val="21"/>
          <w:szCs w:val="21"/>
        </w:rPr>
        <w:t>；</w:t>
      </w:r>
    </w:p>
    <w:p w14:paraId="6F64FCDD">
      <w:pPr>
        <w:pStyle w:val="35"/>
        <w:rPr>
          <w:rFonts w:hint="eastAsia"/>
          <w:color w:val="auto"/>
        </w:rPr>
      </w:pPr>
    </w:p>
    <w:p w14:paraId="3D233064">
      <w:pPr>
        <w:keepNext w:val="0"/>
        <w:keepLines w:val="0"/>
        <w:pageBreakBefore w:val="0"/>
        <w:widowControl/>
        <w:kinsoku/>
        <w:wordWrap/>
        <w:overflowPunct/>
        <w:topLinePunct w:val="0"/>
        <w:autoSpaceDE/>
        <w:autoSpaceDN/>
        <w:bidi w:val="0"/>
        <w:adjustRightInd/>
        <w:snapToGrid/>
        <w:spacing w:line="500" w:lineRule="exact"/>
        <w:ind w:firstLine="420"/>
        <w:textAlignment w:val="auto"/>
        <w:rPr>
          <w:rFonts w:hint="eastAsia" w:ascii="宋体" w:hAnsi="宋体" w:eastAsia="宋体" w:cs="宋体"/>
          <w:color w:val="auto"/>
          <w:kern w:val="0"/>
          <w:szCs w:val="21"/>
        </w:rPr>
      </w:pPr>
      <w:r>
        <w:rPr>
          <w:rFonts w:hint="eastAsia" w:ascii="宋体" w:hAnsi="宋体" w:eastAsia="宋体" w:cs="宋体"/>
          <w:color w:val="auto"/>
          <w:kern w:val="0"/>
          <w:szCs w:val="21"/>
        </w:rPr>
        <w:t>以上企业，不属于大企业的分支机构，不存在控股股东为大企业的情形，也不存在与大企业的负责人为同一人的情形。</w:t>
      </w:r>
    </w:p>
    <w:p w14:paraId="282EF38A">
      <w:pPr>
        <w:keepNext w:val="0"/>
        <w:keepLines w:val="0"/>
        <w:pageBreakBefore w:val="0"/>
        <w:widowControl/>
        <w:kinsoku/>
        <w:wordWrap/>
        <w:overflowPunct/>
        <w:topLinePunct w:val="0"/>
        <w:autoSpaceDE/>
        <w:autoSpaceDN/>
        <w:bidi w:val="0"/>
        <w:adjustRightInd/>
        <w:snapToGrid/>
        <w:spacing w:line="500" w:lineRule="exact"/>
        <w:ind w:firstLine="420"/>
        <w:textAlignment w:val="auto"/>
        <w:rPr>
          <w:rFonts w:hint="eastAsia"/>
          <w:color w:val="auto"/>
        </w:rPr>
      </w:pPr>
      <w:r>
        <w:rPr>
          <w:rFonts w:hint="eastAsia" w:ascii="宋体" w:hAnsi="宋体" w:eastAsia="宋体" w:cs="宋体"/>
          <w:color w:val="auto"/>
          <w:kern w:val="0"/>
          <w:szCs w:val="21"/>
        </w:rPr>
        <w:t xml:space="preserve">本企业对上述声明内容的真实性负责。如有虚假，将依法承担相应责任。  </w:t>
      </w:r>
    </w:p>
    <w:p w14:paraId="3D0504EB">
      <w:pPr>
        <w:widowControl/>
        <w:spacing w:line="400" w:lineRule="atLeast"/>
        <w:ind w:firstLine="420"/>
        <w:rPr>
          <w:rFonts w:hint="eastAsia" w:ascii="宋体" w:hAnsi="宋体" w:eastAsia="宋体" w:cs="宋体"/>
          <w:color w:val="auto"/>
          <w:kern w:val="0"/>
          <w:szCs w:val="21"/>
        </w:rPr>
      </w:pPr>
      <w:r>
        <w:rPr>
          <w:rFonts w:hint="eastAsia" w:ascii="宋体" w:hAnsi="宋体" w:eastAsia="宋体" w:cs="宋体"/>
          <w:color w:val="auto"/>
          <w:kern w:val="0"/>
          <w:szCs w:val="21"/>
        </w:rPr>
        <w:t> </w:t>
      </w:r>
      <w:r>
        <w:rPr>
          <w:rFonts w:hint="eastAsia" w:ascii="宋体" w:hAnsi="宋体" w:cs="宋体"/>
          <w:color w:val="auto"/>
          <w:kern w:val="0"/>
          <w:szCs w:val="21"/>
          <w:lang w:eastAsia="zh-CN"/>
        </w:rPr>
        <w:t>注</w:t>
      </w:r>
      <w:r>
        <w:rPr>
          <w:rFonts w:hint="eastAsia" w:ascii="宋体" w:hAnsi="宋体" w:eastAsia="宋体" w:cs="宋体"/>
          <w:color w:val="auto"/>
          <w:kern w:val="0"/>
          <w:szCs w:val="21"/>
        </w:rPr>
        <w:t>1</w:t>
      </w:r>
      <w:r>
        <w:rPr>
          <w:rFonts w:hint="eastAsia" w:ascii="宋体" w:hAnsi="宋体" w:cs="宋体"/>
          <w:color w:val="auto"/>
          <w:kern w:val="0"/>
          <w:szCs w:val="21"/>
          <w:lang w:eastAsia="zh-CN"/>
        </w:rPr>
        <w:t>：</w:t>
      </w:r>
      <w:r>
        <w:rPr>
          <w:rFonts w:hint="eastAsia" w:ascii="宋体" w:hAnsi="宋体" w:eastAsia="宋体" w:cs="宋体"/>
          <w:color w:val="auto"/>
          <w:kern w:val="0"/>
          <w:szCs w:val="21"/>
        </w:rPr>
        <w:t>从业人员、营业收入、资产总额填报上一年度数据，无上一年度数据的新成立企业可不填报。</w:t>
      </w:r>
    </w:p>
    <w:p w14:paraId="0ADF51A6">
      <w:pPr>
        <w:pStyle w:val="14"/>
        <w:spacing w:line="360" w:lineRule="auto"/>
        <w:ind w:firstLine="0" w:firstLineChars="0"/>
        <w:jc w:val="both"/>
        <w:rPr>
          <w:rFonts w:hint="eastAsia" w:asciiTheme="minorEastAsia" w:hAnsiTheme="minorEastAsia" w:eastAsiaTheme="minorEastAsia" w:cstheme="minorEastAsia"/>
          <w:color w:val="auto"/>
          <w:kern w:val="2"/>
          <w:sz w:val="21"/>
          <w:szCs w:val="21"/>
          <w:lang w:val="en-US" w:eastAsia="zh-CN"/>
        </w:rPr>
      </w:pPr>
    </w:p>
    <w:p w14:paraId="22520787">
      <w:pPr>
        <w:spacing w:line="360" w:lineRule="auto"/>
        <w:ind w:firstLine="4200" w:firstLineChars="2000"/>
        <w:jc w:val="left"/>
        <w:rPr>
          <w:rFonts w:hint="eastAsia" w:ascii="宋体" w:hAnsi="宋体" w:eastAsia="宋体" w:cs="宋体"/>
          <w:color w:val="auto"/>
          <w:u w:val="single"/>
        </w:rPr>
      </w:pPr>
      <w:r>
        <w:rPr>
          <w:rFonts w:hint="eastAsia" w:asciiTheme="minorEastAsia" w:hAnsiTheme="minorEastAsia" w:eastAsiaTheme="minorEastAsia" w:cstheme="minorEastAsia"/>
          <w:color w:val="auto"/>
          <w:kern w:val="2"/>
          <w:sz w:val="21"/>
          <w:szCs w:val="21"/>
          <w:lang w:val="en-US" w:eastAsia="zh-CN"/>
        </w:rPr>
        <w:t xml:space="preserve">   </w:t>
      </w:r>
      <w:r>
        <w:rPr>
          <w:rFonts w:ascii="宋体" w:hAnsi="宋体"/>
          <w:color w:val="auto"/>
          <w:sz w:val="21"/>
          <w:szCs w:val="21"/>
          <w:highlight w:val="none"/>
        </w:rPr>
        <w:t xml:space="preserve"> </w:t>
      </w:r>
      <w:r>
        <w:rPr>
          <w:rFonts w:hint="eastAsia" w:ascii="宋体" w:hAnsi="宋体" w:eastAsia="宋体" w:cs="宋体"/>
          <w:color w:val="auto"/>
          <w:sz w:val="21"/>
          <w:szCs w:val="21"/>
          <w:lang w:eastAsia="zh-CN"/>
        </w:rPr>
        <w:t>供应商</w:t>
      </w:r>
      <w:r>
        <w:rPr>
          <w:rFonts w:hint="eastAsia" w:ascii="宋体" w:hAnsi="宋体" w:eastAsia="宋体" w:cs="宋体"/>
          <w:color w:val="auto"/>
          <w:kern w:val="0"/>
          <w:sz w:val="21"/>
          <w:szCs w:val="21"/>
          <w:highlight w:val="none"/>
          <w:lang w:val="zh-CN"/>
        </w:rPr>
        <w:t>名称（</w:t>
      </w:r>
      <w:r>
        <w:rPr>
          <w:rFonts w:hint="eastAsia" w:ascii="宋体" w:hAnsi="宋体" w:eastAsia="宋体" w:cs="宋体"/>
          <w:color w:val="auto"/>
          <w:kern w:val="0"/>
          <w:sz w:val="21"/>
          <w:szCs w:val="21"/>
          <w:highlight w:val="none"/>
          <w:lang w:val="zh-CN" w:eastAsia="zh-CN"/>
        </w:rPr>
        <w:t>电子签章</w:t>
      </w:r>
      <w:r>
        <w:rPr>
          <w:rFonts w:hint="eastAsia" w:ascii="宋体" w:hAnsi="宋体" w:eastAsia="宋体" w:cs="宋体"/>
          <w:color w:val="auto"/>
          <w:kern w:val="0"/>
          <w:sz w:val="21"/>
          <w:szCs w:val="21"/>
          <w:highlight w:val="none"/>
          <w:lang w:val="zh-CN"/>
        </w:rPr>
        <w:t>）</w:t>
      </w:r>
      <w:r>
        <w:rPr>
          <w:rFonts w:hint="eastAsia" w:ascii="宋体" w:hAnsi="宋体" w:eastAsia="宋体" w:cs="宋体"/>
          <w:color w:val="auto"/>
          <w:sz w:val="21"/>
          <w:szCs w:val="21"/>
        </w:rPr>
        <w:t>：</w:t>
      </w:r>
      <w:r>
        <w:rPr>
          <w:rFonts w:hint="eastAsia" w:ascii="宋体" w:hAnsi="宋体" w:eastAsia="宋体" w:cs="宋体"/>
          <w:color w:val="auto"/>
          <w:u w:val="single"/>
        </w:rPr>
        <w:t xml:space="preserve">                     </w:t>
      </w:r>
    </w:p>
    <w:p w14:paraId="6461276B">
      <w:pPr>
        <w:pStyle w:val="46"/>
        <w:keepNext w:val="0"/>
        <w:keepLines w:val="0"/>
        <w:widowControl w:val="0"/>
        <w:shd w:val="clear" w:color="auto" w:fill="auto"/>
        <w:bidi w:val="0"/>
        <w:spacing w:before="0" w:afterAutospacing="0" w:line="415" w:lineRule="exact"/>
        <w:ind w:left="0" w:leftChars="0" w:right="0" w:firstLine="0" w:firstLineChars="0"/>
        <w:jc w:val="left"/>
        <w:rPr>
          <w:rFonts w:hint="eastAsia" w:ascii="宋体" w:hAnsi="宋体" w:eastAsia="宋体" w:cs="宋体"/>
          <w:color w:val="auto"/>
          <w:sz w:val="21"/>
          <w:szCs w:val="21"/>
          <w:u w:val="none"/>
          <w:lang w:eastAsia="zh-CN"/>
        </w:rPr>
      </w:pPr>
      <w:r>
        <w:rPr>
          <w:rFonts w:hint="eastAsia" w:ascii="宋体" w:hAnsi="宋体" w:eastAsia="宋体" w:cs="宋体"/>
          <w:color w:val="auto"/>
          <w:lang w:val="en-US" w:eastAsia="zh-CN"/>
        </w:rPr>
        <w:t xml:space="preserve">                                   </w:t>
      </w:r>
      <w:r>
        <w:rPr>
          <w:rFonts w:hint="eastAsia" w:ascii="宋体" w:hAnsi="宋体" w:eastAsia="宋体" w:cs="宋体"/>
          <w:color w:val="auto"/>
          <w:sz w:val="21"/>
          <w:szCs w:val="21"/>
          <w:lang w:val="en-US" w:eastAsia="zh-CN"/>
        </w:rPr>
        <w:t xml:space="preserve">     </w:t>
      </w:r>
      <w:r>
        <w:rPr>
          <w:rFonts w:hint="eastAsia" w:cs="宋体"/>
          <w:color w:val="auto"/>
          <w:sz w:val="21"/>
          <w:szCs w:val="21"/>
          <w:lang w:val="en-US" w:eastAsia="zh-CN"/>
        </w:rPr>
        <w:t xml:space="preserve">        </w:t>
      </w:r>
      <w:r>
        <w:rPr>
          <w:rFonts w:hint="eastAsia" w:ascii="宋体" w:hAnsi="宋体" w:eastAsia="宋体" w:cs="宋体"/>
          <w:color w:val="auto"/>
          <w:sz w:val="21"/>
          <w:szCs w:val="21"/>
          <w:lang w:val="en-US" w:eastAsia="zh-CN"/>
        </w:rPr>
        <w:t xml:space="preserve">  </w:t>
      </w:r>
      <w:r>
        <w:rPr>
          <w:rFonts w:hint="eastAsia" w:cs="宋体"/>
          <w:color w:val="auto"/>
          <w:sz w:val="21"/>
          <w:szCs w:val="21"/>
          <w:lang w:val="en-US" w:eastAsia="zh-CN"/>
        </w:rPr>
        <w:t xml:space="preserve">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日期：</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年</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月</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u w:val="none"/>
          <w:lang w:eastAsia="zh-CN"/>
        </w:rPr>
        <w:t>日</w:t>
      </w:r>
    </w:p>
    <w:p w14:paraId="30AD833B">
      <w:pPr>
        <w:pStyle w:val="46"/>
        <w:keepNext w:val="0"/>
        <w:keepLines w:val="0"/>
        <w:widowControl w:val="0"/>
        <w:shd w:val="clear" w:color="auto" w:fill="auto"/>
        <w:bidi w:val="0"/>
        <w:spacing w:before="0" w:afterAutospacing="0" w:line="415" w:lineRule="exact"/>
        <w:ind w:left="0" w:leftChars="0" w:right="0" w:firstLine="0" w:firstLineChars="0"/>
        <w:jc w:val="left"/>
        <w:rPr>
          <w:rFonts w:hint="eastAsia" w:ascii="宋体" w:hAnsi="宋体" w:eastAsia="宋体" w:cs="宋体"/>
          <w:color w:val="auto"/>
          <w:sz w:val="21"/>
          <w:szCs w:val="21"/>
          <w:u w:val="none"/>
          <w:lang w:eastAsia="zh-CN"/>
        </w:rPr>
      </w:pPr>
    </w:p>
    <w:p w14:paraId="0405920F">
      <w:pPr>
        <w:spacing w:line="360" w:lineRule="auto"/>
        <w:rPr>
          <w:rFonts w:hint="eastAsia" w:ascii="宋体" w:hAnsi="宋体" w:cs="仿宋_GB2312"/>
          <w:color w:val="auto"/>
          <w:sz w:val="24"/>
        </w:rPr>
      </w:pPr>
    </w:p>
    <w:p w14:paraId="1284D275">
      <w:pPr>
        <w:spacing w:line="360" w:lineRule="auto"/>
        <w:rPr>
          <w:rFonts w:hint="eastAsia" w:ascii="仿宋_GB2312" w:hAnsi="仿宋_GB2312" w:eastAsia="仿宋_GB2312" w:cs="仿宋_GB2312"/>
          <w:color w:val="auto"/>
          <w:sz w:val="21"/>
          <w:szCs w:val="21"/>
        </w:rPr>
      </w:pPr>
      <w:r>
        <w:rPr>
          <w:rFonts w:hint="eastAsia" w:ascii="宋体" w:hAnsi="宋体" w:cs="仿宋_GB2312"/>
          <w:color w:val="auto"/>
          <w:sz w:val="21"/>
          <w:szCs w:val="21"/>
        </w:rPr>
        <w:t>注：请根据自己的真实情况出具《中小企业声明函》。依法享受中小企业优惠政策的，采购人或者采购代理机构在公告</w:t>
      </w:r>
      <w:r>
        <w:rPr>
          <w:rFonts w:hint="eastAsia" w:ascii="宋体" w:hAnsi="宋体" w:cs="仿宋_GB2312"/>
          <w:color w:val="auto"/>
          <w:sz w:val="21"/>
          <w:szCs w:val="21"/>
          <w:lang w:eastAsia="zh-CN"/>
        </w:rPr>
        <w:t>成交</w:t>
      </w:r>
      <w:r>
        <w:rPr>
          <w:rFonts w:hint="eastAsia" w:ascii="宋体" w:hAnsi="宋体" w:cs="仿宋_GB2312"/>
          <w:color w:val="auto"/>
          <w:sz w:val="21"/>
          <w:szCs w:val="21"/>
        </w:rPr>
        <w:t>结果时，同时公告其《中小企业声明函》，接受社会监督。</w:t>
      </w:r>
    </w:p>
    <w:p w14:paraId="002BB56B">
      <w:pPr>
        <w:pStyle w:val="46"/>
        <w:keepNext w:val="0"/>
        <w:keepLines w:val="0"/>
        <w:widowControl w:val="0"/>
        <w:shd w:val="clear" w:color="auto" w:fill="auto"/>
        <w:bidi w:val="0"/>
        <w:spacing w:before="0" w:afterAutospacing="0" w:line="415" w:lineRule="exact"/>
        <w:ind w:left="0" w:leftChars="0" w:right="0" w:firstLine="0" w:firstLineChars="0"/>
        <w:jc w:val="left"/>
        <w:rPr>
          <w:rFonts w:hint="eastAsia" w:ascii="宋体" w:hAnsi="宋体" w:eastAsia="宋体" w:cs="宋体"/>
          <w:color w:val="auto"/>
          <w:sz w:val="21"/>
          <w:szCs w:val="21"/>
          <w:u w:val="none"/>
          <w:lang w:eastAsia="zh-CN"/>
        </w:rPr>
        <w:sectPr>
          <w:footnotePr>
            <w:numFmt w:val="decimal"/>
          </w:footnotePr>
          <w:pgSz w:w="11905" w:h="16838"/>
          <w:pgMar w:top="1134" w:right="1134" w:bottom="1134" w:left="1134" w:header="720" w:footer="720" w:gutter="0"/>
          <w:pgNumType w:fmt="decimal"/>
          <w:cols w:space="720" w:num="1"/>
          <w:rtlGutter w:val="0"/>
          <w:docGrid w:type="lines" w:linePitch="332" w:charSpace="0"/>
        </w:sectPr>
      </w:pPr>
    </w:p>
    <w:p w14:paraId="4E040D3A">
      <w:pPr>
        <w:pStyle w:val="14"/>
        <w:spacing w:line="360" w:lineRule="auto"/>
        <w:ind w:firstLine="0" w:firstLineChars="0"/>
        <w:jc w:val="both"/>
        <w:rPr>
          <w:rFonts w:hint="eastAsia" w:asciiTheme="minorEastAsia" w:hAnsiTheme="minorEastAsia" w:eastAsiaTheme="minorEastAsia" w:cstheme="minorEastAsia"/>
          <w:color w:val="auto"/>
          <w:kern w:val="2"/>
          <w:sz w:val="21"/>
          <w:szCs w:val="21"/>
          <w:lang w:val="en-US" w:eastAsia="zh-CN"/>
        </w:rPr>
      </w:pPr>
    </w:p>
    <w:p w14:paraId="0B7AEC1E">
      <w:pPr>
        <w:spacing w:line="520" w:lineRule="exact"/>
        <w:jc w:val="center"/>
        <w:rPr>
          <w:rFonts w:hint="eastAsia" w:asciiTheme="minorEastAsia" w:hAnsiTheme="minorEastAsia" w:eastAsiaTheme="minorEastAsia" w:cstheme="minorEastAsia"/>
          <w:b/>
          <w:bCs/>
          <w:color w:val="auto"/>
          <w:sz w:val="30"/>
          <w:szCs w:val="30"/>
        </w:rPr>
      </w:pPr>
      <w:r>
        <w:rPr>
          <w:rFonts w:hint="eastAsia" w:asciiTheme="minorEastAsia" w:hAnsiTheme="minorEastAsia" w:eastAsiaTheme="minorEastAsia" w:cstheme="minorEastAsia"/>
          <w:b/>
          <w:bCs/>
          <w:color w:val="auto"/>
          <w:sz w:val="30"/>
          <w:szCs w:val="30"/>
        </w:rPr>
        <w:t>残疾人福利性单位声明函</w:t>
      </w:r>
    </w:p>
    <w:p w14:paraId="30F5FD4F">
      <w:pPr>
        <w:spacing w:line="520" w:lineRule="exact"/>
        <w:rPr>
          <w:rFonts w:hint="eastAsia" w:ascii="仿宋_GB2312" w:hAnsi="仿宋_GB2312" w:eastAsia="仿宋_GB2312" w:cs="仿宋_GB2312"/>
          <w:color w:val="auto"/>
          <w:sz w:val="32"/>
          <w:szCs w:val="32"/>
        </w:rPr>
      </w:pPr>
    </w:p>
    <w:p w14:paraId="1BDAC280">
      <w:pPr>
        <w:spacing w:line="360" w:lineRule="auto"/>
        <w:ind w:firstLine="420" w:firstLineChars="20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本单位郑重声明，根据《财政部 民政部 中国残疾人联合会关于促进残疾人就业政府采购政策的通知》（财库〔2017〕141号）的规定，本单位为符合条件的残疾人福利性单位，且本单位参加</w:t>
      </w:r>
      <w:r>
        <w:rPr>
          <w:rFonts w:hint="eastAsia" w:asciiTheme="minorEastAsia" w:hAnsiTheme="minorEastAsia" w:eastAsiaTheme="minorEastAsia" w:cstheme="minorEastAsia"/>
          <w:color w:val="auto"/>
          <w:sz w:val="21"/>
          <w:szCs w:val="21"/>
          <w:u w:val="single"/>
        </w:rPr>
        <w:t xml:space="preserve">       </w:t>
      </w:r>
      <w:r>
        <w:rPr>
          <w:rFonts w:hint="eastAsia" w:asciiTheme="minorEastAsia" w:hAnsiTheme="minorEastAsia" w:eastAsiaTheme="minorEastAsia" w:cstheme="minorEastAsia"/>
          <w:color w:val="auto"/>
          <w:sz w:val="21"/>
          <w:szCs w:val="21"/>
        </w:rPr>
        <w:t>单位的</w:t>
      </w:r>
      <w:r>
        <w:rPr>
          <w:rFonts w:hint="eastAsia" w:asciiTheme="minorEastAsia" w:hAnsiTheme="minorEastAsia" w:eastAsiaTheme="minorEastAsia" w:cstheme="minorEastAsia"/>
          <w:color w:val="auto"/>
          <w:sz w:val="21"/>
          <w:szCs w:val="21"/>
          <w:u w:val="single"/>
        </w:rPr>
        <w:t xml:space="preserve">        </w:t>
      </w:r>
      <w:r>
        <w:rPr>
          <w:rFonts w:hint="eastAsia" w:asciiTheme="minorEastAsia" w:hAnsiTheme="minorEastAsia" w:eastAsiaTheme="minorEastAsia" w:cstheme="minorEastAsia"/>
          <w:color w:val="auto"/>
          <w:sz w:val="21"/>
          <w:szCs w:val="21"/>
        </w:rPr>
        <w:t>项目采购活动提供本单位制造的货物（由本单位承担工程/提供服务），或者提供其他残疾人福利性单位制造的货物（不包括使用非残疾人福利性单位注册商标的货物）。</w:t>
      </w:r>
    </w:p>
    <w:p w14:paraId="7CD35CF3">
      <w:pPr>
        <w:spacing w:line="360" w:lineRule="auto"/>
        <w:ind w:firstLine="420" w:firstLineChars="20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本单位对上述声明的真实性负责。如有虚假，将依法承担相应责任。</w:t>
      </w:r>
    </w:p>
    <w:p w14:paraId="66454C86">
      <w:pPr>
        <w:spacing w:line="360" w:lineRule="auto"/>
        <w:rPr>
          <w:rFonts w:hint="eastAsia" w:asciiTheme="minorEastAsia" w:hAnsiTheme="minorEastAsia" w:eastAsiaTheme="minorEastAsia" w:cstheme="minorEastAsia"/>
          <w:color w:val="auto"/>
          <w:sz w:val="21"/>
          <w:szCs w:val="21"/>
        </w:rPr>
      </w:pPr>
    </w:p>
    <w:p w14:paraId="724F2DB7">
      <w:pPr>
        <w:spacing w:line="360" w:lineRule="auto"/>
        <w:rPr>
          <w:rFonts w:hint="eastAsia" w:asciiTheme="minorEastAsia" w:hAnsiTheme="minorEastAsia" w:eastAsiaTheme="minorEastAsia" w:cstheme="minorEastAsia"/>
          <w:color w:val="auto"/>
          <w:sz w:val="21"/>
          <w:szCs w:val="21"/>
        </w:rPr>
      </w:pPr>
    </w:p>
    <w:p w14:paraId="656E9842">
      <w:pPr>
        <w:spacing w:line="360" w:lineRule="auto"/>
        <w:rPr>
          <w:rFonts w:hint="eastAsia" w:asciiTheme="minorEastAsia" w:hAnsiTheme="minorEastAsia" w:eastAsiaTheme="minorEastAsia" w:cstheme="minorEastAsia"/>
          <w:color w:val="auto"/>
          <w:sz w:val="21"/>
          <w:szCs w:val="21"/>
        </w:rPr>
      </w:pPr>
    </w:p>
    <w:p w14:paraId="43DD1D06">
      <w:pPr>
        <w:spacing w:line="360" w:lineRule="auto"/>
        <w:ind w:firstLine="4200" w:firstLineChars="2000"/>
        <w:jc w:val="left"/>
        <w:rPr>
          <w:rFonts w:hint="eastAsia" w:ascii="宋体" w:hAnsi="宋体" w:eastAsia="宋体" w:cs="宋体"/>
          <w:color w:val="auto"/>
          <w:u w:val="single"/>
        </w:rPr>
      </w:pPr>
      <w:r>
        <w:rPr>
          <w:rFonts w:hint="eastAsia" w:asciiTheme="minorEastAsia" w:hAnsiTheme="minorEastAsia" w:eastAsiaTheme="minorEastAsia" w:cstheme="minorEastAsia"/>
          <w:color w:val="auto"/>
          <w:kern w:val="2"/>
          <w:sz w:val="21"/>
          <w:szCs w:val="21"/>
          <w:lang w:val="en-US" w:eastAsia="zh-CN"/>
        </w:rPr>
        <w:t xml:space="preserve"> </w:t>
      </w:r>
      <w:r>
        <w:rPr>
          <w:rFonts w:hint="eastAsia" w:ascii="宋体" w:hAnsi="宋体" w:eastAsia="宋体" w:cs="宋体"/>
          <w:color w:val="auto"/>
          <w:sz w:val="21"/>
          <w:szCs w:val="21"/>
          <w:lang w:eastAsia="zh-CN"/>
        </w:rPr>
        <w:t>供应商</w:t>
      </w:r>
      <w:r>
        <w:rPr>
          <w:rFonts w:hint="eastAsia" w:ascii="宋体" w:hAnsi="宋体" w:eastAsia="宋体" w:cs="宋体"/>
          <w:color w:val="auto"/>
          <w:kern w:val="0"/>
          <w:sz w:val="21"/>
          <w:szCs w:val="21"/>
          <w:highlight w:val="none"/>
          <w:lang w:val="zh-CN"/>
        </w:rPr>
        <w:t>名称（</w:t>
      </w:r>
      <w:r>
        <w:rPr>
          <w:rFonts w:hint="eastAsia" w:ascii="宋体" w:hAnsi="宋体" w:eastAsia="宋体" w:cs="宋体"/>
          <w:color w:val="auto"/>
          <w:kern w:val="0"/>
          <w:sz w:val="21"/>
          <w:szCs w:val="21"/>
          <w:highlight w:val="none"/>
          <w:lang w:val="zh-CN" w:eastAsia="zh-CN"/>
        </w:rPr>
        <w:t>电子签章</w:t>
      </w:r>
      <w:r>
        <w:rPr>
          <w:rFonts w:hint="eastAsia" w:ascii="宋体" w:hAnsi="宋体" w:eastAsia="宋体" w:cs="宋体"/>
          <w:color w:val="auto"/>
          <w:kern w:val="0"/>
          <w:sz w:val="21"/>
          <w:szCs w:val="21"/>
          <w:highlight w:val="none"/>
          <w:lang w:val="zh-CN"/>
        </w:rPr>
        <w:t>）</w:t>
      </w:r>
      <w:r>
        <w:rPr>
          <w:rFonts w:hint="eastAsia" w:ascii="宋体" w:hAnsi="宋体" w:eastAsia="宋体" w:cs="宋体"/>
          <w:color w:val="auto"/>
          <w:sz w:val="21"/>
          <w:szCs w:val="21"/>
        </w:rPr>
        <w:t>：</w:t>
      </w:r>
      <w:r>
        <w:rPr>
          <w:rFonts w:hint="eastAsia" w:ascii="宋体" w:hAnsi="宋体" w:eastAsia="宋体" w:cs="宋体"/>
          <w:color w:val="auto"/>
          <w:u w:val="single"/>
        </w:rPr>
        <w:t xml:space="preserve">                     </w:t>
      </w:r>
    </w:p>
    <w:p w14:paraId="234463FF">
      <w:pPr>
        <w:pStyle w:val="46"/>
        <w:keepNext w:val="0"/>
        <w:keepLines w:val="0"/>
        <w:widowControl w:val="0"/>
        <w:shd w:val="clear" w:color="auto" w:fill="auto"/>
        <w:bidi w:val="0"/>
        <w:spacing w:before="0" w:afterAutospacing="0" w:line="415" w:lineRule="exact"/>
        <w:ind w:left="0" w:leftChars="0" w:right="0" w:firstLine="0" w:firstLineChars="0"/>
        <w:jc w:val="left"/>
        <w:rPr>
          <w:rFonts w:hint="eastAsia" w:ascii="宋体" w:hAnsi="宋体" w:eastAsia="宋体" w:cs="宋体"/>
          <w:color w:val="auto"/>
          <w:sz w:val="21"/>
          <w:szCs w:val="21"/>
          <w:u w:val="none"/>
          <w:lang w:eastAsia="zh-CN"/>
        </w:rPr>
      </w:pPr>
      <w:r>
        <w:rPr>
          <w:rFonts w:hint="eastAsia" w:ascii="宋体" w:hAnsi="宋体" w:eastAsia="宋体" w:cs="宋体"/>
          <w:color w:val="auto"/>
          <w:lang w:val="en-US" w:eastAsia="zh-CN"/>
        </w:rPr>
        <w:t xml:space="preserve">                                   </w:t>
      </w:r>
      <w:r>
        <w:rPr>
          <w:rFonts w:hint="eastAsia" w:ascii="宋体" w:hAnsi="宋体" w:eastAsia="宋体" w:cs="宋体"/>
          <w:color w:val="auto"/>
          <w:sz w:val="21"/>
          <w:szCs w:val="21"/>
          <w:lang w:val="en-US" w:eastAsia="zh-CN"/>
        </w:rPr>
        <w:t xml:space="preserve">     </w:t>
      </w:r>
      <w:r>
        <w:rPr>
          <w:rFonts w:hint="eastAsia" w:cs="宋体"/>
          <w:color w:val="auto"/>
          <w:sz w:val="21"/>
          <w:szCs w:val="21"/>
          <w:lang w:val="en-US" w:eastAsia="zh-CN"/>
        </w:rPr>
        <w:t xml:space="preserve">        </w:t>
      </w:r>
      <w:r>
        <w:rPr>
          <w:rFonts w:hint="eastAsia" w:ascii="宋体" w:hAnsi="宋体" w:eastAsia="宋体" w:cs="宋体"/>
          <w:color w:val="auto"/>
          <w:sz w:val="21"/>
          <w:szCs w:val="21"/>
          <w:lang w:val="en-US" w:eastAsia="zh-CN"/>
        </w:rPr>
        <w:t xml:space="preserve">   </w:t>
      </w:r>
      <w:r>
        <w:rPr>
          <w:rFonts w:hint="eastAsia" w:cs="宋体"/>
          <w:color w:val="auto"/>
          <w:sz w:val="21"/>
          <w:szCs w:val="21"/>
          <w:lang w:val="en-US" w:eastAsia="zh-CN"/>
        </w:rPr>
        <w:t xml:space="preserve">     </w:t>
      </w:r>
      <w:r>
        <w:rPr>
          <w:rFonts w:hint="eastAsia" w:ascii="宋体" w:hAnsi="宋体" w:eastAsia="宋体" w:cs="宋体"/>
          <w:color w:val="auto"/>
          <w:sz w:val="21"/>
          <w:szCs w:val="21"/>
        </w:rPr>
        <w:t>日期：</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年</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月</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u w:val="none"/>
          <w:lang w:eastAsia="zh-CN"/>
        </w:rPr>
        <w:t>日</w:t>
      </w:r>
    </w:p>
    <w:p w14:paraId="12994726">
      <w:pPr>
        <w:pStyle w:val="14"/>
        <w:spacing w:line="360" w:lineRule="auto"/>
        <w:ind w:firstLine="0" w:firstLineChars="0"/>
        <w:jc w:val="center"/>
        <w:rPr>
          <w:rFonts w:hint="eastAsia" w:asciiTheme="minorEastAsia" w:hAnsiTheme="minorEastAsia" w:eastAsiaTheme="minorEastAsia" w:cstheme="minorEastAsia"/>
          <w:color w:val="auto"/>
          <w:kern w:val="2"/>
          <w:sz w:val="21"/>
          <w:szCs w:val="21"/>
          <w:lang w:val="en-US" w:eastAsia="zh-CN"/>
        </w:rPr>
      </w:pPr>
    </w:p>
    <w:p w14:paraId="548984D3">
      <w:pPr>
        <w:spacing w:line="360" w:lineRule="auto"/>
        <w:rPr>
          <w:rFonts w:hint="eastAsia" w:asciiTheme="minorEastAsia" w:hAnsiTheme="minorEastAsia" w:eastAsiaTheme="minorEastAsia" w:cstheme="minorEastAsia"/>
          <w:color w:val="auto"/>
          <w:sz w:val="21"/>
          <w:szCs w:val="21"/>
        </w:rPr>
      </w:pPr>
    </w:p>
    <w:p w14:paraId="66329661">
      <w:pPr>
        <w:spacing w:line="360" w:lineRule="auto"/>
        <w:rPr>
          <w:rFonts w:hint="eastAsia" w:asciiTheme="minorEastAsia" w:hAnsiTheme="minorEastAsia" w:eastAsiaTheme="minorEastAsia" w:cstheme="minorEastAsia"/>
          <w:color w:val="auto"/>
          <w:sz w:val="21"/>
          <w:szCs w:val="21"/>
        </w:rPr>
      </w:pPr>
    </w:p>
    <w:p w14:paraId="57EE05F4">
      <w:pPr>
        <w:spacing w:line="360"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注：请根据自己的真实情况出具《残疾人福利性单位声明函》。依法享受中小企业优惠政策的，采购人或者采购代理机构在公告中标结果时，同时公告其《残疾人福利性单位声明函》，接受社会监督。</w:t>
      </w:r>
    </w:p>
    <w:p w14:paraId="37FA6D51">
      <w:pPr>
        <w:pStyle w:val="23"/>
        <w:rPr>
          <w:rFonts w:hint="eastAsia" w:asciiTheme="minorEastAsia" w:hAnsiTheme="minorEastAsia" w:eastAsiaTheme="minorEastAsia" w:cstheme="minorEastAsia"/>
          <w:color w:val="auto"/>
          <w:sz w:val="21"/>
          <w:szCs w:val="21"/>
        </w:rPr>
      </w:pPr>
    </w:p>
    <w:p w14:paraId="367F95A4">
      <w:pPr>
        <w:pStyle w:val="23"/>
        <w:rPr>
          <w:rFonts w:hint="eastAsia" w:asciiTheme="minorEastAsia" w:hAnsiTheme="minorEastAsia" w:eastAsiaTheme="minorEastAsia" w:cstheme="minorEastAsia"/>
          <w:color w:val="auto"/>
          <w:sz w:val="21"/>
          <w:szCs w:val="21"/>
        </w:rPr>
      </w:pPr>
    </w:p>
    <w:p w14:paraId="774B9934">
      <w:pPr>
        <w:pStyle w:val="23"/>
        <w:rPr>
          <w:rFonts w:hint="eastAsia" w:asciiTheme="minorEastAsia" w:hAnsiTheme="minorEastAsia" w:eastAsiaTheme="minorEastAsia" w:cstheme="minorEastAsia"/>
          <w:color w:val="auto"/>
          <w:sz w:val="21"/>
          <w:szCs w:val="21"/>
        </w:rPr>
      </w:pPr>
    </w:p>
    <w:p w14:paraId="0BB99F06">
      <w:pPr>
        <w:pStyle w:val="23"/>
        <w:rPr>
          <w:rFonts w:hint="eastAsia" w:asciiTheme="minorEastAsia" w:hAnsiTheme="minorEastAsia" w:eastAsiaTheme="minorEastAsia" w:cstheme="minorEastAsia"/>
          <w:color w:val="auto"/>
          <w:sz w:val="21"/>
          <w:szCs w:val="21"/>
        </w:rPr>
      </w:pPr>
    </w:p>
    <w:p w14:paraId="5A0781F1">
      <w:pPr>
        <w:pStyle w:val="23"/>
        <w:rPr>
          <w:rFonts w:hint="eastAsia" w:asciiTheme="minorEastAsia" w:hAnsiTheme="minorEastAsia" w:eastAsiaTheme="minorEastAsia" w:cstheme="minorEastAsia"/>
          <w:color w:val="auto"/>
          <w:sz w:val="21"/>
          <w:szCs w:val="21"/>
        </w:rPr>
      </w:pPr>
    </w:p>
    <w:p w14:paraId="5FDFE328">
      <w:pPr>
        <w:pStyle w:val="23"/>
        <w:rPr>
          <w:rFonts w:hint="eastAsia" w:asciiTheme="minorEastAsia" w:hAnsiTheme="minorEastAsia" w:eastAsiaTheme="minorEastAsia" w:cstheme="minorEastAsia"/>
          <w:color w:val="auto"/>
          <w:sz w:val="21"/>
          <w:szCs w:val="21"/>
        </w:rPr>
      </w:pPr>
    </w:p>
    <w:p w14:paraId="0810A796">
      <w:pPr>
        <w:pStyle w:val="23"/>
        <w:rPr>
          <w:rFonts w:hint="eastAsia" w:asciiTheme="minorEastAsia" w:hAnsiTheme="minorEastAsia" w:eastAsiaTheme="minorEastAsia" w:cstheme="minorEastAsia"/>
          <w:color w:val="auto"/>
          <w:sz w:val="21"/>
          <w:szCs w:val="21"/>
        </w:rPr>
      </w:pPr>
    </w:p>
    <w:p w14:paraId="16C37C76">
      <w:pPr>
        <w:pStyle w:val="23"/>
        <w:rPr>
          <w:rFonts w:hint="eastAsia" w:asciiTheme="minorEastAsia" w:hAnsiTheme="minorEastAsia" w:eastAsiaTheme="minorEastAsia" w:cstheme="minorEastAsia"/>
          <w:color w:val="auto"/>
          <w:sz w:val="21"/>
          <w:szCs w:val="21"/>
        </w:rPr>
      </w:pPr>
    </w:p>
    <w:p w14:paraId="74D2C3AC">
      <w:pPr>
        <w:spacing w:line="360" w:lineRule="auto"/>
        <w:ind w:right="420"/>
        <w:contextualSpacing/>
        <w:jc w:val="left"/>
        <w:rPr>
          <w:rFonts w:hint="eastAsia" w:ascii="宋体" w:hAnsi="宋体"/>
          <w:b/>
          <w:bCs/>
          <w:color w:val="auto"/>
          <w:sz w:val="28"/>
          <w:szCs w:val="28"/>
          <w:highlight w:val="none"/>
        </w:rPr>
      </w:pPr>
    </w:p>
    <w:p w14:paraId="37AE6B76">
      <w:pPr>
        <w:spacing w:line="360" w:lineRule="auto"/>
        <w:ind w:right="420"/>
        <w:contextualSpacing/>
        <w:jc w:val="left"/>
        <w:rPr>
          <w:rFonts w:ascii="宋体" w:hAnsi="宋体"/>
          <w:b/>
          <w:color w:val="auto"/>
          <w:sz w:val="28"/>
          <w:szCs w:val="28"/>
          <w:highlight w:val="none"/>
        </w:rPr>
      </w:pPr>
      <w:r>
        <w:rPr>
          <w:rFonts w:hint="eastAsia" w:ascii="宋体" w:hAnsi="宋体"/>
          <w:b/>
          <w:bCs/>
          <w:color w:val="auto"/>
          <w:sz w:val="28"/>
          <w:szCs w:val="28"/>
          <w:highlight w:val="none"/>
        </w:rPr>
        <w:t>二、</w:t>
      </w:r>
      <w:r>
        <w:rPr>
          <w:rFonts w:hint="eastAsia" w:ascii="宋体" w:hAnsi="宋体"/>
          <w:b/>
          <w:color w:val="auto"/>
          <w:sz w:val="28"/>
          <w:szCs w:val="28"/>
          <w:highlight w:val="none"/>
        </w:rPr>
        <w:t xml:space="preserve">报价文件格式 </w:t>
      </w:r>
    </w:p>
    <w:p w14:paraId="0426920C">
      <w:pPr>
        <w:spacing w:line="360" w:lineRule="auto"/>
        <w:ind w:firstLine="562" w:firstLineChars="200"/>
        <w:rPr>
          <w:rFonts w:hint="eastAsia" w:ascii="宋体" w:hAnsi="宋体"/>
          <w:b/>
          <w:color w:val="auto"/>
          <w:sz w:val="28"/>
          <w:szCs w:val="28"/>
          <w:highlight w:val="none"/>
        </w:rPr>
      </w:pPr>
      <w:r>
        <w:rPr>
          <w:rFonts w:hint="eastAsia" w:ascii="宋体" w:hAnsi="宋体"/>
          <w:b/>
          <w:color w:val="auto"/>
          <w:sz w:val="28"/>
          <w:szCs w:val="28"/>
          <w:highlight w:val="none"/>
        </w:rPr>
        <w:t>1.报价文件封面格式</w:t>
      </w:r>
    </w:p>
    <w:p w14:paraId="06B574C3">
      <w:pPr>
        <w:snapToGrid w:val="0"/>
        <w:spacing w:before="156" w:beforeLines="50" w:after="50"/>
        <w:rPr>
          <w:rFonts w:hint="eastAsia" w:ascii="宋体" w:hAnsi="宋体"/>
          <w:bCs/>
          <w:color w:val="auto"/>
          <w:sz w:val="28"/>
          <w:szCs w:val="18"/>
          <w:highlight w:val="none"/>
        </w:rPr>
      </w:pPr>
      <w:r>
        <w:rPr>
          <w:rFonts w:hint="eastAsia" w:ascii="宋体" w:hAnsi="宋体"/>
          <w:color w:val="auto"/>
          <w:sz w:val="22"/>
          <w:szCs w:val="22"/>
          <w:highlight w:val="none"/>
        </w:rPr>
        <w:t xml:space="preserve">                                                    </w:t>
      </w:r>
    </w:p>
    <w:p w14:paraId="15F03370">
      <w:pPr>
        <w:snapToGrid w:val="0"/>
        <w:spacing w:before="156" w:beforeLines="50" w:after="50"/>
        <w:jc w:val="center"/>
        <w:rPr>
          <w:rFonts w:hint="eastAsia" w:ascii="宋体" w:hAnsi="宋体"/>
          <w:color w:val="auto"/>
          <w:sz w:val="22"/>
          <w:szCs w:val="18"/>
          <w:highlight w:val="none"/>
        </w:rPr>
      </w:pPr>
      <w:r>
        <w:rPr>
          <w:rFonts w:hint="eastAsia" w:ascii="宋体" w:hAnsi="宋体"/>
          <w:color w:val="auto"/>
          <w:sz w:val="40"/>
          <w:szCs w:val="40"/>
          <w:highlight w:val="none"/>
        </w:rPr>
        <w:t>电 子 响 应 文 件</w:t>
      </w:r>
    </w:p>
    <w:p w14:paraId="74F936FA">
      <w:pPr>
        <w:snapToGrid w:val="0"/>
        <w:spacing w:before="156" w:beforeLines="50" w:after="50"/>
        <w:rPr>
          <w:rFonts w:hint="eastAsia" w:ascii="宋体" w:hAnsi="宋体"/>
          <w:color w:val="auto"/>
          <w:sz w:val="22"/>
          <w:szCs w:val="18"/>
          <w:highlight w:val="none"/>
        </w:rPr>
      </w:pPr>
    </w:p>
    <w:p w14:paraId="389DF715">
      <w:pPr>
        <w:snapToGrid w:val="0"/>
        <w:spacing w:before="156" w:beforeLines="50" w:after="50"/>
        <w:rPr>
          <w:rFonts w:hint="eastAsia" w:ascii="宋体" w:hAnsi="宋体"/>
          <w:color w:val="auto"/>
          <w:sz w:val="22"/>
          <w:szCs w:val="18"/>
          <w:highlight w:val="none"/>
        </w:rPr>
      </w:pPr>
    </w:p>
    <w:p w14:paraId="27A876EC">
      <w:pPr>
        <w:snapToGrid w:val="0"/>
        <w:spacing w:before="156" w:beforeLines="50" w:after="50"/>
        <w:jc w:val="center"/>
        <w:rPr>
          <w:rFonts w:hint="eastAsia" w:ascii="方正小标宋简体" w:hAnsi="方正小标宋简体" w:eastAsia="方正小标宋简体" w:cs="方正小标宋简体"/>
          <w:bCs/>
          <w:color w:val="auto"/>
          <w:sz w:val="40"/>
          <w:szCs w:val="40"/>
          <w:highlight w:val="none"/>
        </w:rPr>
      </w:pPr>
      <w:r>
        <w:rPr>
          <w:rFonts w:hint="eastAsia" w:ascii="方正小标宋简体" w:hAnsi="方正小标宋简体" w:eastAsia="方正小标宋简体" w:cs="方正小标宋简体"/>
          <w:bCs/>
          <w:color w:val="auto"/>
          <w:sz w:val="40"/>
          <w:szCs w:val="40"/>
          <w:highlight w:val="none"/>
        </w:rPr>
        <w:t>报  价  文  件</w:t>
      </w:r>
    </w:p>
    <w:p w14:paraId="18F132EF">
      <w:pPr>
        <w:snapToGrid w:val="0"/>
        <w:spacing w:before="156" w:beforeLines="50" w:after="50"/>
        <w:rPr>
          <w:rFonts w:hint="eastAsia" w:ascii="宋体" w:hAnsi="宋体"/>
          <w:bCs/>
          <w:color w:val="auto"/>
          <w:sz w:val="22"/>
          <w:szCs w:val="18"/>
          <w:highlight w:val="none"/>
        </w:rPr>
      </w:pPr>
    </w:p>
    <w:p w14:paraId="2BB6426B">
      <w:pPr>
        <w:snapToGrid w:val="0"/>
        <w:spacing w:before="156" w:beforeLines="50" w:after="50"/>
        <w:rPr>
          <w:rFonts w:hint="eastAsia" w:ascii="宋体" w:hAnsi="宋体"/>
          <w:bCs/>
          <w:color w:val="auto"/>
          <w:sz w:val="22"/>
          <w:szCs w:val="18"/>
          <w:highlight w:val="none"/>
        </w:rPr>
      </w:pPr>
    </w:p>
    <w:p w14:paraId="7E3EA3B8">
      <w:pPr>
        <w:snapToGrid w:val="0"/>
        <w:spacing w:before="156" w:beforeLines="50" w:after="50"/>
        <w:rPr>
          <w:rFonts w:hint="eastAsia" w:ascii="宋体" w:hAnsi="宋体"/>
          <w:bCs/>
          <w:color w:val="auto"/>
          <w:sz w:val="22"/>
          <w:szCs w:val="18"/>
          <w:highlight w:val="none"/>
        </w:rPr>
      </w:pPr>
    </w:p>
    <w:p w14:paraId="1FC2C5CA">
      <w:pPr>
        <w:snapToGrid w:val="0"/>
        <w:spacing w:before="156" w:beforeLines="50" w:after="50"/>
        <w:rPr>
          <w:rFonts w:hint="eastAsia" w:ascii="宋体" w:hAnsi="宋体"/>
          <w:bCs/>
          <w:color w:val="auto"/>
          <w:sz w:val="22"/>
          <w:szCs w:val="18"/>
          <w:highlight w:val="none"/>
        </w:rPr>
      </w:pPr>
    </w:p>
    <w:p w14:paraId="35547FA7">
      <w:pPr>
        <w:snapToGrid w:val="0"/>
        <w:spacing w:before="156" w:beforeLines="50" w:after="50"/>
        <w:rPr>
          <w:rFonts w:hint="eastAsia" w:ascii="宋体" w:hAnsi="宋体"/>
          <w:bCs/>
          <w:color w:val="auto"/>
          <w:sz w:val="22"/>
          <w:szCs w:val="18"/>
          <w:highlight w:val="none"/>
        </w:rPr>
      </w:pPr>
    </w:p>
    <w:p w14:paraId="5839181B">
      <w:pPr>
        <w:snapToGrid w:val="0"/>
        <w:spacing w:before="156" w:beforeLines="50" w:after="50"/>
        <w:ind w:firstLine="560" w:firstLineChars="200"/>
        <w:rPr>
          <w:rFonts w:hint="eastAsia" w:ascii="宋体" w:hAnsi="宋体" w:cs="仿宋_GB2312"/>
          <w:bCs/>
          <w:color w:val="auto"/>
          <w:sz w:val="28"/>
          <w:szCs w:val="28"/>
          <w:highlight w:val="none"/>
        </w:rPr>
      </w:pPr>
      <w:r>
        <w:rPr>
          <w:rFonts w:hint="eastAsia" w:ascii="宋体" w:hAnsi="宋体" w:cs="仿宋_GB2312"/>
          <w:bCs/>
          <w:color w:val="auto"/>
          <w:sz w:val="28"/>
          <w:szCs w:val="28"/>
          <w:highlight w:val="none"/>
        </w:rPr>
        <w:t>项目名称：</w:t>
      </w:r>
    </w:p>
    <w:p w14:paraId="3DB33BD6">
      <w:pPr>
        <w:snapToGrid w:val="0"/>
        <w:spacing w:before="156" w:beforeLines="50" w:after="50"/>
        <w:ind w:firstLine="630" w:firstLineChars="225"/>
        <w:rPr>
          <w:rFonts w:hint="eastAsia" w:ascii="宋体" w:hAnsi="宋体" w:cs="仿宋_GB2312"/>
          <w:bCs/>
          <w:color w:val="auto"/>
          <w:sz w:val="28"/>
          <w:szCs w:val="28"/>
          <w:highlight w:val="none"/>
        </w:rPr>
      </w:pPr>
    </w:p>
    <w:p w14:paraId="24AAF9D1">
      <w:pPr>
        <w:snapToGrid w:val="0"/>
        <w:spacing w:before="156" w:beforeLines="50" w:after="50"/>
        <w:ind w:firstLine="560" w:firstLineChars="200"/>
        <w:rPr>
          <w:rFonts w:hint="eastAsia" w:ascii="宋体" w:hAnsi="宋体" w:cs="仿宋_GB2312"/>
          <w:bCs/>
          <w:color w:val="auto"/>
          <w:sz w:val="28"/>
          <w:szCs w:val="28"/>
          <w:highlight w:val="none"/>
        </w:rPr>
      </w:pPr>
      <w:r>
        <w:rPr>
          <w:rFonts w:hint="eastAsia" w:ascii="宋体" w:hAnsi="宋体" w:cs="仿宋_GB2312"/>
          <w:bCs/>
          <w:color w:val="auto"/>
          <w:sz w:val="28"/>
          <w:szCs w:val="28"/>
          <w:highlight w:val="none"/>
        </w:rPr>
        <w:t>项目编号：</w:t>
      </w:r>
    </w:p>
    <w:p w14:paraId="3184DA12">
      <w:pPr>
        <w:snapToGrid w:val="0"/>
        <w:spacing w:before="156" w:beforeLines="50" w:after="50"/>
        <w:ind w:firstLine="630" w:firstLineChars="225"/>
        <w:rPr>
          <w:rFonts w:hint="eastAsia" w:ascii="宋体" w:hAnsi="宋体" w:cs="仿宋_GB2312"/>
          <w:bCs/>
          <w:color w:val="auto"/>
          <w:sz w:val="28"/>
          <w:szCs w:val="28"/>
          <w:highlight w:val="none"/>
        </w:rPr>
      </w:pPr>
      <w:r>
        <w:rPr>
          <w:rFonts w:hint="eastAsia" w:ascii="宋体" w:hAnsi="宋体" w:cs="仿宋_GB2312"/>
          <w:bCs/>
          <w:color w:val="auto"/>
          <w:sz w:val="28"/>
          <w:szCs w:val="28"/>
          <w:highlight w:val="none"/>
        </w:rPr>
        <w:t xml:space="preserve"> </w:t>
      </w:r>
    </w:p>
    <w:p w14:paraId="3D75638A">
      <w:pPr>
        <w:pStyle w:val="8"/>
        <w:snapToGrid w:val="0"/>
        <w:spacing w:before="50" w:after="50"/>
        <w:ind w:firstLine="560" w:firstLineChars="200"/>
        <w:rPr>
          <w:rFonts w:hint="eastAsia" w:ascii="宋体" w:hAnsi="宋体" w:cs="仿宋_GB2312"/>
          <w:bCs/>
          <w:color w:val="auto"/>
          <w:sz w:val="28"/>
          <w:szCs w:val="28"/>
          <w:highlight w:val="none"/>
        </w:rPr>
      </w:pPr>
      <w:r>
        <w:rPr>
          <w:rFonts w:hint="eastAsia" w:ascii="宋体" w:hAnsi="宋体" w:cs="仿宋_GB2312"/>
          <w:bCs/>
          <w:color w:val="auto"/>
          <w:sz w:val="28"/>
          <w:szCs w:val="28"/>
          <w:highlight w:val="none"/>
        </w:rPr>
        <w:t>供应商名称：</w:t>
      </w:r>
    </w:p>
    <w:p w14:paraId="584449C8">
      <w:pPr>
        <w:pStyle w:val="8"/>
        <w:snapToGrid w:val="0"/>
        <w:spacing w:before="50" w:after="50"/>
        <w:ind w:firstLine="560" w:firstLineChars="200"/>
        <w:rPr>
          <w:rFonts w:hint="eastAsia" w:ascii="宋体" w:hAnsi="宋体" w:cs="仿宋_GB2312"/>
          <w:bCs/>
          <w:color w:val="auto"/>
          <w:sz w:val="28"/>
          <w:szCs w:val="28"/>
          <w:highlight w:val="none"/>
        </w:rPr>
      </w:pPr>
    </w:p>
    <w:p w14:paraId="5FE4E99C">
      <w:pPr>
        <w:pStyle w:val="8"/>
        <w:snapToGrid w:val="0"/>
        <w:spacing w:before="50" w:after="50"/>
        <w:ind w:firstLine="630" w:firstLineChars="225"/>
        <w:rPr>
          <w:rFonts w:hint="eastAsia" w:ascii="宋体" w:hAnsi="宋体" w:cs="仿宋_GB2312"/>
          <w:bCs/>
          <w:color w:val="auto"/>
          <w:sz w:val="28"/>
          <w:szCs w:val="28"/>
          <w:highlight w:val="none"/>
        </w:rPr>
      </w:pPr>
    </w:p>
    <w:p w14:paraId="5B5302A8">
      <w:pPr>
        <w:pStyle w:val="8"/>
        <w:snapToGrid w:val="0"/>
        <w:spacing w:before="50" w:after="50"/>
        <w:ind w:firstLine="0"/>
        <w:rPr>
          <w:rFonts w:hint="eastAsia" w:ascii="宋体" w:hAnsi="宋体" w:cs="仿宋_GB2312"/>
          <w:bCs/>
          <w:color w:val="auto"/>
          <w:sz w:val="28"/>
          <w:szCs w:val="28"/>
          <w:highlight w:val="none"/>
        </w:rPr>
      </w:pPr>
    </w:p>
    <w:p w14:paraId="3AD9259A">
      <w:pPr>
        <w:pStyle w:val="8"/>
        <w:snapToGrid w:val="0"/>
        <w:spacing w:before="50" w:after="50"/>
        <w:ind w:firstLine="1120" w:firstLineChars="400"/>
        <w:rPr>
          <w:rFonts w:hint="eastAsia" w:ascii="宋体" w:hAnsi="宋体" w:cs="仿宋_GB2312"/>
          <w:bCs/>
          <w:color w:val="auto"/>
          <w:sz w:val="28"/>
          <w:szCs w:val="28"/>
          <w:highlight w:val="none"/>
        </w:rPr>
      </w:pPr>
    </w:p>
    <w:p w14:paraId="3DEA8B38">
      <w:pPr>
        <w:snapToGrid w:val="0"/>
        <w:spacing w:before="156" w:beforeLines="50" w:after="50"/>
        <w:jc w:val="center"/>
        <w:rPr>
          <w:rFonts w:hint="eastAsia" w:ascii="宋体" w:hAnsi="宋体" w:cs="仿宋_GB2312"/>
          <w:color w:val="auto"/>
          <w:sz w:val="28"/>
          <w:szCs w:val="28"/>
          <w:highlight w:val="none"/>
        </w:rPr>
      </w:pPr>
      <w:r>
        <w:rPr>
          <w:rFonts w:hint="eastAsia" w:ascii="宋体" w:hAnsi="宋体" w:cs="仿宋_GB2312"/>
          <w:color w:val="auto"/>
          <w:sz w:val="28"/>
          <w:szCs w:val="28"/>
          <w:highlight w:val="none"/>
        </w:rPr>
        <w:t>年    月    日</w:t>
      </w:r>
    </w:p>
    <w:p w14:paraId="5A052F25">
      <w:pPr>
        <w:snapToGrid w:val="0"/>
        <w:spacing w:before="156" w:beforeLines="50" w:after="50" w:line="360" w:lineRule="auto"/>
        <w:ind w:left="142"/>
        <w:jc w:val="left"/>
        <w:rPr>
          <w:rFonts w:hint="eastAsia" w:ascii="宋体" w:hAnsi="宋体"/>
          <w:b/>
          <w:bCs/>
          <w:color w:val="auto"/>
          <w:sz w:val="22"/>
          <w:szCs w:val="22"/>
          <w:highlight w:val="none"/>
        </w:rPr>
      </w:pPr>
      <w:r>
        <w:rPr>
          <w:rFonts w:hint="eastAsia" w:ascii="宋体" w:hAnsi="宋体"/>
          <w:color w:val="auto"/>
          <w:sz w:val="20"/>
          <w:szCs w:val="20"/>
          <w:highlight w:val="none"/>
        </w:rPr>
        <w:br w:type="page"/>
      </w:r>
      <w:r>
        <w:rPr>
          <w:rFonts w:hint="eastAsia" w:ascii="宋体" w:hAnsi="宋体"/>
          <w:b/>
          <w:bCs/>
          <w:color w:val="auto"/>
          <w:sz w:val="28"/>
          <w:szCs w:val="28"/>
          <w:highlight w:val="none"/>
        </w:rPr>
        <w:t>2.报价文件目录</w:t>
      </w:r>
    </w:p>
    <w:p w14:paraId="0A1D2600">
      <w:pPr>
        <w:pStyle w:val="2"/>
        <w:numPr>
          <w:ilvl w:val="0"/>
          <w:numId w:val="0"/>
        </w:numPr>
        <w:rPr>
          <w:rFonts w:hint="default"/>
          <w:color w:val="auto"/>
          <w:lang w:val="en-US" w:eastAsia="zh-CN"/>
        </w:rPr>
      </w:pPr>
      <w:r>
        <w:rPr>
          <w:rFonts w:hint="eastAsia"/>
          <w:color w:val="auto"/>
          <w:lang w:val="en-US" w:eastAsia="zh-CN"/>
        </w:rPr>
        <w:t>根据《供应商须知前附表》第12.1.2要求编制</w:t>
      </w:r>
    </w:p>
    <w:p w14:paraId="2B520C3C">
      <w:pPr>
        <w:spacing w:line="520" w:lineRule="exact"/>
        <w:jc w:val="center"/>
        <w:rPr>
          <w:rFonts w:hint="eastAsia" w:ascii="方正小标宋简体" w:hAnsi="方正小标宋简体" w:eastAsia="方正小标宋简体" w:cs="方正小标宋简体"/>
          <w:color w:val="auto"/>
          <w:sz w:val="44"/>
          <w:szCs w:val="44"/>
          <w:highlight w:val="none"/>
        </w:rPr>
      </w:pPr>
    </w:p>
    <w:p w14:paraId="7C04D23C">
      <w:pPr>
        <w:spacing w:line="520" w:lineRule="exact"/>
        <w:jc w:val="center"/>
        <w:rPr>
          <w:rFonts w:hint="eastAsia" w:ascii="方正小标宋简体" w:hAnsi="方正小标宋简体" w:eastAsia="方正小标宋简体" w:cs="方正小标宋简体"/>
          <w:color w:val="auto"/>
          <w:sz w:val="44"/>
          <w:szCs w:val="44"/>
          <w:highlight w:val="none"/>
        </w:rPr>
      </w:pPr>
    </w:p>
    <w:p w14:paraId="44069FED">
      <w:pPr>
        <w:spacing w:line="520" w:lineRule="exact"/>
        <w:jc w:val="center"/>
        <w:rPr>
          <w:rFonts w:hint="eastAsia" w:ascii="方正小标宋简体" w:hAnsi="方正小标宋简体" w:eastAsia="方正小标宋简体" w:cs="方正小标宋简体"/>
          <w:color w:val="auto"/>
          <w:sz w:val="44"/>
          <w:szCs w:val="44"/>
          <w:highlight w:val="none"/>
        </w:rPr>
      </w:pPr>
    </w:p>
    <w:p w14:paraId="28ECACE3">
      <w:pPr>
        <w:spacing w:line="520" w:lineRule="exact"/>
        <w:jc w:val="center"/>
        <w:rPr>
          <w:rFonts w:hint="eastAsia" w:ascii="方正小标宋简体" w:hAnsi="方正小标宋简体" w:eastAsia="方正小标宋简体" w:cs="方正小标宋简体"/>
          <w:color w:val="auto"/>
          <w:sz w:val="44"/>
          <w:szCs w:val="44"/>
          <w:highlight w:val="none"/>
        </w:rPr>
      </w:pPr>
    </w:p>
    <w:p w14:paraId="7210A5E8">
      <w:pPr>
        <w:spacing w:line="520" w:lineRule="exact"/>
        <w:jc w:val="center"/>
        <w:rPr>
          <w:rFonts w:hint="eastAsia" w:ascii="方正小标宋简体" w:hAnsi="方正小标宋简体" w:eastAsia="方正小标宋简体" w:cs="方正小标宋简体"/>
          <w:color w:val="auto"/>
          <w:sz w:val="44"/>
          <w:szCs w:val="44"/>
          <w:highlight w:val="none"/>
        </w:rPr>
      </w:pPr>
    </w:p>
    <w:p w14:paraId="57A751F7">
      <w:pPr>
        <w:spacing w:line="520" w:lineRule="exact"/>
        <w:jc w:val="center"/>
        <w:rPr>
          <w:rFonts w:hint="eastAsia" w:ascii="方正小标宋简体" w:hAnsi="方正小标宋简体" w:eastAsia="方正小标宋简体" w:cs="方正小标宋简体"/>
          <w:color w:val="auto"/>
          <w:sz w:val="44"/>
          <w:szCs w:val="44"/>
          <w:highlight w:val="none"/>
        </w:rPr>
      </w:pPr>
    </w:p>
    <w:p w14:paraId="6A1D4248">
      <w:pPr>
        <w:spacing w:line="520" w:lineRule="exact"/>
        <w:jc w:val="center"/>
        <w:rPr>
          <w:rFonts w:hint="eastAsia" w:ascii="方正小标宋简体" w:hAnsi="方正小标宋简体" w:eastAsia="方正小标宋简体" w:cs="方正小标宋简体"/>
          <w:color w:val="auto"/>
          <w:sz w:val="44"/>
          <w:szCs w:val="44"/>
          <w:highlight w:val="none"/>
        </w:rPr>
      </w:pPr>
    </w:p>
    <w:p w14:paraId="48EA5F3B">
      <w:pPr>
        <w:spacing w:line="520" w:lineRule="exact"/>
        <w:jc w:val="center"/>
        <w:rPr>
          <w:rFonts w:hint="eastAsia" w:ascii="方正小标宋简体" w:hAnsi="方正小标宋简体" w:eastAsia="方正小标宋简体" w:cs="方正小标宋简体"/>
          <w:color w:val="auto"/>
          <w:sz w:val="44"/>
          <w:szCs w:val="44"/>
          <w:highlight w:val="none"/>
        </w:rPr>
      </w:pPr>
    </w:p>
    <w:p w14:paraId="26DE5D78">
      <w:pPr>
        <w:spacing w:line="520" w:lineRule="exact"/>
        <w:jc w:val="center"/>
        <w:rPr>
          <w:rFonts w:hint="eastAsia" w:ascii="方正小标宋简体" w:hAnsi="方正小标宋简体" w:eastAsia="方正小标宋简体" w:cs="方正小标宋简体"/>
          <w:color w:val="auto"/>
          <w:sz w:val="44"/>
          <w:szCs w:val="44"/>
          <w:highlight w:val="none"/>
        </w:rPr>
      </w:pPr>
    </w:p>
    <w:p w14:paraId="103DF9CA">
      <w:pPr>
        <w:spacing w:line="520" w:lineRule="exact"/>
        <w:jc w:val="center"/>
        <w:rPr>
          <w:rFonts w:hint="eastAsia" w:ascii="方正小标宋简体" w:hAnsi="方正小标宋简体" w:eastAsia="方正小标宋简体" w:cs="方正小标宋简体"/>
          <w:color w:val="auto"/>
          <w:sz w:val="44"/>
          <w:szCs w:val="44"/>
          <w:highlight w:val="none"/>
        </w:rPr>
      </w:pPr>
    </w:p>
    <w:p w14:paraId="0E2F5463">
      <w:pPr>
        <w:spacing w:line="520" w:lineRule="exact"/>
        <w:jc w:val="center"/>
        <w:rPr>
          <w:rFonts w:hint="eastAsia" w:ascii="方正小标宋简体" w:hAnsi="方正小标宋简体" w:eastAsia="方正小标宋简体" w:cs="方正小标宋简体"/>
          <w:color w:val="auto"/>
          <w:sz w:val="44"/>
          <w:szCs w:val="44"/>
          <w:highlight w:val="none"/>
        </w:rPr>
      </w:pPr>
    </w:p>
    <w:p w14:paraId="4FCCC995">
      <w:pPr>
        <w:spacing w:line="520" w:lineRule="exact"/>
        <w:jc w:val="center"/>
        <w:rPr>
          <w:rFonts w:hint="eastAsia" w:ascii="方正小标宋简体" w:hAnsi="方正小标宋简体" w:eastAsia="方正小标宋简体" w:cs="方正小标宋简体"/>
          <w:color w:val="auto"/>
          <w:sz w:val="44"/>
          <w:szCs w:val="44"/>
          <w:highlight w:val="none"/>
        </w:rPr>
      </w:pPr>
    </w:p>
    <w:p w14:paraId="3FC05123">
      <w:pPr>
        <w:spacing w:line="520" w:lineRule="exact"/>
        <w:jc w:val="center"/>
        <w:rPr>
          <w:rFonts w:hint="eastAsia" w:ascii="方正小标宋简体" w:hAnsi="方正小标宋简体" w:eastAsia="方正小标宋简体" w:cs="方正小标宋简体"/>
          <w:color w:val="auto"/>
          <w:sz w:val="44"/>
          <w:szCs w:val="44"/>
          <w:highlight w:val="none"/>
        </w:rPr>
      </w:pPr>
    </w:p>
    <w:p w14:paraId="549FABA7">
      <w:pPr>
        <w:spacing w:line="520" w:lineRule="exact"/>
        <w:jc w:val="center"/>
        <w:rPr>
          <w:rFonts w:hint="eastAsia" w:ascii="方正小标宋简体" w:hAnsi="方正小标宋简体" w:eastAsia="方正小标宋简体" w:cs="方正小标宋简体"/>
          <w:color w:val="auto"/>
          <w:sz w:val="44"/>
          <w:szCs w:val="44"/>
          <w:highlight w:val="none"/>
        </w:rPr>
      </w:pPr>
    </w:p>
    <w:p w14:paraId="35ABCE0C">
      <w:pPr>
        <w:spacing w:line="520" w:lineRule="exact"/>
        <w:jc w:val="center"/>
        <w:rPr>
          <w:rFonts w:hint="eastAsia" w:ascii="方正小标宋简体" w:hAnsi="方正小标宋简体" w:eastAsia="方正小标宋简体" w:cs="方正小标宋简体"/>
          <w:color w:val="auto"/>
          <w:sz w:val="44"/>
          <w:szCs w:val="44"/>
          <w:highlight w:val="none"/>
        </w:rPr>
      </w:pPr>
    </w:p>
    <w:p w14:paraId="0BC1DA52">
      <w:pPr>
        <w:spacing w:line="520" w:lineRule="exact"/>
        <w:jc w:val="center"/>
        <w:rPr>
          <w:rFonts w:hint="eastAsia" w:ascii="方正小标宋简体" w:hAnsi="方正小标宋简体" w:eastAsia="方正小标宋简体" w:cs="方正小标宋简体"/>
          <w:color w:val="auto"/>
          <w:sz w:val="44"/>
          <w:szCs w:val="44"/>
          <w:highlight w:val="none"/>
        </w:rPr>
      </w:pPr>
    </w:p>
    <w:p w14:paraId="360CEDFE">
      <w:pPr>
        <w:spacing w:line="520" w:lineRule="exact"/>
        <w:jc w:val="center"/>
        <w:rPr>
          <w:rFonts w:hint="eastAsia" w:ascii="方正小标宋简体" w:hAnsi="方正小标宋简体" w:eastAsia="方正小标宋简体" w:cs="方正小标宋简体"/>
          <w:color w:val="auto"/>
          <w:sz w:val="44"/>
          <w:szCs w:val="44"/>
          <w:highlight w:val="none"/>
        </w:rPr>
      </w:pPr>
    </w:p>
    <w:p w14:paraId="0B41A511">
      <w:pPr>
        <w:spacing w:line="520" w:lineRule="exact"/>
        <w:jc w:val="center"/>
        <w:rPr>
          <w:rFonts w:hint="eastAsia" w:ascii="方正小标宋简体" w:hAnsi="方正小标宋简体" w:eastAsia="方正小标宋简体" w:cs="方正小标宋简体"/>
          <w:color w:val="auto"/>
          <w:sz w:val="44"/>
          <w:szCs w:val="44"/>
          <w:highlight w:val="none"/>
        </w:rPr>
      </w:pPr>
    </w:p>
    <w:p w14:paraId="4ECF2AF6">
      <w:pPr>
        <w:spacing w:line="520" w:lineRule="exact"/>
        <w:jc w:val="center"/>
        <w:rPr>
          <w:rFonts w:hint="eastAsia" w:ascii="方正小标宋简体" w:hAnsi="方正小标宋简体" w:eastAsia="方正小标宋简体" w:cs="方正小标宋简体"/>
          <w:color w:val="auto"/>
          <w:sz w:val="44"/>
          <w:szCs w:val="44"/>
          <w:highlight w:val="none"/>
        </w:rPr>
      </w:pPr>
    </w:p>
    <w:p w14:paraId="6ED589D2">
      <w:pPr>
        <w:spacing w:line="520" w:lineRule="exact"/>
        <w:jc w:val="center"/>
        <w:rPr>
          <w:rFonts w:hint="eastAsia" w:ascii="方正小标宋简体" w:hAnsi="方正小标宋简体" w:eastAsia="方正小标宋简体" w:cs="方正小标宋简体"/>
          <w:color w:val="auto"/>
          <w:sz w:val="44"/>
          <w:szCs w:val="44"/>
          <w:highlight w:val="none"/>
        </w:rPr>
      </w:pPr>
    </w:p>
    <w:p w14:paraId="40BCB994">
      <w:pPr>
        <w:spacing w:line="520" w:lineRule="exact"/>
        <w:jc w:val="center"/>
        <w:rPr>
          <w:rFonts w:hint="eastAsia" w:ascii="方正小标宋简体" w:hAnsi="方正小标宋简体" w:eastAsia="方正小标宋简体" w:cs="方正小标宋简体"/>
          <w:color w:val="auto"/>
          <w:sz w:val="44"/>
          <w:szCs w:val="44"/>
          <w:highlight w:val="none"/>
        </w:rPr>
      </w:pPr>
    </w:p>
    <w:p w14:paraId="39E5BFD4">
      <w:pPr>
        <w:spacing w:line="520" w:lineRule="exact"/>
        <w:jc w:val="center"/>
        <w:rPr>
          <w:rFonts w:hint="eastAsia" w:ascii="方正小标宋简体" w:hAnsi="方正小标宋简体" w:eastAsia="方正小标宋简体" w:cs="方正小标宋简体"/>
          <w:color w:val="auto"/>
          <w:sz w:val="44"/>
          <w:szCs w:val="44"/>
          <w:highlight w:val="none"/>
        </w:rPr>
      </w:pPr>
    </w:p>
    <w:p w14:paraId="2687D59E">
      <w:pPr>
        <w:spacing w:line="520" w:lineRule="exact"/>
        <w:jc w:val="center"/>
        <w:rPr>
          <w:rFonts w:hint="eastAsia" w:ascii="方正小标宋简体" w:hAnsi="方正小标宋简体" w:eastAsia="方正小标宋简体" w:cs="方正小标宋简体"/>
          <w:color w:val="auto"/>
          <w:sz w:val="44"/>
          <w:szCs w:val="44"/>
          <w:highlight w:val="none"/>
        </w:rPr>
      </w:pPr>
    </w:p>
    <w:p w14:paraId="54884B90">
      <w:pPr>
        <w:pStyle w:val="22"/>
        <w:jc w:val="both"/>
        <w:rPr>
          <w:rFonts w:hint="eastAsia"/>
          <w:color w:val="auto"/>
        </w:rPr>
      </w:pPr>
    </w:p>
    <w:p w14:paraId="7D4C8600">
      <w:pPr>
        <w:pStyle w:val="35"/>
        <w:keepNext w:val="0"/>
        <w:keepLines w:val="0"/>
        <w:pageBreakBefore w:val="0"/>
        <w:widowControl w:val="0"/>
        <w:numPr>
          <w:ilvl w:val="0"/>
          <w:numId w:val="0"/>
        </w:numPr>
        <w:kinsoku/>
        <w:wordWrap/>
        <w:overflowPunct/>
        <w:topLinePunct w:val="0"/>
        <w:autoSpaceDE/>
        <w:autoSpaceDN/>
        <w:bidi w:val="0"/>
        <w:adjustRightInd/>
        <w:snapToGrid/>
        <w:spacing w:before="0" w:after="0" w:line="400" w:lineRule="exact"/>
        <w:jc w:val="both"/>
        <w:textAlignment w:val="auto"/>
        <w:outlineLvl w:val="1"/>
        <w:rPr>
          <w:rFonts w:hint="eastAsia" w:ascii="宋体" w:hAnsi="宋体" w:eastAsia="宋体" w:cs="宋体"/>
          <w:b/>
          <w:bCs w:val="0"/>
          <w:color w:val="auto"/>
          <w:spacing w:val="0"/>
          <w:sz w:val="28"/>
          <w:szCs w:val="28"/>
          <w:lang w:val="en-US" w:eastAsia="zh-CN"/>
        </w:rPr>
      </w:pPr>
    </w:p>
    <w:p w14:paraId="2F418D01">
      <w:pPr>
        <w:pStyle w:val="35"/>
        <w:keepNext w:val="0"/>
        <w:keepLines w:val="0"/>
        <w:pageBreakBefore w:val="0"/>
        <w:widowControl w:val="0"/>
        <w:numPr>
          <w:ilvl w:val="0"/>
          <w:numId w:val="0"/>
        </w:numPr>
        <w:kinsoku/>
        <w:wordWrap/>
        <w:overflowPunct/>
        <w:topLinePunct w:val="0"/>
        <w:autoSpaceDE/>
        <w:autoSpaceDN/>
        <w:bidi w:val="0"/>
        <w:adjustRightInd/>
        <w:snapToGrid/>
        <w:spacing w:before="0" w:after="0" w:line="400" w:lineRule="exact"/>
        <w:jc w:val="center"/>
        <w:textAlignment w:val="auto"/>
        <w:outlineLvl w:val="1"/>
        <w:rPr>
          <w:rFonts w:hint="eastAsia" w:ascii="宋体" w:hAnsi="宋体" w:eastAsia="宋体" w:cs="宋体"/>
          <w:b/>
          <w:bCs w:val="0"/>
          <w:color w:val="auto"/>
          <w:spacing w:val="0"/>
          <w:sz w:val="28"/>
          <w:szCs w:val="28"/>
          <w:lang w:val="en-US" w:eastAsia="zh-CN"/>
        </w:rPr>
      </w:pPr>
      <w:r>
        <w:rPr>
          <w:rFonts w:hint="eastAsia" w:ascii="宋体" w:hAnsi="宋体" w:cs="宋体"/>
          <w:b/>
          <w:bCs w:val="0"/>
          <w:color w:val="auto"/>
          <w:spacing w:val="0"/>
          <w:sz w:val="28"/>
          <w:szCs w:val="28"/>
          <w:lang w:val="en-US" w:eastAsia="zh-CN"/>
        </w:rPr>
        <w:t>磋  商</w:t>
      </w:r>
      <w:r>
        <w:rPr>
          <w:rFonts w:hint="eastAsia" w:ascii="宋体" w:hAnsi="宋体" w:eastAsia="宋体" w:cs="宋体"/>
          <w:b/>
          <w:bCs w:val="0"/>
          <w:color w:val="auto"/>
          <w:spacing w:val="0"/>
          <w:sz w:val="28"/>
          <w:szCs w:val="28"/>
          <w:lang w:val="en-US" w:eastAsia="zh-CN"/>
        </w:rPr>
        <w:t xml:space="preserve">  函</w:t>
      </w:r>
    </w:p>
    <w:p w14:paraId="053A0F1A">
      <w:pPr>
        <w:pStyle w:val="35"/>
        <w:keepNext w:val="0"/>
        <w:keepLines w:val="0"/>
        <w:pageBreakBefore w:val="0"/>
        <w:widowControl w:val="0"/>
        <w:numPr>
          <w:ilvl w:val="0"/>
          <w:numId w:val="0"/>
        </w:numPr>
        <w:kinsoku/>
        <w:wordWrap/>
        <w:overflowPunct/>
        <w:topLinePunct w:val="0"/>
        <w:autoSpaceDE/>
        <w:autoSpaceDN/>
        <w:bidi w:val="0"/>
        <w:adjustRightInd/>
        <w:snapToGrid/>
        <w:spacing w:before="0" w:after="0" w:line="400" w:lineRule="exact"/>
        <w:jc w:val="left"/>
        <w:textAlignment w:val="auto"/>
        <w:rPr>
          <w:rFonts w:hint="eastAsia" w:ascii="宋体" w:hAnsi="宋体" w:eastAsia="宋体" w:cs="宋体"/>
          <w:bCs/>
          <w:color w:val="auto"/>
          <w:spacing w:val="0"/>
          <w:sz w:val="21"/>
          <w:szCs w:val="21"/>
          <w:lang w:val="en-US" w:eastAsia="zh-CN"/>
        </w:rPr>
      </w:pPr>
    </w:p>
    <w:p w14:paraId="5D867B7A">
      <w:pPr>
        <w:pStyle w:val="35"/>
        <w:keepNext w:val="0"/>
        <w:keepLines w:val="0"/>
        <w:pageBreakBefore w:val="0"/>
        <w:widowControl w:val="0"/>
        <w:numPr>
          <w:ilvl w:val="0"/>
          <w:numId w:val="0"/>
        </w:numPr>
        <w:kinsoku/>
        <w:wordWrap/>
        <w:overflowPunct/>
        <w:topLinePunct w:val="0"/>
        <w:autoSpaceDE/>
        <w:autoSpaceDN/>
        <w:bidi w:val="0"/>
        <w:adjustRightInd/>
        <w:snapToGrid/>
        <w:spacing w:before="0" w:after="0" w:line="400" w:lineRule="exact"/>
        <w:jc w:val="left"/>
        <w:textAlignment w:val="auto"/>
        <w:rPr>
          <w:rFonts w:hint="eastAsia" w:ascii="宋体" w:hAnsi="宋体" w:eastAsia="宋体" w:cs="宋体"/>
          <w:bCs/>
          <w:color w:val="auto"/>
          <w:spacing w:val="0"/>
          <w:sz w:val="21"/>
          <w:szCs w:val="21"/>
          <w:lang w:val="en-US" w:eastAsia="zh-CN"/>
        </w:rPr>
      </w:pPr>
      <w:r>
        <w:rPr>
          <w:rFonts w:hint="eastAsia" w:ascii="宋体" w:hAnsi="宋体" w:eastAsia="宋体" w:cs="宋体"/>
          <w:bCs/>
          <w:color w:val="auto"/>
          <w:spacing w:val="0"/>
          <w:sz w:val="21"/>
          <w:szCs w:val="21"/>
          <w:lang w:val="en-US" w:eastAsia="zh-CN"/>
        </w:rPr>
        <w:t>致：</w:t>
      </w:r>
      <w:r>
        <w:rPr>
          <w:rFonts w:hint="eastAsia" w:ascii="宋体" w:hAnsi="宋体" w:eastAsia="宋体" w:cs="宋体"/>
          <w:bCs/>
          <w:color w:val="auto"/>
          <w:spacing w:val="0"/>
          <w:sz w:val="21"/>
          <w:szCs w:val="21"/>
          <w:u w:val="single"/>
          <w:lang w:val="en-US" w:eastAsia="zh-CN"/>
        </w:rPr>
        <w:t xml:space="preserve">                      </w:t>
      </w:r>
      <w:r>
        <w:rPr>
          <w:rFonts w:hint="eastAsia" w:ascii="宋体" w:hAnsi="宋体" w:eastAsia="宋体" w:cs="宋体"/>
          <w:bCs/>
          <w:color w:val="auto"/>
          <w:spacing w:val="0"/>
          <w:sz w:val="21"/>
          <w:szCs w:val="21"/>
          <w:lang w:val="en-US" w:eastAsia="zh-CN"/>
        </w:rPr>
        <w:t>（采购人全称）：</w:t>
      </w:r>
    </w:p>
    <w:p w14:paraId="7035C9DC">
      <w:pPr>
        <w:pStyle w:val="35"/>
        <w:keepNext w:val="0"/>
        <w:keepLines w:val="0"/>
        <w:pageBreakBefore w:val="0"/>
        <w:widowControl w:val="0"/>
        <w:numPr>
          <w:ilvl w:val="0"/>
          <w:numId w:val="0"/>
        </w:numPr>
        <w:kinsoku/>
        <w:wordWrap/>
        <w:overflowPunct/>
        <w:topLinePunct w:val="0"/>
        <w:autoSpaceDE/>
        <w:autoSpaceDN/>
        <w:bidi w:val="0"/>
        <w:adjustRightInd/>
        <w:snapToGrid/>
        <w:spacing w:before="0" w:after="0" w:line="400" w:lineRule="exact"/>
        <w:ind w:firstLine="420" w:firstLineChars="200"/>
        <w:jc w:val="left"/>
        <w:textAlignment w:val="auto"/>
        <w:rPr>
          <w:rFonts w:hint="eastAsia" w:ascii="宋体" w:hAnsi="宋体" w:eastAsia="宋体" w:cs="宋体"/>
          <w:bCs/>
          <w:color w:val="auto"/>
          <w:spacing w:val="0"/>
          <w:sz w:val="21"/>
          <w:szCs w:val="21"/>
          <w:lang w:val="en-US" w:eastAsia="zh-CN"/>
        </w:rPr>
      </w:pPr>
      <w:r>
        <w:rPr>
          <w:rFonts w:hint="eastAsia" w:ascii="宋体" w:hAnsi="宋体" w:eastAsia="宋体" w:cs="宋体"/>
          <w:bCs/>
          <w:color w:val="auto"/>
          <w:spacing w:val="0"/>
          <w:sz w:val="21"/>
          <w:szCs w:val="21"/>
          <w:lang w:val="en-US" w:eastAsia="zh-CN"/>
        </w:rPr>
        <w:t>1、根据已收到的</w:t>
      </w:r>
      <w:r>
        <w:rPr>
          <w:rFonts w:hint="eastAsia" w:ascii="宋体" w:hAnsi="宋体" w:eastAsia="宋体" w:cs="宋体"/>
          <w:bCs/>
          <w:color w:val="auto"/>
          <w:spacing w:val="0"/>
          <w:sz w:val="21"/>
          <w:szCs w:val="21"/>
          <w:u w:val="single"/>
          <w:lang w:val="en-US" w:eastAsia="zh-CN"/>
        </w:rPr>
        <w:t xml:space="preserve">                    </w:t>
      </w:r>
      <w:r>
        <w:rPr>
          <w:rFonts w:hint="eastAsia" w:ascii="宋体" w:hAnsi="宋体" w:eastAsia="宋体" w:cs="宋体"/>
          <w:bCs/>
          <w:color w:val="auto"/>
          <w:spacing w:val="0"/>
          <w:sz w:val="21"/>
          <w:szCs w:val="21"/>
          <w:lang w:val="en-US" w:eastAsia="zh-CN"/>
        </w:rPr>
        <w:t>（项目名称）项目的竞争性磋商文件，我方经考察现场和研究贵方的竞争性磋商文件后，我方愿以人民币(大写</w:t>
      </w:r>
      <w:r>
        <w:rPr>
          <w:rFonts w:hint="eastAsia" w:ascii="宋体" w:hAnsi="宋体" w:cs="宋体"/>
          <w:bCs/>
          <w:color w:val="auto"/>
          <w:spacing w:val="0"/>
          <w:sz w:val="21"/>
          <w:szCs w:val="21"/>
          <w:lang w:val="en-US" w:eastAsia="zh-CN"/>
        </w:rPr>
        <w:t>）</w:t>
      </w:r>
      <w:r>
        <w:rPr>
          <w:rFonts w:hint="eastAsia" w:ascii="宋体" w:hAnsi="宋体" w:eastAsia="宋体" w:cs="宋体"/>
          <w:bCs/>
          <w:color w:val="auto"/>
          <w:spacing w:val="0"/>
          <w:sz w:val="21"/>
          <w:szCs w:val="21"/>
          <w:lang w:val="en-US" w:eastAsia="zh-CN"/>
        </w:rPr>
        <w:t xml:space="preserve"> </w:t>
      </w:r>
      <w:r>
        <w:rPr>
          <w:rFonts w:hint="eastAsia" w:ascii="宋体" w:hAnsi="宋体" w:eastAsia="宋体" w:cs="宋体"/>
          <w:bCs/>
          <w:color w:val="auto"/>
          <w:spacing w:val="0"/>
          <w:sz w:val="21"/>
          <w:szCs w:val="21"/>
          <w:u w:val="single"/>
          <w:lang w:val="en-US" w:eastAsia="zh-CN"/>
        </w:rPr>
        <w:t xml:space="preserve">            </w:t>
      </w:r>
      <w:r>
        <w:rPr>
          <w:rFonts w:hint="eastAsia" w:ascii="宋体" w:hAnsi="宋体" w:eastAsia="宋体" w:cs="宋体"/>
          <w:bCs/>
          <w:color w:val="auto"/>
          <w:spacing w:val="0"/>
          <w:sz w:val="21"/>
          <w:szCs w:val="21"/>
          <w:lang w:val="en-US" w:eastAsia="zh-CN"/>
        </w:rPr>
        <w:t>(</w:t>
      </w:r>
      <w:r>
        <w:rPr>
          <w:rFonts w:hint="default" w:ascii="Arial" w:hAnsi="Arial" w:eastAsia="宋体" w:cs="Arial"/>
          <w:bCs/>
          <w:color w:val="auto"/>
          <w:spacing w:val="0"/>
          <w:sz w:val="21"/>
          <w:szCs w:val="21"/>
          <w:lang w:val="en-US" w:eastAsia="zh-CN"/>
        </w:rPr>
        <w:t>¥</w:t>
      </w:r>
      <w:r>
        <w:rPr>
          <w:rFonts w:hint="eastAsia" w:ascii="宋体" w:hAnsi="宋体" w:eastAsia="宋体" w:cs="宋体"/>
          <w:bCs/>
          <w:color w:val="auto"/>
          <w:spacing w:val="0"/>
          <w:sz w:val="21"/>
          <w:szCs w:val="21"/>
          <w:u w:val="single"/>
          <w:lang w:val="en-US" w:eastAsia="zh-CN"/>
        </w:rPr>
        <w:t xml:space="preserve">            </w:t>
      </w:r>
      <w:r>
        <w:rPr>
          <w:rFonts w:hint="eastAsia" w:ascii="宋体" w:hAnsi="宋体" w:eastAsia="宋体" w:cs="宋体"/>
          <w:bCs/>
          <w:color w:val="auto"/>
          <w:spacing w:val="0"/>
          <w:sz w:val="21"/>
          <w:szCs w:val="21"/>
          <w:lang w:val="en-US" w:eastAsia="zh-CN"/>
        </w:rPr>
        <w:t xml:space="preserve"> </w:t>
      </w:r>
      <w:r>
        <w:rPr>
          <w:rFonts w:hint="eastAsia" w:ascii="宋体" w:hAnsi="宋体" w:cs="宋体"/>
          <w:bCs/>
          <w:color w:val="auto"/>
          <w:spacing w:val="0"/>
          <w:sz w:val="21"/>
          <w:szCs w:val="21"/>
          <w:lang w:val="en-US" w:eastAsia="zh-CN"/>
        </w:rPr>
        <w:t>）</w:t>
      </w:r>
      <w:r>
        <w:rPr>
          <w:rFonts w:hint="eastAsia" w:ascii="宋体" w:hAnsi="宋体" w:eastAsia="宋体" w:cs="宋体"/>
          <w:bCs/>
          <w:color w:val="auto"/>
          <w:spacing w:val="0"/>
          <w:sz w:val="21"/>
          <w:szCs w:val="21"/>
          <w:lang w:val="en-US" w:eastAsia="zh-CN"/>
        </w:rPr>
        <w:t>的磋商报价并按上述合同条款、工程建设标准的条件要求承包上述工程的施工、竣工，并承担任何质量缺陷保修责任。我方保证工程质量达到</w:t>
      </w:r>
      <w:r>
        <w:rPr>
          <w:rFonts w:hint="eastAsia" w:ascii="宋体" w:hAnsi="宋体" w:eastAsia="宋体" w:cs="宋体"/>
          <w:bCs/>
          <w:color w:val="auto"/>
          <w:spacing w:val="0"/>
          <w:sz w:val="21"/>
          <w:szCs w:val="21"/>
          <w:u w:val="single"/>
          <w:lang w:val="en-US" w:eastAsia="zh-CN"/>
        </w:rPr>
        <w:t xml:space="preserve">                    </w:t>
      </w:r>
      <w:r>
        <w:rPr>
          <w:rFonts w:hint="eastAsia" w:ascii="宋体" w:hAnsi="宋体" w:eastAsia="宋体" w:cs="宋体"/>
          <w:bCs/>
          <w:color w:val="auto"/>
          <w:spacing w:val="0"/>
          <w:sz w:val="21"/>
          <w:szCs w:val="21"/>
          <w:lang w:val="en-US" w:eastAsia="zh-CN"/>
        </w:rPr>
        <w:t>等级。</w:t>
      </w:r>
    </w:p>
    <w:p w14:paraId="064C204C">
      <w:pPr>
        <w:pStyle w:val="35"/>
        <w:keepNext w:val="0"/>
        <w:keepLines w:val="0"/>
        <w:pageBreakBefore w:val="0"/>
        <w:widowControl w:val="0"/>
        <w:numPr>
          <w:ilvl w:val="0"/>
          <w:numId w:val="0"/>
        </w:numPr>
        <w:kinsoku/>
        <w:wordWrap/>
        <w:overflowPunct/>
        <w:topLinePunct w:val="0"/>
        <w:autoSpaceDE/>
        <w:autoSpaceDN/>
        <w:bidi w:val="0"/>
        <w:adjustRightInd/>
        <w:snapToGrid/>
        <w:spacing w:before="0" w:after="0" w:line="400" w:lineRule="exact"/>
        <w:ind w:firstLine="420" w:firstLineChars="200"/>
        <w:jc w:val="left"/>
        <w:textAlignment w:val="auto"/>
        <w:rPr>
          <w:rFonts w:hint="eastAsia" w:ascii="宋体" w:hAnsi="宋体" w:eastAsia="宋体" w:cs="宋体"/>
          <w:bCs/>
          <w:color w:val="auto"/>
          <w:spacing w:val="0"/>
          <w:sz w:val="21"/>
          <w:szCs w:val="21"/>
          <w:lang w:val="en-US" w:eastAsia="zh-CN"/>
        </w:rPr>
      </w:pPr>
      <w:r>
        <w:rPr>
          <w:rFonts w:hint="eastAsia" w:ascii="宋体" w:hAnsi="宋体" w:eastAsia="宋体" w:cs="宋体"/>
          <w:bCs/>
          <w:color w:val="auto"/>
          <w:spacing w:val="0"/>
          <w:sz w:val="21"/>
          <w:szCs w:val="21"/>
          <w:lang w:val="en-US" w:eastAsia="zh-CN"/>
        </w:rPr>
        <w:t>2、我方已详细审核全部竞争性磋商文件，包括修改文件（如有时）及有关附件。</w:t>
      </w:r>
    </w:p>
    <w:p w14:paraId="7EBFC30A">
      <w:pPr>
        <w:pStyle w:val="35"/>
        <w:keepNext w:val="0"/>
        <w:keepLines w:val="0"/>
        <w:pageBreakBefore w:val="0"/>
        <w:widowControl w:val="0"/>
        <w:numPr>
          <w:ilvl w:val="0"/>
          <w:numId w:val="0"/>
        </w:numPr>
        <w:kinsoku/>
        <w:wordWrap/>
        <w:overflowPunct/>
        <w:topLinePunct w:val="0"/>
        <w:autoSpaceDE/>
        <w:autoSpaceDN/>
        <w:bidi w:val="0"/>
        <w:adjustRightInd/>
        <w:snapToGrid/>
        <w:spacing w:before="0" w:after="0" w:line="400" w:lineRule="exact"/>
        <w:ind w:firstLine="420" w:firstLineChars="200"/>
        <w:jc w:val="left"/>
        <w:textAlignment w:val="auto"/>
        <w:rPr>
          <w:rFonts w:hint="eastAsia" w:ascii="宋体" w:hAnsi="宋体" w:eastAsia="宋体" w:cs="宋体"/>
          <w:bCs/>
          <w:color w:val="auto"/>
          <w:spacing w:val="0"/>
          <w:sz w:val="21"/>
          <w:szCs w:val="21"/>
          <w:lang w:val="en-US" w:eastAsia="zh-CN"/>
        </w:rPr>
      </w:pPr>
      <w:r>
        <w:rPr>
          <w:rFonts w:hint="eastAsia" w:ascii="宋体" w:hAnsi="宋体" w:eastAsia="宋体" w:cs="宋体"/>
          <w:bCs/>
          <w:color w:val="auto"/>
          <w:spacing w:val="0"/>
          <w:sz w:val="21"/>
          <w:szCs w:val="21"/>
          <w:lang w:val="en-US" w:eastAsia="zh-CN"/>
        </w:rPr>
        <w:t>3、一旦我方成交，我方保证按合同协议书中规定的工期</w:t>
      </w:r>
      <w:r>
        <w:rPr>
          <w:rFonts w:hint="eastAsia" w:ascii="宋体" w:hAnsi="宋体" w:eastAsia="宋体" w:cs="宋体"/>
          <w:bCs/>
          <w:color w:val="auto"/>
          <w:spacing w:val="0"/>
          <w:sz w:val="21"/>
          <w:szCs w:val="21"/>
          <w:u w:val="single"/>
          <w:lang w:val="en-US" w:eastAsia="zh-CN"/>
        </w:rPr>
        <w:t xml:space="preserve">        </w:t>
      </w:r>
      <w:r>
        <w:rPr>
          <w:rFonts w:hint="eastAsia" w:ascii="宋体" w:hAnsi="宋体" w:eastAsia="宋体" w:cs="宋体"/>
          <w:bCs/>
          <w:color w:val="auto"/>
          <w:spacing w:val="0"/>
          <w:sz w:val="21"/>
          <w:szCs w:val="21"/>
          <w:u w:val="none"/>
          <w:lang w:val="en-US" w:eastAsia="zh-CN"/>
        </w:rPr>
        <w:t>日历天</w:t>
      </w:r>
      <w:r>
        <w:rPr>
          <w:rFonts w:hint="eastAsia" w:ascii="宋体" w:hAnsi="宋体" w:eastAsia="宋体" w:cs="宋体"/>
          <w:bCs/>
          <w:color w:val="auto"/>
          <w:spacing w:val="0"/>
          <w:sz w:val="21"/>
          <w:szCs w:val="21"/>
          <w:lang w:val="en-US" w:eastAsia="zh-CN"/>
        </w:rPr>
        <w:t>内完成并移交全部工程。</w:t>
      </w:r>
    </w:p>
    <w:p w14:paraId="10A5D896">
      <w:pPr>
        <w:pStyle w:val="35"/>
        <w:keepNext w:val="0"/>
        <w:keepLines w:val="0"/>
        <w:pageBreakBefore w:val="0"/>
        <w:widowControl w:val="0"/>
        <w:numPr>
          <w:ilvl w:val="0"/>
          <w:numId w:val="0"/>
        </w:numPr>
        <w:kinsoku/>
        <w:wordWrap/>
        <w:overflowPunct/>
        <w:topLinePunct w:val="0"/>
        <w:autoSpaceDE/>
        <w:autoSpaceDN/>
        <w:bidi w:val="0"/>
        <w:adjustRightInd/>
        <w:snapToGrid/>
        <w:spacing w:before="0" w:after="0" w:line="400" w:lineRule="exact"/>
        <w:ind w:firstLine="420" w:firstLineChars="200"/>
        <w:jc w:val="left"/>
        <w:textAlignment w:val="auto"/>
        <w:rPr>
          <w:rFonts w:hint="eastAsia" w:ascii="宋体" w:hAnsi="宋体" w:eastAsia="宋体" w:cs="宋体"/>
          <w:bCs/>
          <w:color w:val="auto"/>
          <w:spacing w:val="0"/>
          <w:sz w:val="21"/>
          <w:szCs w:val="21"/>
          <w:lang w:val="en-US" w:eastAsia="zh-CN"/>
        </w:rPr>
      </w:pPr>
      <w:r>
        <w:rPr>
          <w:rFonts w:hint="eastAsia" w:ascii="宋体" w:hAnsi="宋体" w:eastAsia="宋体" w:cs="宋体"/>
          <w:bCs/>
          <w:color w:val="auto"/>
          <w:spacing w:val="0"/>
          <w:sz w:val="21"/>
          <w:szCs w:val="21"/>
          <w:lang w:val="en-US" w:eastAsia="zh-CN"/>
        </w:rPr>
        <w:t>4、如果我方成交，我方将按照竞争性磋商文件规定提交履约担保。</w:t>
      </w:r>
    </w:p>
    <w:p w14:paraId="363D7C6D">
      <w:pPr>
        <w:pStyle w:val="35"/>
        <w:keepNext w:val="0"/>
        <w:keepLines w:val="0"/>
        <w:pageBreakBefore w:val="0"/>
        <w:widowControl w:val="0"/>
        <w:numPr>
          <w:ilvl w:val="0"/>
          <w:numId w:val="0"/>
        </w:numPr>
        <w:kinsoku/>
        <w:wordWrap/>
        <w:overflowPunct/>
        <w:topLinePunct w:val="0"/>
        <w:autoSpaceDE/>
        <w:autoSpaceDN/>
        <w:bidi w:val="0"/>
        <w:adjustRightInd/>
        <w:snapToGrid/>
        <w:spacing w:before="0" w:after="0" w:line="400" w:lineRule="exact"/>
        <w:ind w:firstLine="420" w:firstLineChars="200"/>
        <w:jc w:val="left"/>
        <w:textAlignment w:val="auto"/>
        <w:rPr>
          <w:rFonts w:hint="eastAsia" w:ascii="宋体" w:hAnsi="宋体" w:eastAsia="宋体" w:cs="宋体"/>
          <w:bCs/>
          <w:color w:val="auto"/>
          <w:spacing w:val="0"/>
          <w:sz w:val="21"/>
          <w:szCs w:val="21"/>
          <w:lang w:val="en-US" w:eastAsia="zh-CN"/>
        </w:rPr>
      </w:pPr>
      <w:r>
        <w:rPr>
          <w:rFonts w:hint="eastAsia" w:ascii="宋体" w:hAnsi="宋体" w:eastAsia="宋体" w:cs="宋体"/>
          <w:bCs/>
          <w:color w:val="auto"/>
          <w:spacing w:val="0"/>
          <w:sz w:val="21"/>
          <w:szCs w:val="21"/>
          <w:lang w:val="en-US" w:eastAsia="zh-CN"/>
        </w:rPr>
        <w:t>5、我方同意所提交的响应文件在竞争性磋商文件的磋商须知规定的磋商有效期内有效，在此期间内如果成交，我方将受此约束。</w:t>
      </w:r>
    </w:p>
    <w:p w14:paraId="007D79B6">
      <w:pPr>
        <w:pStyle w:val="35"/>
        <w:keepNext w:val="0"/>
        <w:keepLines w:val="0"/>
        <w:pageBreakBefore w:val="0"/>
        <w:widowControl w:val="0"/>
        <w:numPr>
          <w:ilvl w:val="0"/>
          <w:numId w:val="0"/>
        </w:numPr>
        <w:kinsoku/>
        <w:wordWrap/>
        <w:overflowPunct/>
        <w:topLinePunct w:val="0"/>
        <w:autoSpaceDE/>
        <w:autoSpaceDN/>
        <w:bidi w:val="0"/>
        <w:adjustRightInd/>
        <w:snapToGrid/>
        <w:spacing w:before="0" w:after="0" w:line="400" w:lineRule="exact"/>
        <w:ind w:firstLine="420" w:firstLineChars="200"/>
        <w:jc w:val="left"/>
        <w:textAlignment w:val="auto"/>
        <w:rPr>
          <w:rFonts w:hint="eastAsia" w:ascii="宋体" w:hAnsi="宋体" w:eastAsia="宋体" w:cs="宋体"/>
          <w:bCs/>
          <w:color w:val="auto"/>
          <w:spacing w:val="0"/>
          <w:sz w:val="21"/>
          <w:szCs w:val="21"/>
          <w:lang w:val="en-US" w:eastAsia="zh-CN"/>
        </w:rPr>
      </w:pPr>
      <w:r>
        <w:rPr>
          <w:rFonts w:hint="eastAsia" w:ascii="宋体" w:hAnsi="宋体" w:eastAsia="宋体" w:cs="宋体"/>
          <w:bCs/>
          <w:color w:val="auto"/>
          <w:spacing w:val="0"/>
          <w:sz w:val="21"/>
          <w:szCs w:val="21"/>
          <w:lang w:val="en-US" w:eastAsia="zh-CN"/>
        </w:rPr>
        <w:t>6、除非另外达成协议并生效，你方的成交通知书和本响应文件将成为约束双方的合同文件的组成部分。</w:t>
      </w:r>
    </w:p>
    <w:p w14:paraId="6F3C512C">
      <w:pPr>
        <w:pStyle w:val="35"/>
        <w:keepNext w:val="0"/>
        <w:keepLines w:val="0"/>
        <w:pageBreakBefore w:val="0"/>
        <w:widowControl w:val="0"/>
        <w:numPr>
          <w:ilvl w:val="0"/>
          <w:numId w:val="0"/>
        </w:numPr>
        <w:kinsoku/>
        <w:wordWrap/>
        <w:overflowPunct/>
        <w:topLinePunct w:val="0"/>
        <w:autoSpaceDE/>
        <w:autoSpaceDN/>
        <w:bidi w:val="0"/>
        <w:adjustRightInd/>
        <w:snapToGrid/>
        <w:spacing w:before="0" w:after="0" w:line="400" w:lineRule="exact"/>
        <w:ind w:firstLine="420" w:firstLineChars="200"/>
        <w:jc w:val="left"/>
        <w:textAlignment w:val="auto"/>
        <w:rPr>
          <w:rFonts w:hint="eastAsia" w:ascii="宋体" w:hAnsi="宋体" w:eastAsia="宋体" w:cs="宋体"/>
          <w:bCs/>
          <w:color w:val="auto"/>
          <w:spacing w:val="0"/>
          <w:sz w:val="21"/>
          <w:szCs w:val="21"/>
          <w:lang w:val="en-US" w:eastAsia="zh-CN"/>
        </w:rPr>
      </w:pPr>
    </w:p>
    <w:p w14:paraId="5A9B0EF7">
      <w:pPr>
        <w:pStyle w:val="35"/>
        <w:keepNext w:val="0"/>
        <w:keepLines w:val="0"/>
        <w:pageBreakBefore w:val="0"/>
        <w:widowControl w:val="0"/>
        <w:numPr>
          <w:ilvl w:val="0"/>
          <w:numId w:val="0"/>
        </w:numPr>
        <w:kinsoku/>
        <w:wordWrap/>
        <w:overflowPunct/>
        <w:topLinePunct w:val="0"/>
        <w:autoSpaceDE/>
        <w:autoSpaceDN/>
        <w:bidi w:val="0"/>
        <w:adjustRightInd/>
        <w:snapToGrid/>
        <w:spacing w:before="0" w:after="0" w:line="400" w:lineRule="exact"/>
        <w:ind w:firstLine="420" w:firstLineChars="200"/>
        <w:jc w:val="left"/>
        <w:textAlignment w:val="auto"/>
        <w:rPr>
          <w:rFonts w:hint="eastAsia" w:ascii="宋体" w:hAnsi="宋体" w:eastAsia="宋体" w:cs="宋体"/>
          <w:bCs/>
          <w:color w:val="auto"/>
          <w:spacing w:val="0"/>
          <w:sz w:val="21"/>
          <w:szCs w:val="21"/>
          <w:lang w:val="en-US" w:eastAsia="zh-CN"/>
        </w:rPr>
      </w:pPr>
    </w:p>
    <w:p w14:paraId="0668B9F3">
      <w:pPr>
        <w:pStyle w:val="35"/>
        <w:keepNext w:val="0"/>
        <w:keepLines w:val="0"/>
        <w:pageBreakBefore w:val="0"/>
        <w:widowControl w:val="0"/>
        <w:numPr>
          <w:ilvl w:val="0"/>
          <w:numId w:val="0"/>
        </w:numPr>
        <w:kinsoku/>
        <w:wordWrap/>
        <w:overflowPunct/>
        <w:topLinePunct w:val="0"/>
        <w:autoSpaceDE/>
        <w:autoSpaceDN/>
        <w:bidi w:val="0"/>
        <w:adjustRightInd/>
        <w:snapToGrid/>
        <w:spacing w:before="0" w:after="0" w:line="400" w:lineRule="exact"/>
        <w:ind w:firstLine="420" w:firstLineChars="200"/>
        <w:jc w:val="left"/>
        <w:textAlignment w:val="auto"/>
        <w:rPr>
          <w:rFonts w:hint="eastAsia" w:ascii="宋体" w:hAnsi="宋体" w:eastAsia="宋体" w:cs="宋体"/>
          <w:bCs/>
          <w:color w:val="auto"/>
          <w:spacing w:val="0"/>
          <w:sz w:val="21"/>
          <w:szCs w:val="21"/>
          <w:lang w:val="en-US" w:eastAsia="zh-CN"/>
        </w:rPr>
      </w:pPr>
    </w:p>
    <w:p w14:paraId="4ABD98C7">
      <w:pPr>
        <w:pStyle w:val="35"/>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firstLine="420" w:firstLineChars="200"/>
        <w:jc w:val="left"/>
        <w:textAlignment w:val="auto"/>
        <w:rPr>
          <w:rFonts w:hint="eastAsia" w:ascii="宋体" w:hAnsi="宋体" w:eastAsia="宋体" w:cs="宋体"/>
          <w:bCs/>
          <w:color w:val="auto"/>
          <w:spacing w:val="0"/>
          <w:sz w:val="21"/>
          <w:szCs w:val="21"/>
          <w:u w:val="single"/>
          <w:lang w:val="en-US" w:eastAsia="zh-CN"/>
        </w:rPr>
      </w:pPr>
      <w:r>
        <w:rPr>
          <w:rFonts w:hint="eastAsia" w:ascii="宋体" w:hAnsi="宋体" w:eastAsia="宋体" w:cs="宋体"/>
          <w:bCs/>
          <w:color w:val="auto"/>
          <w:spacing w:val="0"/>
          <w:sz w:val="21"/>
          <w:szCs w:val="21"/>
          <w:lang w:val="en-US" w:eastAsia="zh-CN"/>
        </w:rPr>
        <w:t>供应商</w:t>
      </w:r>
      <w:r>
        <w:rPr>
          <w:rFonts w:hint="eastAsia" w:ascii="宋体" w:hAnsi="宋体" w:cs="宋体"/>
          <w:bCs/>
          <w:color w:val="auto"/>
          <w:spacing w:val="0"/>
          <w:sz w:val="21"/>
          <w:szCs w:val="21"/>
          <w:lang w:val="en-US" w:eastAsia="zh-CN"/>
        </w:rPr>
        <w:t>名称</w:t>
      </w:r>
      <w:r>
        <w:rPr>
          <w:rFonts w:hint="eastAsia" w:ascii="宋体" w:hAnsi="宋体" w:eastAsia="宋体" w:cs="宋体"/>
          <w:bCs/>
          <w:color w:val="auto"/>
          <w:spacing w:val="0"/>
          <w:sz w:val="21"/>
          <w:szCs w:val="21"/>
          <w:lang w:val="en-US" w:eastAsia="zh-CN"/>
        </w:rPr>
        <w:t>（电子签章）：</w:t>
      </w:r>
      <w:r>
        <w:rPr>
          <w:rFonts w:hint="eastAsia" w:ascii="宋体" w:hAnsi="宋体" w:eastAsia="宋体" w:cs="宋体"/>
          <w:bCs/>
          <w:color w:val="auto"/>
          <w:spacing w:val="0"/>
          <w:sz w:val="21"/>
          <w:szCs w:val="21"/>
          <w:u w:val="single"/>
          <w:lang w:val="en-US" w:eastAsia="zh-CN"/>
        </w:rPr>
        <w:t xml:space="preserve">                                       </w:t>
      </w:r>
    </w:p>
    <w:p w14:paraId="19E6183E">
      <w:pPr>
        <w:pStyle w:val="35"/>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firstLine="420" w:firstLineChars="200"/>
        <w:jc w:val="left"/>
        <w:textAlignment w:val="auto"/>
        <w:rPr>
          <w:rFonts w:hint="eastAsia" w:ascii="宋体" w:hAnsi="宋体" w:eastAsia="宋体" w:cs="宋体"/>
          <w:bCs/>
          <w:color w:val="auto"/>
          <w:spacing w:val="0"/>
          <w:sz w:val="21"/>
          <w:szCs w:val="21"/>
          <w:u w:val="single"/>
          <w:lang w:val="en-US" w:eastAsia="zh-CN"/>
        </w:rPr>
      </w:pPr>
      <w:r>
        <w:rPr>
          <w:rFonts w:hint="eastAsia" w:ascii="宋体" w:hAnsi="宋体" w:eastAsia="宋体" w:cs="宋体"/>
          <w:bCs/>
          <w:color w:val="auto"/>
          <w:spacing w:val="0"/>
          <w:sz w:val="21"/>
          <w:szCs w:val="21"/>
          <w:lang w:val="en-US" w:eastAsia="zh-CN"/>
        </w:rPr>
        <w:t>法定代表人或委托代理人</w:t>
      </w:r>
      <w:r>
        <w:rPr>
          <w:rFonts w:hint="eastAsia" w:ascii="宋体" w:hAnsi="宋体" w:cs="宋体"/>
          <w:bCs/>
          <w:color w:val="auto"/>
          <w:spacing w:val="0"/>
          <w:sz w:val="21"/>
          <w:szCs w:val="21"/>
          <w:lang w:val="en-US" w:eastAsia="zh-CN"/>
        </w:rPr>
        <w:t>（</w:t>
      </w:r>
      <w:r>
        <w:rPr>
          <w:rFonts w:hint="eastAsia" w:ascii="宋体" w:hAnsi="宋体" w:eastAsia="宋体" w:cs="宋体"/>
          <w:bCs/>
          <w:color w:val="auto"/>
          <w:spacing w:val="0"/>
          <w:sz w:val="21"/>
          <w:szCs w:val="21"/>
          <w:lang w:val="en-US" w:eastAsia="zh-CN"/>
        </w:rPr>
        <w:t>签字或者盖章或者电子签名</w:t>
      </w:r>
      <w:r>
        <w:rPr>
          <w:rFonts w:hint="eastAsia" w:ascii="宋体" w:hAnsi="宋体" w:cs="宋体"/>
          <w:bCs/>
          <w:color w:val="auto"/>
          <w:spacing w:val="0"/>
          <w:sz w:val="21"/>
          <w:szCs w:val="21"/>
          <w:lang w:val="en-US" w:eastAsia="zh-CN"/>
        </w:rPr>
        <w:t>）</w:t>
      </w:r>
      <w:r>
        <w:rPr>
          <w:rFonts w:hint="eastAsia" w:ascii="宋体" w:hAnsi="宋体" w:eastAsia="宋体" w:cs="宋体"/>
          <w:bCs/>
          <w:color w:val="auto"/>
          <w:spacing w:val="0"/>
          <w:sz w:val="21"/>
          <w:szCs w:val="21"/>
          <w:lang w:val="en-US" w:eastAsia="zh-CN"/>
        </w:rPr>
        <w:t>：</w:t>
      </w:r>
      <w:r>
        <w:rPr>
          <w:rFonts w:hint="eastAsia" w:ascii="宋体" w:hAnsi="宋体" w:eastAsia="宋体" w:cs="宋体"/>
          <w:bCs/>
          <w:color w:val="auto"/>
          <w:spacing w:val="0"/>
          <w:sz w:val="21"/>
          <w:szCs w:val="21"/>
          <w:u w:val="single"/>
          <w:lang w:val="en-US" w:eastAsia="zh-CN"/>
        </w:rPr>
        <w:t xml:space="preserve">                 </w:t>
      </w:r>
    </w:p>
    <w:p w14:paraId="0D2F5F27">
      <w:pPr>
        <w:pStyle w:val="35"/>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firstLine="420" w:firstLineChars="200"/>
        <w:jc w:val="left"/>
        <w:textAlignment w:val="auto"/>
        <w:rPr>
          <w:rFonts w:hint="eastAsia" w:ascii="宋体" w:hAnsi="宋体" w:eastAsia="宋体" w:cs="宋体"/>
          <w:bCs/>
          <w:color w:val="auto"/>
          <w:spacing w:val="0"/>
          <w:sz w:val="21"/>
          <w:szCs w:val="21"/>
          <w:u w:val="single"/>
          <w:lang w:val="en-US" w:eastAsia="zh-CN"/>
        </w:rPr>
      </w:pPr>
      <w:r>
        <w:rPr>
          <w:rFonts w:hint="eastAsia" w:ascii="宋体" w:hAnsi="宋体" w:eastAsia="宋体" w:cs="宋体"/>
          <w:bCs/>
          <w:color w:val="auto"/>
          <w:spacing w:val="0"/>
          <w:sz w:val="21"/>
          <w:szCs w:val="21"/>
          <w:lang w:val="en-US" w:eastAsia="zh-CN"/>
        </w:rPr>
        <w:t>单位地址：</w:t>
      </w:r>
      <w:r>
        <w:rPr>
          <w:rFonts w:hint="eastAsia" w:ascii="宋体" w:hAnsi="宋体" w:eastAsia="宋体" w:cs="宋体"/>
          <w:bCs/>
          <w:color w:val="auto"/>
          <w:spacing w:val="0"/>
          <w:sz w:val="21"/>
          <w:szCs w:val="21"/>
          <w:u w:val="single"/>
          <w:lang w:val="en-US" w:eastAsia="zh-CN"/>
        </w:rPr>
        <w:t xml:space="preserve">                                           </w:t>
      </w:r>
    </w:p>
    <w:p w14:paraId="79869899">
      <w:pPr>
        <w:pStyle w:val="35"/>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firstLine="420" w:firstLineChars="200"/>
        <w:jc w:val="left"/>
        <w:textAlignment w:val="auto"/>
        <w:rPr>
          <w:rFonts w:hint="eastAsia" w:ascii="宋体" w:hAnsi="宋体" w:eastAsia="宋体" w:cs="宋体"/>
          <w:bCs/>
          <w:color w:val="auto"/>
          <w:spacing w:val="0"/>
          <w:sz w:val="21"/>
          <w:szCs w:val="21"/>
          <w:u w:val="single"/>
          <w:lang w:val="en-US" w:eastAsia="zh-CN"/>
        </w:rPr>
      </w:pPr>
      <w:r>
        <w:rPr>
          <w:rFonts w:hint="eastAsia" w:ascii="宋体" w:hAnsi="宋体" w:eastAsia="宋体" w:cs="宋体"/>
          <w:bCs/>
          <w:color w:val="auto"/>
          <w:spacing w:val="0"/>
          <w:sz w:val="21"/>
          <w:szCs w:val="21"/>
          <w:lang w:val="en-US" w:eastAsia="zh-CN"/>
        </w:rPr>
        <w:t xml:space="preserve">邮政编码： </w:t>
      </w:r>
      <w:r>
        <w:rPr>
          <w:rFonts w:hint="eastAsia" w:ascii="宋体" w:hAnsi="宋体" w:eastAsia="宋体" w:cs="宋体"/>
          <w:bCs/>
          <w:color w:val="auto"/>
          <w:spacing w:val="0"/>
          <w:sz w:val="21"/>
          <w:szCs w:val="21"/>
          <w:u w:val="single"/>
          <w:lang w:val="en-US" w:eastAsia="zh-CN"/>
        </w:rPr>
        <w:t xml:space="preserve">                                          </w:t>
      </w:r>
    </w:p>
    <w:p w14:paraId="0BCAB1FE">
      <w:pPr>
        <w:pStyle w:val="35"/>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firstLine="420" w:firstLineChars="200"/>
        <w:jc w:val="left"/>
        <w:textAlignment w:val="auto"/>
        <w:rPr>
          <w:rFonts w:hint="eastAsia" w:ascii="宋体" w:hAnsi="宋体" w:eastAsia="宋体" w:cs="宋体"/>
          <w:bCs/>
          <w:color w:val="auto"/>
          <w:spacing w:val="0"/>
          <w:sz w:val="21"/>
          <w:szCs w:val="21"/>
          <w:u w:val="single"/>
          <w:lang w:val="en-US" w:eastAsia="zh-CN"/>
        </w:rPr>
      </w:pPr>
      <w:r>
        <w:rPr>
          <w:rFonts w:hint="eastAsia" w:ascii="宋体" w:hAnsi="宋体" w:eastAsia="宋体" w:cs="宋体"/>
          <w:bCs/>
          <w:color w:val="auto"/>
          <w:spacing w:val="0"/>
          <w:sz w:val="21"/>
          <w:szCs w:val="21"/>
          <w:lang w:val="en-US" w:eastAsia="zh-CN"/>
        </w:rPr>
        <w:t>电 话：</w:t>
      </w:r>
      <w:r>
        <w:rPr>
          <w:rFonts w:hint="eastAsia" w:ascii="宋体" w:hAnsi="宋体" w:eastAsia="宋体" w:cs="宋体"/>
          <w:bCs/>
          <w:color w:val="auto"/>
          <w:spacing w:val="0"/>
          <w:sz w:val="21"/>
          <w:szCs w:val="21"/>
          <w:u w:val="single"/>
          <w:lang w:val="en-US" w:eastAsia="zh-CN"/>
        </w:rPr>
        <w:t xml:space="preserve">                                              </w:t>
      </w:r>
    </w:p>
    <w:p w14:paraId="36DA7DEB">
      <w:pPr>
        <w:pStyle w:val="35"/>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firstLine="420" w:firstLineChars="200"/>
        <w:jc w:val="left"/>
        <w:textAlignment w:val="auto"/>
        <w:rPr>
          <w:rFonts w:hint="eastAsia" w:ascii="宋体" w:hAnsi="宋体" w:eastAsia="宋体" w:cs="宋体"/>
          <w:bCs/>
          <w:color w:val="auto"/>
          <w:spacing w:val="0"/>
          <w:sz w:val="21"/>
          <w:szCs w:val="21"/>
          <w:lang w:val="en-US" w:eastAsia="zh-CN"/>
        </w:rPr>
      </w:pPr>
      <w:r>
        <w:rPr>
          <w:rFonts w:hint="eastAsia" w:ascii="宋体" w:hAnsi="宋体" w:eastAsia="宋体" w:cs="宋体"/>
          <w:bCs/>
          <w:color w:val="auto"/>
          <w:spacing w:val="0"/>
          <w:sz w:val="21"/>
          <w:szCs w:val="21"/>
          <w:lang w:val="en-US" w:eastAsia="zh-CN"/>
        </w:rPr>
        <w:t>日 期：</w:t>
      </w:r>
      <w:r>
        <w:rPr>
          <w:rFonts w:hint="eastAsia" w:ascii="宋体" w:hAnsi="宋体" w:eastAsia="宋体" w:cs="宋体"/>
          <w:bCs/>
          <w:color w:val="auto"/>
          <w:spacing w:val="0"/>
          <w:sz w:val="21"/>
          <w:szCs w:val="21"/>
          <w:u w:val="single"/>
          <w:lang w:val="en-US" w:eastAsia="zh-CN"/>
        </w:rPr>
        <w:t xml:space="preserve">     </w:t>
      </w:r>
      <w:r>
        <w:rPr>
          <w:rFonts w:hint="eastAsia" w:ascii="宋体" w:hAnsi="宋体" w:eastAsia="宋体" w:cs="宋体"/>
          <w:bCs/>
          <w:color w:val="auto"/>
          <w:spacing w:val="0"/>
          <w:sz w:val="21"/>
          <w:szCs w:val="21"/>
          <w:lang w:val="en-US" w:eastAsia="zh-CN"/>
        </w:rPr>
        <w:t xml:space="preserve"> 年</w:t>
      </w:r>
      <w:r>
        <w:rPr>
          <w:rFonts w:hint="eastAsia" w:ascii="宋体" w:hAnsi="宋体" w:eastAsia="宋体" w:cs="宋体"/>
          <w:bCs/>
          <w:color w:val="auto"/>
          <w:spacing w:val="0"/>
          <w:sz w:val="21"/>
          <w:szCs w:val="21"/>
          <w:u w:val="single"/>
          <w:lang w:val="en-US" w:eastAsia="zh-CN"/>
        </w:rPr>
        <w:t xml:space="preserve">      </w:t>
      </w:r>
      <w:r>
        <w:rPr>
          <w:rFonts w:hint="eastAsia" w:ascii="宋体" w:hAnsi="宋体" w:eastAsia="宋体" w:cs="宋体"/>
          <w:bCs/>
          <w:color w:val="auto"/>
          <w:spacing w:val="0"/>
          <w:sz w:val="21"/>
          <w:szCs w:val="21"/>
          <w:lang w:val="en-US" w:eastAsia="zh-CN"/>
        </w:rPr>
        <w:t xml:space="preserve"> 月</w:t>
      </w:r>
      <w:r>
        <w:rPr>
          <w:rFonts w:hint="eastAsia" w:ascii="宋体" w:hAnsi="宋体" w:eastAsia="宋体" w:cs="宋体"/>
          <w:bCs/>
          <w:color w:val="auto"/>
          <w:spacing w:val="0"/>
          <w:sz w:val="21"/>
          <w:szCs w:val="21"/>
          <w:u w:val="single"/>
          <w:lang w:val="en-US" w:eastAsia="zh-CN"/>
        </w:rPr>
        <w:t xml:space="preserve">      </w:t>
      </w:r>
      <w:r>
        <w:rPr>
          <w:rFonts w:hint="eastAsia" w:ascii="宋体" w:hAnsi="宋体" w:eastAsia="宋体" w:cs="宋体"/>
          <w:bCs/>
          <w:color w:val="auto"/>
          <w:spacing w:val="0"/>
          <w:sz w:val="21"/>
          <w:szCs w:val="21"/>
          <w:lang w:val="en-US" w:eastAsia="zh-CN"/>
        </w:rPr>
        <w:t xml:space="preserve"> 日</w:t>
      </w:r>
    </w:p>
    <w:p w14:paraId="5315BBDD">
      <w:pPr>
        <w:pStyle w:val="35"/>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jc w:val="left"/>
        <w:textAlignment w:val="auto"/>
        <w:rPr>
          <w:rFonts w:hint="eastAsia" w:ascii="宋体" w:hAnsi="宋体" w:eastAsia="宋体" w:cs="宋体"/>
          <w:bCs/>
          <w:color w:val="auto"/>
          <w:spacing w:val="0"/>
          <w:sz w:val="21"/>
          <w:szCs w:val="21"/>
          <w:lang w:val="en-US" w:eastAsia="zh-CN"/>
        </w:rPr>
      </w:pPr>
    </w:p>
    <w:p w14:paraId="68B1D4CF">
      <w:pPr>
        <w:pStyle w:val="13"/>
        <w:rPr>
          <w:rFonts w:hint="eastAsia" w:ascii="宋体" w:hAnsi="宋体" w:eastAsia="宋体" w:cs="宋体"/>
          <w:bCs/>
          <w:color w:val="auto"/>
          <w:spacing w:val="0"/>
          <w:sz w:val="21"/>
          <w:szCs w:val="21"/>
          <w:lang w:val="en-US" w:eastAsia="zh-CN"/>
        </w:rPr>
      </w:pPr>
    </w:p>
    <w:p w14:paraId="56E14F3F">
      <w:pPr>
        <w:pStyle w:val="22"/>
        <w:outlineLvl w:val="9"/>
        <w:rPr>
          <w:rFonts w:hint="eastAsia" w:ascii="宋体" w:hAnsi="宋体" w:eastAsia="宋体" w:cs="宋体"/>
          <w:bCs/>
          <w:color w:val="auto"/>
          <w:spacing w:val="0"/>
          <w:sz w:val="21"/>
          <w:szCs w:val="21"/>
          <w:lang w:val="en-US" w:eastAsia="zh-CN"/>
        </w:rPr>
      </w:pPr>
    </w:p>
    <w:p w14:paraId="4D61400E">
      <w:pPr>
        <w:rPr>
          <w:rFonts w:hint="eastAsia" w:ascii="宋体" w:hAnsi="宋体" w:eastAsia="宋体" w:cs="宋体"/>
          <w:bCs/>
          <w:color w:val="auto"/>
          <w:spacing w:val="0"/>
          <w:sz w:val="21"/>
          <w:szCs w:val="21"/>
          <w:lang w:val="en-US" w:eastAsia="zh-CN"/>
        </w:rPr>
      </w:pPr>
    </w:p>
    <w:p w14:paraId="2E6BBBC5">
      <w:pPr>
        <w:pStyle w:val="6"/>
        <w:rPr>
          <w:rFonts w:hint="eastAsia" w:ascii="宋体" w:hAnsi="宋体" w:eastAsia="宋体" w:cs="宋体"/>
          <w:color w:val="auto"/>
          <w:lang w:val="en-US" w:eastAsia="zh-CN"/>
        </w:rPr>
      </w:pPr>
    </w:p>
    <w:p w14:paraId="2AE75E6C">
      <w:pPr>
        <w:pStyle w:val="35"/>
        <w:rPr>
          <w:rFonts w:hint="eastAsia" w:ascii="宋体" w:hAnsi="宋体" w:eastAsia="宋体" w:cs="宋体"/>
          <w:b/>
          <w:bCs/>
          <w:color w:val="auto"/>
          <w:sz w:val="21"/>
          <w:szCs w:val="21"/>
          <w:highlight w:val="none"/>
        </w:rPr>
      </w:pPr>
    </w:p>
    <w:p w14:paraId="7CB4C93A">
      <w:pPr>
        <w:pStyle w:val="35"/>
        <w:rPr>
          <w:rFonts w:hint="eastAsia" w:ascii="宋体" w:hAnsi="宋体" w:eastAsia="宋体" w:cs="宋体"/>
          <w:b/>
          <w:bCs/>
          <w:color w:val="auto"/>
          <w:sz w:val="21"/>
          <w:szCs w:val="21"/>
          <w:highlight w:val="none"/>
        </w:rPr>
      </w:pPr>
    </w:p>
    <w:p w14:paraId="19B731DD">
      <w:pPr>
        <w:pStyle w:val="13"/>
        <w:rPr>
          <w:rFonts w:hint="eastAsia"/>
          <w:color w:val="auto"/>
        </w:rPr>
      </w:pPr>
    </w:p>
    <w:p w14:paraId="12C4EE96">
      <w:pPr>
        <w:pStyle w:val="35"/>
        <w:rPr>
          <w:rFonts w:hint="eastAsia" w:ascii="宋体" w:hAnsi="宋体" w:eastAsia="宋体" w:cs="宋体"/>
          <w:b/>
          <w:bCs/>
          <w:color w:val="auto"/>
          <w:sz w:val="21"/>
          <w:szCs w:val="21"/>
          <w:highlight w:val="none"/>
        </w:rPr>
      </w:pPr>
    </w:p>
    <w:p w14:paraId="6FAD65AA">
      <w:pPr>
        <w:pStyle w:val="47"/>
        <w:jc w:val="center"/>
        <w:outlineLvl w:val="0"/>
        <w:rPr>
          <w:b/>
          <w:bCs/>
          <w:color w:val="auto"/>
          <w:sz w:val="30"/>
          <w:szCs w:val="30"/>
        </w:rPr>
      </w:pPr>
      <w:bookmarkStart w:id="118" w:name="_Toc28896"/>
      <w:bookmarkStart w:id="119" w:name="_Toc29501"/>
      <w:r>
        <w:rPr>
          <w:rFonts w:hint="eastAsia" w:cs="宋体"/>
          <w:b/>
          <w:bCs/>
          <w:color w:val="auto"/>
          <w:sz w:val="30"/>
          <w:szCs w:val="30"/>
          <w:lang w:val="en-US" w:eastAsia="zh-CN"/>
        </w:rPr>
        <w:t>磋商</w:t>
      </w:r>
      <w:r>
        <w:rPr>
          <w:rFonts w:hint="eastAsia" w:cs="宋体"/>
          <w:b/>
          <w:bCs/>
          <w:color w:val="auto"/>
          <w:sz w:val="30"/>
          <w:szCs w:val="30"/>
        </w:rPr>
        <w:t>函附录</w:t>
      </w:r>
      <w:bookmarkEnd w:id="118"/>
      <w:bookmarkEnd w:id="119"/>
    </w:p>
    <w:p w14:paraId="37DFC01D">
      <w:pPr>
        <w:pStyle w:val="47"/>
        <w:jc w:val="center"/>
        <w:rPr>
          <w:color w:val="auto"/>
          <w:sz w:val="28"/>
          <w:szCs w:val="28"/>
        </w:rPr>
      </w:pPr>
    </w:p>
    <w:p w14:paraId="11BE36CB">
      <w:pPr>
        <w:ind w:firstLine="514" w:firstLineChars="245"/>
        <w:rPr>
          <w:color w:val="auto"/>
        </w:rPr>
      </w:pPr>
      <w:r>
        <w:rPr>
          <w:rFonts w:hint="eastAsia" w:cs="宋体"/>
          <w:color w:val="auto"/>
        </w:rPr>
        <w:t>项目名称：</w:t>
      </w:r>
      <w:r>
        <w:rPr>
          <w:color w:val="auto"/>
          <w:u w:val="single"/>
        </w:rPr>
        <w:t xml:space="preserve">                                </w:t>
      </w:r>
    </w:p>
    <w:tbl>
      <w:tblPr>
        <w:tblStyle w:val="28"/>
        <w:tblW w:w="89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2"/>
        <w:gridCol w:w="1985"/>
        <w:gridCol w:w="2126"/>
        <w:gridCol w:w="1984"/>
        <w:gridCol w:w="1843"/>
      </w:tblGrid>
      <w:tr w14:paraId="21CCF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76488E48">
            <w:pPr>
              <w:jc w:val="center"/>
              <w:rPr>
                <w:color w:val="auto"/>
              </w:rPr>
            </w:pPr>
            <w:r>
              <w:rPr>
                <w:rFonts w:hint="eastAsia" w:cs="宋体"/>
                <w:color w:val="auto"/>
              </w:rPr>
              <w:t>序</w:t>
            </w:r>
            <w:r>
              <w:rPr>
                <w:color w:val="auto"/>
              </w:rPr>
              <w:t xml:space="preserve"> </w:t>
            </w:r>
            <w:r>
              <w:rPr>
                <w:rFonts w:hint="eastAsia" w:cs="宋体"/>
                <w:color w:val="auto"/>
              </w:rPr>
              <w:t>号</w:t>
            </w:r>
          </w:p>
        </w:tc>
        <w:tc>
          <w:tcPr>
            <w:tcW w:w="1985" w:type="dxa"/>
            <w:noWrap w:val="0"/>
            <w:vAlign w:val="center"/>
          </w:tcPr>
          <w:p w14:paraId="142EFE5F">
            <w:pPr>
              <w:jc w:val="center"/>
              <w:rPr>
                <w:color w:val="auto"/>
              </w:rPr>
            </w:pPr>
            <w:r>
              <w:rPr>
                <w:rFonts w:hint="eastAsia" w:cs="宋体"/>
                <w:color w:val="auto"/>
              </w:rPr>
              <w:t>条款内容</w:t>
            </w:r>
          </w:p>
        </w:tc>
        <w:tc>
          <w:tcPr>
            <w:tcW w:w="2126" w:type="dxa"/>
            <w:noWrap w:val="0"/>
            <w:vAlign w:val="center"/>
          </w:tcPr>
          <w:p w14:paraId="204700C5">
            <w:pPr>
              <w:jc w:val="center"/>
              <w:rPr>
                <w:color w:val="auto"/>
              </w:rPr>
            </w:pPr>
            <w:r>
              <w:rPr>
                <w:rFonts w:hint="eastAsia" w:cs="宋体"/>
                <w:color w:val="auto"/>
              </w:rPr>
              <w:t>合同条款号</w:t>
            </w:r>
          </w:p>
        </w:tc>
        <w:tc>
          <w:tcPr>
            <w:tcW w:w="1984" w:type="dxa"/>
            <w:noWrap w:val="0"/>
            <w:vAlign w:val="center"/>
          </w:tcPr>
          <w:p w14:paraId="2951182D">
            <w:pPr>
              <w:jc w:val="center"/>
              <w:rPr>
                <w:color w:val="auto"/>
              </w:rPr>
            </w:pPr>
            <w:r>
              <w:rPr>
                <w:rFonts w:hint="eastAsia" w:cs="宋体"/>
                <w:color w:val="auto"/>
              </w:rPr>
              <w:t>约定内容</w:t>
            </w:r>
          </w:p>
        </w:tc>
        <w:tc>
          <w:tcPr>
            <w:tcW w:w="1843" w:type="dxa"/>
            <w:noWrap w:val="0"/>
            <w:vAlign w:val="center"/>
          </w:tcPr>
          <w:p w14:paraId="49B5B315">
            <w:pPr>
              <w:jc w:val="center"/>
              <w:rPr>
                <w:color w:val="auto"/>
              </w:rPr>
            </w:pPr>
            <w:r>
              <w:rPr>
                <w:rFonts w:hint="eastAsia" w:cs="宋体"/>
                <w:color w:val="auto"/>
                <w:lang w:val="en-US" w:eastAsia="zh-CN"/>
              </w:rPr>
              <w:t>供应商</w:t>
            </w:r>
            <w:r>
              <w:rPr>
                <w:rFonts w:hint="eastAsia" w:cs="宋体"/>
                <w:color w:val="auto"/>
              </w:rPr>
              <w:t>响应情况</w:t>
            </w:r>
          </w:p>
        </w:tc>
      </w:tr>
      <w:tr w14:paraId="74E55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0859FB4A">
            <w:pPr>
              <w:jc w:val="center"/>
              <w:rPr>
                <w:color w:val="auto"/>
              </w:rPr>
            </w:pPr>
            <w:r>
              <w:rPr>
                <w:color w:val="auto"/>
              </w:rPr>
              <w:t>1</w:t>
            </w:r>
          </w:p>
        </w:tc>
        <w:tc>
          <w:tcPr>
            <w:tcW w:w="1985" w:type="dxa"/>
            <w:noWrap w:val="0"/>
            <w:vAlign w:val="center"/>
          </w:tcPr>
          <w:p w14:paraId="1DDBB2BF">
            <w:pPr>
              <w:rPr>
                <w:color w:val="auto"/>
              </w:rPr>
            </w:pPr>
            <w:r>
              <w:rPr>
                <w:rFonts w:hint="eastAsia" w:cs="宋体"/>
                <w:color w:val="auto"/>
              </w:rPr>
              <w:t>项目经理</w:t>
            </w:r>
          </w:p>
        </w:tc>
        <w:tc>
          <w:tcPr>
            <w:tcW w:w="2126" w:type="dxa"/>
            <w:noWrap w:val="0"/>
            <w:tcMar>
              <w:left w:w="170" w:type="dxa"/>
            </w:tcMar>
            <w:vAlign w:val="center"/>
          </w:tcPr>
          <w:p w14:paraId="776E5D8B">
            <w:pPr>
              <w:jc w:val="center"/>
              <w:rPr>
                <w:color w:val="auto"/>
              </w:rPr>
            </w:pPr>
            <w:r>
              <w:rPr>
                <w:rFonts w:hint="eastAsia" w:cs="宋体"/>
                <w:color w:val="auto"/>
              </w:rPr>
              <w:t>专用条款</w:t>
            </w:r>
          </w:p>
        </w:tc>
        <w:tc>
          <w:tcPr>
            <w:tcW w:w="1984" w:type="dxa"/>
            <w:noWrap w:val="0"/>
            <w:vAlign w:val="center"/>
          </w:tcPr>
          <w:p w14:paraId="270BAC95">
            <w:pPr>
              <w:rPr>
                <w:color w:val="auto"/>
              </w:rPr>
            </w:pPr>
            <w:r>
              <w:rPr>
                <w:rFonts w:hint="eastAsia" w:cs="宋体"/>
                <w:color w:val="auto"/>
              </w:rPr>
              <w:t>姓名：</w:t>
            </w:r>
            <w:r>
              <w:rPr>
                <w:color w:val="auto"/>
                <w:u w:val="single"/>
              </w:rPr>
              <w:t xml:space="preserve">          </w:t>
            </w:r>
          </w:p>
        </w:tc>
        <w:tc>
          <w:tcPr>
            <w:tcW w:w="1843" w:type="dxa"/>
            <w:noWrap w:val="0"/>
            <w:vAlign w:val="center"/>
          </w:tcPr>
          <w:p w14:paraId="7A23CDEB">
            <w:pPr>
              <w:jc w:val="center"/>
              <w:rPr>
                <w:color w:val="auto"/>
              </w:rPr>
            </w:pPr>
          </w:p>
        </w:tc>
      </w:tr>
      <w:tr w14:paraId="1FB12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68419BAF">
            <w:pPr>
              <w:jc w:val="center"/>
              <w:rPr>
                <w:color w:val="auto"/>
              </w:rPr>
            </w:pPr>
            <w:r>
              <w:rPr>
                <w:color w:val="auto"/>
              </w:rPr>
              <w:t>2</w:t>
            </w:r>
          </w:p>
        </w:tc>
        <w:tc>
          <w:tcPr>
            <w:tcW w:w="1985" w:type="dxa"/>
            <w:noWrap w:val="0"/>
            <w:vAlign w:val="center"/>
          </w:tcPr>
          <w:p w14:paraId="5B95F76C">
            <w:pPr>
              <w:rPr>
                <w:color w:val="auto"/>
              </w:rPr>
            </w:pPr>
            <w:r>
              <w:rPr>
                <w:rFonts w:hint="eastAsia" w:cs="宋体"/>
                <w:color w:val="auto"/>
                <w:lang w:val="en-US" w:eastAsia="zh-CN"/>
              </w:rPr>
              <w:t>竞标</w:t>
            </w:r>
            <w:r>
              <w:rPr>
                <w:rFonts w:hint="eastAsia" w:cs="宋体"/>
                <w:color w:val="auto"/>
              </w:rPr>
              <w:t>有效期</w:t>
            </w:r>
          </w:p>
        </w:tc>
        <w:tc>
          <w:tcPr>
            <w:tcW w:w="2126" w:type="dxa"/>
            <w:noWrap w:val="0"/>
            <w:tcMar>
              <w:left w:w="170" w:type="dxa"/>
            </w:tcMar>
            <w:vAlign w:val="center"/>
          </w:tcPr>
          <w:p w14:paraId="1938D4F7">
            <w:pPr>
              <w:rPr>
                <w:color w:val="auto"/>
              </w:rPr>
            </w:pPr>
          </w:p>
        </w:tc>
        <w:tc>
          <w:tcPr>
            <w:tcW w:w="1984" w:type="dxa"/>
            <w:noWrap w:val="0"/>
            <w:vAlign w:val="center"/>
          </w:tcPr>
          <w:p w14:paraId="7379F4E9">
            <w:pPr>
              <w:jc w:val="center"/>
              <w:rPr>
                <w:color w:val="auto"/>
                <w:u w:val="single"/>
              </w:rPr>
            </w:pPr>
            <w:r>
              <w:rPr>
                <w:color w:val="auto"/>
                <w:u w:val="single"/>
              </w:rPr>
              <w:t xml:space="preserve">          </w:t>
            </w:r>
            <w:r>
              <w:rPr>
                <w:rFonts w:hint="eastAsia" w:cs="宋体"/>
                <w:color w:val="auto"/>
              </w:rPr>
              <w:t>日历天</w:t>
            </w:r>
          </w:p>
        </w:tc>
        <w:tc>
          <w:tcPr>
            <w:tcW w:w="1843" w:type="dxa"/>
            <w:noWrap w:val="0"/>
            <w:vAlign w:val="center"/>
          </w:tcPr>
          <w:p w14:paraId="2DE4949A">
            <w:pPr>
              <w:jc w:val="center"/>
              <w:rPr>
                <w:color w:val="auto"/>
              </w:rPr>
            </w:pPr>
          </w:p>
        </w:tc>
      </w:tr>
      <w:tr w14:paraId="4DC15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5B294E9F">
            <w:pPr>
              <w:jc w:val="center"/>
              <w:rPr>
                <w:color w:val="auto"/>
              </w:rPr>
            </w:pPr>
            <w:r>
              <w:rPr>
                <w:color w:val="auto"/>
              </w:rPr>
              <w:t>3</w:t>
            </w:r>
          </w:p>
        </w:tc>
        <w:tc>
          <w:tcPr>
            <w:tcW w:w="1985" w:type="dxa"/>
            <w:noWrap w:val="0"/>
            <w:vAlign w:val="center"/>
          </w:tcPr>
          <w:p w14:paraId="239974F7">
            <w:pPr>
              <w:rPr>
                <w:color w:val="auto"/>
              </w:rPr>
            </w:pPr>
            <w:r>
              <w:rPr>
                <w:rFonts w:hint="eastAsia" w:cs="宋体"/>
                <w:color w:val="auto"/>
              </w:rPr>
              <w:t>工期</w:t>
            </w:r>
          </w:p>
        </w:tc>
        <w:tc>
          <w:tcPr>
            <w:tcW w:w="2126" w:type="dxa"/>
            <w:noWrap w:val="0"/>
            <w:tcMar>
              <w:left w:w="170" w:type="dxa"/>
            </w:tcMar>
            <w:vAlign w:val="center"/>
          </w:tcPr>
          <w:p w14:paraId="6E6AEF8A">
            <w:pPr>
              <w:jc w:val="center"/>
              <w:rPr>
                <w:color w:val="auto"/>
              </w:rPr>
            </w:pPr>
            <w:r>
              <w:rPr>
                <w:rFonts w:hint="eastAsia" w:cs="宋体"/>
                <w:color w:val="auto"/>
              </w:rPr>
              <w:t>专用条款</w:t>
            </w:r>
          </w:p>
        </w:tc>
        <w:tc>
          <w:tcPr>
            <w:tcW w:w="1984" w:type="dxa"/>
            <w:noWrap w:val="0"/>
            <w:vAlign w:val="center"/>
          </w:tcPr>
          <w:p w14:paraId="7600C10B">
            <w:pPr>
              <w:jc w:val="center"/>
              <w:rPr>
                <w:color w:val="auto"/>
              </w:rPr>
            </w:pPr>
            <w:r>
              <w:rPr>
                <w:color w:val="auto"/>
                <w:u w:val="single"/>
              </w:rPr>
              <w:t xml:space="preserve">          </w:t>
            </w:r>
            <w:r>
              <w:rPr>
                <w:rFonts w:hint="eastAsia" w:cs="宋体"/>
                <w:color w:val="auto"/>
              </w:rPr>
              <w:t>日历天</w:t>
            </w:r>
          </w:p>
        </w:tc>
        <w:tc>
          <w:tcPr>
            <w:tcW w:w="1843" w:type="dxa"/>
            <w:noWrap w:val="0"/>
            <w:vAlign w:val="center"/>
          </w:tcPr>
          <w:p w14:paraId="4FEF199B">
            <w:pPr>
              <w:jc w:val="center"/>
              <w:rPr>
                <w:color w:val="auto"/>
              </w:rPr>
            </w:pPr>
          </w:p>
        </w:tc>
      </w:tr>
      <w:tr w14:paraId="69DC8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567FBCC2">
            <w:pPr>
              <w:jc w:val="center"/>
              <w:rPr>
                <w:color w:val="auto"/>
              </w:rPr>
            </w:pPr>
            <w:r>
              <w:rPr>
                <w:color w:val="auto"/>
              </w:rPr>
              <w:t>4</w:t>
            </w:r>
          </w:p>
        </w:tc>
        <w:tc>
          <w:tcPr>
            <w:tcW w:w="1985" w:type="dxa"/>
            <w:noWrap w:val="0"/>
            <w:vAlign w:val="center"/>
          </w:tcPr>
          <w:p w14:paraId="60B6FC4F">
            <w:pPr>
              <w:rPr>
                <w:color w:val="auto"/>
              </w:rPr>
            </w:pPr>
            <w:r>
              <w:rPr>
                <w:rFonts w:hint="eastAsia" w:cs="宋体"/>
                <w:color w:val="auto"/>
              </w:rPr>
              <w:t>缺陷责任期</w:t>
            </w:r>
          </w:p>
        </w:tc>
        <w:tc>
          <w:tcPr>
            <w:tcW w:w="2126" w:type="dxa"/>
            <w:noWrap w:val="0"/>
            <w:tcMar>
              <w:left w:w="170" w:type="dxa"/>
            </w:tcMar>
            <w:vAlign w:val="center"/>
          </w:tcPr>
          <w:p w14:paraId="4D462544">
            <w:pPr>
              <w:jc w:val="center"/>
              <w:rPr>
                <w:color w:val="auto"/>
              </w:rPr>
            </w:pPr>
            <w:r>
              <w:rPr>
                <w:rFonts w:hint="eastAsia" w:cs="宋体"/>
                <w:color w:val="auto"/>
              </w:rPr>
              <w:t>专用条款</w:t>
            </w:r>
          </w:p>
        </w:tc>
        <w:tc>
          <w:tcPr>
            <w:tcW w:w="1984" w:type="dxa"/>
            <w:noWrap w:val="0"/>
            <w:vAlign w:val="center"/>
          </w:tcPr>
          <w:p w14:paraId="0FAD41D8">
            <w:pPr>
              <w:jc w:val="center"/>
              <w:rPr>
                <w:color w:val="auto"/>
              </w:rPr>
            </w:pPr>
          </w:p>
        </w:tc>
        <w:tc>
          <w:tcPr>
            <w:tcW w:w="1843" w:type="dxa"/>
            <w:noWrap w:val="0"/>
            <w:vAlign w:val="center"/>
          </w:tcPr>
          <w:p w14:paraId="79844D50">
            <w:pPr>
              <w:jc w:val="center"/>
              <w:rPr>
                <w:color w:val="auto"/>
              </w:rPr>
            </w:pPr>
          </w:p>
        </w:tc>
      </w:tr>
      <w:tr w14:paraId="1915B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105EFD8E">
            <w:pPr>
              <w:jc w:val="center"/>
              <w:rPr>
                <w:color w:val="auto"/>
              </w:rPr>
            </w:pPr>
            <w:r>
              <w:rPr>
                <w:color w:val="auto"/>
              </w:rPr>
              <w:t>5</w:t>
            </w:r>
          </w:p>
        </w:tc>
        <w:tc>
          <w:tcPr>
            <w:tcW w:w="1985" w:type="dxa"/>
            <w:noWrap w:val="0"/>
            <w:vAlign w:val="center"/>
          </w:tcPr>
          <w:p w14:paraId="0C81A82C">
            <w:pPr>
              <w:rPr>
                <w:color w:val="auto"/>
              </w:rPr>
            </w:pPr>
            <w:r>
              <w:rPr>
                <w:rFonts w:hint="eastAsia" w:cs="宋体"/>
                <w:color w:val="auto"/>
              </w:rPr>
              <w:t>发包人支付担保</w:t>
            </w:r>
          </w:p>
        </w:tc>
        <w:tc>
          <w:tcPr>
            <w:tcW w:w="2126" w:type="dxa"/>
            <w:noWrap w:val="0"/>
            <w:tcMar>
              <w:left w:w="170" w:type="dxa"/>
            </w:tcMar>
            <w:vAlign w:val="center"/>
          </w:tcPr>
          <w:p w14:paraId="53DEF48E">
            <w:pPr>
              <w:jc w:val="center"/>
              <w:rPr>
                <w:color w:val="auto"/>
              </w:rPr>
            </w:pPr>
            <w:r>
              <w:rPr>
                <w:rFonts w:hint="eastAsia" w:cs="宋体"/>
                <w:color w:val="auto"/>
              </w:rPr>
              <w:t>专用条款</w:t>
            </w:r>
          </w:p>
        </w:tc>
        <w:tc>
          <w:tcPr>
            <w:tcW w:w="1984" w:type="dxa"/>
            <w:noWrap w:val="0"/>
            <w:vAlign w:val="center"/>
          </w:tcPr>
          <w:p w14:paraId="417E5562">
            <w:pPr>
              <w:jc w:val="center"/>
              <w:rPr>
                <w:color w:val="auto"/>
              </w:rPr>
            </w:pPr>
          </w:p>
        </w:tc>
        <w:tc>
          <w:tcPr>
            <w:tcW w:w="1843" w:type="dxa"/>
            <w:noWrap w:val="0"/>
            <w:vAlign w:val="center"/>
          </w:tcPr>
          <w:p w14:paraId="608C5E37">
            <w:pPr>
              <w:jc w:val="center"/>
              <w:rPr>
                <w:color w:val="auto"/>
              </w:rPr>
            </w:pPr>
          </w:p>
        </w:tc>
      </w:tr>
      <w:tr w14:paraId="4466E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0F302C81">
            <w:pPr>
              <w:jc w:val="center"/>
              <w:rPr>
                <w:color w:val="auto"/>
              </w:rPr>
            </w:pPr>
            <w:r>
              <w:rPr>
                <w:color w:val="auto"/>
              </w:rPr>
              <w:t>6</w:t>
            </w:r>
          </w:p>
        </w:tc>
        <w:tc>
          <w:tcPr>
            <w:tcW w:w="1985" w:type="dxa"/>
            <w:noWrap w:val="0"/>
            <w:vAlign w:val="center"/>
          </w:tcPr>
          <w:p w14:paraId="59041F11">
            <w:pPr>
              <w:rPr>
                <w:color w:val="auto"/>
              </w:rPr>
            </w:pPr>
            <w:r>
              <w:rPr>
                <w:rFonts w:hint="eastAsia" w:cs="宋体"/>
                <w:color w:val="auto"/>
              </w:rPr>
              <w:t>承包人履约担保金额</w:t>
            </w:r>
          </w:p>
        </w:tc>
        <w:tc>
          <w:tcPr>
            <w:tcW w:w="2126" w:type="dxa"/>
            <w:noWrap w:val="0"/>
            <w:tcMar>
              <w:left w:w="170" w:type="dxa"/>
            </w:tcMar>
            <w:vAlign w:val="center"/>
          </w:tcPr>
          <w:p w14:paraId="0F4588ED">
            <w:pPr>
              <w:jc w:val="center"/>
              <w:rPr>
                <w:color w:val="auto"/>
              </w:rPr>
            </w:pPr>
            <w:r>
              <w:rPr>
                <w:rFonts w:hint="eastAsia" w:cs="宋体"/>
                <w:color w:val="auto"/>
              </w:rPr>
              <w:t>专用条款</w:t>
            </w:r>
          </w:p>
        </w:tc>
        <w:tc>
          <w:tcPr>
            <w:tcW w:w="1984" w:type="dxa"/>
            <w:noWrap w:val="0"/>
            <w:vAlign w:val="center"/>
          </w:tcPr>
          <w:p w14:paraId="26E4C0CC">
            <w:pPr>
              <w:jc w:val="center"/>
              <w:rPr>
                <w:color w:val="auto"/>
              </w:rPr>
            </w:pPr>
          </w:p>
        </w:tc>
        <w:tc>
          <w:tcPr>
            <w:tcW w:w="1843" w:type="dxa"/>
            <w:noWrap w:val="0"/>
            <w:vAlign w:val="center"/>
          </w:tcPr>
          <w:p w14:paraId="40BFEBC7">
            <w:pPr>
              <w:jc w:val="center"/>
              <w:rPr>
                <w:color w:val="auto"/>
              </w:rPr>
            </w:pPr>
          </w:p>
        </w:tc>
      </w:tr>
      <w:tr w14:paraId="187D0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1E96A066">
            <w:pPr>
              <w:jc w:val="center"/>
              <w:rPr>
                <w:color w:val="auto"/>
              </w:rPr>
            </w:pPr>
            <w:r>
              <w:rPr>
                <w:color w:val="auto"/>
              </w:rPr>
              <w:t>7</w:t>
            </w:r>
          </w:p>
        </w:tc>
        <w:tc>
          <w:tcPr>
            <w:tcW w:w="1985" w:type="dxa"/>
            <w:noWrap w:val="0"/>
            <w:vAlign w:val="center"/>
          </w:tcPr>
          <w:p w14:paraId="03C70284">
            <w:pPr>
              <w:rPr>
                <w:color w:val="auto"/>
              </w:rPr>
            </w:pPr>
            <w:r>
              <w:rPr>
                <w:rFonts w:hint="eastAsia" w:cs="宋体"/>
                <w:color w:val="auto"/>
              </w:rPr>
              <w:t>分包</w:t>
            </w:r>
          </w:p>
        </w:tc>
        <w:tc>
          <w:tcPr>
            <w:tcW w:w="2126" w:type="dxa"/>
            <w:noWrap w:val="0"/>
            <w:tcMar>
              <w:left w:w="170" w:type="dxa"/>
            </w:tcMar>
            <w:vAlign w:val="center"/>
          </w:tcPr>
          <w:p w14:paraId="0A5080AB">
            <w:pPr>
              <w:jc w:val="center"/>
              <w:rPr>
                <w:color w:val="auto"/>
              </w:rPr>
            </w:pPr>
            <w:r>
              <w:rPr>
                <w:rFonts w:hint="eastAsia" w:cs="宋体"/>
                <w:color w:val="auto"/>
              </w:rPr>
              <w:t>专用条款</w:t>
            </w:r>
          </w:p>
        </w:tc>
        <w:tc>
          <w:tcPr>
            <w:tcW w:w="1984" w:type="dxa"/>
            <w:noWrap w:val="0"/>
            <w:vAlign w:val="center"/>
          </w:tcPr>
          <w:p w14:paraId="3B1CA196">
            <w:pPr>
              <w:jc w:val="center"/>
              <w:rPr>
                <w:color w:val="auto"/>
              </w:rPr>
            </w:pPr>
            <w:r>
              <w:rPr>
                <w:rFonts w:hint="eastAsia" w:cs="宋体"/>
                <w:color w:val="auto"/>
              </w:rPr>
              <w:t>见分包项目情况表</w:t>
            </w:r>
          </w:p>
        </w:tc>
        <w:tc>
          <w:tcPr>
            <w:tcW w:w="1843" w:type="dxa"/>
            <w:noWrap w:val="0"/>
            <w:vAlign w:val="center"/>
          </w:tcPr>
          <w:p w14:paraId="7CFD2CBB">
            <w:pPr>
              <w:jc w:val="center"/>
              <w:rPr>
                <w:color w:val="auto"/>
              </w:rPr>
            </w:pPr>
          </w:p>
        </w:tc>
      </w:tr>
      <w:tr w14:paraId="488A9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64585474">
            <w:pPr>
              <w:jc w:val="center"/>
              <w:rPr>
                <w:color w:val="auto"/>
              </w:rPr>
            </w:pPr>
            <w:r>
              <w:rPr>
                <w:color w:val="auto"/>
              </w:rPr>
              <w:t>8</w:t>
            </w:r>
          </w:p>
        </w:tc>
        <w:tc>
          <w:tcPr>
            <w:tcW w:w="1985" w:type="dxa"/>
            <w:noWrap w:val="0"/>
            <w:vAlign w:val="center"/>
          </w:tcPr>
          <w:p w14:paraId="56A17797">
            <w:pPr>
              <w:rPr>
                <w:color w:val="auto"/>
              </w:rPr>
            </w:pPr>
            <w:r>
              <w:rPr>
                <w:rFonts w:hint="eastAsia" w:cs="宋体"/>
                <w:color w:val="auto"/>
              </w:rPr>
              <w:t>逾期竣工违约金</w:t>
            </w:r>
          </w:p>
        </w:tc>
        <w:tc>
          <w:tcPr>
            <w:tcW w:w="2126" w:type="dxa"/>
            <w:noWrap w:val="0"/>
            <w:tcMar>
              <w:left w:w="170" w:type="dxa"/>
            </w:tcMar>
            <w:vAlign w:val="center"/>
          </w:tcPr>
          <w:p w14:paraId="67770C5F">
            <w:pPr>
              <w:jc w:val="center"/>
              <w:rPr>
                <w:color w:val="auto"/>
              </w:rPr>
            </w:pPr>
            <w:r>
              <w:rPr>
                <w:rFonts w:hint="eastAsia" w:cs="宋体"/>
                <w:color w:val="auto"/>
              </w:rPr>
              <w:t>专用条款</w:t>
            </w:r>
          </w:p>
        </w:tc>
        <w:tc>
          <w:tcPr>
            <w:tcW w:w="1984" w:type="dxa"/>
            <w:noWrap w:val="0"/>
            <w:vAlign w:val="center"/>
          </w:tcPr>
          <w:p w14:paraId="589C6C44">
            <w:pPr>
              <w:rPr>
                <w:color w:val="auto"/>
              </w:rPr>
            </w:pPr>
          </w:p>
        </w:tc>
        <w:tc>
          <w:tcPr>
            <w:tcW w:w="1843" w:type="dxa"/>
            <w:noWrap w:val="0"/>
            <w:vAlign w:val="center"/>
          </w:tcPr>
          <w:p w14:paraId="7689317F">
            <w:pPr>
              <w:jc w:val="center"/>
              <w:rPr>
                <w:color w:val="auto"/>
              </w:rPr>
            </w:pPr>
          </w:p>
        </w:tc>
      </w:tr>
      <w:tr w14:paraId="3A431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2FC13E52">
            <w:pPr>
              <w:jc w:val="center"/>
              <w:rPr>
                <w:color w:val="auto"/>
              </w:rPr>
            </w:pPr>
            <w:r>
              <w:rPr>
                <w:color w:val="auto"/>
              </w:rPr>
              <w:t>9</w:t>
            </w:r>
          </w:p>
        </w:tc>
        <w:tc>
          <w:tcPr>
            <w:tcW w:w="1985" w:type="dxa"/>
            <w:noWrap w:val="0"/>
            <w:vAlign w:val="center"/>
          </w:tcPr>
          <w:p w14:paraId="39345825">
            <w:pPr>
              <w:rPr>
                <w:color w:val="auto"/>
              </w:rPr>
            </w:pPr>
            <w:r>
              <w:rPr>
                <w:rFonts w:hint="eastAsia" w:cs="宋体"/>
                <w:color w:val="auto"/>
              </w:rPr>
              <w:t>逾期竣工违约金最高限额</w:t>
            </w:r>
          </w:p>
        </w:tc>
        <w:tc>
          <w:tcPr>
            <w:tcW w:w="2126" w:type="dxa"/>
            <w:noWrap w:val="0"/>
            <w:tcMar>
              <w:left w:w="170" w:type="dxa"/>
            </w:tcMar>
            <w:vAlign w:val="center"/>
          </w:tcPr>
          <w:p w14:paraId="257112CC">
            <w:pPr>
              <w:jc w:val="center"/>
              <w:rPr>
                <w:color w:val="auto"/>
              </w:rPr>
            </w:pPr>
            <w:r>
              <w:rPr>
                <w:rFonts w:hint="eastAsia" w:cs="宋体"/>
                <w:color w:val="auto"/>
              </w:rPr>
              <w:t>专用条款</w:t>
            </w:r>
          </w:p>
        </w:tc>
        <w:tc>
          <w:tcPr>
            <w:tcW w:w="1984" w:type="dxa"/>
            <w:noWrap w:val="0"/>
            <w:vAlign w:val="center"/>
          </w:tcPr>
          <w:p w14:paraId="5EE1B977">
            <w:pPr>
              <w:rPr>
                <w:color w:val="auto"/>
              </w:rPr>
            </w:pPr>
          </w:p>
        </w:tc>
        <w:tc>
          <w:tcPr>
            <w:tcW w:w="1843" w:type="dxa"/>
            <w:noWrap w:val="0"/>
            <w:vAlign w:val="center"/>
          </w:tcPr>
          <w:p w14:paraId="13D96670">
            <w:pPr>
              <w:jc w:val="center"/>
              <w:rPr>
                <w:color w:val="auto"/>
              </w:rPr>
            </w:pPr>
          </w:p>
        </w:tc>
      </w:tr>
      <w:tr w14:paraId="5D4C5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70D64723">
            <w:pPr>
              <w:jc w:val="center"/>
              <w:rPr>
                <w:color w:val="auto"/>
              </w:rPr>
            </w:pPr>
            <w:r>
              <w:rPr>
                <w:color w:val="auto"/>
              </w:rPr>
              <w:t>10</w:t>
            </w:r>
          </w:p>
        </w:tc>
        <w:tc>
          <w:tcPr>
            <w:tcW w:w="1985" w:type="dxa"/>
            <w:noWrap w:val="0"/>
            <w:vAlign w:val="center"/>
          </w:tcPr>
          <w:p w14:paraId="25A04F03">
            <w:pPr>
              <w:rPr>
                <w:color w:val="auto"/>
              </w:rPr>
            </w:pPr>
            <w:r>
              <w:rPr>
                <w:rFonts w:hint="eastAsia" w:cs="宋体"/>
                <w:color w:val="auto"/>
              </w:rPr>
              <w:t>质量标准</w:t>
            </w:r>
          </w:p>
        </w:tc>
        <w:tc>
          <w:tcPr>
            <w:tcW w:w="2126" w:type="dxa"/>
            <w:noWrap w:val="0"/>
            <w:tcMar>
              <w:left w:w="170" w:type="dxa"/>
            </w:tcMar>
            <w:vAlign w:val="center"/>
          </w:tcPr>
          <w:p w14:paraId="397436EC">
            <w:pPr>
              <w:jc w:val="center"/>
              <w:rPr>
                <w:color w:val="auto"/>
              </w:rPr>
            </w:pPr>
            <w:r>
              <w:rPr>
                <w:rFonts w:hint="eastAsia" w:cs="宋体"/>
                <w:color w:val="auto"/>
              </w:rPr>
              <w:t>专用条款</w:t>
            </w:r>
          </w:p>
        </w:tc>
        <w:tc>
          <w:tcPr>
            <w:tcW w:w="1984" w:type="dxa"/>
            <w:noWrap w:val="0"/>
            <w:vAlign w:val="center"/>
          </w:tcPr>
          <w:p w14:paraId="5CFC65D9">
            <w:pPr>
              <w:jc w:val="center"/>
              <w:rPr>
                <w:color w:val="auto"/>
              </w:rPr>
            </w:pPr>
          </w:p>
        </w:tc>
        <w:tc>
          <w:tcPr>
            <w:tcW w:w="1843" w:type="dxa"/>
            <w:noWrap w:val="0"/>
            <w:vAlign w:val="center"/>
          </w:tcPr>
          <w:p w14:paraId="084F2EBB">
            <w:pPr>
              <w:jc w:val="center"/>
              <w:rPr>
                <w:color w:val="auto"/>
              </w:rPr>
            </w:pPr>
          </w:p>
        </w:tc>
      </w:tr>
      <w:tr w14:paraId="1A411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7378C64D">
            <w:pPr>
              <w:jc w:val="center"/>
              <w:rPr>
                <w:color w:val="auto"/>
              </w:rPr>
            </w:pPr>
            <w:r>
              <w:rPr>
                <w:color w:val="auto"/>
              </w:rPr>
              <w:t>11</w:t>
            </w:r>
          </w:p>
        </w:tc>
        <w:tc>
          <w:tcPr>
            <w:tcW w:w="1985" w:type="dxa"/>
            <w:noWrap w:val="0"/>
            <w:vAlign w:val="center"/>
          </w:tcPr>
          <w:p w14:paraId="4880CF3A">
            <w:pPr>
              <w:rPr>
                <w:color w:val="auto"/>
              </w:rPr>
            </w:pPr>
            <w:r>
              <w:rPr>
                <w:rFonts w:hint="eastAsia" w:cs="宋体"/>
                <w:color w:val="auto"/>
              </w:rPr>
              <w:t>预付款额度</w:t>
            </w:r>
          </w:p>
        </w:tc>
        <w:tc>
          <w:tcPr>
            <w:tcW w:w="2126" w:type="dxa"/>
            <w:noWrap w:val="0"/>
            <w:tcMar>
              <w:left w:w="170" w:type="dxa"/>
            </w:tcMar>
            <w:vAlign w:val="center"/>
          </w:tcPr>
          <w:p w14:paraId="2ECBFC1F">
            <w:pPr>
              <w:jc w:val="center"/>
              <w:rPr>
                <w:color w:val="auto"/>
              </w:rPr>
            </w:pPr>
            <w:r>
              <w:rPr>
                <w:rFonts w:hint="eastAsia" w:cs="宋体"/>
                <w:color w:val="auto"/>
              </w:rPr>
              <w:t>专用条款</w:t>
            </w:r>
          </w:p>
        </w:tc>
        <w:tc>
          <w:tcPr>
            <w:tcW w:w="1984" w:type="dxa"/>
            <w:noWrap w:val="0"/>
            <w:vAlign w:val="center"/>
          </w:tcPr>
          <w:p w14:paraId="2A972DF6">
            <w:pPr>
              <w:jc w:val="center"/>
              <w:rPr>
                <w:color w:val="auto"/>
              </w:rPr>
            </w:pPr>
          </w:p>
        </w:tc>
        <w:tc>
          <w:tcPr>
            <w:tcW w:w="1843" w:type="dxa"/>
            <w:noWrap w:val="0"/>
            <w:vAlign w:val="center"/>
          </w:tcPr>
          <w:p w14:paraId="639FF75F">
            <w:pPr>
              <w:jc w:val="center"/>
              <w:rPr>
                <w:color w:val="auto"/>
              </w:rPr>
            </w:pPr>
          </w:p>
        </w:tc>
      </w:tr>
      <w:tr w14:paraId="0E138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1C1457B6">
            <w:pPr>
              <w:jc w:val="center"/>
              <w:rPr>
                <w:color w:val="auto"/>
              </w:rPr>
            </w:pPr>
            <w:r>
              <w:rPr>
                <w:color w:val="auto"/>
              </w:rPr>
              <w:t>12</w:t>
            </w:r>
          </w:p>
        </w:tc>
        <w:tc>
          <w:tcPr>
            <w:tcW w:w="1985" w:type="dxa"/>
            <w:noWrap w:val="0"/>
            <w:vAlign w:val="center"/>
          </w:tcPr>
          <w:p w14:paraId="4EBAB2ED">
            <w:pPr>
              <w:rPr>
                <w:color w:val="auto"/>
              </w:rPr>
            </w:pPr>
            <w:r>
              <w:rPr>
                <w:rFonts w:hint="eastAsia" w:cs="宋体"/>
                <w:color w:val="auto"/>
              </w:rPr>
              <w:t>预付款保函金额</w:t>
            </w:r>
          </w:p>
        </w:tc>
        <w:tc>
          <w:tcPr>
            <w:tcW w:w="2126" w:type="dxa"/>
            <w:noWrap w:val="0"/>
            <w:tcMar>
              <w:left w:w="170" w:type="dxa"/>
            </w:tcMar>
            <w:vAlign w:val="center"/>
          </w:tcPr>
          <w:p w14:paraId="365AE7B6">
            <w:pPr>
              <w:jc w:val="center"/>
              <w:rPr>
                <w:color w:val="auto"/>
              </w:rPr>
            </w:pPr>
            <w:r>
              <w:rPr>
                <w:rFonts w:hint="eastAsia" w:cs="宋体"/>
                <w:color w:val="auto"/>
              </w:rPr>
              <w:t>专用条款</w:t>
            </w:r>
          </w:p>
        </w:tc>
        <w:tc>
          <w:tcPr>
            <w:tcW w:w="1984" w:type="dxa"/>
            <w:noWrap w:val="0"/>
            <w:vAlign w:val="center"/>
          </w:tcPr>
          <w:p w14:paraId="28777558">
            <w:pPr>
              <w:jc w:val="center"/>
              <w:rPr>
                <w:color w:val="auto"/>
              </w:rPr>
            </w:pPr>
          </w:p>
        </w:tc>
        <w:tc>
          <w:tcPr>
            <w:tcW w:w="1843" w:type="dxa"/>
            <w:noWrap w:val="0"/>
            <w:vAlign w:val="center"/>
          </w:tcPr>
          <w:p w14:paraId="05B8098D">
            <w:pPr>
              <w:jc w:val="center"/>
              <w:rPr>
                <w:color w:val="auto"/>
              </w:rPr>
            </w:pPr>
          </w:p>
        </w:tc>
      </w:tr>
      <w:tr w14:paraId="1D945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0424D735">
            <w:pPr>
              <w:jc w:val="center"/>
              <w:rPr>
                <w:color w:val="auto"/>
              </w:rPr>
            </w:pPr>
            <w:r>
              <w:rPr>
                <w:color w:val="auto"/>
              </w:rPr>
              <w:t>13</w:t>
            </w:r>
          </w:p>
        </w:tc>
        <w:tc>
          <w:tcPr>
            <w:tcW w:w="1985" w:type="dxa"/>
            <w:noWrap w:val="0"/>
            <w:vAlign w:val="center"/>
          </w:tcPr>
          <w:p w14:paraId="141B0F10">
            <w:pPr>
              <w:rPr>
                <w:color w:val="auto"/>
              </w:rPr>
            </w:pPr>
            <w:r>
              <w:rPr>
                <w:rFonts w:hint="eastAsia" w:cs="宋体"/>
                <w:color w:val="auto"/>
              </w:rPr>
              <w:t>质量保证金额度</w:t>
            </w:r>
          </w:p>
        </w:tc>
        <w:tc>
          <w:tcPr>
            <w:tcW w:w="2126" w:type="dxa"/>
            <w:noWrap w:val="0"/>
            <w:tcMar>
              <w:left w:w="170" w:type="dxa"/>
            </w:tcMar>
            <w:vAlign w:val="center"/>
          </w:tcPr>
          <w:p w14:paraId="2FEC2AB9">
            <w:pPr>
              <w:jc w:val="center"/>
              <w:rPr>
                <w:color w:val="auto"/>
              </w:rPr>
            </w:pPr>
            <w:r>
              <w:rPr>
                <w:rFonts w:hint="eastAsia" w:cs="宋体"/>
                <w:color w:val="auto"/>
              </w:rPr>
              <w:t>专用条款</w:t>
            </w:r>
          </w:p>
        </w:tc>
        <w:tc>
          <w:tcPr>
            <w:tcW w:w="1984" w:type="dxa"/>
            <w:noWrap w:val="0"/>
            <w:vAlign w:val="center"/>
          </w:tcPr>
          <w:p w14:paraId="2F977AF0">
            <w:pPr>
              <w:jc w:val="center"/>
              <w:rPr>
                <w:color w:val="auto"/>
              </w:rPr>
            </w:pPr>
            <w:r>
              <w:rPr>
                <w:rFonts w:hint="eastAsia" w:cs="宋体"/>
                <w:color w:val="auto"/>
              </w:rPr>
              <w:t>结算价的</w:t>
            </w:r>
            <w:r>
              <w:rPr>
                <w:color w:val="auto"/>
                <w:u w:val="single"/>
              </w:rPr>
              <w:t xml:space="preserve">     </w:t>
            </w:r>
            <w:r>
              <w:rPr>
                <w:color w:val="auto"/>
              </w:rPr>
              <w:t xml:space="preserve">% </w:t>
            </w:r>
            <w:r>
              <w:rPr>
                <w:color w:val="auto"/>
                <w:u w:val="single"/>
              </w:rPr>
              <w:t xml:space="preserve"> </w:t>
            </w:r>
          </w:p>
        </w:tc>
        <w:tc>
          <w:tcPr>
            <w:tcW w:w="1843" w:type="dxa"/>
            <w:noWrap w:val="0"/>
            <w:vAlign w:val="center"/>
          </w:tcPr>
          <w:p w14:paraId="0AD9EDB0">
            <w:pPr>
              <w:jc w:val="center"/>
              <w:rPr>
                <w:color w:val="auto"/>
              </w:rPr>
            </w:pPr>
          </w:p>
        </w:tc>
      </w:tr>
      <w:tr w14:paraId="446BE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3C54A85C">
            <w:pPr>
              <w:jc w:val="center"/>
              <w:rPr>
                <w:color w:val="auto"/>
              </w:rPr>
            </w:pPr>
            <w:r>
              <w:rPr>
                <w:color w:val="auto"/>
              </w:rPr>
              <w:t>……</w:t>
            </w:r>
          </w:p>
        </w:tc>
        <w:tc>
          <w:tcPr>
            <w:tcW w:w="1985" w:type="dxa"/>
            <w:noWrap w:val="0"/>
            <w:vAlign w:val="center"/>
          </w:tcPr>
          <w:p w14:paraId="365B02DF">
            <w:pPr>
              <w:jc w:val="center"/>
              <w:rPr>
                <w:color w:val="auto"/>
              </w:rPr>
            </w:pPr>
            <w:r>
              <w:rPr>
                <w:color w:val="auto"/>
              </w:rPr>
              <w:t>……</w:t>
            </w:r>
          </w:p>
        </w:tc>
        <w:tc>
          <w:tcPr>
            <w:tcW w:w="2126" w:type="dxa"/>
            <w:noWrap w:val="0"/>
            <w:tcMar>
              <w:left w:w="170" w:type="dxa"/>
            </w:tcMar>
            <w:vAlign w:val="center"/>
          </w:tcPr>
          <w:p w14:paraId="3E8F6C50">
            <w:pPr>
              <w:rPr>
                <w:color w:val="auto"/>
              </w:rPr>
            </w:pPr>
          </w:p>
        </w:tc>
        <w:tc>
          <w:tcPr>
            <w:tcW w:w="1984" w:type="dxa"/>
            <w:noWrap w:val="0"/>
            <w:vAlign w:val="center"/>
          </w:tcPr>
          <w:p w14:paraId="32ABFD48">
            <w:pPr>
              <w:jc w:val="center"/>
              <w:rPr>
                <w:color w:val="auto"/>
              </w:rPr>
            </w:pPr>
          </w:p>
        </w:tc>
        <w:tc>
          <w:tcPr>
            <w:tcW w:w="1843" w:type="dxa"/>
            <w:noWrap w:val="0"/>
            <w:vAlign w:val="center"/>
          </w:tcPr>
          <w:p w14:paraId="0F4C6CFF">
            <w:pPr>
              <w:jc w:val="center"/>
              <w:rPr>
                <w:color w:val="auto"/>
              </w:rPr>
            </w:pPr>
          </w:p>
        </w:tc>
      </w:tr>
      <w:tr w14:paraId="22BB2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8930" w:type="dxa"/>
            <w:gridSpan w:val="5"/>
            <w:noWrap w:val="0"/>
            <w:vAlign w:val="center"/>
          </w:tcPr>
          <w:p w14:paraId="35ECA1F8">
            <w:pPr>
              <w:spacing w:line="360" w:lineRule="auto"/>
              <w:rPr>
                <w:color w:val="auto"/>
              </w:rPr>
            </w:pPr>
            <w:r>
              <w:rPr>
                <w:rFonts w:hint="eastAsia" w:cs="宋体"/>
                <w:color w:val="auto"/>
              </w:rPr>
              <w:t>说明：</w:t>
            </w:r>
            <w:r>
              <w:rPr>
                <w:rFonts w:hint="eastAsia" w:cs="宋体"/>
                <w:color w:val="auto"/>
                <w:lang w:val="en-US" w:eastAsia="zh-CN"/>
              </w:rPr>
              <w:t>供应商</w:t>
            </w:r>
            <w:r>
              <w:rPr>
                <w:rFonts w:hint="eastAsia" w:cs="宋体"/>
                <w:color w:val="auto"/>
              </w:rPr>
              <w:t>在响应</w:t>
            </w:r>
            <w:r>
              <w:rPr>
                <w:rFonts w:hint="eastAsia" w:cs="宋体"/>
                <w:color w:val="auto"/>
                <w:lang w:val="en-US" w:eastAsia="zh-CN"/>
              </w:rPr>
              <w:t>文件</w:t>
            </w:r>
            <w:r>
              <w:rPr>
                <w:rFonts w:hint="eastAsia" w:cs="宋体"/>
                <w:color w:val="auto"/>
              </w:rPr>
              <w:t>中规定的实质性要求和条件的基础上，可做出其他有利于</w:t>
            </w:r>
            <w:r>
              <w:rPr>
                <w:rFonts w:hint="eastAsia" w:cs="宋体"/>
                <w:color w:val="auto"/>
                <w:lang w:val="en-US" w:eastAsia="zh-CN"/>
              </w:rPr>
              <w:t>采购人</w:t>
            </w:r>
            <w:r>
              <w:rPr>
                <w:rFonts w:hint="eastAsia" w:cs="宋体"/>
                <w:color w:val="auto"/>
              </w:rPr>
              <w:t>的承诺。此类承诺可在本表中予以补充填写。</w:t>
            </w:r>
          </w:p>
        </w:tc>
      </w:tr>
    </w:tbl>
    <w:p w14:paraId="7FA36AB7">
      <w:pPr>
        <w:spacing w:line="480" w:lineRule="exact"/>
        <w:ind w:firstLine="5880" w:firstLineChars="2800"/>
        <w:rPr>
          <w:rFonts w:hint="default" w:eastAsia="宋体"/>
          <w:color w:val="auto"/>
          <w:lang w:val="en-US" w:eastAsia="zh-CN"/>
        </w:rPr>
      </w:pPr>
      <w:r>
        <w:rPr>
          <w:rFonts w:hint="eastAsia" w:ascii="宋体" w:hAnsi="宋体" w:eastAsia="宋体" w:cs="宋体"/>
          <w:bCs/>
          <w:color w:val="auto"/>
          <w:spacing w:val="0"/>
          <w:sz w:val="21"/>
          <w:szCs w:val="21"/>
          <w:lang w:val="en-US" w:eastAsia="zh-CN"/>
        </w:rPr>
        <w:t>供应商</w:t>
      </w:r>
      <w:r>
        <w:rPr>
          <w:rFonts w:hint="eastAsia" w:ascii="宋体" w:hAnsi="宋体" w:cs="宋体"/>
          <w:bCs/>
          <w:color w:val="auto"/>
          <w:spacing w:val="0"/>
          <w:sz w:val="21"/>
          <w:szCs w:val="21"/>
          <w:lang w:val="en-US" w:eastAsia="zh-CN"/>
        </w:rPr>
        <w:t>名称</w:t>
      </w:r>
      <w:r>
        <w:rPr>
          <w:rFonts w:hint="eastAsia" w:ascii="宋体" w:hAnsi="宋体" w:eastAsia="宋体" w:cs="宋体"/>
          <w:bCs/>
          <w:color w:val="auto"/>
          <w:spacing w:val="0"/>
          <w:sz w:val="21"/>
          <w:szCs w:val="21"/>
          <w:lang w:val="en-US" w:eastAsia="zh-CN"/>
        </w:rPr>
        <w:t>（电子签章）</w:t>
      </w:r>
      <w:r>
        <w:rPr>
          <w:rFonts w:hint="eastAsia" w:cs="宋体"/>
          <w:color w:val="auto"/>
        </w:rPr>
        <w:t>：</w:t>
      </w:r>
      <w:r>
        <w:rPr>
          <w:rFonts w:hint="eastAsia" w:cs="宋体"/>
          <w:color w:val="auto"/>
          <w:lang w:val="en-US" w:eastAsia="zh-CN"/>
        </w:rPr>
        <w:t xml:space="preserve"> </w:t>
      </w:r>
      <w:r>
        <w:rPr>
          <w:rFonts w:hint="eastAsia" w:cs="宋体"/>
          <w:color w:val="auto"/>
          <w:u w:val="single"/>
          <w:lang w:val="en-US" w:eastAsia="zh-CN"/>
        </w:rPr>
        <w:t xml:space="preserve">             </w:t>
      </w:r>
    </w:p>
    <w:p w14:paraId="5B571D8F">
      <w:pPr>
        <w:spacing w:line="480" w:lineRule="exact"/>
        <w:ind w:firstLine="2940" w:firstLineChars="1400"/>
        <w:rPr>
          <w:color w:val="auto"/>
        </w:rPr>
      </w:pPr>
      <w:r>
        <w:rPr>
          <w:rFonts w:hint="eastAsia" w:ascii="宋体" w:hAnsi="宋体" w:eastAsia="宋体" w:cs="宋体"/>
          <w:bCs/>
          <w:color w:val="auto"/>
          <w:spacing w:val="0"/>
          <w:sz w:val="21"/>
          <w:szCs w:val="21"/>
          <w:lang w:val="en-US" w:eastAsia="zh-CN"/>
        </w:rPr>
        <w:t>法定代表人或委托代理人</w:t>
      </w:r>
      <w:r>
        <w:rPr>
          <w:rFonts w:hint="eastAsia" w:ascii="宋体" w:hAnsi="宋体" w:cs="宋体"/>
          <w:bCs/>
          <w:color w:val="auto"/>
          <w:spacing w:val="0"/>
          <w:sz w:val="21"/>
          <w:szCs w:val="21"/>
          <w:lang w:val="en-US" w:eastAsia="zh-CN"/>
        </w:rPr>
        <w:t>（</w:t>
      </w:r>
      <w:r>
        <w:rPr>
          <w:rFonts w:hint="eastAsia" w:ascii="宋体" w:hAnsi="宋体" w:eastAsia="宋体" w:cs="宋体"/>
          <w:bCs/>
          <w:color w:val="auto"/>
          <w:spacing w:val="0"/>
          <w:sz w:val="21"/>
          <w:szCs w:val="21"/>
          <w:lang w:val="en-US" w:eastAsia="zh-CN"/>
        </w:rPr>
        <w:t>签字或者盖章或者电子签名</w:t>
      </w:r>
      <w:r>
        <w:rPr>
          <w:rFonts w:hint="eastAsia" w:ascii="宋体" w:hAnsi="宋体" w:cs="宋体"/>
          <w:bCs/>
          <w:color w:val="auto"/>
          <w:spacing w:val="0"/>
          <w:sz w:val="21"/>
          <w:szCs w:val="21"/>
          <w:lang w:val="en-US" w:eastAsia="zh-CN"/>
        </w:rPr>
        <w:t>）</w:t>
      </w:r>
      <w:r>
        <w:rPr>
          <w:rFonts w:hint="eastAsia" w:cs="宋体"/>
          <w:color w:val="auto"/>
        </w:rPr>
        <w:t>：</w:t>
      </w:r>
      <w:r>
        <w:rPr>
          <w:rFonts w:hint="eastAsia" w:cs="宋体"/>
          <w:color w:val="auto"/>
          <w:u w:val="single"/>
          <w:lang w:val="en-US" w:eastAsia="zh-CN"/>
        </w:rPr>
        <w:t xml:space="preserve">                </w:t>
      </w:r>
    </w:p>
    <w:p w14:paraId="7829CEE1">
      <w:pPr>
        <w:spacing w:line="480" w:lineRule="exact"/>
        <w:ind w:firstLine="5880" w:firstLineChars="2800"/>
        <w:rPr>
          <w:color w:val="auto"/>
        </w:rPr>
      </w:pPr>
      <w:r>
        <w:rPr>
          <w:rFonts w:hint="eastAsia" w:cs="宋体"/>
          <w:color w:val="auto"/>
        </w:rPr>
        <w:t>日期：</w:t>
      </w:r>
      <w:r>
        <w:rPr>
          <w:color w:val="auto"/>
          <w:u w:val="single"/>
        </w:rPr>
        <w:t xml:space="preserve">     </w:t>
      </w:r>
      <w:r>
        <w:rPr>
          <w:rFonts w:hint="eastAsia" w:cs="宋体"/>
          <w:color w:val="auto"/>
        </w:rPr>
        <w:t>年</w:t>
      </w:r>
      <w:r>
        <w:rPr>
          <w:color w:val="auto"/>
          <w:u w:val="single"/>
        </w:rPr>
        <w:t xml:space="preserve">     </w:t>
      </w:r>
      <w:r>
        <w:rPr>
          <w:rFonts w:hint="eastAsia" w:cs="宋体"/>
          <w:color w:val="auto"/>
        </w:rPr>
        <w:t>月</w:t>
      </w:r>
      <w:r>
        <w:rPr>
          <w:color w:val="auto"/>
          <w:u w:val="single"/>
        </w:rPr>
        <w:t xml:space="preserve">     </w:t>
      </w:r>
      <w:r>
        <w:rPr>
          <w:rFonts w:hint="eastAsia" w:cs="宋体"/>
          <w:color w:val="auto"/>
        </w:rPr>
        <w:t>日</w:t>
      </w:r>
    </w:p>
    <w:p w14:paraId="3B356E1C">
      <w:pPr>
        <w:spacing w:line="520" w:lineRule="exact"/>
        <w:jc w:val="center"/>
        <w:rPr>
          <w:rFonts w:hint="eastAsia" w:ascii="宋体" w:hAnsi="宋体" w:eastAsia="宋体" w:cs="宋体"/>
          <w:bCs/>
          <w:color w:val="auto"/>
          <w:sz w:val="40"/>
          <w:szCs w:val="40"/>
          <w:highlight w:val="none"/>
        </w:rPr>
      </w:pPr>
    </w:p>
    <w:p w14:paraId="15505F73">
      <w:pPr>
        <w:spacing w:line="520" w:lineRule="exact"/>
        <w:jc w:val="center"/>
        <w:rPr>
          <w:rFonts w:hint="eastAsia" w:ascii="宋体" w:hAnsi="宋体" w:eastAsia="宋体" w:cs="宋体"/>
          <w:bCs/>
          <w:color w:val="auto"/>
          <w:sz w:val="40"/>
          <w:szCs w:val="40"/>
          <w:highlight w:val="none"/>
        </w:rPr>
      </w:pPr>
    </w:p>
    <w:p w14:paraId="60DFA7D0">
      <w:pPr>
        <w:spacing w:line="520" w:lineRule="exact"/>
        <w:jc w:val="center"/>
        <w:rPr>
          <w:rFonts w:hint="eastAsia" w:ascii="宋体" w:hAnsi="宋体" w:eastAsia="宋体" w:cs="宋体"/>
          <w:bCs/>
          <w:color w:val="auto"/>
          <w:sz w:val="40"/>
          <w:szCs w:val="40"/>
          <w:highlight w:val="none"/>
        </w:rPr>
      </w:pPr>
    </w:p>
    <w:p w14:paraId="2D041E90">
      <w:pPr>
        <w:spacing w:line="520" w:lineRule="exact"/>
        <w:jc w:val="center"/>
        <w:rPr>
          <w:rFonts w:hint="eastAsia" w:ascii="Times New Roman" w:hAnsi="Times New Roman" w:eastAsia="宋体" w:cs="宋体"/>
          <w:b/>
          <w:bCs/>
          <w:color w:val="auto"/>
          <w:kern w:val="2"/>
          <w:sz w:val="30"/>
          <w:szCs w:val="30"/>
          <w:lang w:val="en-US" w:eastAsia="zh-CN" w:bidi="ar-SA"/>
        </w:rPr>
      </w:pPr>
      <w:r>
        <w:rPr>
          <w:rFonts w:hint="eastAsia" w:ascii="Times New Roman" w:hAnsi="Times New Roman" w:eastAsia="宋体" w:cs="宋体"/>
          <w:b/>
          <w:bCs/>
          <w:color w:val="auto"/>
          <w:kern w:val="2"/>
          <w:sz w:val="30"/>
          <w:szCs w:val="30"/>
          <w:lang w:val="en-US" w:eastAsia="zh-CN" w:bidi="ar-SA"/>
        </w:rPr>
        <w:t>竞标报价表</w:t>
      </w:r>
    </w:p>
    <w:p w14:paraId="2F29733D">
      <w:pPr>
        <w:spacing w:line="440" w:lineRule="exact"/>
        <w:jc w:val="center"/>
        <w:rPr>
          <w:rFonts w:hint="eastAsia" w:ascii="宋体" w:hAnsi="宋体" w:eastAsia="宋体" w:cs="宋体"/>
          <w:bCs/>
          <w:color w:val="auto"/>
          <w:sz w:val="28"/>
          <w:szCs w:val="28"/>
          <w:highlight w:val="none"/>
        </w:rPr>
      </w:pPr>
    </w:p>
    <w:p w14:paraId="061BDB31">
      <w:pPr>
        <w:snapToGrid w:val="0"/>
        <w:spacing w:before="50" w:after="50" w:line="360" w:lineRule="auto"/>
        <w:rPr>
          <w:rFonts w:hint="eastAsia" w:ascii="宋体" w:hAnsi="宋体" w:cs="仿宋_GB2312"/>
          <w:color w:val="auto"/>
          <w:sz w:val="21"/>
          <w:szCs w:val="21"/>
          <w:highlight w:val="none"/>
          <w:u w:val="single"/>
        </w:rPr>
      </w:pPr>
      <w:r>
        <w:rPr>
          <w:rFonts w:hint="eastAsia" w:ascii="宋体" w:hAnsi="宋体" w:cs="仿宋_GB2312"/>
          <w:color w:val="auto"/>
          <w:sz w:val="21"/>
          <w:szCs w:val="21"/>
          <w:highlight w:val="none"/>
        </w:rPr>
        <w:t>项目名称：</w:t>
      </w:r>
      <w:r>
        <w:rPr>
          <w:rFonts w:hint="eastAsia" w:ascii="宋体" w:hAnsi="宋体" w:cs="仿宋_GB2312"/>
          <w:color w:val="auto"/>
          <w:sz w:val="21"/>
          <w:szCs w:val="21"/>
          <w:highlight w:val="none"/>
          <w:u w:val="single"/>
        </w:rPr>
        <w:t xml:space="preserve">                </w:t>
      </w:r>
    </w:p>
    <w:p w14:paraId="2DA246C2">
      <w:pPr>
        <w:snapToGrid w:val="0"/>
        <w:spacing w:before="50" w:after="50" w:line="360" w:lineRule="auto"/>
        <w:rPr>
          <w:rFonts w:hint="eastAsia" w:ascii="宋体" w:hAnsi="宋体" w:cs="仿宋_GB2312"/>
          <w:color w:val="auto"/>
          <w:sz w:val="21"/>
          <w:szCs w:val="21"/>
          <w:highlight w:val="none"/>
        </w:rPr>
      </w:pPr>
      <w:r>
        <w:rPr>
          <w:rFonts w:hint="eastAsia" w:ascii="宋体" w:hAnsi="宋体" w:cs="仿宋_GB2312"/>
          <w:color w:val="auto"/>
          <w:sz w:val="21"/>
          <w:szCs w:val="21"/>
          <w:highlight w:val="none"/>
        </w:rPr>
        <w:t>项目编号：</w:t>
      </w:r>
      <w:r>
        <w:rPr>
          <w:rFonts w:hint="eastAsia" w:ascii="宋体" w:hAnsi="宋体" w:cs="仿宋_GB2312"/>
          <w:color w:val="auto"/>
          <w:sz w:val="21"/>
          <w:szCs w:val="21"/>
          <w:highlight w:val="none"/>
          <w:u w:val="single"/>
        </w:rPr>
        <w:t xml:space="preserve">               </w:t>
      </w:r>
      <w:r>
        <w:rPr>
          <w:rFonts w:hint="eastAsia" w:ascii="宋体" w:hAnsi="宋体" w:cs="仿宋_GB2312"/>
          <w:color w:val="auto"/>
          <w:sz w:val="21"/>
          <w:szCs w:val="21"/>
          <w:highlight w:val="none"/>
        </w:rPr>
        <w:t xml:space="preserve"> </w:t>
      </w:r>
    </w:p>
    <w:p w14:paraId="20E024B0">
      <w:pPr>
        <w:snapToGrid w:val="0"/>
        <w:spacing w:before="50" w:after="50" w:line="360" w:lineRule="auto"/>
        <w:rPr>
          <w:rFonts w:hint="eastAsia" w:ascii="宋体" w:hAnsi="宋体" w:cs="仿宋_GB2312"/>
          <w:color w:val="auto"/>
          <w:sz w:val="21"/>
          <w:szCs w:val="21"/>
          <w:highlight w:val="none"/>
        </w:rPr>
      </w:pPr>
      <w:r>
        <w:rPr>
          <w:rFonts w:hint="eastAsia" w:ascii="宋体" w:hAnsi="宋体" w:cs="仿宋_GB2312"/>
          <w:color w:val="auto"/>
          <w:sz w:val="21"/>
          <w:szCs w:val="21"/>
          <w:highlight w:val="none"/>
        </w:rPr>
        <w:t>分标（如有）：</w:t>
      </w:r>
      <w:r>
        <w:rPr>
          <w:rFonts w:hint="eastAsia" w:ascii="宋体" w:hAnsi="宋体" w:cs="仿宋_GB2312"/>
          <w:color w:val="auto"/>
          <w:sz w:val="21"/>
          <w:szCs w:val="21"/>
          <w:highlight w:val="none"/>
          <w:u w:val="single"/>
        </w:rPr>
        <w:t xml:space="preserve">            </w:t>
      </w:r>
    </w:p>
    <w:p w14:paraId="5FF63EB1">
      <w:pPr>
        <w:ind w:left="-178" w:leftChars="-85" w:right="-512" w:rightChars="-244" w:firstLine="630" w:firstLineChars="300"/>
        <w:jc w:val="left"/>
        <w:rPr>
          <w:rFonts w:hint="eastAsia" w:cs="宋体"/>
          <w:color w:val="auto"/>
          <w:sz w:val="21"/>
          <w:szCs w:val="21"/>
        </w:rPr>
      </w:pPr>
      <w:r>
        <w:rPr>
          <w:color w:val="auto"/>
          <w:sz w:val="21"/>
          <w:szCs w:val="21"/>
        </w:rPr>
        <w:t xml:space="preserve">                                                  </w:t>
      </w:r>
      <w:r>
        <w:rPr>
          <w:rFonts w:hint="eastAsia"/>
          <w:color w:val="auto"/>
          <w:sz w:val="21"/>
          <w:szCs w:val="21"/>
          <w:lang w:val="en-US" w:eastAsia="zh-CN"/>
        </w:rPr>
        <w:t xml:space="preserve">    </w:t>
      </w:r>
      <w:r>
        <w:rPr>
          <w:rFonts w:hint="eastAsia" w:cs="宋体"/>
          <w:color w:val="auto"/>
          <w:sz w:val="21"/>
          <w:szCs w:val="21"/>
        </w:rPr>
        <w:t>币种：人民币</w:t>
      </w:r>
    </w:p>
    <w:tbl>
      <w:tblPr>
        <w:tblStyle w:val="28"/>
        <w:tblW w:w="9543"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9"/>
        <w:gridCol w:w="1364"/>
        <w:gridCol w:w="1395"/>
        <w:gridCol w:w="1276"/>
        <w:gridCol w:w="1440"/>
        <w:gridCol w:w="1320"/>
        <w:gridCol w:w="1215"/>
        <w:gridCol w:w="794"/>
      </w:tblGrid>
      <w:tr w14:paraId="7F539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right"/>
        </w:trPr>
        <w:tc>
          <w:tcPr>
            <w:tcW w:w="739" w:type="dxa"/>
            <w:tcBorders>
              <w:top w:val="single" w:color="auto" w:sz="4" w:space="0"/>
              <w:left w:val="single" w:color="auto" w:sz="4" w:space="0"/>
              <w:bottom w:val="single" w:color="auto" w:sz="4" w:space="0"/>
              <w:right w:val="single" w:color="auto" w:sz="4" w:space="0"/>
            </w:tcBorders>
            <w:noWrap w:val="0"/>
            <w:vAlign w:val="center"/>
          </w:tcPr>
          <w:p w14:paraId="75EA3642">
            <w:pPr>
              <w:spacing w:line="360" w:lineRule="auto"/>
              <w:contextualSpacing/>
              <w:jc w:val="center"/>
              <w:rPr>
                <w:rFonts w:ascii="宋体" w:hAnsi="宋体" w:cs="仿宋_GB2312"/>
                <w:color w:val="auto"/>
                <w:sz w:val="21"/>
                <w:szCs w:val="21"/>
                <w:highlight w:val="none"/>
              </w:rPr>
            </w:pPr>
            <w:r>
              <w:rPr>
                <w:rFonts w:ascii="宋体" w:hAnsi="宋体" w:cs="仿宋_GB2312"/>
                <w:color w:val="auto"/>
                <w:sz w:val="21"/>
                <w:szCs w:val="21"/>
                <w:highlight w:val="none"/>
              </w:rPr>
              <w:t>序号</w:t>
            </w:r>
          </w:p>
        </w:tc>
        <w:tc>
          <w:tcPr>
            <w:tcW w:w="1364" w:type="dxa"/>
            <w:tcBorders>
              <w:top w:val="single" w:color="auto" w:sz="4" w:space="0"/>
              <w:left w:val="single" w:color="auto" w:sz="4" w:space="0"/>
              <w:bottom w:val="single" w:color="auto" w:sz="4" w:space="0"/>
              <w:right w:val="single" w:color="auto" w:sz="4" w:space="0"/>
            </w:tcBorders>
            <w:noWrap w:val="0"/>
            <w:vAlign w:val="center"/>
          </w:tcPr>
          <w:p w14:paraId="602D8F54">
            <w:pPr>
              <w:spacing w:line="360" w:lineRule="auto"/>
              <w:contextualSpacing/>
              <w:jc w:val="center"/>
              <w:rPr>
                <w:rFonts w:ascii="宋体" w:hAnsi="宋体" w:cs="仿宋_GB2312"/>
                <w:color w:val="auto"/>
                <w:sz w:val="21"/>
                <w:szCs w:val="21"/>
                <w:highlight w:val="none"/>
              </w:rPr>
            </w:pPr>
            <w:r>
              <w:rPr>
                <w:rFonts w:hint="eastAsia" w:ascii="宋体" w:hAnsi="宋体" w:cs="仿宋_GB2312"/>
                <w:color w:val="auto"/>
                <w:sz w:val="21"/>
                <w:szCs w:val="21"/>
                <w:highlight w:val="none"/>
                <w:lang w:val="en-US" w:eastAsia="zh-CN"/>
              </w:rPr>
              <w:t>标</w:t>
            </w:r>
            <w:r>
              <w:rPr>
                <w:rFonts w:hint="eastAsia" w:ascii="宋体" w:hAnsi="宋体" w:cs="仿宋_GB2312"/>
                <w:color w:val="auto"/>
                <w:sz w:val="21"/>
                <w:szCs w:val="21"/>
                <w:highlight w:val="none"/>
              </w:rPr>
              <w:t>的</w:t>
            </w:r>
            <w:r>
              <w:rPr>
                <w:rFonts w:hint="eastAsia" w:ascii="宋体" w:hAnsi="宋体" w:cs="仿宋_GB2312"/>
                <w:color w:val="auto"/>
                <w:sz w:val="21"/>
                <w:szCs w:val="21"/>
                <w:highlight w:val="none"/>
                <w:lang w:val="en-US" w:eastAsia="zh-CN"/>
              </w:rPr>
              <w:t>的名称</w:t>
            </w:r>
          </w:p>
        </w:tc>
        <w:tc>
          <w:tcPr>
            <w:tcW w:w="1395" w:type="dxa"/>
            <w:tcBorders>
              <w:top w:val="single" w:color="auto" w:sz="4" w:space="0"/>
              <w:left w:val="single" w:color="auto" w:sz="4" w:space="0"/>
              <w:bottom w:val="single" w:color="auto" w:sz="4" w:space="0"/>
              <w:right w:val="single" w:color="auto" w:sz="4" w:space="0"/>
            </w:tcBorders>
            <w:noWrap w:val="0"/>
            <w:vAlign w:val="center"/>
          </w:tcPr>
          <w:p w14:paraId="5626420C">
            <w:pPr>
              <w:spacing w:line="360" w:lineRule="auto"/>
              <w:contextualSpacing/>
              <w:jc w:val="center"/>
              <w:rPr>
                <w:rFonts w:ascii="宋体" w:hAnsi="宋体" w:cs="仿宋_GB2312"/>
                <w:color w:val="auto"/>
                <w:sz w:val="21"/>
                <w:szCs w:val="21"/>
                <w:highlight w:val="none"/>
              </w:rPr>
            </w:pPr>
            <w:r>
              <w:rPr>
                <w:rFonts w:hint="eastAsia" w:ascii="宋体" w:hAnsi="宋体" w:cs="仿宋_GB2312"/>
                <w:color w:val="auto"/>
                <w:sz w:val="21"/>
                <w:szCs w:val="21"/>
                <w:highlight w:val="none"/>
              </w:rPr>
              <w:t>竞标报价</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72C7208D">
            <w:pPr>
              <w:spacing w:line="360" w:lineRule="auto"/>
              <w:contextualSpacing/>
              <w:jc w:val="center"/>
              <w:rPr>
                <w:rFonts w:hint="eastAsia" w:ascii="宋体" w:hAnsi="宋体" w:cs="仿宋_GB2312"/>
                <w:color w:val="auto"/>
                <w:sz w:val="21"/>
                <w:szCs w:val="21"/>
                <w:highlight w:val="none"/>
              </w:rPr>
            </w:pPr>
            <w:r>
              <w:rPr>
                <w:rFonts w:hint="eastAsia" w:ascii="宋体" w:hAnsi="宋体" w:cs="仿宋_GB2312"/>
                <w:color w:val="auto"/>
                <w:sz w:val="21"/>
                <w:szCs w:val="21"/>
                <w:highlight w:val="none"/>
              </w:rPr>
              <w:t>施工范围</w:t>
            </w:r>
          </w:p>
        </w:tc>
        <w:tc>
          <w:tcPr>
            <w:tcW w:w="1440" w:type="dxa"/>
            <w:tcBorders>
              <w:top w:val="single" w:color="auto" w:sz="4" w:space="0"/>
              <w:left w:val="single" w:color="auto" w:sz="4" w:space="0"/>
              <w:bottom w:val="single" w:color="auto" w:sz="4" w:space="0"/>
              <w:right w:val="single" w:color="auto" w:sz="4" w:space="0"/>
            </w:tcBorders>
            <w:noWrap w:val="0"/>
            <w:vAlign w:val="center"/>
          </w:tcPr>
          <w:p w14:paraId="028CEF34">
            <w:pPr>
              <w:spacing w:line="360" w:lineRule="auto"/>
              <w:contextualSpacing/>
              <w:jc w:val="center"/>
              <w:rPr>
                <w:rFonts w:ascii="宋体" w:hAnsi="宋体" w:cs="仿宋_GB2312"/>
                <w:color w:val="auto"/>
                <w:sz w:val="21"/>
                <w:szCs w:val="21"/>
                <w:highlight w:val="none"/>
              </w:rPr>
            </w:pPr>
            <w:r>
              <w:rPr>
                <w:rFonts w:hint="eastAsia" w:ascii="宋体" w:hAnsi="宋体" w:cs="仿宋_GB2312"/>
                <w:color w:val="auto"/>
                <w:sz w:val="21"/>
                <w:szCs w:val="21"/>
                <w:highlight w:val="none"/>
              </w:rPr>
              <w:t>施工工期</w:t>
            </w:r>
          </w:p>
        </w:tc>
        <w:tc>
          <w:tcPr>
            <w:tcW w:w="1320" w:type="dxa"/>
            <w:tcBorders>
              <w:top w:val="single" w:color="auto" w:sz="4" w:space="0"/>
              <w:left w:val="single" w:color="auto" w:sz="4" w:space="0"/>
              <w:bottom w:val="single" w:color="auto" w:sz="4" w:space="0"/>
              <w:right w:val="single" w:color="auto" w:sz="4" w:space="0"/>
            </w:tcBorders>
            <w:noWrap w:val="0"/>
            <w:vAlign w:val="center"/>
          </w:tcPr>
          <w:p w14:paraId="3B6C3F4D">
            <w:pPr>
              <w:spacing w:line="360" w:lineRule="auto"/>
              <w:contextualSpacing/>
              <w:jc w:val="center"/>
              <w:rPr>
                <w:rFonts w:ascii="宋体" w:hAnsi="宋体" w:cs="仿宋_GB2312"/>
                <w:color w:val="auto"/>
                <w:sz w:val="21"/>
                <w:szCs w:val="21"/>
                <w:highlight w:val="none"/>
              </w:rPr>
            </w:pPr>
            <w:r>
              <w:rPr>
                <w:rFonts w:hint="eastAsia" w:ascii="宋体" w:hAnsi="宋体" w:cs="仿宋_GB2312"/>
                <w:color w:val="auto"/>
                <w:sz w:val="21"/>
                <w:szCs w:val="21"/>
                <w:highlight w:val="none"/>
              </w:rPr>
              <w:t>项目经理</w:t>
            </w:r>
          </w:p>
        </w:tc>
        <w:tc>
          <w:tcPr>
            <w:tcW w:w="1215" w:type="dxa"/>
            <w:tcBorders>
              <w:top w:val="single" w:color="auto" w:sz="4" w:space="0"/>
              <w:left w:val="single" w:color="auto" w:sz="4" w:space="0"/>
              <w:bottom w:val="single" w:color="auto" w:sz="4" w:space="0"/>
              <w:right w:val="single" w:color="auto" w:sz="4" w:space="0"/>
            </w:tcBorders>
            <w:noWrap w:val="0"/>
            <w:vAlign w:val="center"/>
          </w:tcPr>
          <w:p w14:paraId="3A5D5D60">
            <w:pPr>
              <w:spacing w:line="360" w:lineRule="auto"/>
              <w:contextualSpacing/>
              <w:jc w:val="center"/>
              <w:rPr>
                <w:rFonts w:ascii="宋体" w:hAnsi="宋体" w:cs="仿宋_GB2312"/>
                <w:color w:val="auto"/>
                <w:sz w:val="21"/>
                <w:szCs w:val="21"/>
                <w:highlight w:val="none"/>
              </w:rPr>
            </w:pPr>
            <w:r>
              <w:rPr>
                <w:rFonts w:hint="eastAsia" w:ascii="宋体" w:hAnsi="宋体" w:cs="仿宋_GB2312"/>
                <w:color w:val="auto"/>
                <w:sz w:val="21"/>
                <w:szCs w:val="21"/>
                <w:highlight w:val="none"/>
              </w:rPr>
              <w:t>执业证书信息</w:t>
            </w:r>
          </w:p>
        </w:tc>
        <w:tc>
          <w:tcPr>
            <w:tcW w:w="794" w:type="dxa"/>
            <w:tcBorders>
              <w:top w:val="single" w:color="auto" w:sz="4" w:space="0"/>
              <w:left w:val="single" w:color="auto" w:sz="4" w:space="0"/>
              <w:bottom w:val="single" w:color="auto" w:sz="4" w:space="0"/>
              <w:right w:val="single" w:color="auto" w:sz="4" w:space="0"/>
            </w:tcBorders>
            <w:noWrap w:val="0"/>
            <w:vAlign w:val="center"/>
          </w:tcPr>
          <w:p w14:paraId="2530BC6E">
            <w:pPr>
              <w:spacing w:line="360" w:lineRule="auto"/>
              <w:contextualSpacing/>
              <w:jc w:val="center"/>
              <w:rPr>
                <w:rFonts w:ascii="宋体" w:hAnsi="宋体" w:cs="仿宋_GB2312"/>
                <w:color w:val="auto"/>
                <w:sz w:val="21"/>
                <w:szCs w:val="21"/>
                <w:highlight w:val="none"/>
              </w:rPr>
            </w:pPr>
            <w:r>
              <w:rPr>
                <w:rFonts w:hint="eastAsia" w:ascii="宋体" w:hAnsi="宋体" w:cs="仿宋_GB2312"/>
                <w:color w:val="auto"/>
                <w:sz w:val="21"/>
                <w:szCs w:val="21"/>
                <w:highlight w:val="none"/>
              </w:rPr>
              <w:t>备注</w:t>
            </w:r>
          </w:p>
        </w:tc>
      </w:tr>
      <w:tr w14:paraId="6915B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right"/>
        </w:trPr>
        <w:tc>
          <w:tcPr>
            <w:tcW w:w="739" w:type="dxa"/>
            <w:tcBorders>
              <w:top w:val="single" w:color="auto" w:sz="4" w:space="0"/>
              <w:left w:val="single" w:color="auto" w:sz="4" w:space="0"/>
              <w:bottom w:val="single" w:color="auto" w:sz="4" w:space="0"/>
              <w:right w:val="single" w:color="auto" w:sz="4" w:space="0"/>
            </w:tcBorders>
            <w:noWrap w:val="0"/>
            <w:vAlign w:val="center"/>
          </w:tcPr>
          <w:p w14:paraId="3FEF0943">
            <w:pPr>
              <w:spacing w:line="360" w:lineRule="auto"/>
              <w:contextualSpacing/>
              <w:jc w:val="center"/>
              <w:rPr>
                <w:rFonts w:ascii="宋体" w:hAnsi="宋体" w:cs="仿宋_GB2312"/>
                <w:color w:val="auto"/>
                <w:sz w:val="21"/>
                <w:szCs w:val="21"/>
                <w:highlight w:val="none"/>
              </w:rPr>
            </w:pPr>
            <w:r>
              <w:rPr>
                <w:rFonts w:ascii="宋体" w:hAnsi="宋体" w:cs="仿宋_GB2312"/>
                <w:color w:val="auto"/>
                <w:sz w:val="21"/>
                <w:szCs w:val="21"/>
                <w:highlight w:val="none"/>
              </w:rPr>
              <w:t>1</w:t>
            </w:r>
          </w:p>
        </w:tc>
        <w:tc>
          <w:tcPr>
            <w:tcW w:w="1364" w:type="dxa"/>
            <w:tcBorders>
              <w:top w:val="single" w:color="auto" w:sz="4" w:space="0"/>
              <w:left w:val="single" w:color="auto" w:sz="4" w:space="0"/>
              <w:bottom w:val="single" w:color="auto" w:sz="4" w:space="0"/>
              <w:right w:val="single" w:color="auto" w:sz="4" w:space="0"/>
            </w:tcBorders>
            <w:noWrap w:val="0"/>
            <w:vAlign w:val="center"/>
          </w:tcPr>
          <w:p w14:paraId="08B9C4AF">
            <w:pPr>
              <w:spacing w:line="360" w:lineRule="auto"/>
              <w:contextualSpacing/>
              <w:jc w:val="center"/>
              <w:rPr>
                <w:rFonts w:ascii="宋体" w:hAnsi="宋体" w:cs="仿宋_GB2312"/>
                <w:color w:val="auto"/>
                <w:sz w:val="21"/>
                <w:szCs w:val="21"/>
                <w:highlight w:val="none"/>
              </w:rPr>
            </w:pPr>
          </w:p>
        </w:tc>
        <w:tc>
          <w:tcPr>
            <w:tcW w:w="1395" w:type="dxa"/>
            <w:tcBorders>
              <w:top w:val="single" w:color="auto" w:sz="4" w:space="0"/>
              <w:left w:val="single" w:color="auto" w:sz="4" w:space="0"/>
              <w:bottom w:val="single" w:color="auto" w:sz="4" w:space="0"/>
              <w:right w:val="single" w:color="auto" w:sz="4" w:space="0"/>
            </w:tcBorders>
            <w:noWrap w:val="0"/>
            <w:vAlign w:val="center"/>
          </w:tcPr>
          <w:p w14:paraId="34DE8C03">
            <w:pPr>
              <w:spacing w:line="360" w:lineRule="auto"/>
              <w:contextualSpacing/>
              <w:jc w:val="center"/>
              <w:rPr>
                <w:rFonts w:ascii="宋体" w:hAnsi="宋体" w:cs="仿宋_GB2312"/>
                <w:color w:val="auto"/>
                <w:sz w:val="21"/>
                <w:szCs w:val="21"/>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54B38B41">
            <w:pPr>
              <w:spacing w:line="360" w:lineRule="auto"/>
              <w:contextualSpacing/>
              <w:jc w:val="center"/>
              <w:rPr>
                <w:rFonts w:ascii="宋体" w:hAnsi="宋体" w:cs="仿宋_GB2312"/>
                <w:color w:val="auto"/>
                <w:sz w:val="21"/>
                <w:szCs w:val="21"/>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top"/>
          </w:tcPr>
          <w:p w14:paraId="631208A8">
            <w:pPr>
              <w:spacing w:line="360" w:lineRule="auto"/>
              <w:contextualSpacing/>
              <w:rPr>
                <w:rFonts w:ascii="宋体" w:hAnsi="宋体" w:cs="仿宋_GB2312"/>
                <w:color w:val="auto"/>
                <w:sz w:val="21"/>
                <w:szCs w:val="21"/>
                <w:highlight w:val="none"/>
              </w:rPr>
            </w:pPr>
          </w:p>
        </w:tc>
        <w:tc>
          <w:tcPr>
            <w:tcW w:w="1320" w:type="dxa"/>
            <w:tcBorders>
              <w:top w:val="single" w:color="auto" w:sz="4" w:space="0"/>
              <w:left w:val="single" w:color="auto" w:sz="4" w:space="0"/>
              <w:bottom w:val="single" w:color="auto" w:sz="4" w:space="0"/>
              <w:right w:val="single" w:color="auto" w:sz="4" w:space="0"/>
            </w:tcBorders>
            <w:noWrap w:val="0"/>
            <w:vAlign w:val="center"/>
          </w:tcPr>
          <w:p w14:paraId="257001C0">
            <w:pPr>
              <w:spacing w:line="360" w:lineRule="auto"/>
              <w:contextualSpacing/>
              <w:rPr>
                <w:rFonts w:ascii="宋体" w:hAnsi="宋体" w:cs="仿宋_GB2312"/>
                <w:color w:val="auto"/>
                <w:sz w:val="21"/>
                <w:szCs w:val="21"/>
                <w:highlight w:val="none"/>
              </w:rPr>
            </w:pPr>
          </w:p>
        </w:tc>
        <w:tc>
          <w:tcPr>
            <w:tcW w:w="1215" w:type="dxa"/>
            <w:tcBorders>
              <w:top w:val="single" w:color="auto" w:sz="4" w:space="0"/>
              <w:left w:val="single" w:color="auto" w:sz="4" w:space="0"/>
              <w:bottom w:val="single" w:color="auto" w:sz="4" w:space="0"/>
              <w:right w:val="single" w:color="auto" w:sz="4" w:space="0"/>
            </w:tcBorders>
            <w:noWrap w:val="0"/>
            <w:vAlign w:val="center"/>
          </w:tcPr>
          <w:p w14:paraId="393A91B0">
            <w:pPr>
              <w:spacing w:line="360" w:lineRule="auto"/>
              <w:contextualSpacing/>
              <w:rPr>
                <w:rFonts w:ascii="宋体" w:hAnsi="宋体" w:cs="仿宋_GB2312"/>
                <w:color w:val="auto"/>
                <w:sz w:val="21"/>
                <w:szCs w:val="21"/>
                <w:highlight w:val="none"/>
              </w:rPr>
            </w:pPr>
          </w:p>
        </w:tc>
        <w:tc>
          <w:tcPr>
            <w:tcW w:w="794" w:type="dxa"/>
            <w:tcBorders>
              <w:top w:val="single" w:color="auto" w:sz="4" w:space="0"/>
              <w:left w:val="single" w:color="auto" w:sz="4" w:space="0"/>
              <w:bottom w:val="single" w:color="auto" w:sz="4" w:space="0"/>
              <w:right w:val="single" w:color="auto" w:sz="4" w:space="0"/>
            </w:tcBorders>
            <w:noWrap w:val="0"/>
            <w:vAlign w:val="center"/>
          </w:tcPr>
          <w:p w14:paraId="38529D3C">
            <w:pPr>
              <w:spacing w:line="360" w:lineRule="auto"/>
              <w:contextualSpacing/>
              <w:rPr>
                <w:rFonts w:ascii="宋体" w:hAnsi="宋体" w:cs="仿宋_GB2312"/>
                <w:color w:val="auto"/>
                <w:sz w:val="21"/>
                <w:szCs w:val="21"/>
                <w:highlight w:val="none"/>
              </w:rPr>
            </w:pPr>
          </w:p>
        </w:tc>
      </w:tr>
      <w:tr w14:paraId="52F11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3" w:hRule="atLeast"/>
          <w:jc w:val="right"/>
        </w:trPr>
        <w:tc>
          <w:tcPr>
            <w:tcW w:w="9543" w:type="dxa"/>
            <w:gridSpan w:val="8"/>
            <w:tcBorders>
              <w:top w:val="single" w:color="auto" w:sz="4" w:space="0"/>
              <w:left w:val="single" w:color="auto" w:sz="4" w:space="0"/>
              <w:bottom w:val="single" w:color="auto" w:sz="4" w:space="0"/>
              <w:right w:val="single" w:color="auto" w:sz="4" w:space="0"/>
            </w:tcBorders>
            <w:noWrap w:val="0"/>
            <w:vAlign w:val="center"/>
          </w:tcPr>
          <w:p w14:paraId="165A0B47">
            <w:pPr>
              <w:spacing w:line="360" w:lineRule="auto"/>
              <w:contextualSpacing/>
              <w:rPr>
                <w:rFonts w:hint="eastAsia" w:ascii="宋体" w:hAnsi="宋体" w:cs="仿宋_GB2312"/>
                <w:color w:val="auto"/>
                <w:sz w:val="21"/>
                <w:szCs w:val="21"/>
                <w:highlight w:val="none"/>
              </w:rPr>
            </w:pPr>
            <w:r>
              <w:rPr>
                <w:rFonts w:hint="eastAsia" w:ascii="宋体" w:hAnsi="宋体" w:cs="仿宋_GB2312"/>
                <w:color w:val="auto"/>
                <w:sz w:val="21"/>
                <w:szCs w:val="21"/>
                <w:highlight w:val="none"/>
              </w:rPr>
              <w:t>合计金额（人民币）</w:t>
            </w:r>
            <w:r>
              <w:rPr>
                <w:rFonts w:hint="eastAsia" w:ascii="宋体" w:hAnsi="宋体" w:cs="仿宋_GB2312"/>
                <w:color w:val="auto"/>
                <w:sz w:val="21"/>
                <w:szCs w:val="21"/>
                <w:highlight w:val="none"/>
                <w:u w:val="single"/>
              </w:rPr>
              <w:t xml:space="preserve">大写：                      </w:t>
            </w:r>
            <w:r>
              <w:rPr>
                <w:rFonts w:hint="eastAsia" w:ascii="宋体" w:hAnsi="宋体" w:cs="仿宋_GB2312"/>
                <w:color w:val="auto"/>
                <w:sz w:val="21"/>
                <w:szCs w:val="21"/>
                <w:highlight w:val="none"/>
              </w:rPr>
              <w:t xml:space="preserve"> （</w:t>
            </w:r>
            <w:r>
              <w:rPr>
                <w:rFonts w:ascii="宋体" w:hAnsi="宋体" w:cs="仿宋_GB2312"/>
                <w:color w:val="auto"/>
                <w:sz w:val="21"/>
                <w:szCs w:val="21"/>
                <w:highlight w:val="none"/>
              </w:rPr>
              <w:t>¥</w:t>
            </w:r>
            <w:r>
              <w:rPr>
                <w:rFonts w:hint="eastAsia" w:ascii="宋体" w:hAnsi="宋体" w:cs="仿宋_GB2312"/>
                <w:color w:val="auto"/>
                <w:sz w:val="21"/>
                <w:szCs w:val="21"/>
                <w:highlight w:val="none"/>
                <w:u w:val="single"/>
              </w:rPr>
              <w:t xml:space="preserve">                </w:t>
            </w:r>
            <w:r>
              <w:rPr>
                <w:rFonts w:hint="eastAsia" w:ascii="宋体" w:hAnsi="宋体" w:cs="仿宋_GB2312"/>
                <w:color w:val="auto"/>
                <w:sz w:val="21"/>
                <w:szCs w:val="21"/>
                <w:highlight w:val="none"/>
              </w:rPr>
              <w:t>）</w:t>
            </w:r>
          </w:p>
        </w:tc>
      </w:tr>
    </w:tbl>
    <w:p w14:paraId="578D5C87">
      <w:pPr>
        <w:pStyle w:val="35"/>
        <w:rPr>
          <w:color w:val="auto"/>
          <w:sz w:val="21"/>
          <w:szCs w:val="21"/>
        </w:rPr>
      </w:pPr>
    </w:p>
    <w:p w14:paraId="2A5C27EA">
      <w:pPr>
        <w:pStyle w:val="13"/>
        <w:rPr>
          <w:color w:val="auto"/>
        </w:rPr>
      </w:pPr>
    </w:p>
    <w:p w14:paraId="27537C3E">
      <w:pPr>
        <w:pStyle w:val="35"/>
        <w:spacing w:before="0" w:after="0" w:line="560" w:lineRule="exact"/>
        <w:jc w:val="both"/>
        <w:rPr>
          <w:rFonts w:hint="eastAsia" w:ascii="宋体" w:hAnsi="宋体" w:eastAsia="宋体" w:cs="宋体"/>
          <w:color w:val="auto"/>
          <w:spacing w:val="0"/>
          <w:sz w:val="21"/>
          <w:szCs w:val="21"/>
        </w:rPr>
      </w:pPr>
    </w:p>
    <w:p w14:paraId="30AF7848">
      <w:pPr>
        <w:pStyle w:val="35"/>
        <w:spacing w:before="0" w:after="0" w:line="560" w:lineRule="exact"/>
        <w:rPr>
          <w:rFonts w:hint="eastAsia" w:ascii="宋体" w:hAnsi="宋体" w:eastAsia="宋体" w:cs="宋体"/>
          <w:color w:val="auto"/>
          <w:spacing w:val="0"/>
          <w:sz w:val="21"/>
          <w:szCs w:val="21"/>
        </w:rPr>
      </w:pPr>
    </w:p>
    <w:p w14:paraId="4F251526">
      <w:pPr>
        <w:pStyle w:val="35"/>
        <w:spacing w:before="0" w:after="0" w:line="560" w:lineRule="exact"/>
        <w:ind w:firstLine="5880" w:firstLineChars="2800"/>
        <w:jc w:val="both"/>
        <w:rPr>
          <w:rFonts w:hint="eastAsia" w:ascii="宋体" w:hAnsi="宋体" w:eastAsia="宋体" w:cs="宋体"/>
          <w:color w:val="auto"/>
          <w:spacing w:val="0"/>
          <w:sz w:val="21"/>
          <w:szCs w:val="21"/>
          <w:u w:val="single"/>
        </w:rPr>
      </w:pPr>
      <w:r>
        <w:rPr>
          <w:rFonts w:hint="eastAsia" w:ascii="宋体" w:hAnsi="宋体" w:eastAsia="宋体" w:cs="宋体"/>
          <w:color w:val="auto"/>
          <w:spacing w:val="0"/>
          <w:sz w:val="21"/>
          <w:szCs w:val="21"/>
        </w:rPr>
        <w:t>供应商</w:t>
      </w:r>
      <w:r>
        <w:rPr>
          <w:rFonts w:hint="eastAsia" w:ascii="宋体" w:hAnsi="宋体" w:cs="宋体"/>
          <w:color w:val="auto"/>
          <w:spacing w:val="0"/>
          <w:sz w:val="21"/>
          <w:szCs w:val="21"/>
          <w:lang w:val="en-US" w:eastAsia="zh-CN"/>
        </w:rPr>
        <w:t>名称</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电子签章</w:t>
      </w:r>
      <w:r>
        <w:rPr>
          <w:rFonts w:hint="eastAsia" w:ascii="宋体" w:hAnsi="宋体" w:eastAsia="宋体" w:cs="宋体"/>
          <w:color w:val="auto"/>
          <w:sz w:val="21"/>
          <w:szCs w:val="21"/>
          <w:highlight w:val="none"/>
        </w:rPr>
        <w:t>）</w:t>
      </w:r>
      <w:r>
        <w:rPr>
          <w:rFonts w:hint="eastAsia" w:ascii="宋体" w:hAnsi="宋体" w:eastAsia="宋体" w:cs="宋体"/>
          <w:color w:val="auto"/>
          <w:spacing w:val="0"/>
          <w:sz w:val="21"/>
          <w:szCs w:val="21"/>
        </w:rPr>
        <w:t>：</w:t>
      </w:r>
      <w:r>
        <w:rPr>
          <w:rFonts w:hint="eastAsia" w:ascii="宋体" w:hAnsi="宋体" w:eastAsia="宋体" w:cs="宋体"/>
          <w:color w:val="auto"/>
          <w:spacing w:val="0"/>
          <w:sz w:val="21"/>
          <w:szCs w:val="21"/>
          <w:u w:val="single"/>
        </w:rPr>
        <w:t xml:space="preserve">            </w:t>
      </w:r>
    </w:p>
    <w:p w14:paraId="6F932661">
      <w:pPr>
        <w:pStyle w:val="35"/>
        <w:spacing w:before="0" w:after="0" w:line="560" w:lineRule="exact"/>
        <w:ind w:firstLine="2940" w:firstLineChars="1400"/>
        <w:rPr>
          <w:rFonts w:hint="eastAsia" w:ascii="宋体" w:hAnsi="宋体" w:eastAsia="宋体" w:cs="宋体"/>
          <w:color w:val="auto"/>
          <w:spacing w:val="0"/>
          <w:sz w:val="21"/>
          <w:szCs w:val="21"/>
          <w:u w:val="single"/>
        </w:rPr>
      </w:pPr>
      <w:r>
        <w:rPr>
          <w:rFonts w:hint="eastAsia" w:ascii="宋体" w:hAnsi="宋体" w:eastAsia="宋体" w:cs="宋体"/>
          <w:color w:val="auto"/>
          <w:spacing w:val="0"/>
          <w:sz w:val="21"/>
          <w:szCs w:val="21"/>
        </w:rPr>
        <w:t>法定代表人或委托代理人</w:t>
      </w:r>
      <w:r>
        <w:rPr>
          <w:rFonts w:hint="eastAsia" w:ascii="宋体" w:hAnsi="宋体" w:cs="宋体"/>
          <w:color w:val="auto"/>
          <w:spacing w:val="0"/>
          <w:sz w:val="21"/>
          <w:szCs w:val="21"/>
          <w:lang w:eastAsia="zh-CN"/>
        </w:rPr>
        <w:t>（</w:t>
      </w:r>
      <w:r>
        <w:rPr>
          <w:rFonts w:hint="eastAsia" w:ascii="宋体" w:hAnsi="宋体" w:eastAsia="宋体" w:cs="宋体"/>
          <w:color w:val="auto"/>
          <w:spacing w:val="0"/>
          <w:sz w:val="21"/>
          <w:szCs w:val="21"/>
        </w:rPr>
        <w:t>签字或者盖章或者电子签名</w:t>
      </w:r>
      <w:r>
        <w:rPr>
          <w:rFonts w:hint="eastAsia" w:ascii="宋体" w:hAnsi="宋体" w:cs="宋体"/>
          <w:color w:val="auto"/>
          <w:spacing w:val="0"/>
          <w:sz w:val="21"/>
          <w:szCs w:val="21"/>
          <w:lang w:eastAsia="zh-CN"/>
        </w:rPr>
        <w:t>）</w:t>
      </w:r>
      <w:r>
        <w:rPr>
          <w:rFonts w:hint="eastAsia" w:ascii="宋体" w:hAnsi="宋体" w:eastAsia="宋体" w:cs="宋体"/>
          <w:color w:val="auto"/>
          <w:spacing w:val="0"/>
          <w:sz w:val="21"/>
          <w:szCs w:val="21"/>
        </w:rPr>
        <w:t>：</w:t>
      </w:r>
      <w:r>
        <w:rPr>
          <w:rFonts w:hint="eastAsia" w:ascii="宋体" w:hAnsi="宋体" w:eastAsia="宋体" w:cs="宋体"/>
          <w:color w:val="auto"/>
          <w:spacing w:val="0"/>
          <w:sz w:val="21"/>
          <w:szCs w:val="21"/>
          <w:u w:val="single"/>
        </w:rPr>
        <w:t xml:space="preserve">                 </w:t>
      </w:r>
    </w:p>
    <w:p w14:paraId="76FAA2DE">
      <w:pPr>
        <w:pStyle w:val="35"/>
        <w:spacing w:before="0" w:after="0" w:line="560" w:lineRule="exact"/>
        <w:ind w:firstLine="5670" w:firstLineChars="2700"/>
        <w:rPr>
          <w:rFonts w:hint="eastAsia" w:ascii="宋体" w:hAnsi="宋体" w:eastAsia="宋体" w:cs="宋体"/>
          <w:color w:val="auto"/>
          <w:spacing w:val="0"/>
          <w:sz w:val="21"/>
          <w:szCs w:val="21"/>
        </w:rPr>
      </w:pPr>
      <w:r>
        <w:rPr>
          <w:rFonts w:hint="eastAsia" w:ascii="宋体" w:hAnsi="宋体" w:eastAsia="宋体" w:cs="宋体"/>
          <w:color w:val="auto"/>
          <w:spacing w:val="0"/>
          <w:sz w:val="21"/>
          <w:szCs w:val="21"/>
        </w:rPr>
        <w:t>日期：</w:t>
      </w:r>
      <w:r>
        <w:rPr>
          <w:rFonts w:hint="eastAsia" w:ascii="宋体" w:hAnsi="宋体" w:eastAsia="宋体" w:cs="宋体"/>
          <w:color w:val="auto"/>
          <w:spacing w:val="0"/>
          <w:sz w:val="21"/>
          <w:szCs w:val="21"/>
          <w:u w:val="single"/>
        </w:rPr>
        <w:t xml:space="preserve">     </w:t>
      </w:r>
      <w:r>
        <w:rPr>
          <w:rFonts w:hint="eastAsia" w:ascii="宋体" w:hAnsi="宋体" w:eastAsia="宋体" w:cs="宋体"/>
          <w:color w:val="auto"/>
          <w:spacing w:val="0"/>
          <w:sz w:val="21"/>
          <w:szCs w:val="21"/>
        </w:rPr>
        <w:t xml:space="preserve"> 年</w:t>
      </w:r>
      <w:r>
        <w:rPr>
          <w:rFonts w:hint="eastAsia" w:ascii="宋体" w:hAnsi="宋体" w:eastAsia="宋体" w:cs="宋体"/>
          <w:color w:val="auto"/>
          <w:spacing w:val="0"/>
          <w:sz w:val="21"/>
          <w:szCs w:val="21"/>
          <w:u w:val="single"/>
        </w:rPr>
        <w:t xml:space="preserve">     </w:t>
      </w:r>
      <w:r>
        <w:rPr>
          <w:rFonts w:hint="eastAsia" w:ascii="宋体" w:hAnsi="宋体" w:eastAsia="宋体" w:cs="宋体"/>
          <w:color w:val="auto"/>
          <w:spacing w:val="0"/>
          <w:sz w:val="21"/>
          <w:szCs w:val="21"/>
        </w:rPr>
        <w:t xml:space="preserve"> 月</w:t>
      </w:r>
      <w:r>
        <w:rPr>
          <w:rFonts w:hint="eastAsia" w:ascii="宋体" w:hAnsi="宋体" w:eastAsia="宋体" w:cs="宋体"/>
          <w:color w:val="auto"/>
          <w:spacing w:val="0"/>
          <w:sz w:val="21"/>
          <w:szCs w:val="21"/>
          <w:u w:val="single"/>
        </w:rPr>
        <w:t xml:space="preserve">    </w:t>
      </w:r>
      <w:r>
        <w:rPr>
          <w:rFonts w:hint="eastAsia" w:ascii="宋体" w:hAnsi="宋体" w:eastAsia="宋体" w:cs="宋体"/>
          <w:color w:val="auto"/>
          <w:spacing w:val="0"/>
          <w:sz w:val="21"/>
          <w:szCs w:val="21"/>
        </w:rPr>
        <w:t xml:space="preserve"> 日</w:t>
      </w:r>
    </w:p>
    <w:p w14:paraId="23A209E3">
      <w:pPr>
        <w:spacing w:before="240" w:beforeLines="100" w:after="120" w:afterLines="50" w:line="520" w:lineRule="exact"/>
        <w:ind w:left="540"/>
        <w:jc w:val="center"/>
        <w:rPr>
          <w:rFonts w:hint="eastAsia" w:ascii="宋体" w:hAnsi="宋体" w:eastAsia="宋体" w:cs="宋体"/>
          <w:bCs/>
          <w:color w:val="auto"/>
          <w:sz w:val="44"/>
          <w:szCs w:val="44"/>
          <w:highlight w:val="none"/>
        </w:rPr>
      </w:pPr>
    </w:p>
    <w:p w14:paraId="14C5F874">
      <w:pPr>
        <w:spacing w:before="240" w:beforeLines="100" w:after="120" w:afterLines="50" w:line="520" w:lineRule="exact"/>
        <w:ind w:left="540"/>
        <w:jc w:val="center"/>
        <w:rPr>
          <w:rFonts w:hint="eastAsia" w:ascii="宋体" w:hAnsi="宋体" w:eastAsia="宋体" w:cs="宋体"/>
          <w:bCs/>
          <w:color w:val="auto"/>
          <w:sz w:val="44"/>
          <w:szCs w:val="44"/>
          <w:highlight w:val="none"/>
        </w:rPr>
      </w:pPr>
    </w:p>
    <w:p w14:paraId="25413C7E">
      <w:pPr>
        <w:spacing w:before="240" w:beforeLines="100" w:after="120" w:afterLines="50" w:line="520" w:lineRule="exact"/>
        <w:ind w:left="540"/>
        <w:jc w:val="center"/>
        <w:rPr>
          <w:rFonts w:hint="eastAsia" w:ascii="宋体" w:hAnsi="宋体" w:eastAsia="宋体" w:cs="宋体"/>
          <w:bCs/>
          <w:color w:val="auto"/>
          <w:sz w:val="44"/>
          <w:szCs w:val="44"/>
          <w:highlight w:val="none"/>
        </w:rPr>
      </w:pPr>
    </w:p>
    <w:p w14:paraId="21F5E96E">
      <w:pPr>
        <w:spacing w:before="240" w:beforeLines="100" w:after="120" w:afterLines="50" w:line="520" w:lineRule="exact"/>
        <w:ind w:left="540"/>
        <w:jc w:val="center"/>
        <w:rPr>
          <w:rFonts w:hint="eastAsia" w:ascii="宋体" w:hAnsi="宋体" w:eastAsia="宋体" w:cs="宋体"/>
          <w:bCs/>
          <w:color w:val="auto"/>
          <w:sz w:val="44"/>
          <w:szCs w:val="44"/>
          <w:highlight w:val="none"/>
        </w:rPr>
      </w:pPr>
    </w:p>
    <w:p w14:paraId="0BDB3669">
      <w:pPr>
        <w:pStyle w:val="35"/>
        <w:jc w:val="both"/>
        <w:rPr>
          <w:rFonts w:hint="eastAsia" w:ascii="宋体" w:hAnsi="宋体" w:eastAsia="宋体" w:cs="宋体"/>
          <w:color w:val="auto"/>
          <w:sz w:val="21"/>
          <w:szCs w:val="21"/>
        </w:rPr>
      </w:pPr>
    </w:p>
    <w:p w14:paraId="707AE461">
      <w:pPr>
        <w:pStyle w:val="35"/>
        <w:jc w:val="both"/>
        <w:rPr>
          <w:rFonts w:hint="eastAsia" w:ascii="宋体" w:hAnsi="宋体" w:eastAsia="宋体" w:cs="宋体"/>
          <w:color w:val="auto"/>
          <w:sz w:val="21"/>
          <w:szCs w:val="21"/>
        </w:rPr>
      </w:pPr>
    </w:p>
    <w:p w14:paraId="20FE22C1">
      <w:pPr>
        <w:pStyle w:val="13"/>
        <w:rPr>
          <w:rFonts w:hint="eastAsia" w:ascii="宋体" w:hAnsi="宋体" w:eastAsia="宋体" w:cs="宋体"/>
          <w:color w:val="auto"/>
          <w:sz w:val="21"/>
          <w:szCs w:val="21"/>
        </w:rPr>
      </w:pPr>
    </w:p>
    <w:p w14:paraId="395A7775">
      <w:pPr>
        <w:pStyle w:val="13"/>
        <w:rPr>
          <w:rFonts w:hint="eastAsia" w:ascii="宋体" w:hAnsi="宋体" w:eastAsia="宋体" w:cs="宋体"/>
          <w:color w:val="auto"/>
          <w:sz w:val="21"/>
          <w:szCs w:val="21"/>
        </w:rPr>
      </w:pPr>
    </w:p>
    <w:p w14:paraId="6607509D">
      <w:pPr>
        <w:pStyle w:val="47"/>
        <w:ind w:firstLine="422"/>
        <w:jc w:val="center"/>
        <w:outlineLvl w:val="0"/>
        <w:rPr>
          <w:rFonts w:hint="eastAsia" w:cs="宋体"/>
          <w:b/>
          <w:bCs/>
          <w:color w:val="auto"/>
          <w:sz w:val="24"/>
          <w:szCs w:val="24"/>
        </w:rPr>
      </w:pPr>
      <w:bookmarkStart w:id="120" w:name="_Toc4536"/>
      <w:bookmarkStart w:id="121" w:name="_Toc2086"/>
    </w:p>
    <w:p w14:paraId="40157742">
      <w:pPr>
        <w:pStyle w:val="47"/>
        <w:ind w:firstLine="422"/>
        <w:jc w:val="center"/>
        <w:outlineLvl w:val="0"/>
        <w:rPr>
          <w:b/>
          <w:bCs/>
          <w:color w:val="auto"/>
          <w:sz w:val="24"/>
          <w:szCs w:val="24"/>
        </w:rPr>
      </w:pPr>
      <w:r>
        <w:rPr>
          <w:rFonts w:hint="eastAsia" w:cs="宋体"/>
          <w:b/>
          <w:bCs/>
          <w:color w:val="auto"/>
          <w:sz w:val="24"/>
          <w:szCs w:val="24"/>
        </w:rPr>
        <w:t>已标价工程量清单</w:t>
      </w:r>
      <w:bookmarkEnd w:id="120"/>
      <w:bookmarkEnd w:id="121"/>
    </w:p>
    <w:p w14:paraId="2FC1A71E">
      <w:pPr>
        <w:numPr>
          <w:ilvl w:val="0"/>
          <w:numId w:val="0"/>
        </w:numPr>
        <w:spacing w:line="520" w:lineRule="exact"/>
        <w:jc w:val="left"/>
        <w:rPr>
          <w:rFonts w:ascii="宋体" w:hAnsi="宋体" w:eastAsia="宋体" w:cs="宋体"/>
          <w:color w:val="auto"/>
          <w:sz w:val="21"/>
          <w:szCs w:val="21"/>
        </w:rPr>
      </w:pPr>
    </w:p>
    <w:p w14:paraId="5E5E55C4">
      <w:pPr>
        <w:numPr>
          <w:ilvl w:val="0"/>
          <w:numId w:val="0"/>
        </w:numPr>
        <w:spacing w:line="520" w:lineRule="exact"/>
        <w:ind w:firstLine="420" w:firstLineChars="200"/>
        <w:jc w:val="left"/>
        <w:rPr>
          <w:rFonts w:ascii="宋体" w:hAnsi="宋体" w:eastAsia="宋体" w:cs="宋体"/>
          <w:color w:val="auto"/>
          <w:sz w:val="21"/>
          <w:szCs w:val="21"/>
        </w:rPr>
      </w:pPr>
      <w:r>
        <w:rPr>
          <w:rFonts w:ascii="宋体" w:hAnsi="宋体" w:eastAsia="宋体" w:cs="宋体"/>
          <w:color w:val="auto"/>
          <w:sz w:val="21"/>
          <w:szCs w:val="21"/>
        </w:rPr>
        <w:t>已标价工程量清单应按第五章“工程量清单”中的相关表格及投标报价说明填写。构成合同文件的已标价工程量清单包括第五章“工程量清单”有关工程量清单、投标报价以及其他说明的内容。</w:t>
      </w:r>
    </w:p>
    <w:p w14:paraId="47272D0D">
      <w:pPr>
        <w:numPr>
          <w:ilvl w:val="0"/>
          <w:numId w:val="0"/>
        </w:numPr>
        <w:spacing w:line="520" w:lineRule="exact"/>
        <w:ind w:leftChars="0"/>
        <w:jc w:val="both"/>
        <w:rPr>
          <w:rFonts w:ascii="宋体" w:hAnsi="宋体"/>
          <w:b/>
          <w:bCs/>
          <w:color w:val="auto"/>
          <w:sz w:val="21"/>
          <w:szCs w:val="21"/>
          <w:highlight w:val="none"/>
        </w:rPr>
      </w:pPr>
      <w:r>
        <w:rPr>
          <w:rFonts w:ascii="宋体" w:hAnsi="宋体"/>
          <w:b/>
          <w:bCs/>
          <w:color w:val="auto"/>
          <w:sz w:val="21"/>
          <w:szCs w:val="21"/>
          <w:highlight w:val="none"/>
        </w:rPr>
        <w:br w:type="page"/>
      </w:r>
    </w:p>
    <w:p w14:paraId="2E973C00">
      <w:pPr>
        <w:spacing w:line="360" w:lineRule="auto"/>
        <w:ind w:right="420"/>
        <w:contextualSpacing/>
        <w:jc w:val="left"/>
        <w:rPr>
          <w:rFonts w:hint="eastAsia" w:ascii="宋体" w:hAnsi="宋体" w:eastAsia="宋体" w:cs="宋体"/>
          <w:b/>
          <w:bCs/>
          <w:color w:val="auto"/>
          <w:sz w:val="22"/>
          <w:szCs w:val="22"/>
          <w:highlight w:val="none"/>
        </w:rPr>
      </w:pPr>
    </w:p>
    <w:p w14:paraId="5357659B">
      <w:pPr>
        <w:spacing w:line="360" w:lineRule="auto"/>
        <w:ind w:right="420"/>
        <w:contextualSpacing/>
        <w:jc w:val="left"/>
        <w:rPr>
          <w:rFonts w:hint="eastAsia" w:ascii="宋体" w:hAnsi="宋体" w:eastAsia="宋体" w:cs="宋体"/>
          <w:b/>
          <w:bCs/>
          <w:color w:val="auto"/>
          <w:sz w:val="22"/>
          <w:szCs w:val="22"/>
          <w:highlight w:val="none"/>
        </w:rPr>
      </w:pPr>
    </w:p>
    <w:p w14:paraId="5CABF285">
      <w:pPr>
        <w:pStyle w:val="26"/>
        <w:rPr>
          <w:rFonts w:hint="eastAsia"/>
          <w:color w:val="auto"/>
        </w:rPr>
      </w:pPr>
    </w:p>
    <w:p w14:paraId="0DAC9843">
      <w:pPr>
        <w:spacing w:line="360" w:lineRule="auto"/>
        <w:ind w:right="420" w:firstLine="3373" w:firstLineChars="1200"/>
        <w:contextualSpacing/>
        <w:jc w:val="left"/>
        <w:rPr>
          <w:rFonts w:hint="eastAsia" w:ascii="宋体" w:hAnsi="宋体"/>
          <w:b/>
          <w:color w:val="auto"/>
          <w:sz w:val="28"/>
          <w:szCs w:val="28"/>
          <w:highlight w:val="none"/>
        </w:rPr>
      </w:pPr>
      <w:r>
        <w:rPr>
          <w:rFonts w:hint="eastAsia" w:ascii="宋体" w:hAnsi="宋体"/>
          <w:b/>
          <w:bCs/>
          <w:color w:val="auto"/>
          <w:sz w:val="28"/>
          <w:szCs w:val="28"/>
          <w:highlight w:val="none"/>
        </w:rPr>
        <w:t>三、</w:t>
      </w:r>
      <w:r>
        <w:rPr>
          <w:rFonts w:hint="eastAsia" w:ascii="宋体" w:hAnsi="宋体"/>
          <w:b/>
          <w:color w:val="auto"/>
          <w:sz w:val="28"/>
          <w:szCs w:val="28"/>
          <w:highlight w:val="none"/>
        </w:rPr>
        <w:t xml:space="preserve">商务技术文件格式 </w:t>
      </w:r>
    </w:p>
    <w:p w14:paraId="14D81E3A">
      <w:pPr>
        <w:snapToGrid w:val="0"/>
        <w:spacing w:before="156" w:beforeLines="50" w:after="50" w:line="360" w:lineRule="auto"/>
        <w:jc w:val="left"/>
        <w:rPr>
          <w:rFonts w:ascii="宋体" w:hAnsi="宋体"/>
          <w:b/>
          <w:color w:val="auto"/>
          <w:sz w:val="28"/>
          <w:szCs w:val="28"/>
          <w:highlight w:val="none"/>
        </w:rPr>
      </w:pPr>
      <w:r>
        <w:rPr>
          <w:rFonts w:hint="eastAsia" w:ascii="宋体" w:hAnsi="宋体"/>
          <w:b/>
          <w:color w:val="auto"/>
          <w:sz w:val="28"/>
          <w:szCs w:val="28"/>
          <w:highlight w:val="none"/>
        </w:rPr>
        <w:t>1.商务技术文件封面格式</w:t>
      </w:r>
    </w:p>
    <w:p w14:paraId="0417AD22">
      <w:pPr>
        <w:snapToGrid w:val="0"/>
        <w:spacing w:before="156" w:beforeLines="50" w:after="50"/>
        <w:rPr>
          <w:rFonts w:hint="eastAsia" w:ascii="宋体" w:hAnsi="宋体"/>
          <w:bCs/>
          <w:color w:val="auto"/>
          <w:sz w:val="28"/>
          <w:szCs w:val="18"/>
          <w:highlight w:val="none"/>
        </w:rPr>
      </w:pPr>
      <w:r>
        <w:rPr>
          <w:rFonts w:hint="eastAsia" w:ascii="宋体" w:hAnsi="宋体"/>
          <w:color w:val="auto"/>
          <w:sz w:val="22"/>
          <w:szCs w:val="22"/>
          <w:highlight w:val="none"/>
        </w:rPr>
        <w:t xml:space="preserve">                                                    </w:t>
      </w:r>
    </w:p>
    <w:p w14:paraId="3A0F21AF">
      <w:pPr>
        <w:snapToGrid w:val="0"/>
        <w:spacing w:before="156" w:beforeLines="50" w:after="50"/>
        <w:jc w:val="center"/>
        <w:rPr>
          <w:rFonts w:hint="eastAsia" w:ascii="宋体" w:hAnsi="宋体"/>
          <w:color w:val="auto"/>
          <w:sz w:val="22"/>
          <w:szCs w:val="18"/>
          <w:highlight w:val="none"/>
        </w:rPr>
      </w:pPr>
      <w:r>
        <w:rPr>
          <w:rFonts w:hint="eastAsia" w:ascii="宋体" w:hAnsi="宋体"/>
          <w:color w:val="auto"/>
          <w:sz w:val="40"/>
          <w:szCs w:val="40"/>
          <w:highlight w:val="none"/>
        </w:rPr>
        <w:t>电 子 响 应 文 件</w:t>
      </w:r>
    </w:p>
    <w:p w14:paraId="66BF7C28">
      <w:pPr>
        <w:snapToGrid w:val="0"/>
        <w:spacing w:before="156" w:beforeLines="50" w:after="50"/>
        <w:rPr>
          <w:rFonts w:hint="eastAsia" w:ascii="宋体" w:hAnsi="宋体"/>
          <w:color w:val="auto"/>
          <w:sz w:val="22"/>
          <w:szCs w:val="18"/>
          <w:highlight w:val="none"/>
        </w:rPr>
      </w:pPr>
    </w:p>
    <w:p w14:paraId="2C1229BA">
      <w:pPr>
        <w:snapToGrid w:val="0"/>
        <w:spacing w:before="156" w:beforeLines="50" w:after="50"/>
        <w:rPr>
          <w:rFonts w:hint="eastAsia" w:ascii="宋体" w:hAnsi="宋体"/>
          <w:color w:val="auto"/>
          <w:sz w:val="22"/>
          <w:szCs w:val="18"/>
          <w:highlight w:val="none"/>
        </w:rPr>
      </w:pPr>
    </w:p>
    <w:p w14:paraId="071346EA">
      <w:pPr>
        <w:snapToGrid w:val="0"/>
        <w:spacing w:before="156" w:beforeLines="50" w:after="50"/>
        <w:jc w:val="center"/>
        <w:rPr>
          <w:rFonts w:hint="eastAsia" w:ascii="方正小标宋简体" w:hAnsi="方正小标宋简体" w:eastAsia="方正小标宋简体" w:cs="方正小标宋简体"/>
          <w:bCs/>
          <w:color w:val="auto"/>
          <w:sz w:val="40"/>
          <w:szCs w:val="40"/>
          <w:highlight w:val="none"/>
        </w:rPr>
      </w:pPr>
      <w:r>
        <w:rPr>
          <w:rFonts w:hint="eastAsia" w:ascii="方正小标宋简体" w:hAnsi="方正小标宋简体" w:eastAsia="方正小标宋简体" w:cs="方正小标宋简体"/>
          <w:bCs/>
          <w:color w:val="auto"/>
          <w:sz w:val="40"/>
          <w:szCs w:val="40"/>
          <w:highlight w:val="none"/>
        </w:rPr>
        <w:t>商  务  技  术  文  件</w:t>
      </w:r>
    </w:p>
    <w:p w14:paraId="25689EBD">
      <w:pPr>
        <w:snapToGrid w:val="0"/>
        <w:spacing w:before="156" w:beforeLines="50" w:after="50"/>
        <w:rPr>
          <w:rFonts w:hint="eastAsia" w:ascii="宋体" w:hAnsi="宋体"/>
          <w:bCs/>
          <w:color w:val="auto"/>
          <w:sz w:val="22"/>
          <w:szCs w:val="18"/>
          <w:highlight w:val="none"/>
        </w:rPr>
      </w:pPr>
    </w:p>
    <w:p w14:paraId="438B4664">
      <w:pPr>
        <w:snapToGrid w:val="0"/>
        <w:spacing w:before="156" w:beforeLines="50" w:after="50"/>
        <w:rPr>
          <w:rFonts w:hint="eastAsia" w:ascii="宋体" w:hAnsi="宋体"/>
          <w:bCs/>
          <w:color w:val="auto"/>
          <w:sz w:val="22"/>
          <w:szCs w:val="18"/>
          <w:highlight w:val="none"/>
        </w:rPr>
      </w:pPr>
    </w:p>
    <w:p w14:paraId="5AF65326">
      <w:pPr>
        <w:snapToGrid w:val="0"/>
        <w:spacing w:before="156" w:beforeLines="50" w:after="50"/>
        <w:rPr>
          <w:rFonts w:hint="eastAsia" w:ascii="宋体" w:hAnsi="宋体"/>
          <w:bCs/>
          <w:color w:val="auto"/>
          <w:sz w:val="22"/>
          <w:szCs w:val="18"/>
          <w:highlight w:val="none"/>
        </w:rPr>
      </w:pPr>
    </w:p>
    <w:p w14:paraId="33279589">
      <w:pPr>
        <w:snapToGrid w:val="0"/>
        <w:spacing w:before="156" w:beforeLines="50" w:after="50"/>
        <w:rPr>
          <w:rFonts w:hint="eastAsia" w:ascii="宋体" w:hAnsi="宋体"/>
          <w:bCs/>
          <w:color w:val="auto"/>
          <w:sz w:val="22"/>
          <w:szCs w:val="18"/>
          <w:highlight w:val="none"/>
        </w:rPr>
      </w:pPr>
    </w:p>
    <w:p w14:paraId="406E394F">
      <w:pPr>
        <w:snapToGrid w:val="0"/>
        <w:spacing w:before="156" w:beforeLines="50" w:after="50"/>
        <w:rPr>
          <w:rFonts w:hint="eastAsia" w:ascii="宋体" w:hAnsi="宋体"/>
          <w:bCs/>
          <w:color w:val="auto"/>
          <w:sz w:val="22"/>
          <w:szCs w:val="18"/>
          <w:highlight w:val="none"/>
        </w:rPr>
      </w:pPr>
    </w:p>
    <w:p w14:paraId="29F24B3B">
      <w:pPr>
        <w:snapToGrid w:val="0"/>
        <w:spacing w:before="156" w:beforeLines="50" w:after="50"/>
        <w:ind w:firstLine="560" w:firstLineChars="200"/>
        <w:rPr>
          <w:rFonts w:hint="eastAsia" w:ascii="宋体" w:hAnsi="宋体" w:cs="仿宋_GB2312"/>
          <w:bCs/>
          <w:color w:val="auto"/>
          <w:sz w:val="28"/>
          <w:szCs w:val="28"/>
          <w:highlight w:val="none"/>
        </w:rPr>
      </w:pPr>
      <w:r>
        <w:rPr>
          <w:rFonts w:hint="eastAsia" w:ascii="宋体" w:hAnsi="宋体" w:cs="仿宋_GB2312"/>
          <w:bCs/>
          <w:color w:val="auto"/>
          <w:sz w:val="28"/>
          <w:szCs w:val="28"/>
          <w:highlight w:val="none"/>
        </w:rPr>
        <w:t>项目名称：</w:t>
      </w:r>
    </w:p>
    <w:p w14:paraId="3BE1F4BA">
      <w:pPr>
        <w:snapToGrid w:val="0"/>
        <w:spacing w:before="156" w:beforeLines="50" w:after="50"/>
        <w:ind w:firstLine="630" w:firstLineChars="225"/>
        <w:rPr>
          <w:rFonts w:hint="eastAsia" w:ascii="宋体" w:hAnsi="宋体" w:cs="仿宋_GB2312"/>
          <w:bCs/>
          <w:color w:val="auto"/>
          <w:sz w:val="28"/>
          <w:szCs w:val="28"/>
          <w:highlight w:val="none"/>
        </w:rPr>
      </w:pPr>
    </w:p>
    <w:p w14:paraId="796ED3A8">
      <w:pPr>
        <w:snapToGrid w:val="0"/>
        <w:spacing w:before="156" w:beforeLines="50" w:after="50"/>
        <w:ind w:firstLine="560" w:firstLineChars="200"/>
        <w:rPr>
          <w:rFonts w:hint="eastAsia" w:ascii="宋体" w:hAnsi="宋体" w:cs="仿宋_GB2312"/>
          <w:bCs/>
          <w:color w:val="auto"/>
          <w:sz w:val="28"/>
          <w:szCs w:val="28"/>
          <w:highlight w:val="none"/>
        </w:rPr>
      </w:pPr>
      <w:r>
        <w:rPr>
          <w:rFonts w:hint="eastAsia" w:ascii="宋体" w:hAnsi="宋体" w:cs="仿宋_GB2312"/>
          <w:bCs/>
          <w:color w:val="auto"/>
          <w:sz w:val="28"/>
          <w:szCs w:val="28"/>
          <w:highlight w:val="none"/>
        </w:rPr>
        <w:t>项目编号：</w:t>
      </w:r>
    </w:p>
    <w:p w14:paraId="2D11E787">
      <w:pPr>
        <w:snapToGrid w:val="0"/>
        <w:spacing w:before="156" w:beforeLines="50" w:after="50"/>
        <w:ind w:firstLine="630" w:firstLineChars="225"/>
        <w:rPr>
          <w:rFonts w:hint="eastAsia" w:ascii="宋体" w:hAnsi="宋体" w:cs="仿宋_GB2312"/>
          <w:bCs/>
          <w:color w:val="auto"/>
          <w:sz w:val="28"/>
          <w:szCs w:val="28"/>
          <w:highlight w:val="none"/>
        </w:rPr>
      </w:pPr>
      <w:r>
        <w:rPr>
          <w:rFonts w:hint="eastAsia" w:ascii="宋体" w:hAnsi="宋体" w:cs="仿宋_GB2312"/>
          <w:bCs/>
          <w:color w:val="auto"/>
          <w:sz w:val="28"/>
          <w:szCs w:val="28"/>
          <w:highlight w:val="none"/>
        </w:rPr>
        <w:t xml:space="preserve"> </w:t>
      </w:r>
    </w:p>
    <w:p w14:paraId="675D4C5D">
      <w:pPr>
        <w:pStyle w:val="8"/>
        <w:snapToGrid w:val="0"/>
        <w:spacing w:before="50" w:after="50"/>
        <w:ind w:firstLine="560" w:firstLineChars="200"/>
        <w:rPr>
          <w:rFonts w:hint="eastAsia" w:ascii="宋体" w:hAnsi="宋体" w:cs="仿宋_GB2312"/>
          <w:bCs/>
          <w:color w:val="auto"/>
          <w:sz w:val="28"/>
          <w:szCs w:val="28"/>
          <w:highlight w:val="none"/>
        </w:rPr>
      </w:pPr>
      <w:r>
        <w:rPr>
          <w:rFonts w:hint="eastAsia" w:ascii="宋体" w:hAnsi="宋体" w:cs="仿宋_GB2312"/>
          <w:bCs/>
          <w:color w:val="auto"/>
          <w:sz w:val="28"/>
          <w:szCs w:val="28"/>
          <w:highlight w:val="none"/>
        </w:rPr>
        <w:t>供应商名称：</w:t>
      </w:r>
    </w:p>
    <w:p w14:paraId="551A5C68">
      <w:pPr>
        <w:pStyle w:val="8"/>
        <w:snapToGrid w:val="0"/>
        <w:spacing w:before="50" w:after="50"/>
        <w:ind w:firstLine="560" w:firstLineChars="200"/>
        <w:rPr>
          <w:rFonts w:hint="eastAsia" w:ascii="宋体" w:hAnsi="宋体" w:cs="仿宋_GB2312"/>
          <w:bCs/>
          <w:color w:val="auto"/>
          <w:sz w:val="28"/>
          <w:szCs w:val="28"/>
          <w:highlight w:val="none"/>
        </w:rPr>
      </w:pPr>
    </w:p>
    <w:p w14:paraId="1CCAFCE9">
      <w:pPr>
        <w:pStyle w:val="8"/>
        <w:snapToGrid w:val="0"/>
        <w:spacing w:before="50" w:after="50"/>
        <w:ind w:firstLine="630" w:firstLineChars="225"/>
        <w:rPr>
          <w:rFonts w:hint="eastAsia" w:ascii="宋体" w:hAnsi="宋体" w:cs="仿宋_GB2312"/>
          <w:bCs/>
          <w:color w:val="auto"/>
          <w:sz w:val="28"/>
          <w:szCs w:val="28"/>
          <w:highlight w:val="none"/>
        </w:rPr>
      </w:pPr>
    </w:p>
    <w:p w14:paraId="3ADE76D6">
      <w:pPr>
        <w:pStyle w:val="8"/>
        <w:snapToGrid w:val="0"/>
        <w:spacing w:before="50" w:after="50"/>
        <w:ind w:firstLine="0"/>
        <w:rPr>
          <w:rFonts w:hint="eastAsia" w:ascii="宋体" w:hAnsi="宋体" w:cs="仿宋_GB2312"/>
          <w:bCs/>
          <w:color w:val="auto"/>
          <w:sz w:val="28"/>
          <w:szCs w:val="28"/>
          <w:highlight w:val="none"/>
        </w:rPr>
      </w:pPr>
    </w:p>
    <w:p w14:paraId="16B22BDF">
      <w:pPr>
        <w:pStyle w:val="8"/>
        <w:snapToGrid w:val="0"/>
        <w:spacing w:before="50" w:after="50"/>
        <w:ind w:firstLine="1120" w:firstLineChars="400"/>
        <w:rPr>
          <w:rFonts w:hint="eastAsia" w:ascii="宋体" w:hAnsi="宋体" w:cs="仿宋_GB2312"/>
          <w:bCs/>
          <w:color w:val="auto"/>
          <w:sz w:val="28"/>
          <w:szCs w:val="28"/>
          <w:highlight w:val="none"/>
        </w:rPr>
      </w:pPr>
    </w:p>
    <w:p w14:paraId="0F670858">
      <w:pPr>
        <w:snapToGrid w:val="0"/>
        <w:spacing w:before="156" w:beforeLines="50" w:after="50"/>
        <w:jc w:val="center"/>
        <w:rPr>
          <w:rFonts w:hint="eastAsia" w:ascii="宋体" w:hAnsi="宋体" w:cs="仿宋_GB2312"/>
          <w:color w:val="auto"/>
          <w:sz w:val="28"/>
          <w:szCs w:val="28"/>
          <w:highlight w:val="none"/>
        </w:rPr>
      </w:pPr>
      <w:r>
        <w:rPr>
          <w:rFonts w:hint="eastAsia" w:ascii="宋体" w:hAnsi="宋体" w:cs="仿宋_GB2312"/>
          <w:color w:val="auto"/>
          <w:sz w:val="28"/>
          <w:szCs w:val="28"/>
          <w:highlight w:val="none"/>
        </w:rPr>
        <w:t>年    月    日</w:t>
      </w:r>
    </w:p>
    <w:p w14:paraId="7A89B304">
      <w:pPr>
        <w:snapToGrid w:val="0"/>
        <w:spacing w:before="156" w:beforeLines="50" w:after="50" w:line="360" w:lineRule="auto"/>
        <w:ind w:right="480" w:firstLine="220" w:firstLineChars="100"/>
        <w:jc w:val="left"/>
        <w:rPr>
          <w:rFonts w:hint="eastAsia" w:ascii="宋体" w:hAnsi="宋体"/>
          <w:b/>
          <w:bCs/>
          <w:color w:val="auto"/>
          <w:sz w:val="22"/>
          <w:szCs w:val="22"/>
          <w:highlight w:val="none"/>
        </w:rPr>
      </w:pPr>
      <w:r>
        <w:rPr>
          <w:rFonts w:ascii="宋体" w:hAnsi="宋体"/>
          <w:color w:val="auto"/>
          <w:sz w:val="22"/>
          <w:szCs w:val="22"/>
          <w:highlight w:val="none"/>
        </w:rPr>
        <w:br w:type="page"/>
      </w:r>
      <w:r>
        <w:rPr>
          <w:rFonts w:hint="eastAsia" w:ascii="宋体" w:hAnsi="宋体"/>
          <w:b/>
          <w:bCs/>
          <w:color w:val="auto"/>
          <w:sz w:val="28"/>
          <w:szCs w:val="28"/>
          <w:highlight w:val="none"/>
        </w:rPr>
        <w:t>2.商务技术文件目录</w:t>
      </w:r>
    </w:p>
    <w:p w14:paraId="24D17B27">
      <w:pPr>
        <w:pStyle w:val="2"/>
        <w:numPr>
          <w:ilvl w:val="0"/>
          <w:numId w:val="0"/>
        </w:numPr>
        <w:rPr>
          <w:rFonts w:hint="default"/>
          <w:color w:val="auto"/>
          <w:lang w:val="en-US" w:eastAsia="zh-CN"/>
        </w:rPr>
      </w:pPr>
      <w:r>
        <w:rPr>
          <w:rFonts w:hint="eastAsia"/>
          <w:color w:val="auto"/>
          <w:lang w:val="en-US" w:eastAsia="zh-CN"/>
        </w:rPr>
        <w:t>根据《供应商须知前附表》第12.1.2要求编制</w:t>
      </w:r>
    </w:p>
    <w:p w14:paraId="75016709">
      <w:pPr>
        <w:spacing w:line="400" w:lineRule="exact"/>
        <w:rPr>
          <w:rFonts w:hint="eastAsia" w:ascii="仿宋_GB2312" w:hAnsi="仿宋_GB2312" w:eastAsia="仿宋_GB2312" w:cs="仿宋_GB2312"/>
          <w:color w:val="auto"/>
          <w:sz w:val="28"/>
          <w:szCs w:val="28"/>
          <w:highlight w:val="none"/>
        </w:rPr>
      </w:pPr>
    </w:p>
    <w:p w14:paraId="14A6FE8C">
      <w:pPr>
        <w:spacing w:line="520" w:lineRule="exact"/>
        <w:jc w:val="center"/>
        <w:rPr>
          <w:rFonts w:hint="eastAsia" w:ascii="仿宋_GB2312" w:hAnsi="仿宋_GB2312" w:eastAsia="仿宋_GB2312" w:cs="仿宋_GB2312"/>
          <w:color w:val="auto"/>
          <w:sz w:val="32"/>
          <w:szCs w:val="32"/>
          <w:highlight w:val="none"/>
        </w:rPr>
      </w:pPr>
      <w:r>
        <w:rPr>
          <w:rFonts w:hint="eastAsia" w:ascii="方正小标宋简体" w:hAnsi="方正小标宋简体" w:eastAsia="方正小标宋简体" w:cs="方正小标宋简体"/>
          <w:color w:val="auto"/>
          <w:sz w:val="40"/>
          <w:szCs w:val="40"/>
          <w:highlight w:val="none"/>
        </w:rPr>
        <w:br w:type="page"/>
      </w:r>
      <w:r>
        <w:rPr>
          <w:rFonts w:hint="eastAsia" w:ascii="方正小标宋简体" w:hAnsi="方正小标宋简体" w:eastAsia="方正小标宋简体" w:cs="方正小标宋简体"/>
          <w:color w:val="auto"/>
          <w:sz w:val="44"/>
          <w:szCs w:val="44"/>
          <w:highlight w:val="none"/>
        </w:rPr>
        <w:t>无串通竞标行为的承诺函</w:t>
      </w:r>
    </w:p>
    <w:p w14:paraId="67FE87F6">
      <w:pPr>
        <w:spacing w:line="360" w:lineRule="auto"/>
        <w:ind w:firstLine="640" w:firstLineChars="200"/>
        <w:contextualSpacing/>
        <w:rPr>
          <w:rFonts w:hint="eastAsia" w:ascii="仿宋_GB2312" w:hAnsi="仿宋_GB2312" w:eastAsia="仿宋_GB2312" w:cs="仿宋_GB2312"/>
          <w:color w:val="auto"/>
          <w:sz w:val="32"/>
          <w:szCs w:val="32"/>
          <w:highlight w:val="none"/>
        </w:rPr>
      </w:pPr>
    </w:p>
    <w:p w14:paraId="691D31A9">
      <w:pPr>
        <w:spacing w:line="360" w:lineRule="auto"/>
        <w:ind w:firstLine="422" w:firstLineChars="200"/>
        <w:contextualSpacing/>
        <w:rPr>
          <w:rFonts w:hint="eastAsia" w:ascii="宋体" w:hAnsi="宋体" w:cs="仿宋_GB2312"/>
          <w:b/>
          <w:bCs/>
          <w:color w:val="auto"/>
          <w:sz w:val="21"/>
          <w:szCs w:val="21"/>
          <w:highlight w:val="none"/>
        </w:rPr>
      </w:pPr>
      <w:r>
        <w:rPr>
          <w:rFonts w:hint="eastAsia" w:ascii="宋体" w:hAnsi="宋体" w:cs="仿宋_GB2312"/>
          <w:b/>
          <w:bCs/>
          <w:color w:val="auto"/>
          <w:sz w:val="21"/>
          <w:szCs w:val="21"/>
          <w:highlight w:val="none"/>
        </w:rPr>
        <w:t>一、我方承诺无下列相互串通竞标的情形：</w:t>
      </w:r>
    </w:p>
    <w:p w14:paraId="6BFC3665">
      <w:pPr>
        <w:spacing w:line="360" w:lineRule="auto"/>
        <w:ind w:firstLine="420" w:firstLineChars="200"/>
        <w:contextualSpacing/>
        <w:rPr>
          <w:rFonts w:hint="eastAsia" w:ascii="宋体" w:hAnsi="宋体" w:cs="仿宋_GB2312"/>
          <w:color w:val="auto"/>
          <w:sz w:val="21"/>
          <w:szCs w:val="21"/>
          <w:highlight w:val="none"/>
        </w:rPr>
      </w:pPr>
      <w:r>
        <w:rPr>
          <w:rFonts w:hint="eastAsia" w:ascii="宋体" w:hAnsi="宋体" w:cs="仿宋_GB2312"/>
          <w:color w:val="auto"/>
          <w:sz w:val="21"/>
          <w:szCs w:val="21"/>
          <w:highlight w:val="none"/>
        </w:rPr>
        <w:t>1.不同供应商的响应文件由同一单位或者个人编制；</w:t>
      </w:r>
      <w:r>
        <w:rPr>
          <w:rFonts w:hint="eastAsia" w:ascii="宋体" w:hAnsi="宋体" w:cs="仿宋_GB2312"/>
          <w:color w:val="auto"/>
          <w:sz w:val="21"/>
          <w:szCs w:val="21"/>
          <w:highlight w:val="none"/>
          <w:lang w:val="en-US" w:eastAsia="zh-CN"/>
        </w:rPr>
        <w:t>或不同供应商报名的 IP 地址一致的；</w:t>
      </w:r>
      <w:r>
        <w:rPr>
          <w:rFonts w:hint="eastAsia" w:ascii="宋体" w:hAnsi="宋体" w:cs="仿宋_GB2312"/>
          <w:color w:val="auto"/>
          <w:sz w:val="21"/>
          <w:szCs w:val="21"/>
          <w:highlight w:val="none"/>
        </w:rPr>
        <w:t xml:space="preserve"> </w:t>
      </w:r>
    </w:p>
    <w:p w14:paraId="170D701F">
      <w:pPr>
        <w:spacing w:line="360" w:lineRule="auto"/>
        <w:ind w:firstLine="420" w:firstLineChars="200"/>
        <w:contextualSpacing/>
        <w:rPr>
          <w:rFonts w:hint="eastAsia" w:ascii="宋体" w:hAnsi="宋体" w:cs="仿宋_GB2312"/>
          <w:color w:val="auto"/>
          <w:sz w:val="21"/>
          <w:szCs w:val="21"/>
          <w:highlight w:val="none"/>
        </w:rPr>
      </w:pPr>
      <w:r>
        <w:rPr>
          <w:rFonts w:hint="eastAsia" w:ascii="宋体" w:hAnsi="宋体" w:cs="仿宋_GB2312"/>
          <w:color w:val="auto"/>
          <w:sz w:val="21"/>
          <w:szCs w:val="21"/>
          <w:highlight w:val="none"/>
        </w:rPr>
        <w:t>2.不同供应商委托同一单位或者个人办理竞标事宜；</w:t>
      </w:r>
    </w:p>
    <w:p w14:paraId="76EA1D27">
      <w:pPr>
        <w:spacing w:line="360" w:lineRule="auto"/>
        <w:ind w:firstLine="420" w:firstLineChars="200"/>
        <w:contextualSpacing/>
        <w:rPr>
          <w:rFonts w:hint="eastAsia" w:ascii="宋体" w:hAnsi="宋体" w:cs="仿宋_GB2312"/>
          <w:color w:val="auto"/>
          <w:sz w:val="21"/>
          <w:szCs w:val="21"/>
          <w:highlight w:val="none"/>
        </w:rPr>
      </w:pPr>
      <w:r>
        <w:rPr>
          <w:rFonts w:hint="eastAsia" w:ascii="宋体" w:hAnsi="宋体" w:cs="仿宋_GB2312"/>
          <w:color w:val="auto"/>
          <w:sz w:val="21"/>
          <w:szCs w:val="21"/>
          <w:highlight w:val="none"/>
        </w:rPr>
        <w:t>3.不同供应商的响应文件载明的项目管理员为同一个人；</w:t>
      </w:r>
    </w:p>
    <w:p w14:paraId="622F2612">
      <w:pPr>
        <w:spacing w:line="360" w:lineRule="auto"/>
        <w:ind w:firstLine="420" w:firstLineChars="200"/>
        <w:contextualSpacing/>
        <w:rPr>
          <w:rFonts w:hint="eastAsia" w:ascii="宋体" w:hAnsi="宋体" w:cs="仿宋_GB2312"/>
          <w:color w:val="auto"/>
          <w:sz w:val="21"/>
          <w:szCs w:val="21"/>
          <w:highlight w:val="none"/>
        </w:rPr>
      </w:pPr>
      <w:r>
        <w:rPr>
          <w:rFonts w:hint="eastAsia" w:ascii="宋体" w:hAnsi="宋体" w:cs="仿宋_GB2312"/>
          <w:color w:val="auto"/>
          <w:sz w:val="21"/>
          <w:szCs w:val="21"/>
          <w:highlight w:val="none"/>
        </w:rPr>
        <w:t>4.不</w:t>
      </w:r>
      <w:r>
        <w:rPr>
          <w:rFonts w:hint="eastAsia" w:ascii="宋体" w:hAnsi="宋体" w:cs="仿宋_GB2312"/>
          <w:color w:val="auto"/>
          <w:spacing w:val="-6"/>
          <w:sz w:val="21"/>
          <w:szCs w:val="21"/>
          <w:highlight w:val="none"/>
        </w:rPr>
        <w:t>同供应商的响应文件异常一致或者竞标报价呈规律性差异；</w:t>
      </w:r>
    </w:p>
    <w:p w14:paraId="348F076B">
      <w:pPr>
        <w:spacing w:line="360" w:lineRule="auto"/>
        <w:ind w:firstLine="420" w:firstLineChars="200"/>
        <w:contextualSpacing/>
        <w:rPr>
          <w:rFonts w:hint="eastAsia" w:ascii="宋体" w:hAnsi="宋体" w:cs="仿宋_GB2312"/>
          <w:color w:val="auto"/>
          <w:sz w:val="21"/>
          <w:szCs w:val="21"/>
          <w:highlight w:val="none"/>
        </w:rPr>
      </w:pPr>
      <w:r>
        <w:rPr>
          <w:rFonts w:hint="eastAsia" w:ascii="宋体" w:hAnsi="宋体" w:cs="仿宋_GB2312"/>
          <w:color w:val="auto"/>
          <w:sz w:val="21"/>
          <w:szCs w:val="21"/>
          <w:highlight w:val="none"/>
        </w:rPr>
        <w:t>5.不同供应商的响应文件相互混装；</w:t>
      </w:r>
    </w:p>
    <w:p w14:paraId="7DD010CB">
      <w:pPr>
        <w:spacing w:line="360" w:lineRule="auto"/>
        <w:ind w:firstLine="420" w:firstLineChars="200"/>
        <w:contextualSpacing/>
        <w:rPr>
          <w:rFonts w:hint="eastAsia" w:ascii="宋体" w:hAnsi="宋体" w:cs="仿宋_GB2312"/>
          <w:color w:val="auto"/>
          <w:sz w:val="21"/>
          <w:szCs w:val="21"/>
          <w:highlight w:val="none"/>
        </w:rPr>
      </w:pPr>
      <w:r>
        <w:rPr>
          <w:rFonts w:hint="eastAsia" w:ascii="宋体" w:hAnsi="宋体" w:cs="仿宋_GB2312"/>
          <w:color w:val="auto"/>
          <w:sz w:val="21"/>
          <w:szCs w:val="21"/>
          <w:highlight w:val="none"/>
        </w:rPr>
        <w:t>6.不同供应商的磋商保证金从同一单位或者个人账户转出。</w:t>
      </w:r>
    </w:p>
    <w:p w14:paraId="4C220096">
      <w:pPr>
        <w:spacing w:line="360" w:lineRule="auto"/>
        <w:ind w:firstLine="422" w:firstLineChars="200"/>
        <w:contextualSpacing/>
        <w:rPr>
          <w:rFonts w:hint="eastAsia" w:ascii="宋体" w:hAnsi="宋体" w:cs="仿宋_GB2312"/>
          <w:b/>
          <w:bCs/>
          <w:color w:val="auto"/>
          <w:sz w:val="21"/>
          <w:szCs w:val="21"/>
          <w:highlight w:val="none"/>
        </w:rPr>
      </w:pPr>
      <w:r>
        <w:rPr>
          <w:rFonts w:hint="eastAsia" w:ascii="宋体" w:hAnsi="宋体" w:cs="仿宋_GB2312"/>
          <w:b/>
          <w:bCs/>
          <w:color w:val="auto"/>
          <w:sz w:val="21"/>
          <w:szCs w:val="21"/>
          <w:highlight w:val="none"/>
        </w:rPr>
        <w:t>二、我方承诺无下列恶意串通的情形：</w:t>
      </w:r>
    </w:p>
    <w:p w14:paraId="049A5D43">
      <w:pPr>
        <w:spacing w:line="360" w:lineRule="auto"/>
        <w:ind w:firstLine="420" w:firstLineChars="200"/>
        <w:contextualSpacing/>
        <w:rPr>
          <w:rFonts w:hint="eastAsia" w:ascii="宋体" w:hAnsi="宋体" w:cs="仿宋_GB2312"/>
          <w:color w:val="auto"/>
          <w:sz w:val="21"/>
          <w:szCs w:val="21"/>
          <w:highlight w:val="none"/>
        </w:rPr>
      </w:pPr>
      <w:r>
        <w:rPr>
          <w:rFonts w:hint="eastAsia" w:ascii="宋体" w:hAnsi="宋体" w:cs="仿宋_GB2312"/>
          <w:color w:val="auto"/>
          <w:sz w:val="21"/>
          <w:szCs w:val="21"/>
          <w:highlight w:val="none"/>
        </w:rPr>
        <w:t>1.供应商直接或者间接从采购人或者采购代理机构处获得其他供应商的相关信息并修改其响应文件；</w:t>
      </w:r>
    </w:p>
    <w:p w14:paraId="5F4C4A24">
      <w:pPr>
        <w:spacing w:line="360" w:lineRule="auto"/>
        <w:ind w:firstLine="420" w:firstLineChars="200"/>
        <w:contextualSpacing/>
        <w:rPr>
          <w:rFonts w:hint="eastAsia" w:ascii="宋体" w:hAnsi="宋体" w:cs="仿宋_GB2312"/>
          <w:color w:val="auto"/>
          <w:sz w:val="21"/>
          <w:szCs w:val="21"/>
          <w:highlight w:val="none"/>
        </w:rPr>
      </w:pPr>
      <w:r>
        <w:rPr>
          <w:rFonts w:hint="eastAsia" w:ascii="宋体" w:hAnsi="宋体" w:cs="仿宋_GB2312"/>
          <w:color w:val="auto"/>
          <w:sz w:val="21"/>
          <w:szCs w:val="21"/>
          <w:highlight w:val="none"/>
        </w:rPr>
        <w:t>2.供应商按照采购人或者采购代理机构的授意撤换、修改响应文件；</w:t>
      </w:r>
    </w:p>
    <w:p w14:paraId="4C1D05BF">
      <w:pPr>
        <w:spacing w:line="360" w:lineRule="auto"/>
        <w:ind w:firstLine="420" w:firstLineChars="200"/>
        <w:contextualSpacing/>
        <w:rPr>
          <w:rFonts w:hint="eastAsia" w:ascii="宋体" w:hAnsi="宋体" w:cs="仿宋_GB2312"/>
          <w:color w:val="auto"/>
          <w:sz w:val="21"/>
          <w:szCs w:val="21"/>
          <w:highlight w:val="none"/>
        </w:rPr>
      </w:pPr>
      <w:r>
        <w:rPr>
          <w:rFonts w:hint="eastAsia" w:ascii="宋体" w:hAnsi="宋体" w:cs="仿宋_GB2312"/>
          <w:color w:val="auto"/>
          <w:sz w:val="21"/>
          <w:szCs w:val="21"/>
          <w:highlight w:val="none"/>
        </w:rPr>
        <w:t>3.供</w:t>
      </w:r>
      <w:r>
        <w:rPr>
          <w:rFonts w:hint="eastAsia" w:ascii="宋体" w:hAnsi="宋体" w:cs="仿宋_GB2312"/>
          <w:color w:val="auto"/>
          <w:spacing w:val="-6"/>
          <w:sz w:val="21"/>
          <w:szCs w:val="21"/>
          <w:highlight w:val="none"/>
        </w:rPr>
        <w:t>应商之间协商报价、技术方案等响应文件的实质性内容；</w:t>
      </w:r>
    </w:p>
    <w:p w14:paraId="4B920391">
      <w:pPr>
        <w:spacing w:line="360" w:lineRule="auto"/>
        <w:ind w:firstLine="420" w:firstLineChars="200"/>
        <w:contextualSpacing/>
        <w:rPr>
          <w:rFonts w:hint="eastAsia" w:ascii="宋体" w:hAnsi="宋体" w:cs="仿宋_GB2312"/>
          <w:color w:val="auto"/>
          <w:sz w:val="21"/>
          <w:szCs w:val="21"/>
          <w:highlight w:val="none"/>
        </w:rPr>
      </w:pPr>
      <w:r>
        <w:rPr>
          <w:rFonts w:hint="eastAsia" w:ascii="宋体" w:hAnsi="宋体" w:cs="仿宋_GB2312"/>
          <w:color w:val="auto"/>
          <w:sz w:val="21"/>
          <w:szCs w:val="21"/>
          <w:highlight w:val="none"/>
        </w:rPr>
        <w:t>4.属于同一集团、协会、商会等组织成员的供应商按照该组织要求协同参加政府采购活动；</w:t>
      </w:r>
    </w:p>
    <w:p w14:paraId="1B371572">
      <w:pPr>
        <w:spacing w:line="360" w:lineRule="auto"/>
        <w:ind w:firstLine="420" w:firstLineChars="200"/>
        <w:contextualSpacing/>
        <w:rPr>
          <w:rFonts w:hint="eastAsia" w:ascii="宋体" w:hAnsi="宋体" w:cs="仿宋_GB2312"/>
          <w:color w:val="auto"/>
          <w:sz w:val="21"/>
          <w:szCs w:val="21"/>
          <w:highlight w:val="none"/>
        </w:rPr>
      </w:pPr>
      <w:r>
        <w:rPr>
          <w:rFonts w:hint="eastAsia" w:ascii="宋体" w:hAnsi="宋体" w:cs="仿宋_GB2312"/>
          <w:color w:val="auto"/>
          <w:sz w:val="21"/>
          <w:szCs w:val="21"/>
          <w:highlight w:val="none"/>
        </w:rPr>
        <w:t>5.供应商之间事先约定一致抬高或者压低竞标报价，或者在竞争性磋商项目中事先约定轮流以高价位或者低价位成交，或者事先约定由某一特定供应商成交，然后再参加竞标；</w:t>
      </w:r>
    </w:p>
    <w:p w14:paraId="7C3A7E47">
      <w:pPr>
        <w:spacing w:line="360" w:lineRule="auto"/>
        <w:ind w:firstLine="420" w:firstLineChars="200"/>
        <w:contextualSpacing/>
        <w:rPr>
          <w:rFonts w:hint="eastAsia" w:ascii="宋体" w:hAnsi="宋体" w:cs="仿宋_GB2312"/>
          <w:color w:val="auto"/>
          <w:sz w:val="21"/>
          <w:szCs w:val="21"/>
          <w:highlight w:val="none"/>
        </w:rPr>
      </w:pPr>
      <w:r>
        <w:rPr>
          <w:rFonts w:hint="eastAsia" w:ascii="宋体" w:hAnsi="宋体" w:cs="仿宋_GB2312"/>
          <w:color w:val="auto"/>
          <w:sz w:val="21"/>
          <w:szCs w:val="21"/>
          <w:highlight w:val="none"/>
        </w:rPr>
        <w:t>6.供应商之间商定部分供应商放弃参加政府采购活动或者放弃成交；</w:t>
      </w:r>
    </w:p>
    <w:p w14:paraId="4FA302A4">
      <w:pPr>
        <w:spacing w:line="360" w:lineRule="auto"/>
        <w:ind w:firstLine="420" w:firstLineChars="200"/>
        <w:contextualSpacing/>
        <w:rPr>
          <w:rFonts w:hint="eastAsia" w:ascii="宋体" w:hAnsi="宋体" w:cs="仿宋_GB2312"/>
          <w:color w:val="auto"/>
          <w:sz w:val="21"/>
          <w:szCs w:val="21"/>
          <w:highlight w:val="none"/>
        </w:rPr>
      </w:pPr>
      <w:r>
        <w:rPr>
          <w:rFonts w:hint="eastAsia" w:ascii="宋体" w:hAnsi="宋体" w:cs="仿宋_GB2312"/>
          <w:color w:val="auto"/>
          <w:sz w:val="21"/>
          <w:szCs w:val="21"/>
          <w:highlight w:val="none"/>
        </w:rPr>
        <w:t>7.供应商与采购人或者采购代理机构之间、供应商相互之间，为</w:t>
      </w:r>
      <w:r>
        <w:rPr>
          <w:rFonts w:hint="eastAsia" w:ascii="宋体" w:hAnsi="宋体" w:cs="仿宋_GB2312"/>
          <w:color w:val="auto"/>
          <w:spacing w:val="-6"/>
          <w:sz w:val="21"/>
          <w:szCs w:val="21"/>
          <w:highlight w:val="none"/>
        </w:rPr>
        <w:t>谋求特定供应商成交或者排斥其他供应商的其他串通行为。</w:t>
      </w:r>
    </w:p>
    <w:p w14:paraId="1A228117">
      <w:pPr>
        <w:spacing w:line="360" w:lineRule="auto"/>
        <w:ind w:firstLine="420" w:firstLineChars="200"/>
        <w:contextualSpacing/>
        <w:rPr>
          <w:rFonts w:hint="eastAsia" w:ascii="宋体" w:hAnsi="宋体" w:cs="仿宋_GB2312"/>
          <w:color w:val="auto"/>
          <w:sz w:val="21"/>
          <w:szCs w:val="21"/>
          <w:highlight w:val="none"/>
        </w:rPr>
      </w:pPr>
    </w:p>
    <w:p w14:paraId="50601BEC">
      <w:pPr>
        <w:spacing w:line="360" w:lineRule="auto"/>
        <w:ind w:firstLine="422" w:firstLineChars="200"/>
        <w:contextualSpacing/>
        <w:rPr>
          <w:rFonts w:hint="eastAsia" w:ascii="宋体" w:hAnsi="宋体" w:cs="仿宋_GB2312"/>
          <w:b/>
          <w:bCs/>
          <w:color w:val="auto"/>
          <w:sz w:val="21"/>
          <w:szCs w:val="21"/>
          <w:highlight w:val="none"/>
        </w:rPr>
      </w:pPr>
      <w:r>
        <w:rPr>
          <w:rFonts w:hint="eastAsia" w:ascii="宋体" w:hAnsi="宋体" w:cs="仿宋_GB2312"/>
          <w:b/>
          <w:bCs/>
          <w:color w:val="auto"/>
          <w:sz w:val="21"/>
          <w:szCs w:val="21"/>
          <w:highlight w:val="none"/>
        </w:rPr>
        <w:t>以上情形一经核查属实，我方愿意承担一切后果，并不再寻求任何旨在减轻或者免除法律责任的辩解。</w:t>
      </w:r>
    </w:p>
    <w:p w14:paraId="334773A8">
      <w:pPr>
        <w:spacing w:line="520" w:lineRule="exact"/>
        <w:jc w:val="both"/>
        <w:rPr>
          <w:rFonts w:hint="eastAsia" w:ascii="宋体" w:hAnsi="宋体" w:eastAsia="宋体" w:cs="宋体"/>
          <w:color w:val="auto"/>
          <w:sz w:val="21"/>
          <w:szCs w:val="21"/>
          <w:highlight w:val="none"/>
        </w:rPr>
      </w:pPr>
    </w:p>
    <w:p w14:paraId="5834368C">
      <w:pPr>
        <w:pStyle w:val="35"/>
        <w:rPr>
          <w:rFonts w:hint="eastAsia" w:ascii="宋体" w:hAnsi="宋体" w:eastAsia="宋体" w:cs="宋体"/>
          <w:color w:val="auto"/>
          <w:sz w:val="44"/>
          <w:szCs w:val="44"/>
          <w:highlight w:val="none"/>
        </w:rPr>
      </w:pPr>
    </w:p>
    <w:p w14:paraId="04A8A2B4">
      <w:pPr>
        <w:snapToGrid w:val="0"/>
        <w:spacing w:line="360" w:lineRule="auto"/>
        <w:ind w:left="5378" w:leftChars="2536" w:hanging="52" w:hangingChars="25"/>
        <w:jc w:val="left"/>
        <w:rPr>
          <w:rFonts w:hint="default" w:ascii="宋体" w:hAnsi="宋体" w:eastAsia="宋体" w:cs="宋体"/>
          <w:color w:val="auto"/>
          <w:kern w:val="0"/>
          <w:sz w:val="21"/>
          <w:szCs w:val="21"/>
          <w:highlight w:val="none"/>
          <w:u w:val="single"/>
          <w:lang w:val="en-US" w:eastAsia="zh-CN"/>
        </w:rPr>
      </w:pPr>
      <w:r>
        <w:rPr>
          <w:rFonts w:hint="eastAsia" w:ascii="宋体" w:hAnsi="宋体" w:eastAsia="宋体" w:cs="宋体"/>
          <w:color w:val="auto"/>
          <w:kern w:val="0"/>
          <w:sz w:val="21"/>
          <w:szCs w:val="21"/>
          <w:highlight w:val="none"/>
          <w:lang w:val="zh-CN"/>
        </w:rPr>
        <w:t>供应商名称</w:t>
      </w:r>
      <w:r>
        <w:rPr>
          <w:rFonts w:hint="eastAsia" w:ascii="宋体" w:hAnsi="宋体" w:cs="宋体"/>
          <w:color w:val="auto"/>
          <w:kern w:val="0"/>
          <w:sz w:val="21"/>
          <w:szCs w:val="21"/>
          <w:highlight w:val="none"/>
          <w:lang w:val="zh-CN"/>
        </w:rPr>
        <w:t>（</w:t>
      </w:r>
      <w:r>
        <w:rPr>
          <w:rFonts w:hint="eastAsia" w:ascii="宋体" w:hAnsi="宋体" w:eastAsia="宋体" w:cs="宋体"/>
          <w:color w:val="auto"/>
          <w:kern w:val="0"/>
          <w:sz w:val="21"/>
          <w:szCs w:val="21"/>
          <w:highlight w:val="none"/>
          <w:lang w:val="zh-CN"/>
        </w:rPr>
        <w:t>电子签章</w:t>
      </w:r>
      <w:r>
        <w:rPr>
          <w:rFonts w:hint="eastAsia" w:ascii="宋体" w:hAnsi="宋体" w:cs="宋体"/>
          <w:color w:val="auto"/>
          <w:kern w:val="0"/>
          <w:sz w:val="21"/>
          <w:szCs w:val="21"/>
          <w:highlight w:val="none"/>
          <w:lang w:val="zh-CN"/>
        </w:rPr>
        <w:t>）</w:t>
      </w:r>
      <w:r>
        <w:rPr>
          <w:rFonts w:hint="eastAsia" w:ascii="宋体" w:hAnsi="宋体" w:eastAsia="宋体" w:cs="宋体"/>
          <w:color w:val="auto"/>
          <w:kern w:val="0"/>
          <w:sz w:val="21"/>
          <w:szCs w:val="21"/>
          <w:highlight w:val="none"/>
          <w:lang w:val="zh-CN"/>
        </w:rPr>
        <w:t>：</w:t>
      </w:r>
      <w:r>
        <w:rPr>
          <w:rFonts w:hint="eastAsia" w:ascii="宋体" w:hAnsi="宋体" w:eastAsia="宋体" w:cs="宋体"/>
          <w:color w:val="auto"/>
          <w:kern w:val="0"/>
          <w:sz w:val="21"/>
          <w:szCs w:val="21"/>
          <w:highlight w:val="none"/>
          <w:u w:val="single"/>
          <w:lang w:val="en-US" w:eastAsia="zh-CN"/>
        </w:rPr>
        <w:t xml:space="preserve">          </w:t>
      </w:r>
    </w:p>
    <w:p w14:paraId="6E3E6C8C">
      <w:pPr>
        <w:snapToGrid w:val="0"/>
        <w:spacing w:line="360" w:lineRule="auto"/>
        <w:ind w:firstLine="6615" w:firstLineChars="3150"/>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日期</w:t>
      </w:r>
      <w:r>
        <w:rPr>
          <w:rFonts w:hint="eastAsia" w:ascii="宋体" w:hAnsi="宋体" w:eastAsia="宋体" w:cs="宋体"/>
          <w:color w:val="auto"/>
          <w:kern w:val="0"/>
          <w:sz w:val="21"/>
          <w:szCs w:val="21"/>
          <w:highlight w:val="none"/>
        </w:rPr>
        <w:t xml:space="preserve">：  年  </w:t>
      </w:r>
      <w:r>
        <w:rPr>
          <w:rFonts w:hint="eastAsia" w:ascii="宋体" w:hAnsi="宋体" w:eastAsia="宋体" w:cs="宋体"/>
          <w:color w:val="auto"/>
          <w:kern w:val="0"/>
          <w:sz w:val="21"/>
          <w:szCs w:val="21"/>
          <w:highlight w:val="none"/>
          <w:lang w:val="zh-CN"/>
        </w:rPr>
        <w:t>月</w:t>
      </w:r>
      <w:r>
        <w:rPr>
          <w:rFonts w:hint="eastAsia" w:ascii="宋体" w:hAnsi="宋体" w:eastAsia="宋体" w:cs="宋体"/>
          <w:color w:val="auto"/>
          <w:kern w:val="0"/>
          <w:sz w:val="21"/>
          <w:szCs w:val="21"/>
          <w:highlight w:val="none"/>
        </w:rPr>
        <w:t xml:space="preserve">   </w:t>
      </w:r>
      <w:r>
        <w:rPr>
          <w:rFonts w:hint="eastAsia" w:ascii="宋体" w:hAnsi="宋体" w:eastAsia="宋体" w:cs="宋体"/>
          <w:color w:val="auto"/>
          <w:kern w:val="0"/>
          <w:sz w:val="21"/>
          <w:szCs w:val="21"/>
          <w:highlight w:val="none"/>
          <w:lang w:val="zh-CN"/>
        </w:rPr>
        <w:t>日</w:t>
      </w:r>
    </w:p>
    <w:p w14:paraId="33AAC770">
      <w:pPr>
        <w:pStyle w:val="35"/>
        <w:jc w:val="both"/>
        <w:rPr>
          <w:rFonts w:hint="eastAsia"/>
          <w:color w:val="auto"/>
        </w:rPr>
      </w:pPr>
    </w:p>
    <w:p w14:paraId="6A91B065">
      <w:pPr>
        <w:spacing w:line="520" w:lineRule="exact"/>
        <w:jc w:val="center"/>
        <w:rPr>
          <w:rFonts w:hint="eastAsia" w:ascii="方正小标宋简体" w:hAnsi="方正小标宋简体" w:eastAsia="方正小标宋简体" w:cs="方正小标宋简体"/>
          <w:bCs/>
          <w:color w:val="auto"/>
          <w:sz w:val="40"/>
          <w:szCs w:val="40"/>
          <w:highlight w:val="none"/>
        </w:rPr>
      </w:pPr>
    </w:p>
    <w:p w14:paraId="3C0B6241">
      <w:pPr>
        <w:spacing w:line="520" w:lineRule="exact"/>
        <w:jc w:val="center"/>
        <w:rPr>
          <w:rFonts w:hint="eastAsia" w:ascii="方正小标宋简体" w:hAnsi="方正小标宋简体" w:eastAsia="方正小标宋简体" w:cs="方正小标宋简体"/>
          <w:bCs/>
          <w:color w:val="auto"/>
          <w:sz w:val="40"/>
          <w:szCs w:val="40"/>
          <w:highlight w:val="none"/>
        </w:rPr>
      </w:pPr>
    </w:p>
    <w:p w14:paraId="74A5FACC">
      <w:pPr>
        <w:spacing w:line="520" w:lineRule="exact"/>
        <w:jc w:val="center"/>
        <w:rPr>
          <w:rFonts w:hint="eastAsia" w:ascii="方正小标宋简体" w:hAnsi="方正小标宋简体" w:eastAsia="方正小标宋简体" w:cs="方正小标宋简体"/>
          <w:bCs/>
          <w:color w:val="auto"/>
          <w:sz w:val="40"/>
          <w:szCs w:val="40"/>
          <w:highlight w:val="none"/>
        </w:rPr>
      </w:pPr>
    </w:p>
    <w:p w14:paraId="3CE1D9E9">
      <w:pPr>
        <w:spacing w:line="520" w:lineRule="exact"/>
        <w:jc w:val="center"/>
        <w:rPr>
          <w:rFonts w:hint="eastAsia" w:ascii="方正小标宋简体" w:hAnsi="方正小标宋简体" w:eastAsia="方正小标宋简体" w:cs="方正小标宋简体"/>
          <w:bCs/>
          <w:color w:val="auto"/>
          <w:sz w:val="40"/>
          <w:szCs w:val="40"/>
          <w:highlight w:val="none"/>
        </w:rPr>
      </w:pPr>
    </w:p>
    <w:p w14:paraId="2FCF4057">
      <w:pPr>
        <w:spacing w:line="520" w:lineRule="exact"/>
        <w:jc w:val="center"/>
        <w:rPr>
          <w:rFonts w:hint="eastAsia" w:ascii="方正小标宋简体" w:hAnsi="方正小标宋简体" w:eastAsia="方正小标宋简体" w:cs="方正小标宋简体"/>
          <w:bCs/>
          <w:color w:val="auto"/>
          <w:sz w:val="40"/>
          <w:szCs w:val="40"/>
          <w:highlight w:val="none"/>
        </w:rPr>
      </w:pPr>
    </w:p>
    <w:p w14:paraId="7928A093">
      <w:pPr>
        <w:spacing w:line="520" w:lineRule="exact"/>
        <w:jc w:val="center"/>
        <w:rPr>
          <w:rFonts w:hint="eastAsia" w:ascii="仿宋_GB2312" w:hAnsi="仿宋_GB2312" w:eastAsia="仿宋_GB2312" w:cs="仿宋_GB2312"/>
          <w:color w:val="auto"/>
          <w:sz w:val="28"/>
          <w:szCs w:val="28"/>
          <w:highlight w:val="none"/>
        </w:rPr>
      </w:pPr>
      <w:r>
        <w:rPr>
          <w:rFonts w:hint="eastAsia" w:ascii="方正小标宋简体" w:hAnsi="方正小标宋简体" w:eastAsia="方正小标宋简体" w:cs="方正小标宋简体"/>
          <w:bCs/>
          <w:color w:val="auto"/>
          <w:sz w:val="40"/>
          <w:szCs w:val="40"/>
          <w:highlight w:val="none"/>
        </w:rPr>
        <w:t>法定代表人证明书</w:t>
      </w:r>
    </w:p>
    <w:p w14:paraId="2AA64F03">
      <w:pPr>
        <w:spacing w:line="360" w:lineRule="auto"/>
        <w:ind w:left="540"/>
        <w:contextualSpacing/>
        <w:rPr>
          <w:rFonts w:hint="eastAsia" w:ascii="仿宋_GB2312" w:hAnsi="仿宋_GB2312" w:eastAsia="仿宋_GB2312" w:cs="仿宋_GB2312"/>
          <w:color w:val="auto"/>
          <w:sz w:val="28"/>
          <w:szCs w:val="28"/>
          <w:highlight w:val="none"/>
        </w:rPr>
      </w:pPr>
    </w:p>
    <w:p w14:paraId="476F567D">
      <w:pPr>
        <w:spacing w:line="360" w:lineRule="auto"/>
        <w:ind w:left="540"/>
        <w:contextualSpacing/>
        <w:rPr>
          <w:rFonts w:hint="eastAsia" w:ascii="宋体" w:hAnsi="宋体" w:cs="仿宋_GB2312"/>
          <w:color w:val="auto"/>
          <w:sz w:val="22"/>
          <w:szCs w:val="22"/>
          <w:highlight w:val="none"/>
        </w:rPr>
      </w:pPr>
      <w:r>
        <w:rPr>
          <w:rFonts w:hint="eastAsia" w:ascii="宋体" w:hAnsi="宋体" w:cs="仿宋_GB2312"/>
          <w:color w:val="auto"/>
          <w:sz w:val="22"/>
          <w:szCs w:val="22"/>
          <w:highlight w:val="none"/>
        </w:rPr>
        <w:t>供应商名称：</w:t>
      </w:r>
      <w:r>
        <w:rPr>
          <w:rFonts w:hint="eastAsia" w:ascii="宋体" w:hAnsi="宋体" w:cs="仿宋_GB2312"/>
          <w:color w:val="auto"/>
          <w:sz w:val="22"/>
          <w:szCs w:val="22"/>
          <w:highlight w:val="none"/>
          <w:u w:val="single"/>
        </w:rPr>
        <w:t xml:space="preserve">                                                        </w:t>
      </w:r>
    </w:p>
    <w:p w14:paraId="228BA6AA">
      <w:pPr>
        <w:spacing w:line="360" w:lineRule="auto"/>
        <w:ind w:left="540"/>
        <w:contextualSpacing/>
        <w:rPr>
          <w:rFonts w:hint="eastAsia" w:ascii="宋体" w:hAnsi="宋体" w:cs="仿宋_GB2312"/>
          <w:color w:val="auto"/>
          <w:sz w:val="22"/>
          <w:szCs w:val="22"/>
          <w:highlight w:val="none"/>
        </w:rPr>
      </w:pPr>
      <w:r>
        <w:rPr>
          <w:rFonts w:hint="eastAsia" w:ascii="宋体" w:hAnsi="宋体" w:cs="仿宋_GB2312"/>
          <w:color w:val="auto"/>
          <w:sz w:val="22"/>
          <w:szCs w:val="22"/>
          <w:highlight w:val="none"/>
        </w:rPr>
        <w:t>地    址：</w:t>
      </w:r>
      <w:r>
        <w:rPr>
          <w:rFonts w:hint="eastAsia" w:ascii="宋体" w:hAnsi="宋体" w:cs="仿宋_GB2312"/>
          <w:color w:val="auto"/>
          <w:sz w:val="22"/>
          <w:szCs w:val="22"/>
          <w:highlight w:val="none"/>
          <w:u w:val="single"/>
        </w:rPr>
        <w:t xml:space="preserve">                                                        </w:t>
      </w:r>
    </w:p>
    <w:p w14:paraId="1929BEF2">
      <w:pPr>
        <w:spacing w:line="360" w:lineRule="auto"/>
        <w:ind w:left="540"/>
        <w:contextualSpacing/>
        <w:rPr>
          <w:rFonts w:hint="eastAsia" w:ascii="宋体" w:hAnsi="宋体" w:cs="仿宋_GB2312"/>
          <w:color w:val="auto"/>
          <w:sz w:val="22"/>
          <w:szCs w:val="22"/>
          <w:highlight w:val="none"/>
        </w:rPr>
      </w:pPr>
      <w:r>
        <w:rPr>
          <w:rFonts w:hint="eastAsia" w:ascii="宋体" w:hAnsi="宋体" w:cs="仿宋_GB2312"/>
          <w:color w:val="auto"/>
          <w:sz w:val="22"/>
          <w:szCs w:val="22"/>
          <w:highlight w:val="none"/>
        </w:rPr>
        <w:t>姓    名：</w:t>
      </w:r>
      <w:r>
        <w:rPr>
          <w:rFonts w:hint="eastAsia" w:ascii="宋体" w:hAnsi="宋体" w:cs="仿宋_GB2312"/>
          <w:color w:val="auto"/>
          <w:sz w:val="22"/>
          <w:szCs w:val="22"/>
          <w:highlight w:val="none"/>
          <w:u w:val="single"/>
        </w:rPr>
        <w:t xml:space="preserve">                </w:t>
      </w:r>
      <w:r>
        <w:rPr>
          <w:rFonts w:hint="eastAsia" w:ascii="宋体" w:hAnsi="宋体" w:cs="仿宋_GB2312"/>
          <w:color w:val="auto"/>
          <w:sz w:val="22"/>
          <w:szCs w:val="22"/>
          <w:highlight w:val="none"/>
        </w:rPr>
        <w:t>性     别：</w:t>
      </w:r>
      <w:r>
        <w:rPr>
          <w:rFonts w:hint="eastAsia" w:ascii="宋体" w:hAnsi="宋体" w:cs="仿宋_GB2312"/>
          <w:color w:val="auto"/>
          <w:sz w:val="22"/>
          <w:szCs w:val="22"/>
          <w:highlight w:val="none"/>
          <w:u w:val="single"/>
        </w:rPr>
        <w:t xml:space="preserve">                </w:t>
      </w:r>
    </w:p>
    <w:p w14:paraId="7FA5D936">
      <w:pPr>
        <w:spacing w:line="360" w:lineRule="auto"/>
        <w:ind w:left="540"/>
        <w:contextualSpacing/>
        <w:rPr>
          <w:rFonts w:hint="eastAsia" w:ascii="宋体" w:hAnsi="宋体" w:cs="仿宋_GB2312"/>
          <w:color w:val="auto"/>
          <w:sz w:val="22"/>
          <w:szCs w:val="22"/>
          <w:highlight w:val="none"/>
          <w:u w:val="single"/>
        </w:rPr>
      </w:pPr>
      <w:r>
        <w:rPr>
          <w:rFonts w:hint="eastAsia" w:ascii="宋体" w:hAnsi="宋体" w:cs="仿宋_GB2312"/>
          <w:color w:val="auto"/>
          <w:sz w:val="22"/>
          <w:szCs w:val="22"/>
          <w:highlight w:val="none"/>
        </w:rPr>
        <w:t>年    龄：</w:t>
      </w:r>
      <w:r>
        <w:rPr>
          <w:rFonts w:hint="eastAsia" w:ascii="宋体" w:hAnsi="宋体" w:cs="仿宋_GB2312"/>
          <w:color w:val="auto"/>
          <w:sz w:val="22"/>
          <w:szCs w:val="22"/>
          <w:highlight w:val="none"/>
          <w:u w:val="single"/>
        </w:rPr>
        <w:t xml:space="preserve">                </w:t>
      </w:r>
      <w:r>
        <w:rPr>
          <w:rFonts w:hint="eastAsia" w:ascii="宋体" w:hAnsi="宋体" w:cs="仿宋_GB2312"/>
          <w:color w:val="auto"/>
          <w:sz w:val="22"/>
          <w:szCs w:val="22"/>
          <w:highlight w:val="none"/>
        </w:rPr>
        <w:t>职     务：</w:t>
      </w:r>
      <w:r>
        <w:rPr>
          <w:rFonts w:hint="eastAsia" w:ascii="宋体" w:hAnsi="宋体" w:cs="仿宋_GB2312"/>
          <w:color w:val="auto"/>
          <w:sz w:val="22"/>
          <w:szCs w:val="22"/>
          <w:highlight w:val="none"/>
          <w:u w:val="single"/>
        </w:rPr>
        <w:t xml:space="preserve">                </w:t>
      </w:r>
    </w:p>
    <w:p w14:paraId="4A844A0C">
      <w:pPr>
        <w:spacing w:line="360" w:lineRule="auto"/>
        <w:ind w:left="540"/>
        <w:contextualSpacing/>
        <w:rPr>
          <w:rFonts w:hint="eastAsia" w:ascii="宋体" w:hAnsi="宋体" w:cs="仿宋_GB2312"/>
          <w:color w:val="auto"/>
          <w:sz w:val="22"/>
          <w:szCs w:val="22"/>
          <w:highlight w:val="none"/>
        </w:rPr>
      </w:pPr>
      <w:r>
        <w:rPr>
          <w:rFonts w:hint="eastAsia" w:ascii="宋体" w:hAnsi="宋体" w:cs="仿宋_GB2312"/>
          <w:color w:val="auto"/>
          <w:sz w:val="22"/>
          <w:szCs w:val="22"/>
          <w:highlight w:val="none"/>
        </w:rPr>
        <w:t>身份证号码：</w:t>
      </w:r>
      <w:r>
        <w:rPr>
          <w:rFonts w:hint="eastAsia" w:ascii="宋体" w:hAnsi="宋体" w:cs="仿宋_GB2312"/>
          <w:color w:val="auto"/>
          <w:sz w:val="22"/>
          <w:szCs w:val="22"/>
          <w:highlight w:val="none"/>
          <w:u w:val="single"/>
        </w:rPr>
        <w:t xml:space="preserve">                                        </w:t>
      </w:r>
    </w:p>
    <w:p w14:paraId="20E66D93">
      <w:pPr>
        <w:spacing w:line="360" w:lineRule="auto"/>
        <w:ind w:firstLine="440" w:firstLineChars="200"/>
        <w:contextualSpacing/>
        <w:rPr>
          <w:rFonts w:hint="eastAsia" w:ascii="宋体" w:hAnsi="宋体" w:cs="仿宋_GB2312"/>
          <w:color w:val="auto"/>
          <w:sz w:val="22"/>
          <w:szCs w:val="22"/>
          <w:highlight w:val="none"/>
        </w:rPr>
      </w:pPr>
      <w:r>
        <w:rPr>
          <w:rFonts w:hint="eastAsia" w:ascii="宋体" w:hAnsi="宋体" w:cs="仿宋_GB2312"/>
          <w:color w:val="auto"/>
          <w:sz w:val="22"/>
          <w:szCs w:val="22"/>
          <w:highlight w:val="none"/>
        </w:rPr>
        <w:t>系</w:t>
      </w:r>
      <w:r>
        <w:rPr>
          <w:rFonts w:hint="eastAsia" w:ascii="宋体" w:hAnsi="宋体" w:cs="仿宋_GB2312"/>
          <w:color w:val="auto"/>
          <w:sz w:val="22"/>
          <w:szCs w:val="22"/>
          <w:highlight w:val="none"/>
          <w:u w:val="single"/>
        </w:rPr>
        <w:t>（供应商名称）</w:t>
      </w:r>
      <w:r>
        <w:rPr>
          <w:rFonts w:hint="eastAsia" w:ascii="宋体" w:hAnsi="宋体" w:cs="仿宋_GB2312"/>
          <w:color w:val="auto"/>
          <w:sz w:val="22"/>
          <w:szCs w:val="22"/>
          <w:highlight w:val="none"/>
        </w:rPr>
        <w:t>的法定代表人。</w:t>
      </w:r>
    </w:p>
    <w:p w14:paraId="242A67C5">
      <w:pPr>
        <w:spacing w:line="360" w:lineRule="auto"/>
        <w:ind w:left="540"/>
        <w:contextualSpacing/>
        <w:rPr>
          <w:rFonts w:hint="eastAsia" w:ascii="宋体" w:hAnsi="宋体" w:cs="仿宋_GB2312"/>
          <w:color w:val="auto"/>
          <w:sz w:val="22"/>
          <w:szCs w:val="22"/>
          <w:highlight w:val="none"/>
        </w:rPr>
      </w:pPr>
      <w:r>
        <w:rPr>
          <w:rFonts w:hint="eastAsia" w:ascii="宋体" w:hAnsi="宋体" w:cs="仿宋_GB2312"/>
          <w:color w:val="auto"/>
          <w:sz w:val="22"/>
          <w:szCs w:val="22"/>
          <w:highlight w:val="none"/>
        </w:rPr>
        <w:t>特此证明。</w:t>
      </w:r>
    </w:p>
    <w:p w14:paraId="50F0C1D0">
      <w:pPr>
        <w:spacing w:line="360" w:lineRule="auto"/>
        <w:ind w:left="540"/>
        <w:contextualSpacing/>
        <w:rPr>
          <w:rFonts w:hint="eastAsia" w:ascii="宋体" w:hAnsi="宋体" w:cs="仿宋_GB2312"/>
          <w:color w:val="auto"/>
          <w:sz w:val="22"/>
          <w:szCs w:val="22"/>
          <w:highlight w:val="none"/>
        </w:rPr>
      </w:pPr>
    </w:p>
    <w:p w14:paraId="430D4A83">
      <w:pPr>
        <w:spacing w:line="360" w:lineRule="auto"/>
        <w:ind w:left="540"/>
        <w:contextualSpacing/>
        <w:rPr>
          <w:rFonts w:hint="eastAsia" w:ascii="宋体" w:hAnsi="宋体" w:cs="仿宋_GB2312"/>
          <w:color w:val="auto"/>
          <w:sz w:val="22"/>
          <w:szCs w:val="22"/>
          <w:highlight w:val="none"/>
        </w:rPr>
      </w:pPr>
    </w:p>
    <w:p w14:paraId="0F11BD0E">
      <w:pPr>
        <w:spacing w:line="360" w:lineRule="auto"/>
        <w:ind w:left="540"/>
        <w:contextualSpacing/>
        <w:rPr>
          <w:rFonts w:hint="eastAsia" w:ascii="宋体" w:hAnsi="宋体" w:cs="仿宋_GB2312"/>
          <w:color w:val="auto"/>
          <w:sz w:val="22"/>
          <w:szCs w:val="22"/>
          <w:highlight w:val="none"/>
        </w:rPr>
      </w:pPr>
    </w:p>
    <w:p w14:paraId="25178298">
      <w:pPr>
        <w:spacing w:line="360" w:lineRule="auto"/>
        <w:ind w:left="540"/>
        <w:contextualSpacing/>
        <w:rPr>
          <w:rFonts w:hint="eastAsia" w:ascii="宋体" w:hAnsi="宋体" w:cs="仿宋_GB2312"/>
          <w:color w:val="auto"/>
          <w:sz w:val="22"/>
          <w:szCs w:val="22"/>
          <w:highlight w:val="none"/>
        </w:rPr>
      </w:pPr>
      <w:r>
        <w:rPr>
          <w:rFonts w:hint="eastAsia" w:ascii="宋体" w:hAnsi="宋体" w:cs="仿宋_GB2312"/>
          <w:color w:val="auto"/>
          <w:sz w:val="22"/>
          <w:szCs w:val="22"/>
          <w:highlight w:val="none"/>
        </w:rPr>
        <w:t>附件：法定代表人有效身份证正反面复印件</w:t>
      </w:r>
    </w:p>
    <w:p w14:paraId="1F7631C5">
      <w:pPr>
        <w:spacing w:line="360" w:lineRule="auto"/>
        <w:ind w:left="540"/>
        <w:contextualSpacing/>
        <w:rPr>
          <w:rFonts w:hint="eastAsia" w:ascii="宋体" w:hAnsi="宋体" w:cs="仿宋_GB2312"/>
          <w:color w:val="auto"/>
          <w:sz w:val="22"/>
          <w:szCs w:val="22"/>
          <w:highlight w:val="none"/>
        </w:rPr>
      </w:pPr>
    </w:p>
    <w:p w14:paraId="1AB9A78E">
      <w:pPr>
        <w:snapToGrid w:val="0"/>
        <w:spacing w:line="360" w:lineRule="auto"/>
        <w:ind w:left="5381" w:leftChars="2536" w:hanging="55" w:hangingChars="25"/>
        <w:jc w:val="left"/>
        <w:rPr>
          <w:rFonts w:hint="default" w:ascii="宋体" w:hAnsi="宋体" w:eastAsia="宋体" w:cs="宋体"/>
          <w:color w:val="auto"/>
          <w:kern w:val="0"/>
          <w:sz w:val="21"/>
          <w:szCs w:val="21"/>
          <w:highlight w:val="none"/>
          <w:u w:val="single"/>
          <w:lang w:val="en-US" w:eastAsia="zh-CN"/>
        </w:rPr>
      </w:pPr>
      <w:r>
        <w:rPr>
          <w:rFonts w:hint="eastAsia" w:ascii="宋体" w:hAnsi="宋体" w:cs="仿宋_GB2312"/>
          <w:color w:val="auto"/>
          <w:sz w:val="22"/>
          <w:szCs w:val="22"/>
          <w:highlight w:val="none"/>
          <w:lang w:val="en-US" w:eastAsia="zh-CN"/>
        </w:rPr>
        <w:t xml:space="preserve">    </w:t>
      </w:r>
      <w:r>
        <w:rPr>
          <w:rFonts w:hint="eastAsia" w:ascii="宋体" w:hAnsi="宋体" w:eastAsia="宋体" w:cs="宋体"/>
          <w:color w:val="auto"/>
          <w:kern w:val="0"/>
          <w:sz w:val="21"/>
          <w:szCs w:val="21"/>
          <w:highlight w:val="none"/>
          <w:lang w:val="zh-CN"/>
        </w:rPr>
        <w:t>供应商名称</w:t>
      </w:r>
      <w:r>
        <w:rPr>
          <w:rFonts w:hint="eastAsia" w:ascii="宋体" w:hAnsi="宋体" w:cs="宋体"/>
          <w:color w:val="auto"/>
          <w:kern w:val="0"/>
          <w:sz w:val="21"/>
          <w:szCs w:val="21"/>
          <w:highlight w:val="none"/>
          <w:lang w:val="zh-CN"/>
        </w:rPr>
        <w:t>（</w:t>
      </w:r>
      <w:r>
        <w:rPr>
          <w:rFonts w:hint="eastAsia" w:ascii="宋体" w:hAnsi="宋体" w:eastAsia="宋体" w:cs="宋体"/>
          <w:color w:val="auto"/>
          <w:kern w:val="0"/>
          <w:sz w:val="21"/>
          <w:szCs w:val="21"/>
          <w:highlight w:val="none"/>
          <w:lang w:val="zh-CN"/>
        </w:rPr>
        <w:t>电子签章</w:t>
      </w:r>
      <w:r>
        <w:rPr>
          <w:rFonts w:hint="eastAsia" w:ascii="宋体" w:hAnsi="宋体" w:cs="宋体"/>
          <w:color w:val="auto"/>
          <w:kern w:val="0"/>
          <w:sz w:val="21"/>
          <w:szCs w:val="21"/>
          <w:highlight w:val="none"/>
          <w:lang w:val="zh-CN"/>
        </w:rPr>
        <w:t>）</w:t>
      </w:r>
      <w:r>
        <w:rPr>
          <w:rFonts w:hint="eastAsia" w:ascii="宋体" w:hAnsi="宋体" w:eastAsia="宋体" w:cs="宋体"/>
          <w:color w:val="auto"/>
          <w:kern w:val="0"/>
          <w:sz w:val="21"/>
          <w:szCs w:val="21"/>
          <w:highlight w:val="none"/>
          <w:lang w:val="zh-CN"/>
        </w:rPr>
        <w:t>：</w:t>
      </w:r>
      <w:r>
        <w:rPr>
          <w:rFonts w:hint="eastAsia" w:ascii="宋体" w:hAnsi="宋体" w:eastAsia="宋体" w:cs="宋体"/>
          <w:color w:val="auto"/>
          <w:kern w:val="0"/>
          <w:sz w:val="21"/>
          <w:szCs w:val="21"/>
          <w:highlight w:val="none"/>
          <w:u w:val="single"/>
          <w:lang w:val="en-US" w:eastAsia="zh-CN"/>
        </w:rPr>
        <w:t xml:space="preserve">          </w:t>
      </w:r>
    </w:p>
    <w:p w14:paraId="7D16BEDF">
      <w:pPr>
        <w:snapToGrid w:val="0"/>
        <w:spacing w:line="360" w:lineRule="auto"/>
        <w:ind w:firstLine="6930" w:firstLineChars="3300"/>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日期</w:t>
      </w:r>
      <w:r>
        <w:rPr>
          <w:rFonts w:hint="eastAsia" w:ascii="宋体" w:hAnsi="宋体" w:eastAsia="宋体" w:cs="宋体"/>
          <w:color w:val="auto"/>
          <w:kern w:val="0"/>
          <w:sz w:val="21"/>
          <w:szCs w:val="21"/>
          <w:highlight w:val="none"/>
        </w:rPr>
        <w:t xml:space="preserve">：  年  </w:t>
      </w:r>
      <w:r>
        <w:rPr>
          <w:rFonts w:hint="eastAsia" w:ascii="宋体" w:hAnsi="宋体" w:eastAsia="宋体" w:cs="宋体"/>
          <w:color w:val="auto"/>
          <w:kern w:val="0"/>
          <w:sz w:val="21"/>
          <w:szCs w:val="21"/>
          <w:highlight w:val="none"/>
          <w:lang w:val="zh-CN"/>
        </w:rPr>
        <w:t>月</w:t>
      </w:r>
      <w:r>
        <w:rPr>
          <w:rFonts w:hint="eastAsia" w:ascii="宋体" w:hAnsi="宋体" w:eastAsia="宋体" w:cs="宋体"/>
          <w:color w:val="auto"/>
          <w:kern w:val="0"/>
          <w:sz w:val="21"/>
          <w:szCs w:val="21"/>
          <w:highlight w:val="none"/>
        </w:rPr>
        <w:t xml:space="preserve">   </w:t>
      </w:r>
      <w:r>
        <w:rPr>
          <w:rFonts w:hint="eastAsia" w:ascii="宋体" w:hAnsi="宋体" w:eastAsia="宋体" w:cs="宋体"/>
          <w:color w:val="auto"/>
          <w:kern w:val="0"/>
          <w:sz w:val="21"/>
          <w:szCs w:val="21"/>
          <w:highlight w:val="none"/>
          <w:lang w:val="zh-CN"/>
        </w:rPr>
        <w:t>日</w:t>
      </w:r>
    </w:p>
    <w:p w14:paraId="175018E5">
      <w:pPr>
        <w:spacing w:line="360" w:lineRule="auto"/>
        <w:contextualSpacing/>
        <w:jc w:val="left"/>
        <w:rPr>
          <w:rFonts w:hint="eastAsia" w:ascii="宋体" w:hAnsi="宋体" w:cs="仿宋_GB2312"/>
          <w:color w:val="auto"/>
          <w:sz w:val="22"/>
          <w:szCs w:val="22"/>
          <w:highlight w:val="none"/>
        </w:rPr>
      </w:pPr>
    </w:p>
    <w:p w14:paraId="1A14B657">
      <w:pPr>
        <w:spacing w:line="360" w:lineRule="auto"/>
        <w:contextualSpacing/>
        <w:jc w:val="left"/>
        <w:rPr>
          <w:rFonts w:ascii="宋体" w:hAnsi="宋体" w:cs="仿宋_GB2312"/>
          <w:color w:val="auto"/>
          <w:sz w:val="22"/>
          <w:szCs w:val="22"/>
          <w:highlight w:val="none"/>
        </w:rPr>
      </w:pPr>
      <w:r>
        <w:rPr>
          <w:rFonts w:hint="eastAsia" w:ascii="宋体" w:hAnsi="宋体" w:cs="仿宋_GB2312"/>
          <w:color w:val="auto"/>
          <w:sz w:val="22"/>
          <w:szCs w:val="22"/>
          <w:highlight w:val="none"/>
        </w:rPr>
        <w:t>注：自然人竞标的无需提供，联合体竞标的只需牵头人出具。</w:t>
      </w:r>
    </w:p>
    <w:p w14:paraId="4BA6AE3D">
      <w:pPr>
        <w:adjustRightInd w:val="0"/>
        <w:snapToGrid w:val="0"/>
        <w:spacing w:line="300" w:lineRule="auto"/>
        <w:jc w:val="left"/>
        <w:rPr>
          <w:rFonts w:hint="eastAsia" w:ascii="宋体" w:hAnsi="宋体"/>
          <w:b/>
          <w:color w:val="auto"/>
          <w:sz w:val="20"/>
          <w:szCs w:val="20"/>
          <w:highlight w:val="none"/>
        </w:rPr>
      </w:pPr>
    </w:p>
    <w:p w14:paraId="7BBE5B45">
      <w:pPr>
        <w:spacing w:line="500" w:lineRule="exact"/>
        <w:jc w:val="center"/>
        <w:rPr>
          <w:rFonts w:hint="eastAsia" w:ascii="方正小标宋简体" w:hAnsi="方正小标宋简体" w:eastAsia="方正小标宋简体" w:cs="方正小标宋简体"/>
          <w:color w:val="auto"/>
          <w:sz w:val="40"/>
          <w:szCs w:val="40"/>
          <w:highlight w:val="none"/>
        </w:rPr>
      </w:pPr>
      <w:r>
        <w:rPr>
          <w:rFonts w:hint="eastAsia" w:ascii="方正小标宋简体" w:hAnsi="方正小标宋简体" w:eastAsia="方正小标宋简体" w:cs="方正小标宋简体"/>
          <w:color w:val="auto"/>
          <w:sz w:val="40"/>
          <w:szCs w:val="40"/>
          <w:highlight w:val="none"/>
        </w:rPr>
        <w:br w:type="page"/>
      </w:r>
      <w:r>
        <w:rPr>
          <w:rFonts w:ascii="方正小标宋简体" w:hAnsi="方正小标宋简体" w:eastAsia="方正小标宋简体" w:cs="方正小标宋简体"/>
          <w:color w:val="auto"/>
          <w:sz w:val="40"/>
          <w:szCs w:val="40"/>
          <w:highlight w:val="none"/>
        </w:rPr>
        <w:t xml:space="preserve"> </w:t>
      </w:r>
    </w:p>
    <w:p w14:paraId="447681D3">
      <w:pPr>
        <w:spacing w:line="520" w:lineRule="exact"/>
        <w:jc w:val="center"/>
        <w:rPr>
          <w:rFonts w:hint="eastAsia" w:ascii="方正小标宋简体" w:hAnsi="方正小标宋简体" w:eastAsia="方正小标宋简体" w:cs="方正小标宋简体"/>
          <w:color w:val="auto"/>
          <w:sz w:val="40"/>
          <w:szCs w:val="40"/>
          <w:highlight w:val="none"/>
        </w:rPr>
      </w:pPr>
      <w:r>
        <w:rPr>
          <w:rFonts w:hint="eastAsia" w:ascii="方正小标宋简体" w:hAnsi="方正小标宋简体" w:eastAsia="方正小标宋简体" w:cs="方正小标宋简体"/>
          <w:color w:val="auto"/>
          <w:sz w:val="40"/>
          <w:szCs w:val="40"/>
          <w:highlight w:val="none"/>
        </w:rPr>
        <w:t>授权委托书</w:t>
      </w:r>
    </w:p>
    <w:p w14:paraId="4C7F8C25">
      <w:pPr>
        <w:spacing w:line="520" w:lineRule="exact"/>
        <w:jc w:val="center"/>
        <w:rPr>
          <w:rFonts w:hint="eastAsia" w:ascii="方正小标宋简体" w:hAnsi="方正小标宋简体" w:eastAsia="方正小标宋简体" w:cs="方正小标宋简体"/>
          <w:color w:val="auto"/>
          <w:sz w:val="28"/>
          <w:szCs w:val="28"/>
          <w:highlight w:val="none"/>
        </w:rPr>
      </w:pPr>
      <w:r>
        <w:rPr>
          <w:rFonts w:hint="eastAsia" w:ascii="方正小标宋简体" w:hAnsi="方正小标宋简体" w:eastAsia="方正小标宋简体" w:cs="方正小标宋简体"/>
          <w:color w:val="auto"/>
          <w:sz w:val="28"/>
          <w:szCs w:val="28"/>
          <w:highlight w:val="none"/>
        </w:rPr>
        <w:t>（非联合体竞标格式）</w:t>
      </w:r>
    </w:p>
    <w:p w14:paraId="4822D30F">
      <w:pPr>
        <w:spacing w:line="520" w:lineRule="exact"/>
        <w:jc w:val="center"/>
        <w:rPr>
          <w:rFonts w:hint="eastAsia" w:ascii="方正小标宋简体" w:hAnsi="方正小标宋简体" w:eastAsia="方正小标宋简体" w:cs="方正小标宋简体"/>
          <w:color w:val="auto"/>
          <w:sz w:val="40"/>
          <w:szCs w:val="40"/>
          <w:highlight w:val="none"/>
        </w:rPr>
      </w:pPr>
      <w:r>
        <w:rPr>
          <w:rFonts w:hint="eastAsia" w:ascii="方正小标宋简体" w:hAnsi="方正小标宋简体" w:eastAsia="方正小标宋简体" w:cs="方正小标宋简体"/>
          <w:color w:val="auto"/>
          <w:sz w:val="28"/>
          <w:szCs w:val="28"/>
          <w:highlight w:val="none"/>
        </w:rPr>
        <w:t>（如有委托时）</w:t>
      </w:r>
    </w:p>
    <w:p w14:paraId="60111B0F">
      <w:pPr>
        <w:spacing w:line="520" w:lineRule="exact"/>
        <w:rPr>
          <w:rFonts w:hint="eastAsia" w:ascii="仿宋_GB2312" w:hAnsi="仿宋_GB2312" w:eastAsia="仿宋_GB2312" w:cs="仿宋_GB2312"/>
          <w:color w:val="auto"/>
          <w:sz w:val="28"/>
          <w:szCs w:val="28"/>
          <w:highlight w:val="none"/>
        </w:rPr>
      </w:pPr>
    </w:p>
    <w:p w14:paraId="25B401E8">
      <w:pPr>
        <w:spacing w:line="360" w:lineRule="auto"/>
        <w:rPr>
          <w:rFonts w:hint="eastAsia" w:ascii="宋体" w:hAnsi="宋体" w:cs="仿宋_GB2312"/>
          <w:color w:val="auto"/>
          <w:sz w:val="22"/>
          <w:szCs w:val="22"/>
          <w:highlight w:val="none"/>
        </w:rPr>
      </w:pPr>
      <w:r>
        <w:rPr>
          <w:rFonts w:hint="eastAsia" w:ascii="宋体" w:hAnsi="宋体" w:cs="仿宋_GB2312"/>
          <w:color w:val="auto"/>
          <w:sz w:val="22"/>
          <w:szCs w:val="22"/>
          <w:highlight w:val="none"/>
        </w:rPr>
        <w:t>致：</w:t>
      </w:r>
      <w:r>
        <w:rPr>
          <w:rFonts w:hint="eastAsia" w:ascii="宋体" w:hAnsi="宋体" w:cs="仿宋_GB2312"/>
          <w:color w:val="auto"/>
          <w:sz w:val="22"/>
          <w:szCs w:val="22"/>
          <w:highlight w:val="none"/>
          <w:u w:val="single"/>
        </w:rPr>
        <w:t>（采购人名称）</w:t>
      </w:r>
      <w:r>
        <w:rPr>
          <w:rFonts w:hint="eastAsia" w:ascii="宋体" w:hAnsi="宋体" w:cs="仿宋_GB2312"/>
          <w:color w:val="auto"/>
          <w:sz w:val="22"/>
          <w:szCs w:val="22"/>
          <w:highlight w:val="none"/>
        </w:rPr>
        <w:t>：</w:t>
      </w:r>
    </w:p>
    <w:p w14:paraId="6B8B0DD1">
      <w:pPr>
        <w:spacing w:line="360" w:lineRule="auto"/>
        <w:ind w:firstLine="440" w:firstLineChars="200"/>
        <w:rPr>
          <w:rFonts w:hint="eastAsia" w:ascii="宋体" w:hAnsi="宋体" w:cs="仿宋_GB2312"/>
          <w:color w:val="auto"/>
          <w:sz w:val="22"/>
          <w:szCs w:val="22"/>
          <w:highlight w:val="none"/>
        </w:rPr>
      </w:pPr>
      <w:r>
        <w:rPr>
          <w:rFonts w:hint="eastAsia" w:ascii="宋体" w:hAnsi="宋体" w:cs="仿宋_GB2312"/>
          <w:color w:val="auto"/>
          <w:sz w:val="22"/>
          <w:szCs w:val="22"/>
          <w:highlight w:val="none"/>
        </w:rPr>
        <w:t>我</w:t>
      </w:r>
      <w:r>
        <w:rPr>
          <w:rFonts w:hint="eastAsia" w:ascii="宋体" w:hAnsi="宋体" w:cs="仿宋_GB2312"/>
          <w:color w:val="auto"/>
          <w:sz w:val="22"/>
          <w:szCs w:val="22"/>
          <w:highlight w:val="none"/>
          <w:u w:val="single"/>
        </w:rPr>
        <w:t xml:space="preserve">  （姓名）  </w:t>
      </w:r>
      <w:r>
        <w:rPr>
          <w:rFonts w:hint="eastAsia" w:ascii="宋体" w:hAnsi="宋体" w:cs="仿宋_GB2312"/>
          <w:color w:val="auto"/>
          <w:sz w:val="22"/>
          <w:szCs w:val="22"/>
          <w:highlight w:val="none"/>
        </w:rPr>
        <w:t>系</w:t>
      </w:r>
      <w:r>
        <w:rPr>
          <w:rFonts w:hint="eastAsia" w:ascii="宋体" w:hAnsi="宋体" w:cs="仿宋_GB2312"/>
          <w:color w:val="auto"/>
          <w:sz w:val="22"/>
          <w:szCs w:val="22"/>
          <w:highlight w:val="none"/>
          <w:u w:val="single"/>
        </w:rPr>
        <w:t xml:space="preserve">  （供应商名称）  </w:t>
      </w:r>
      <w:r>
        <w:rPr>
          <w:rFonts w:hint="eastAsia" w:ascii="宋体" w:hAnsi="宋体" w:cs="仿宋_GB2312"/>
          <w:color w:val="auto"/>
          <w:sz w:val="22"/>
          <w:szCs w:val="22"/>
          <w:highlight w:val="none"/>
        </w:rPr>
        <w:t>的（</w:t>
      </w:r>
      <w:r>
        <w:rPr>
          <w:rFonts w:hint="eastAsia" w:ascii="宋体" w:hAnsi="宋体" w:cs="仿宋_GB2312"/>
          <w:color w:val="auto"/>
          <w:sz w:val="22"/>
          <w:szCs w:val="22"/>
          <w:highlight w:val="none"/>
          <w:u w:val="single"/>
        </w:rPr>
        <w:t>□法定代表人/□负责人/□自然人本人</w:t>
      </w:r>
      <w:r>
        <w:rPr>
          <w:rFonts w:hint="eastAsia" w:ascii="宋体" w:hAnsi="宋体" w:cs="仿宋_GB2312"/>
          <w:color w:val="auto"/>
          <w:sz w:val="22"/>
          <w:szCs w:val="22"/>
          <w:highlight w:val="none"/>
        </w:rPr>
        <w:t>），现授权</w:t>
      </w:r>
      <w:r>
        <w:rPr>
          <w:rFonts w:hint="eastAsia" w:ascii="宋体" w:hAnsi="宋体" w:cs="仿宋_GB2312"/>
          <w:color w:val="auto"/>
          <w:sz w:val="22"/>
          <w:szCs w:val="22"/>
          <w:highlight w:val="none"/>
          <w:u w:val="single"/>
        </w:rPr>
        <w:t xml:space="preserve"> （姓名） </w:t>
      </w:r>
      <w:r>
        <w:rPr>
          <w:rFonts w:hint="eastAsia" w:ascii="宋体" w:hAnsi="宋体" w:cs="仿宋_GB2312"/>
          <w:color w:val="auto"/>
          <w:sz w:val="22"/>
          <w:szCs w:val="22"/>
          <w:highlight w:val="none"/>
        </w:rPr>
        <w:t>以我方的名义参加</w:t>
      </w:r>
      <w:r>
        <w:rPr>
          <w:rFonts w:hint="eastAsia" w:ascii="宋体" w:hAnsi="宋体" w:cs="仿宋_GB2312"/>
          <w:color w:val="auto"/>
          <w:sz w:val="22"/>
          <w:szCs w:val="22"/>
          <w:highlight w:val="none"/>
          <w:u w:val="single"/>
        </w:rPr>
        <w:t xml:space="preserve">              </w:t>
      </w:r>
      <w:r>
        <w:rPr>
          <w:rFonts w:hint="eastAsia" w:ascii="宋体" w:hAnsi="宋体" w:cs="仿宋_GB2312"/>
          <w:color w:val="auto"/>
          <w:sz w:val="22"/>
          <w:szCs w:val="22"/>
          <w:highlight w:val="none"/>
        </w:rPr>
        <w:t>项目的竞标活动，并代表我方全权办理针对上述项目的所有采购程序和环节的具体事务和签署相关文件。</w:t>
      </w:r>
    </w:p>
    <w:p w14:paraId="665F2EDD">
      <w:pPr>
        <w:spacing w:line="360" w:lineRule="auto"/>
        <w:rPr>
          <w:rFonts w:hint="eastAsia" w:ascii="宋体" w:hAnsi="宋体" w:cs="仿宋_GB2312"/>
          <w:color w:val="auto"/>
          <w:sz w:val="22"/>
          <w:szCs w:val="22"/>
          <w:highlight w:val="none"/>
        </w:rPr>
      </w:pPr>
      <w:r>
        <w:rPr>
          <w:rFonts w:hint="eastAsia" w:ascii="宋体" w:hAnsi="宋体" w:cs="仿宋_GB2312"/>
          <w:color w:val="auto"/>
          <w:sz w:val="22"/>
          <w:szCs w:val="22"/>
          <w:highlight w:val="none"/>
        </w:rPr>
        <w:t xml:space="preserve">    我方对委托代理人的签字</w:t>
      </w:r>
      <w:r>
        <w:rPr>
          <w:rFonts w:hint="eastAsia" w:ascii="宋体" w:hAnsi="宋体"/>
          <w:color w:val="auto"/>
          <w:sz w:val="22"/>
          <w:szCs w:val="22"/>
          <w:highlight w:val="none"/>
        </w:rPr>
        <w:t>或者电子签名</w:t>
      </w:r>
      <w:r>
        <w:rPr>
          <w:rFonts w:hint="eastAsia" w:ascii="宋体" w:hAnsi="宋体" w:cs="仿宋_GB2312"/>
          <w:color w:val="auto"/>
          <w:sz w:val="22"/>
          <w:szCs w:val="22"/>
          <w:highlight w:val="none"/>
        </w:rPr>
        <w:t>事项负全部责任。</w:t>
      </w:r>
    </w:p>
    <w:p w14:paraId="11045F45">
      <w:pPr>
        <w:spacing w:line="360" w:lineRule="auto"/>
        <w:ind w:firstLine="440" w:firstLineChars="200"/>
        <w:rPr>
          <w:rFonts w:hint="eastAsia" w:ascii="宋体" w:hAnsi="宋体" w:cs="仿宋_GB2312"/>
          <w:color w:val="auto"/>
          <w:sz w:val="22"/>
          <w:szCs w:val="22"/>
          <w:highlight w:val="none"/>
        </w:rPr>
      </w:pPr>
      <w:r>
        <w:rPr>
          <w:rFonts w:hint="eastAsia" w:ascii="宋体" w:hAnsi="宋体" w:cs="仿宋_GB2312"/>
          <w:color w:val="auto"/>
          <w:sz w:val="22"/>
          <w:szCs w:val="22"/>
          <w:highlight w:val="none"/>
        </w:rPr>
        <w:t>本授权书自签署之日起生效，在撤销授权的书面通知以前，本授权书一直有效。委托代理人在授权书有效期内签署的所有文件不因授权的撤销而失效。</w:t>
      </w:r>
    </w:p>
    <w:p w14:paraId="419EBE0A">
      <w:pPr>
        <w:spacing w:line="360" w:lineRule="auto"/>
        <w:ind w:firstLine="440" w:firstLineChars="200"/>
        <w:rPr>
          <w:rFonts w:hint="eastAsia" w:ascii="宋体" w:hAnsi="宋体" w:cs="仿宋_GB2312"/>
          <w:color w:val="auto"/>
          <w:sz w:val="22"/>
          <w:szCs w:val="22"/>
          <w:highlight w:val="none"/>
        </w:rPr>
      </w:pPr>
      <w:r>
        <w:rPr>
          <w:rFonts w:hint="eastAsia" w:ascii="宋体" w:hAnsi="宋体" w:cs="仿宋_GB2312"/>
          <w:color w:val="auto"/>
          <w:sz w:val="22"/>
          <w:szCs w:val="22"/>
          <w:highlight w:val="none"/>
        </w:rPr>
        <w:t>委托代理人无转委托权，特此委托。</w:t>
      </w:r>
    </w:p>
    <w:p w14:paraId="4B0E317F">
      <w:pPr>
        <w:spacing w:line="360" w:lineRule="auto"/>
        <w:ind w:firstLine="440" w:firstLineChars="200"/>
        <w:rPr>
          <w:rFonts w:hint="eastAsia" w:ascii="宋体" w:hAnsi="宋体" w:cs="仿宋_GB2312"/>
          <w:color w:val="auto"/>
          <w:sz w:val="22"/>
          <w:szCs w:val="22"/>
          <w:highlight w:val="none"/>
        </w:rPr>
      </w:pPr>
      <w:r>
        <w:rPr>
          <w:rFonts w:hint="eastAsia" w:ascii="宋体" w:hAnsi="宋体" w:cs="仿宋_GB2312"/>
          <w:color w:val="auto"/>
          <w:sz w:val="22"/>
          <w:szCs w:val="22"/>
          <w:highlight w:val="none"/>
        </w:rPr>
        <w:t>附：法定代表人身份证明书及委托代理人有效身份证正反面复印件</w:t>
      </w:r>
    </w:p>
    <w:p w14:paraId="2B52C8AE">
      <w:pPr>
        <w:spacing w:line="360" w:lineRule="auto"/>
        <w:rPr>
          <w:rFonts w:hint="eastAsia" w:ascii="宋体" w:hAnsi="宋体" w:cs="仿宋_GB2312"/>
          <w:color w:val="auto"/>
          <w:sz w:val="22"/>
          <w:szCs w:val="22"/>
          <w:highlight w:val="none"/>
        </w:rPr>
      </w:pPr>
    </w:p>
    <w:p w14:paraId="2024626B">
      <w:pPr>
        <w:spacing w:line="360" w:lineRule="auto"/>
        <w:contextualSpacing/>
        <w:rPr>
          <w:rFonts w:hint="eastAsia" w:ascii="宋体" w:hAnsi="宋体" w:cs="仿宋_GB2312"/>
          <w:color w:val="auto"/>
          <w:sz w:val="22"/>
          <w:szCs w:val="22"/>
          <w:highlight w:val="none"/>
        </w:rPr>
      </w:pPr>
      <w:r>
        <w:rPr>
          <w:rFonts w:hint="eastAsia" w:ascii="宋体" w:hAnsi="宋体" w:cs="仿宋_GB2312"/>
          <w:color w:val="auto"/>
          <w:sz w:val="22"/>
          <w:szCs w:val="22"/>
          <w:highlight w:val="none"/>
        </w:rPr>
        <w:t>委托代理人（</w:t>
      </w:r>
      <w:r>
        <w:rPr>
          <w:rFonts w:hint="eastAsia" w:ascii="宋体" w:hAnsi="宋体" w:eastAsia="宋体" w:cs="宋体"/>
          <w:color w:val="auto"/>
          <w:sz w:val="22"/>
          <w:szCs w:val="22"/>
          <w:highlight w:val="none"/>
        </w:rPr>
        <w:t>签字或者电子签名</w:t>
      </w:r>
      <w:r>
        <w:rPr>
          <w:rFonts w:hint="eastAsia" w:ascii="宋体" w:hAnsi="宋体" w:cs="仿宋_GB2312"/>
          <w:color w:val="auto"/>
          <w:sz w:val="22"/>
          <w:szCs w:val="22"/>
          <w:highlight w:val="none"/>
        </w:rPr>
        <w:t xml:space="preserve">）：    </w:t>
      </w:r>
      <w:r>
        <w:rPr>
          <w:rFonts w:hint="eastAsia" w:ascii="宋体" w:hAnsi="宋体" w:cs="仿宋_GB2312"/>
          <w:color w:val="auto"/>
          <w:sz w:val="22"/>
          <w:szCs w:val="22"/>
          <w:highlight w:val="none"/>
          <w:lang w:val="en-US" w:eastAsia="zh-CN"/>
        </w:rPr>
        <w:t xml:space="preserve">         </w:t>
      </w:r>
      <w:r>
        <w:rPr>
          <w:rFonts w:hint="eastAsia" w:ascii="宋体" w:hAnsi="宋体" w:cs="仿宋_GB2312"/>
          <w:color w:val="auto"/>
          <w:sz w:val="22"/>
          <w:szCs w:val="22"/>
          <w:highlight w:val="none"/>
        </w:rPr>
        <w:t xml:space="preserve"> 法定代表人（签字或者盖章或者电子签名）：                    </w:t>
      </w:r>
    </w:p>
    <w:p w14:paraId="19BD3A84">
      <w:pPr>
        <w:spacing w:line="360" w:lineRule="auto"/>
        <w:contextualSpacing/>
        <w:rPr>
          <w:rFonts w:hint="eastAsia" w:ascii="宋体" w:hAnsi="宋体" w:cs="仿宋_GB2312"/>
          <w:color w:val="auto"/>
          <w:sz w:val="22"/>
          <w:szCs w:val="22"/>
          <w:highlight w:val="none"/>
        </w:rPr>
      </w:pPr>
      <w:r>
        <w:rPr>
          <w:rFonts w:hint="eastAsia" w:ascii="宋体" w:hAnsi="宋体" w:cs="仿宋_GB2312"/>
          <w:color w:val="auto"/>
          <w:sz w:val="22"/>
          <w:szCs w:val="22"/>
          <w:highlight w:val="none"/>
        </w:rPr>
        <w:t xml:space="preserve">委托代理人身份证号码：                              </w:t>
      </w:r>
    </w:p>
    <w:p w14:paraId="233E7167">
      <w:pPr>
        <w:spacing w:line="360" w:lineRule="auto"/>
        <w:contextualSpacing/>
        <w:rPr>
          <w:rFonts w:hint="eastAsia" w:ascii="宋体" w:hAnsi="宋体" w:cs="仿宋_GB2312"/>
          <w:color w:val="auto"/>
          <w:sz w:val="22"/>
          <w:szCs w:val="22"/>
          <w:highlight w:val="none"/>
        </w:rPr>
      </w:pPr>
      <w:r>
        <w:rPr>
          <w:rFonts w:hint="eastAsia" w:ascii="宋体" w:hAnsi="宋体" w:cs="仿宋_GB2312"/>
          <w:color w:val="auto"/>
          <w:sz w:val="22"/>
          <w:szCs w:val="22"/>
          <w:highlight w:val="none"/>
        </w:rPr>
        <w:t xml:space="preserve">                                </w:t>
      </w:r>
    </w:p>
    <w:p w14:paraId="64885451">
      <w:pPr>
        <w:spacing w:line="360" w:lineRule="auto"/>
        <w:rPr>
          <w:rFonts w:hint="eastAsia" w:ascii="宋体" w:hAnsi="宋体" w:cs="仿宋_GB2312"/>
          <w:color w:val="auto"/>
          <w:sz w:val="22"/>
          <w:szCs w:val="22"/>
          <w:highlight w:val="none"/>
        </w:rPr>
      </w:pPr>
      <w:r>
        <w:rPr>
          <w:rFonts w:hint="eastAsia" w:ascii="宋体" w:hAnsi="宋体" w:cs="仿宋_GB2312"/>
          <w:color w:val="auto"/>
          <w:sz w:val="22"/>
          <w:szCs w:val="22"/>
          <w:highlight w:val="none"/>
        </w:rPr>
        <w:t xml:space="preserve">                      </w:t>
      </w:r>
      <w:r>
        <w:rPr>
          <w:rFonts w:hint="eastAsia" w:ascii="宋体" w:hAnsi="宋体" w:cs="仿宋_GB2312"/>
          <w:color w:val="auto"/>
          <w:sz w:val="22"/>
          <w:szCs w:val="22"/>
          <w:highlight w:val="none"/>
          <w:lang w:val="en-US" w:eastAsia="zh-CN"/>
        </w:rPr>
        <w:t xml:space="preserve">  </w:t>
      </w:r>
      <w:r>
        <w:rPr>
          <w:rFonts w:hint="eastAsia" w:ascii="宋体" w:hAnsi="宋体" w:cs="仿宋_GB2312"/>
          <w:color w:val="auto"/>
          <w:sz w:val="22"/>
          <w:szCs w:val="22"/>
          <w:highlight w:val="none"/>
        </w:rPr>
        <w:t xml:space="preserve">   供应商</w:t>
      </w:r>
      <w:r>
        <w:rPr>
          <w:rFonts w:hint="eastAsia" w:ascii="宋体" w:hAnsi="宋体" w:cs="仿宋_GB2312"/>
          <w:color w:val="auto"/>
          <w:sz w:val="22"/>
          <w:szCs w:val="22"/>
          <w:highlight w:val="none"/>
          <w:lang w:val="en-US" w:eastAsia="zh-CN"/>
        </w:rPr>
        <w:t>名称</w:t>
      </w:r>
      <w:r>
        <w:rPr>
          <w:rFonts w:hint="eastAsia" w:ascii="宋体" w:hAnsi="宋体" w:cs="仿宋_GB2312"/>
          <w:color w:val="auto"/>
          <w:sz w:val="22"/>
          <w:szCs w:val="22"/>
          <w:highlight w:val="none"/>
        </w:rPr>
        <w:t xml:space="preserve">（电子签章）：                      </w:t>
      </w:r>
    </w:p>
    <w:p w14:paraId="10550688">
      <w:pPr>
        <w:spacing w:line="360" w:lineRule="auto"/>
        <w:rPr>
          <w:rFonts w:hint="eastAsia" w:ascii="宋体" w:hAnsi="宋体" w:cs="仿宋_GB2312"/>
          <w:color w:val="auto"/>
          <w:sz w:val="22"/>
          <w:szCs w:val="22"/>
          <w:highlight w:val="none"/>
        </w:rPr>
      </w:pPr>
      <w:r>
        <w:rPr>
          <w:rFonts w:hint="eastAsia" w:ascii="宋体" w:hAnsi="宋体" w:cs="仿宋_GB2312"/>
          <w:color w:val="auto"/>
          <w:sz w:val="22"/>
          <w:szCs w:val="22"/>
          <w:highlight w:val="none"/>
        </w:rPr>
        <w:t xml:space="preserve">                                         </w:t>
      </w:r>
      <w:r>
        <w:rPr>
          <w:rFonts w:hint="eastAsia" w:ascii="宋体" w:hAnsi="宋体" w:cs="仿宋_GB2312"/>
          <w:color w:val="auto"/>
          <w:sz w:val="22"/>
          <w:szCs w:val="22"/>
          <w:highlight w:val="none"/>
          <w:lang w:val="en-US" w:eastAsia="zh-CN"/>
        </w:rPr>
        <w:t xml:space="preserve">   </w:t>
      </w:r>
      <w:r>
        <w:rPr>
          <w:rFonts w:hint="eastAsia" w:ascii="宋体" w:hAnsi="宋体" w:cs="仿宋_GB2312"/>
          <w:color w:val="auto"/>
          <w:sz w:val="22"/>
          <w:szCs w:val="22"/>
          <w:highlight w:val="none"/>
        </w:rPr>
        <w:t>年    月    日</w:t>
      </w:r>
    </w:p>
    <w:p w14:paraId="6ABD3361">
      <w:pPr>
        <w:spacing w:line="360" w:lineRule="auto"/>
        <w:rPr>
          <w:rFonts w:hint="eastAsia" w:ascii="宋体" w:hAnsi="宋体" w:cs="仿宋_GB2312"/>
          <w:color w:val="auto"/>
          <w:sz w:val="22"/>
          <w:szCs w:val="22"/>
          <w:highlight w:val="none"/>
        </w:rPr>
      </w:pPr>
    </w:p>
    <w:p w14:paraId="5DDBF5DA">
      <w:pPr>
        <w:spacing w:line="360" w:lineRule="auto"/>
        <w:rPr>
          <w:rFonts w:ascii="宋体" w:hAnsi="宋体" w:cs="仿宋_GB2312"/>
          <w:color w:val="auto"/>
          <w:sz w:val="22"/>
          <w:szCs w:val="22"/>
          <w:highlight w:val="none"/>
        </w:rPr>
      </w:pPr>
      <w:r>
        <w:rPr>
          <w:rFonts w:hint="eastAsia" w:ascii="宋体" w:hAnsi="宋体" w:cs="仿宋_GB2312"/>
          <w:color w:val="auto"/>
          <w:sz w:val="22"/>
          <w:szCs w:val="22"/>
          <w:highlight w:val="none"/>
        </w:rPr>
        <w:t>注：1. 法定代表人必须在授权委托书上签字或者盖章</w:t>
      </w:r>
      <w:r>
        <w:rPr>
          <w:rFonts w:hint="eastAsia" w:ascii="宋体" w:hAnsi="宋体"/>
          <w:color w:val="auto"/>
          <w:sz w:val="22"/>
          <w:szCs w:val="22"/>
          <w:highlight w:val="none"/>
        </w:rPr>
        <w:t>或者电子签名</w:t>
      </w:r>
      <w:r>
        <w:rPr>
          <w:rFonts w:hint="eastAsia" w:ascii="宋体" w:hAnsi="宋体" w:cs="仿宋_GB2312"/>
          <w:color w:val="auto"/>
          <w:sz w:val="22"/>
          <w:szCs w:val="22"/>
          <w:highlight w:val="none"/>
        </w:rPr>
        <w:t>，委托代理人必须在授权委托书上签字或者电子签名，</w:t>
      </w:r>
      <w:r>
        <w:rPr>
          <w:rFonts w:hint="eastAsia" w:ascii="宋体" w:hAnsi="宋体" w:cs="仿宋_GB2312"/>
          <w:b/>
          <w:color w:val="auto"/>
          <w:sz w:val="22"/>
          <w:szCs w:val="22"/>
          <w:highlight w:val="none"/>
        </w:rPr>
        <w:t>否则其响应文件按无效响应处理。</w:t>
      </w:r>
    </w:p>
    <w:p w14:paraId="17107668">
      <w:pPr>
        <w:spacing w:line="360" w:lineRule="auto"/>
        <w:ind w:firstLine="440" w:firstLineChars="200"/>
        <w:jc w:val="left"/>
        <w:rPr>
          <w:rFonts w:hint="eastAsia" w:ascii="宋体" w:hAnsi="宋体" w:cs="仿宋_GB2312"/>
          <w:color w:val="auto"/>
          <w:sz w:val="22"/>
          <w:szCs w:val="22"/>
          <w:highlight w:val="none"/>
        </w:rPr>
      </w:pPr>
      <w:r>
        <w:rPr>
          <w:rFonts w:ascii="宋体" w:hAnsi="宋体" w:cs="仿宋_GB2312"/>
          <w:color w:val="auto"/>
          <w:sz w:val="22"/>
          <w:szCs w:val="22"/>
          <w:highlight w:val="none"/>
        </w:rPr>
        <w:t>2.</w:t>
      </w:r>
      <w:bookmarkStart w:id="122" w:name="_Hlk65853109"/>
      <w:bookmarkStart w:id="123" w:name="_Hlk65853542"/>
      <w:r>
        <w:rPr>
          <w:rFonts w:hint="eastAsia" w:ascii="宋体" w:hAnsi="宋体" w:cs="仿宋_GB2312"/>
          <w:color w:val="auto"/>
          <w:sz w:val="22"/>
          <w:szCs w:val="22"/>
          <w:highlight w:val="none"/>
        </w:rPr>
        <w:t>法人、其他组织竞标时“我方”是指“我单位”，自然人竞标时“我方”是指“本人”。</w:t>
      </w:r>
      <w:bookmarkEnd w:id="122"/>
    </w:p>
    <w:bookmarkEnd w:id="123"/>
    <w:p w14:paraId="2BBC9C5B">
      <w:pPr>
        <w:spacing w:line="360" w:lineRule="auto"/>
        <w:ind w:firstLine="400" w:firstLineChars="200"/>
        <w:jc w:val="left"/>
        <w:rPr>
          <w:rFonts w:hint="eastAsia" w:ascii="仿宋_GB2312" w:hAnsi="仿宋_GB2312" w:eastAsia="仿宋_GB2312" w:cs="仿宋_GB2312"/>
          <w:color w:val="auto"/>
          <w:sz w:val="20"/>
          <w:szCs w:val="20"/>
          <w:highlight w:val="none"/>
        </w:rPr>
      </w:pPr>
    </w:p>
    <w:p w14:paraId="7B10D858">
      <w:pPr>
        <w:pStyle w:val="23"/>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br w:type="page"/>
      </w:r>
    </w:p>
    <w:p w14:paraId="0781CEA1">
      <w:pPr>
        <w:spacing w:line="500" w:lineRule="exact"/>
        <w:jc w:val="center"/>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授权委托书（联合体竞标格式）</w:t>
      </w:r>
    </w:p>
    <w:p w14:paraId="72504FC8">
      <w:pPr>
        <w:spacing w:line="500" w:lineRule="exact"/>
        <w:jc w:val="center"/>
        <w:rPr>
          <w:rFonts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（如有委托时）</w:t>
      </w:r>
    </w:p>
    <w:p w14:paraId="54199ADA">
      <w:pPr>
        <w:spacing w:line="500" w:lineRule="exact"/>
        <w:jc w:val="center"/>
        <w:rPr>
          <w:rFonts w:ascii="方正小标宋简体" w:hAnsi="方正小标宋简体" w:eastAsia="方正小标宋简体" w:cs="方正小标宋简体"/>
          <w:color w:val="auto"/>
          <w:sz w:val="44"/>
          <w:szCs w:val="44"/>
          <w:highlight w:val="none"/>
        </w:rPr>
      </w:pPr>
    </w:p>
    <w:p w14:paraId="4C7B53BC">
      <w:pPr>
        <w:spacing w:line="500" w:lineRule="exact"/>
        <w:jc w:val="center"/>
        <w:rPr>
          <w:rFonts w:hint="eastAsia" w:ascii="仿宋_GB2312" w:hAnsi="仿宋_GB2312" w:eastAsia="仿宋_GB2312" w:cs="仿宋_GB2312"/>
          <w:color w:val="auto"/>
          <w:sz w:val="32"/>
          <w:szCs w:val="32"/>
          <w:highlight w:val="none"/>
        </w:rPr>
      </w:pPr>
    </w:p>
    <w:p w14:paraId="0078E35D">
      <w:pPr>
        <w:spacing w:line="360" w:lineRule="auto"/>
        <w:ind w:firstLine="480" w:firstLineChars="200"/>
        <w:jc w:val="left"/>
        <w:rPr>
          <w:rFonts w:hint="eastAsia" w:ascii="宋体" w:hAnsi="宋体" w:cs="仿宋_GB2312"/>
          <w:color w:val="auto"/>
          <w:sz w:val="24"/>
          <w:highlight w:val="none"/>
        </w:rPr>
      </w:pPr>
      <w:r>
        <w:rPr>
          <w:rFonts w:hint="eastAsia" w:ascii="宋体" w:hAnsi="宋体" w:cs="仿宋_GB2312"/>
          <w:color w:val="auto"/>
          <w:sz w:val="24"/>
          <w:highlight w:val="none"/>
        </w:rPr>
        <w:t>本授权委托书声明：根据</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（牵头人名称）与</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（联合体其他成员名称）签订的《联合体竞标协议书》的内容，</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（牵头人名称）的法定代表人</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（姓名）现授权</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（姓名）为联合委托代理人，并代表我方全权办理针对上述项目的所有采购程序和环节的具体事务和签署相关文件。</w:t>
      </w:r>
    </w:p>
    <w:p w14:paraId="73EB58A4">
      <w:pPr>
        <w:spacing w:line="360" w:lineRule="auto"/>
        <w:ind w:firstLine="480" w:firstLineChars="200"/>
        <w:rPr>
          <w:rFonts w:hint="eastAsia" w:ascii="宋体" w:hAnsi="宋体" w:cs="仿宋_GB2312"/>
          <w:color w:val="auto"/>
          <w:sz w:val="24"/>
          <w:highlight w:val="none"/>
        </w:rPr>
      </w:pPr>
      <w:r>
        <w:rPr>
          <w:rFonts w:hint="eastAsia" w:ascii="宋体" w:hAnsi="宋体" w:cs="仿宋_GB2312"/>
          <w:color w:val="auto"/>
          <w:sz w:val="24"/>
          <w:highlight w:val="none"/>
        </w:rPr>
        <w:t>我方对委托代理人的签字事项负全部责任。</w:t>
      </w:r>
    </w:p>
    <w:p w14:paraId="4655FDEE">
      <w:pPr>
        <w:spacing w:line="360" w:lineRule="auto"/>
        <w:ind w:firstLine="480" w:firstLineChars="200"/>
        <w:rPr>
          <w:rFonts w:hint="eastAsia" w:ascii="宋体" w:hAnsi="宋体" w:cs="仿宋_GB2312"/>
          <w:color w:val="auto"/>
          <w:sz w:val="24"/>
          <w:highlight w:val="none"/>
        </w:rPr>
      </w:pPr>
      <w:r>
        <w:rPr>
          <w:rFonts w:hint="eastAsia" w:ascii="宋体" w:hAnsi="宋体" w:cs="仿宋_GB2312"/>
          <w:color w:val="auto"/>
          <w:sz w:val="24"/>
          <w:highlight w:val="none"/>
        </w:rPr>
        <w:t>本授权书自签署之日起生效，在撤销授权的书面通知以前，本授权书一直有效。委托代理人在授权书有效期内签署的所有文件不因授权的撤销而失效。</w:t>
      </w:r>
    </w:p>
    <w:p w14:paraId="1A9B2969">
      <w:pPr>
        <w:spacing w:line="360" w:lineRule="auto"/>
        <w:ind w:firstLine="480" w:firstLineChars="200"/>
        <w:rPr>
          <w:rFonts w:hint="eastAsia" w:ascii="宋体" w:hAnsi="宋体" w:cs="仿宋_GB2312"/>
          <w:color w:val="auto"/>
          <w:sz w:val="24"/>
          <w:highlight w:val="none"/>
        </w:rPr>
      </w:pPr>
      <w:r>
        <w:rPr>
          <w:rFonts w:hint="eastAsia" w:ascii="宋体" w:hAnsi="宋体" w:cs="仿宋_GB2312"/>
          <w:color w:val="auto"/>
          <w:sz w:val="24"/>
          <w:highlight w:val="none"/>
        </w:rPr>
        <w:t>委托代理人无转委托权，特此委托。</w:t>
      </w:r>
    </w:p>
    <w:p w14:paraId="525EC997">
      <w:pPr>
        <w:spacing w:line="360" w:lineRule="auto"/>
        <w:rPr>
          <w:rFonts w:hint="eastAsia" w:ascii="宋体" w:hAnsi="宋体" w:cs="仿宋_GB2312"/>
          <w:color w:val="auto"/>
          <w:sz w:val="24"/>
          <w:highlight w:val="none"/>
        </w:rPr>
      </w:pPr>
      <w:r>
        <w:rPr>
          <w:rFonts w:hint="eastAsia" w:ascii="宋体" w:hAnsi="宋体" w:cs="仿宋_GB2312"/>
          <w:color w:val="auto"/>
          <w:sz w:val="24"/>
          <w:highlight w:val="none"/>
        </w:rPr>
        <w:t xml:space="preserve">    </w:t>
      </w:r>
    </w:p>
    <w:p w14:paraId="110696DB">
      <w:pPr>
        <w:spacing w:line="360" w:lineRule="auto"/>
        <w:ind w:firstLine="480" w:firstLineChars="200"/>
        <w:rPr>
          <w:rFonts w:hint="eastAsia" w:ascii="宋体" w:hAnsi="宋体" w:cs="仿宋_GB2312"/>
          <w:color w:val="auto"/>
          <w:sz w:val="24"/>
          <w:highlight w:val="none"/>
        </w:rPr>
      </w:pPr>
      <w:r>
        <w:rPr>
          <w:rFonts w:hint="eastAsia" w:ascii="宋体" w:hAnsi="宋体" w:cs="仿宋_GB2312"/>
          <w:color w:val="auto"/>
          <w:sz w:val="24"/>
          <w:highlight w:val="none"/>
        </w:rPr>
        <w:t>牵头人法定代表人（签字或盖章或电子签名）：</w:t>
      </w:r>
    </w:p>
    <w:p w14:paraId="37487F1B">
      <w:pPr>
        <w:spacing w:line="360" w:lineRule="auto"/>
        <w:ind w:firstLine="3120" w:firstLineChars="1300"/>
        <w:rPr>
          <w:rFonts w:hint="eastAsia" w:ascii="宋体" w:hAnsi="宋体" w:cs="仿宋_GB2312"/>
          <w:color w:val="auto"/>
          <w:sz w:val="24"/>
          <w:highlight w:val="none"/>
        </w:rPr>
      </w:pPr>
      <w:r>
        <w:rPr>
          <w:rFonts w:hint="eastAsia" w:ascii="宋体" w:hAnsi="宋体" w:cs="仿宋_GB2312"/>
          <w:color w:val="auto"/>
          <w:sz w:val="24"/>
          <w:highlight w:val="none"/>
        </w:rPr>
        <w:t>牵头人（盖公章）：</w:t>
      </w:r>
    </w:p>
    <w:p w14:paraId="2C25D4D6">
      <w:pPr>
        <w:spacing w:line="360" w:lineRule="auto"/>
        <w:ind w:firstLine="3840" w:firstLineChars="1600"/>
        <w:rPr>
          <w:rFonts w:hint="eastAsia" w:ascii="宋体" w:hAnsi="宋体" w:cs="仿宋_GB2312"/>
          <w:color w:val="auto"/>
          <w:sz w:val="24"/>
          <w:highlight w:val="none"/>
        </w:rPr>
      </w:pPr>
      <w:r>
        <w:rPr>
          <w:rFonts w:hint="eastAsia" w:ascii="宋体" w:hAnsi="宋体" w:cs="仿宋_GB2312"/>
          <w:color w:val="auto"/>
          <w:sz w:val="24"/>
          <w:highlight w:val="none"/>
        </w:rPr>
        <w:t>日期：    年   月   日</w:t>
      </w:r>
    </w:p>
    <w:p w14:paraId="1A106096">
      <w:pPr>
        <w:spacing w:line="360" w:lineRule="auto"/>
        <w:rPr>
          <w:rFonts w:hint="eastAsia" w:ascii="宋体" w:hAnsi="宋体" w:cs="仿宋_GB2312"/>
          <w:color w:val="auto"/>
          <w:sz w:val="24"/>
          <w:highlight w:val="none"/>
        </w:rPr>
      </w:pPr>
    </w:p>
    <w:p w14:paraId="4E78CF09">
      <w:pPr>
        <w:spacing w:line="360" w:lineRule="auto"/>
        <w:ind w:firstLine="3120" w:firstLineChars="1300"/>
        <w:rPr>
          <w:rFonts w:hint="eastAsia" w:ascii="宋体" w:hAnsi="宋体" w:cs="仿宋_GB2312"/>
          <w:color w:val="auto"/>
          <w:sz w:val="24"/>
          <w:highlight w:val="none"/>
        </w:rPr>
      </w:pPr>
      <w:r>
        <w:rPr>
          <w:rFonts w:hint="eastAsia" w:ascii="宋体" w:hAnsi="宋体" w:cs="仿宋_GB2312"/>
          <w:color w:val="auto"/>
          <w:sz w:val="24"/>
          <w:highlight w:val="none"/>
        </w:rPr>
        <w:t>被授权人（签字</w:t>
      </w:r>
      <w:r>
        <w:rPr>
          <w:rFonts w:hint="eastAsia" w:ascii="宋体" w:hAnsi="宋体" w:cs="仿宋_GB2312"/>
          <w:color w:val="auto"/>
          <w:sz w:val="24"/>
          <w:highlight w:val="none"/>
          <w:lang w:val="en-US" w:eastAsia="zh-CN"/>
        </w:rPr>
        <w:t>或电子签名</w:t>
      </w:r>
      <w:r>
        <w:rPr>
          <w:rFonts w:hint="eastAsia" w:ascii="宋体" w:hAnsi="宋体" w:cs="仿宋_GB2312"/>
          <w:color w:val="auto"/>
          <w:sz w:val="24"/>
          <w:highlight w:val="none"/>
        </w:rPr>
        <w:t>）：</w:t>
      </w:r>
    </w:p>
    <w:p w14:paraId="74C49928">
      <w:pPr>
        <w:spacing w:line="360" w:lineRule="auto"/>
        <w:ind w:firstLine="3840" w:firstLineChars="1600"/>
        <w:rPr>
          <w:rFonts w:hint="eastAsia" w:ascii="宋体" w:hAnsi="宋体" w:cs="仿宋_GB2312"/>
          <w:color w:val="auto"/>
          <w:sz w:val="24"/>
          <w:highlight w:val="none"/>
        </w:rPr>
      </w:pPr>
      <w:r>
        <w:rPr>
          <w:rFonts w:hint="eastAsia" w:ascii="宋体" w:hAnsi="宋体" w:cs="仿宋_GB2312"/>
          <w:color w:val="auto"/>
          <w:sz w:val="24"/>
          <w:highlight w:val="none"/>
        </w:rPr>
        <w:t>日期：    年   月   日</w:t>
      </w:r>
    </w:p>
    <w:p w14:paraId="4D4EA82F">
      <w:pPr>
        <w:spacing w:line="360" w:lineRule="auto"/>
        <w:rPr>
          <w:rFonts w:hint="eastAsia" w:ascii="宋体" w:hAnsi="宋体" w:cs="仿宋_GB2312"/>
          <w:color w:val="auto"/>
          <w:sz w:val="24"/>
          <w:highlight w:val="none"/>
        </w:rPr>
      </w:pPr>
    </w:p>
    <w:p w14:paraId="0CE5B572">
      <w:pPr>
        <w:spacing w:line="360" w:lineRule="auto"/>
        <w:rPr>
          <w:rFonts w:hint="eastAsia" w:ascii="宋体" w:hAnsi="宋体" w:cs="仿宋_GB2312"/>
          <w:color w:val="auto"/>
          <w:sz w:val="24"/>
          <w:highlight w:val="none"/>
        </w:rPr>
      </w:pPr>
      <w:r>
        <w:rPr>
          <w:rFonts w:hint="eastAsia" w:ascii="宋体" w:hAnsi="宋体" w:cs="仿宋_GB2312"/>
          <w:color w:val="auto"/>
          <w:sz w:val="24"/>
          <w:highlight w:val="none"/>
        </w:rPr>
        <w:t>注：1. 法定代表人必须在授权委托书上签字或盖章或电子签名，委托代理人必须在授权委托书上签字</w:t>
      </w:r>
      <w:r>
        <w:rPr>
          <w:rFonts w:hint="eastAsia" w:ascii="宋体" w:hAnsi="宋体" w:cs="仿宋_GB2312"/>
          <w:color w:val="auto"/>
          <w:sz w:val="24"/>
          <w:highlight w:val="none"/>
          <w:lang w:val="en-US" w:eastAsia="zh-CN"/>
        </w:rPr>
        <w:t>或电子签名</w:t>
      </w:r>
      <w:r>
        <w:rPr>
          <w:rFonts w:hint="eastAsia" w:ascii="宋体" w:hAnsi="宋体" w:cs="仿宋_GB2312"/>
          <w:color w:val="auto"/>
          <w:sz w:val="24"/>
          <w:highlight w:val="none"/>
        </w:rPr>
        <w:t>，</w:t>
      </w:r>
      <w:r>
        <w:rPr>
          <w:rFonts w:hint="eastAsia" w:ascii="宋体" w:hAnsi="宋体" w:cs="仿宋_GB2312"/>
          <w:b/>
          <w:color w:val="auto"/>
          <w:sz w:val="24"/>
          <w:highlight w:val="none"/>
        </w:rPr>
        <w:t>否则其响应文件按无效响应处理。</w:t>
      </w:r>
    </w:p>
    <w:p w14:paraId="7C791FE0">
      <w:pPr>
        <w:spacing w:line="360" w:lineRule="auto"/>
        <w:ind w:firstLine="480" w:firstLineChars="200"/>
        <w:jc w:val="left"/>
        <w:rPr>
          <w:rFonts w:ascii="宋体" w:hAnsi="宋体" w:cs="仿宋_GB2312"/>
          <w:color w:val="auto"/>
          <w:sz w:val="24"/>
          <w:highlight w:val="none"/>
        </w:rPr>
      </w:pPr>
      <w:r>
        <w:rPr>
          <w:rFonts w:hint="eastAsia" w:ascii="宋体" w:hAnsi="宋体" w:cs="仿宋_GB2312"/>
          <w:color w:val="auto"/>
          <w:sz w:val="24"/>
          <w:highlight w:val="none"/>
        </w:rPr>
        <w:t>2.本授权委托书应由联合体牵头人的法定代表人按上述规定签署。</w:t>
      </w:r>
    </w:p>
    <w:p w14:paraId="474DDCA6">
      <w:pPr>
        <w:spacing w:line="360" w:lineRule="auto"/>
        <w:ind w:firstLine="480" w:firstLineChars="200"/>
        <w:jc w:val="left"/>
        <w:rPr>
          <w:rFonts w:ascii="宋体" w:hAnsi="宋体" w:cs="仿宋_GB2312"/>
          <w:color w:val="auto"/>
          <w:sz w:val="24"/>
          <w:highlight w:val="none"/>
        </w:rPr>
      </w:pPr>
      <w:r>
        <w:rPr>
          <w:rFonts w:hint="eastAsia" w:ascii="宋体" w:hAnsi="宋体" w:cs="仿宋_GB2312"/>
          <w:color w:val="auto"/>
          <w:sz w:val="24"/>
          <w:highlight w:val="none"/>
        </w:rPr>
        <w:t>3</w:t>
      </w:r>
      <w:r>
        <w:rPr>
          <w:rFonts w:ascii="宋体" w:hAnsi="宋体" w:cs="仿宋_GB2312"/>
          <w:color w:val="auto"/>
          <w:sz w:val="24"/>
          <w:highlight w:val="none"/>
        </w:rPr>
        <w:t>.</w:t>
      </w:r>
      <w:r>
        <w:rPr>
          <w:rFonts w:hint="eastAsia" w:ascii="宋体" w:hAnsi="宋体" w:cs="仿宋_GB2312"/>
          <w:color w:val="auto"/>
          <w:sz w:val="24"/>
          <w:highlight w:val="none"/>
        </w:rPr>
        <w:t>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36B83CB3">
      <w:pPr>
        <w:spacing w:line="360" w:lineRule="auto"/>
        <w:ind w:firstLine="480" w:firstLineChars="200"/>
        <w:jc w:val="left"/>
        <w:rPr>
          <w:rFonts w:hint="eastAsia" w:ascii="宋体" w:hAnsi="宋体" w:cs="仿宋_GB2312"/>
          <w:color w:val="auto"/>
          <w:sz w:val="24"/>
          <w:highlight w:val="none"/>
        </w:rPr>
      </w:pPr>
      <w:r>
        <w:rPr>
          <w:rFonts w:hint="eastAsia" w:ascii="宋体" w:hAnsi="宋体" w:cs="仿宋_GB2312"/>
          <w:color w:val="auto"/>
          <w:sz w:val="24"/>
          <w:highlight w:val="none"/>
        </w:rPr>
        <w:t>4</w:t>
      </w:r>
      <w:r>
        <w:rPr>
          <w:rFonts w:ascii="宋体" w:hAnsi="宋体" w:cs="仿宋_GB2312"/>
          <w:color w:val="auto"/>
          <w:sz w:val="24"/>
          <w:highlight w:val="none"/>
        </w:rPr>
        <w:t>.</w:t>
      </w:r>
      <w:r>
        <w:rPr>
          <w:rFonts w:hint="eastAsia" w:ascii="宋体" w:hAnsi="宋体" w:cs="仿宋_GB2312"/>
          <w:color w:val="auto"/>
          <w:sz w:val="24"/>
          <w:highlight w:val="none"/>
        </w:rPr>
        <w:t>法人、其他组织竞标时“我方”是指“我单位”，自然人竞标时“我方”是指“本人”。</w:t>
      </w:r>
    </w:p>
    <w:p w14:paraId="4BB14A68">
      <w:pPr>
        <w:pStyle w:val="23"/>
        <w:rPr>
          <w:rFonts w:hint="eastAsia" w:ascii="宋体" w:hAnsi="宋体" w:eastAsia="宋体" w:cs="宋体"/>
          <w:color w:val="auto"/>
          <w:sz w:val="28"/>
          <w:szCs w:val="28"/>
          <w:highlight w:val="none"/>
        </w:rPr>
      </w:pPr>
      <w:r>
        <w:rPr>
          <w:rFonts w:hint="eastAsia" w:ascii="宋体" w:hAnsi="宋体" w:cs="宋体"/>
          <w:color w:val="auto"/>
          <w:sz w:val="28"/>
          <w:szCs w:val="28"/>
        </w:rPr>
        <w:br w:type="page"/>
      </w:r>
    </w:p>
    <w:p w14:paraId="798AC036">
      <w:pPr>
        <w:jc w:val="both"/>
        <w:outlineLvl w:val="9"/>
        <w:rPr>
          <w:rFonts w:hint="eastAsia" w:ascii="宋体" w:hAnsi="宋体" w:eastAsia="宋体" w:cs="宋体"/>
          <w:b/>
          <w:bCs/>
          <w:color w:val="auto"/>
          <w:kern w:val="0"/>
          <w:sz w:val="32"/>
          <w:szCs w:val="32"/>
        </w:rPr>
      </w:pPr>
      <w:bookmarkStart w:id="124" w:name="_Toc15158"/>
    </w:p>
    <w:p w14:paraId="7BF7D832">
      <w:pPr>
        <w:jc w:val="center"/>
        <w:rPr>
          <w:rFonts w:hint="eastAsia" w:ascii="宋体" w:hAnsi="宋体" w:eastAsia="宋体" w:cs="宋体"/>
          <w:b/>
          <w:color w:val="auto"/>
          <w:sz w:val="28"/>
          <w:lang w:eastAsia="zh-CN"/>
        </w:rPr>
      </w:pPr>
      <w:r>
        <w:rPr>
          <w:rFonts w:hint="eastAsia" w:ascii="宋体" w:hAnsi="宋体" w:eastAsia="宋体" w:cs="宋体"/>
          <w:b/>
          <w:color w:val="auto"/>
          <w:sz w:val="28"/>
          <w:lang w:val="en-US" w:eastAsia="zh-CN"/>
        </w:rPr>
        <w:t>供电系统总体实施方案</w:t>
      </w:r>
      <w:r>
        <w:rPr>
          <w:rFonts w:hint="eastAsia" w:ascii="宋体" w:hAnsi="宋体" w:eastAsia="宋体" w:cs="宋体"/>
          <w:b/>
          <w:color w:val="auto"/>
          <w:sz w:val="28"/>
          <w:lang w:eastAsia="zh-CN"/>
        </w:rPr>
        <w:t>；（</w:t>
      </w:r>
      <w:r>
        <w:rPr>
          <w:rFonts w:hint="eastAsia" w:ascii="宋体" w:hAnsi="宋体" w:eastAsia="宋体" w:cs="宋体"/>
          <w:b/>
          <w:color w:val="auto"/>
          <w:sz w:val="28"/>
          <w:lang w:val="en-US" w:eastAsia="zh-CN"/>
        </w:rPr>
        <w:t>格式自拟</w:t>
      </w:r>
      <w:r>
        <w:rPr>
          <w:rFonts w:hint="eastAsia" w:ascii="宋体" w:hAnsi="宋体" w:eastAsia="宋体" w:cs="宋体"/>
          <w:b/>
          <w:color w:val="auto"/>
          <w:sz w:val="28"/>
          <w:lang w:eastAsia="zh-CN"/>
        </w:rPr>
        <w:t>）</w:t>
      </w:r>
    </w:p>
    <w:p w14:paraId="47F53802">
      <w:pPr>
        <w:jc w:val="center"/>
        <w:rPr>
          <w:rFonts w:hint="default" w:ascii="宋体" w:hAnsi="宋体" w:eastAsia="宋体" w:cs="宋体"/>
          <w:b/>
          <w:color w:val="auto"/>
          <w:sz w:val="28"/>
          <w:lang w:val="en-US" w:eastAsia="zh-CN"/>
        </w:rPr>
      </w:pPr>
      <w:r>
        <w:rPr>
          <w:rFonts w:hint="eastAsia" w:ascii="宋体" w:hAnsi="宋体" w:eastAsia="宋体" w:cs="宋体"/>
          <w:b/>
          <w:color w:val="auto"/>
          <w:sz w:val="28"/>
          <w:lang w:val="en-US" w:eastAsia="zh-CN"/>
        </w:rPr>
        <w:t>核心设备技术响应表（格式）</w:t>
      </w:r>
    </w:p>
    <w:tbl>
      <w:tblPr>
        <w:tblStyle w:val="28"/>
        <w:tblW w:w="9095"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16"/>
        <w:gridCol w:w="1430"/>
        <w:gridCol w:w="2523"/>
        <w:gridCol w:w="2734"/>
        <w:gridCol w:w="1492"/>
      </w:tblGrid>
      <w:tr w14:paraId="7DF5E09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916" w:type="dxa"/>
            <w:noWrap w:val="0"/>
            <w:vAlign w:val="center"/>
          </w:tcPr>
          <w:p w14:paraId="53D820F7">
            <w:pPr>
              <w:pStyle w:val="14"/>
              <w:spacing w:line="360" w:lineRule="auto"/>
              <w:ind w:firstLine="0" w:firstLineChars="0"/>
              <w:jc w:val="center"/>
              <w:rPr>
                <w:rFonts w:hint="eastAsia" w:asciiTheme="minorEastAsia" w:hAnsiTheme="minorEastAsia" w:eastAsiaTheme="minorEastAsia" w:cstheme="minorEastAsia"/>
                <w:color w:val="auto"/>
                <w:kern w:val="2"/>
                <w:sz w:val="21"/>
                <w:szCs w:val="21"/>
                <w:highlight w:val="none"/>
                <w:lang w:val="en-US" w:eastAsia="zh-CN"/>
              </w:rPr>
            </w:pPr>
            <w:bookmarkStart w:id="125" w:name="_Toc297193185"/>
            <w:bookmarkStart w:id="126" w:name="_Toc295404981"/>
            <w:bookmarkStart w:id="127" w:name="_Toc383699906"/>
            <w:bookmarkStart w:id="128" w:name="_Toc173211900"/>
            <w:bookmarkStart w:id="129" w:name="_Toc173066401"/>
            <w:bookmarkStart w:id="130" w:name="_Toc254970729"/>
            <w:bookmarkStart w:id="131" w:name="_Toc301781611"/>
            <w:bookmarkStart w:id="132" w:name="_Toc254970588"/>
            <w:bookmarkStart w:id="133" w:name="_Toc373333689"/>
            <w:r>
              <w:rPr>
                <w:rFonts w:hint="eastAsia" w:asciiTheme="minorEastAsia" w:hAnsiTheme="minorEastAsia" w:eastAsiaTheme="minorEastAsia" w:cstheme="minorEastAsia"/>
                <w:color w:val="auto"/>
                <w:kern w:val="2"/>
                <w:sz w:val="21"/>
                <w:szCs w:val="21"/>
                <w:highlight w:val="none"/>
                <w:lang w:val="en-US" w:eastAsia="zh-CN"/>
              </w:rPr>
              <w:t>序号</w:t>
            </w:r>
            <w:bookmarkEnd w:id="125"/>
            <w:bookmarkEnd w:id="126"/>
            <w:bookmarkEnd w:id="127"/>
            <w:bookmarkEnd w:id="128"/>
            <w:bookmarkEnd w:id="129"/>
            <w:bookmarkEnd w:id="130"/>
            <w:bookmarkEnd w:id="131"/>
            <w:bookmarkEnd w:id="132"/>
            <w:bookmarkEnd w:id="133"/>
          </w:p>
        </w:tc>
        <w:tc>
          <w:tcPr>
            <w:tcW w:w="1430" w:type="dxa"/>
            <w:tcBorders>
              <w:right w:val="single" w:color="auto" w:sz="4" w:space="0"/>
            </w:tcBorders>
            <w:noWrap w:val="0"/>
            <w:vAlign w:val="center"/>
          </w:tcPr>
          <w:p w14:paraId="37E28D06">
            <w:pPr>
              <w:pStyle w:val="14"/>
              <w:spacing w:line="360" w:lineRule="auto"/>
              <w:ind w:firstLine="0" w:firstLineChars="0"/>
              <w:jc w:val="center"/>
              <w:rPr>
                <w:rFonts w:hint="default" w:asciiTheme="minorEastAsia" w:hAnsiTheme="minorEastAsia" w:eastAsiaTheme="minorEastAsia" w:cstheme="minorEastAsia"/>
                <w:color w:val="auto"/>
                <w:kern w:val="2"/>
                <w:sz w:val="21"/>
                <w:szCs w:val="21"/>
                <w:highlight w:val="none"/>
                <w:lang w:val="en-US" w:eastAsia="zh-CN"/>
              </w:rPr>
            </w:pPr>
            <w:r>
              <w:rPr>
                <w:rFonts w:hint="default" w:asciiTheme="minorEastAsia" w:hAnsiTheme="minorEastAsia" w:eastAsiaTheme="minorEastAsia" w:cstheme="minorEastAsia"/>
                <w:color w:val="auto"/>
                <w:kern w:val="2"/>
                <w:sz w:val="21"/>
                <w:szCs w:val="21"/>
                <w:highlight w:val="none"/>
                <w:lang w:val="en-US" w:eastAsia="zh-CN"/>
              </w:rPr>
              <w:t>名称</w:t>
            </w:r>
          </w:p>
        </w:tc>
        <w:tc>
          <w:tcPr>
            <w:tcW w:w="2523" w:type="dxa"/>
            <w:tcBorders>
              <w:left w:val="single" w:color="auto" w:sz="4" w:space="0"/>
            </w:tcBorders>
            <w:noWrap w:val="0"/>
            <w:vAlign w:val="center"/>
          </w:tcPr>
          <w:p w14:paraId="0F46DB1D">
            <w:pPr>
              <w:pStyle w:val="14"/>
              <w:spacing w:line="360" w:lineRule="auto"/>
              <w:ind w:firstLine="0" w:firstLineChars="0"/>
              <w:jc w:val="center"/>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采购文件技术需求</w:t>
            </w:r>
          </w:p>
        </w:tc>
        <w:tc>
          <w:tcPr>
            <w:tcW w:w="2734" w:type="dxa"/>
            <w:noWrap w:val="0"/>
            <w:vAlign w:val="center"/>
          </w:tcPr>
          <w:p w14:paraId="3C2C20BF">
            <w:pPr>
              <w:pStyle w:val="14"/>
              <w:spacing w:line="360" w:lineRule="auto"/>
              <w:ind w:firstLine="0" w:firstLineChars="0"/>
              <w:jc w:val="center"/>
              <w:rPr>
                <w:rFonts w:hint="eastAsia" w:asciiTheme="minorEastAsia" w:hAnsiTheme="minorEastAsia" w:eastAsiaTheme="minorEastAsia" w:cstheme="minorEastAsia"/>
                <w:color w:val="auto"/>
                <w:kern w:val="2"/>
                <w:sz w:val="21"/>
                <w:szCs w:val="21"/>
                <w:highlight w:val="none"/>
                <w:lang w:val="en-US" w:eastAsia="zh-CN"/>
              </w:rPr>
            </w:pPr>
            <w:bookmarkStart w:id="134" w:name="_Toc383699908"/>
            <w:bookmarkStart w:id="135" w:name="_Toc254970590"/>
            <w:bookmarkStart w:id="136" w:name="_Toc254970731"/>
            <w:bookmarkStart w:id="137" w:name="_Toc295404983"/>
            <w:bookmarkStart w:id="138" w:name="_Toc173211902"/>
            <w:bookmarkStart w:id="139" w:name="_Toc297193187"/>
            <w:bookmarkStart w:id="140" w:name="_Toc301781613"/>
            <w:bookmarkStart w:id="141" w:name="_Toc173066403"/>
            <w:bookmarkStart w:id="142" w:name="_Toc373333691"/>
            <w:r>
              <w:rPr>
                <w:rFonts w:hint="eastAsia" w:asciiTheme="minorEastAsia" w:hAnsiTheme="minorEastAsia" w:eastAsiaTheme="minorEastAsia" w:cstheme="minorEastAsia"/>
                <w:color w:val="auto"/>
                <w:kern w:val="2"/>
                <w:sz w:val="21"/>
                <w:szCs w:val="21"/>
                <w:highlight w:val="none"/>
                <w:lang w:val="en-US" w:eastAsia="zh-CN"/>
              </w:rPr>
              <w:t>竞标响应</w:t>
            </w:r>
            <w:bookmarkEnd w:id="134"/>
            <w:bookmarkEnd w:id="135"/>
            <w:bookmarkEnd w:id="136"/>
            <w:bookmarkEnd w:id="137"/>
            <w:bookmarkEnd w:id="138"/>
            <w:bookmarkEnd w:id="139"/>
            <w:bookmarkEnd w:id="140"/>
            <w:bookmarkEnd w:id="141"/>
            <w:bookmarkEnd w:id="142"/>
          </w:p>
        </w:tc>
        <w:tc>
          <w:tcPr>
            <w:tcW w:w="1492" w:type="dxa"/>
            <w:noWrap w:val="0"/>
            <w:vAlign w:val="center"/>
          </w:tcPr>
          <w:p w14:paraId="6F5D5F41">
            <w:pPr>
              <w:pStyle w:val="14"/>
              <w:spacing w:line="360" w:lineRule="auto"/>
              <w:ind w:firstLine="0" w:firstLineChars="0"/>
              <w:jc w:val="center"/>
              <w:rPr>
                <w:rFonts w:hint="eastAsia" w:asciiTheme="minorEastAsia" w:hAnsiTheme="minorEastAsia" w:eastAsiaTheme="minorEastAsia" w:cstheme="minorEastAsia"/>
                <w:color w:val="auto"/>
                <w:kern w:val="2"/>
                <w:sz w:val="21"/>
                <w:szCs w:val="21"/>
                <w:highlight w:val="none"/>
                <w:lang w:val="en-US" w:eastAsia="zh-CN"/>
              </w:rPr>
            </w:pPr>
            <w:bookmarkStart w:id="143" w:name="_Toc173066404"/>
            <w:bookmarkStart w:id="144" w:name="_Toc373333692"/>
            <w:bookmarkStart w:id="145" w:name="_Toc301781614"/>
            <w:bookmarkStart w:id="146" w:name="_Toc254970591"/>
            <w:bookmarkStart w:id="147" w:name="_Toc383699909"/>
            <w:bookmarkStart w:id="148" w:name="_Toc173211903"/>
            <w:bookmarkStart w:id="149" w:name="_Toc297193188"/>
            <w:bookmarkStart w:id="150" w:name="_Toc295404984"/>
            <w:bookmarkStart w:id="151" w:name="_Toc254970732"/>
            <w:r>
              <w:rPr>
                <w:rFonts w:hint="eastAsia" w:asciiTheme="minorEastAsia" w:hAnsiTheme="minorEastAsia" w:eastAsiaTheme="minorEastAsia" w:cstheme="minorEastAsia"/>
                <w:color w:val="auto"/>
                <w:kern w:val="2"/>
                <w:sz w:val="21"/>
                <w:szCs w:val="21"/>
                <w:highlight w:val="none"/>
                <w:lang w:val="en-US" w:eastAsia="zh-CN"/>
              </w:rPr>
              <w:t>偏离</w:t>
            </w:r>
            <w:bookmarkEnd w:id="143"/>
            <w:bookmarkEnd w:id="144"/>
            <w:bookmarkEnd w:id="145"/>
            <w:bookmarkEnd w:id="146"/>
            <w:bookmarkEnd w:id="147"/>
            <w:bookmarkEnd w:id="148"/>
            <w:bookmarkEnd w:id="149"/>
            <w:bookmarkEnd w:id="150"/>
            <w:bookmarkEnd w:id="151"/>
            <w:bookmarkStart w:id="152" w:name="_Toc173211904"/>
            <w:bookmarkStart w:id="153" w:name="_Toc383699910"/>
            <w:bookmarkStart w:id="154" w:name="_Toc254970592"/>
            <w:bookmarkStart w:id="155" w:name="_Toc301781615"/>
            <w:bookmarkStart w:id="156" w:name="_Toc295404985"/>
            <w:bookmarkStart w:id="157" w:name="_Toc254970733"/>
            <w:bookmarkStart w:id="158" w:name="_Toc373333693"/>
            <w:bookmarkStart w:id="159" w:name="_Toc173066405"/>
            <w:bookmarkStart w:id="160" w:name="_Toc297193189"/>
            <w:r>
              <w:rPr>
                <w:rFonts w:hint="eastAsia" w:asciiTheme="minorEastAsia" w:hAnsiTheme="minorEastAsia" w:eastAsiaTheme="minorEastAsia" w:cstheme="minorEastAsia"/>
                <w:color w:val="auto"/>
                <w:kern w:val="2"/>
                <w:sz w:val="21"/>
                <w:szCs w:val="21"/>
                <w:highlight w:val="none"/>
                <w:lang w:val="en-US" w:eastAsia="zh-CN"/>
              </w:rPr>
              <w:t>说明</w:t>
            </w:r>
            <w:bookmarkEnd w:id="152"/>
            <w:bookmarkEnd w:id="153"/>
            <w:bookmarkEnd w:id="154"/>
            <w:bookmarkEnd w:id="155"/>
            <w:bookmarkEnd w:id="156"/>
            <w:bookmarkEnd w:id="157"/>
            <w:bookmarkEnd w:id="158"/>
            <w:bookmarkEnd w:id="159"/>
            <w:bookmarkEnd w:id="160"/>
          </w:p>
        </w:tc>
      </w:tr>
      <w:tr w14:paraId="58AE7B7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16" w:type="dxa"/>
            <w:noWrap w:val="0"/>
            <w:vAlign w:val="center"/>
          </w:tcPr>
          <w:p w14:paraId="4BBA1E38">
            <w:pPr>
              <w:pStyle w:val="14"/>
              <w:spacing w:line="360" w:lineRule="auto"/>
              <w:ind w:firstLine="0" w:firstLineChars="0"/>
              <w:jc w:val="center"/>
              <w:rPr>
                <w:rFonts w:hint="eastAsia" w:asciiTheme="minorEastAsia" w:hAnsiTheme="minorEastAsia" w:eastAsiaTheme="minorEastAsia" w:cstheme="minorEastAsia"/>
                <w:color w:val="auto"/>
                <w:kern w:val="2"/>
                <w:sz w:val="21"/>
                <w:szCs w:val="21"/>
                <w:highlight w:val="none"/>
                <w:lang w:val="en-US" w:eastAsia="zh-CN"/>
              </w:rPr>
            </w:pPr>
            <w:bookmarkStart w:id="161" w:name="_Toc383699911"/>
            <w:bookmarkStart w:id="162" w:name="_Toc254970734"/>
            <w:bookmarkStart w:id="163" w:name="_Toc173211905"/>
            <w:bookmarkStart w:id="164" w:name="_Toc373333694"/>
            <w:bookmarkStart w:id="165" w:name="_Toc173066406"/>
            <w:bookmarkStart w:id="166" w:name="_Toc254970593"/>
            <w:bookmarkStart w:id="167" w:name="_Toc297193190"/>
            <w:bookmarkStart w:id="168" w:name="_Toc301781616"/>
            <w:bookmarkStart w:id="169" w:name="_Toc295404986"/>
            <w:r>
              <w:rPr>
                <w:rFonts w:hint="eastAsia" w:asciiTheme="minorEastAsia" w:hAnsiTheme="minorEastAsia" w:eastAsiaTheme="minorEastAsia" w:cstheme="minorEastAsia"/>
                <w:color w:val="auto"/>
                <w:kern w:val="2"/>
                <w:sz w:val="21"/>
                <w:szCs w:val="21"/>
                <w:highlight w:val="none"/>
                <w:lang w:val="en-US" w:eastAsia="zh-CN"/>
              </w:rPr>
              <w:t>1</w:t>
            </w:r>
            <w:bookmarkEnd w:id="161"/>
            <w:bookmarkEnd w:id="162"/>
            <w:bookmarkEnd w:id="163"/>
            <w:bookmarkEnd w:id="164"/>
            <w:bookmarkEnd w:id="165"/>
            <w:bookmarkEnd w:id="166"/>
            <w:bookmarkEnd w:id="167"/>
            <w:bookmarkEnd w:id="168"/>
            <w:bookmarkEnd w:id="169"/>
          </w:p>
        </w:tc>
        <w:tc>
          <w:tcPr>
            <w:tcW w:w="1430" w:type="dxa"/>
            <w:tcBorders>
              <w:right w:val="single" w:color="auto" w:sz="4" w:space="0"/>
            </w:tcBorders>
            <w:noWrap w:val="0"/>
            <w:vAlign w:val="center"/>
          </w:tcPr>
          <w:p w14:paraId="00F8C923">
            <w:pPr>
              <w:pStyle w:val="14"/>
              <w:spacing w:line="360" w:lineRule="auto"/>
              <w:ind w:firstLine="0" w:firstLineChars="0"/>
              <w:jc w:val="center"/>
              <w:rPr>
                <w:rFonts w:hint="eastAsia" w:asciiTheme="minorEastAsia" w:hAnsiTheme="minorEastAsia" w:eastAsiaTheme="minorEastAsia" w:cstheme="minorEastAsia"/>
                <w:color w:val="auto"/>
                <w:kern w:val="2"/>
                <w:sz w:val="21"/>
                <w:szCs w:val="21"/>
                <w:highlight w:val="none"/>
                <w:lang w:val="en-US" w:eastAsia="zh-CN"/>
              </w:rPr>
            </w:pPr>
          </w:p>
        </w:tc>
        <w:tc>
          <w:tcPr>
            <w:tcW w:w="2523" w:type="dxa"/>
            <w:tcBorders>
              <w:left w:val="single" w:color="auto" w:sz="4" w:space="0"/>
            </w:tcBorders>
            <w:noWrap w:val="0"/>
            <w:vAlign w:val="center"/>
          </w:tcPr>
          <w:p w14:paraId="6A4352D4">
            <w:pPr>
              <w:pStyle w:val="14"/>
              <w:spacing w:line="360" w:lineRule="auto"/>
              <w:ind w:firstLine="0" w:firstLineChars="0"/>
              <w:jc w:val="center"/>
              <w:rPr>
                <w:rFonts w:hint="eastAsia" w:asciiTheme="minorEastAsia" w:hAnsiTheme="minorEastAsia" w:eastAsiaTheme="minorEastAsia" w:cstheme="minorEastAsia"/>
                <w:color w:val="auto"/>
                <w:kern w:val="2"/>
                <w:sz w:val="21"/>
                <w:szCs w:val="21"/>
                <w:highlight w:val="none"/>
                <w:lang w:val="en-US" w:eastAsia="zh-CN"/>
              </w:rPr>
            </w:pPr>
          </w:p>
        </w:tc>
        <w:tc>
          <w:tcPr>
            <w:tcW w:w="2734" w:type="dxa"/>
            <w:noWrap w:val="0"/>
            <w:vAlign w:val="center"/>
          </w:tcPr>
          <w:p w14:paraId="624500DE">
            <w:pPr>
              <w:pStyle w:val="14"/>
              <w:spacing w:line="360" w:lineRule="auto"/>
              <w:ind w:firstLine="0" w:firstLineChars="0"/>
              <w:jc w:val="center"/>
              <w:rPr>
                <w:rFonts w:hint="eastAsia" w:asciiTheme="minorEastAsia" w:hAnsiTheme="minorEastAsia" w:eastAsiaTheme="minorEastAsia" w:cstheme="minorEastAsia"/>
                <w:color w:val="auto"/>
                <w:kern w:val="2"/>
                <w:sz w:val="21"/>
                <w:szCs w:val="21"/>
                <w:highlight w:val="none"/>
                <w:lang w:val="en-US" w:eastAsia="zh-CN"/>
              </w:rPr>
            </w:pPr>
          </w:p>
        </w:tc>
        <w:tc>
          <w:tcPr>
            <w:tcW w:w="1492" w:type="dxa"/>
            <w:noWrap w:val="0"/>
            <w:vAlign w:val="center"/>
          </w:tcPr>
          <w:p w14:paraId="2D8EC1ED">
            <w:pPr>
              <w:pStyle w:val="14"/>
              <w:spacing w:line="360" w:lineRule="auto"/>
              <w:ind w:firstLine="0" w:firstLineChars="0"/>
              <w:jc w:val="center"/>
              <w:rPr>
                <w:rFonts w:hint="eastAsia" w:asciiTheme="minorEastAsia" w:hAnsiTheme="minorEastAsia" w:eastAsiaTheme="minorEastAsia" w:cstheme="minorEastAsia"/>
                <w:color w:val="auto"/>
                <w:kern w:val="2"/>
                <w:sz w:val="21"/>
                <w:szCs w:val="21"/>
                <w:highlight w:val="none"/>
                <w:lang w:val="en-US" w:eastAsia="zh-CN"/>
              </w:rPr>
            </w:pPr>
          </w:p>
        </w:tc>
      </w:tr>
      <w:tr w14:paraId="0482CB6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16" w:type="dxa"/>
            <w:noWrap w:val="0"/>
            <w:vAlign w:val="center"/>
          </w:tcPr>
          <w:p w14:paraId="1387A451">
            <w:pPr>
              <w:pStyle w:val="14"/>
              <w:spacing w:line="360" w:lineRule="auto"/>
              <w:ind w:firstLine="0" w:firstLineChars="0"/>
              <w:jc w:val="center"/>
              <w:rPr>
                <w:rFonts w:hint="eastAsia" w:asciiTheme="minorEastAsia" w:hAnsiTheme="minorEastAsia" w:eastAsiaTheme="minorEastAsia" w:cstheme="minorEastAsia"/>
                <w:color w:val="auto"/>
                <w:kern w:val="2"/>
                <w:sz w:val="21"/>
                <w:szCs w:val="21"/>
                <w:highlight w:val="none"/>
                <w:lang w:val="en-US" w:eastAsia="zh-CN"/>
              </w:rPr>
            </w:pPr>
            <w:bookmarkStart w:id="170" w:name="_Toc173066407"/>
            <w:bookmarkStart w:id="171" w:name="_Toc373333695"/>
            <w:bookmarkStart w:id="172" w:name="_Toc301781617"/>
            <w:bookmarkStart w:id="173" w:name="_Toc383699912"/>
            <w:bookmarkStart w:id="174" w:name="_Toc173211906"/>
            <w:bookmarkStart w:id="175" w:name="_Toc254970735"/>
            <w:bookmarkStart w:id="176" w:name="_Toc297193191"/>
            <w:bookmarkStart w:id="177" w:name="_Toc254970594"/>
            <w:bookmarkStart w:id="178" w:name="_Toc295404987"/>
            <w:r>
              <w:rPr>
                <w:rFonts w:hint="eastAsia" w:asciiTheme="minorEastAsia" w:hAnsiTheme="minorEastAsia" w:eastAsiaTheme="minorEastAsia" w:cstheme="minorEastAsia"/>
                <w:color w:val="auto"/>
                <w:kern w:val="2"/>
                <w:sz w:val="21"/>
                <w:szCs w:val="21"/>
                <w:highlight w:val="none"/>
                <w:lang w:val="en-US" w:eastAsia="zh-CN"/>
              </w:rPr>
              <w:t>2</w:t>
            </w:r>
            <w:bookmarkEnd w:id="170"/>
            <w:bookmarkEnd w:id="171"/>
            <w:bookmarkEnd w:id="172"/>
            <w:bookmarkEnd w:id="173"/>
            <w:bookmarkEnd w:id="174"/>
            <w:bookmarkEnd w:id="175"/>
            <w:bookmarkEnd w:id="176"/>
            <w:bookmarkEnd w:id="177"/>
            <w:bookmarkEnd w:id="178"/>
          </w:p>
        </w:tc>
        <w:tc>
          <w:tcPr>
            <w:tcW w:w="1430" w:type="dxa"/>
            <w:tcBorders>
              <w:right w:val="single" w:color="auto" w:sz="4" w:space="0"/>
            </w:tcBorders>
            <w:noWrap w:val="0"/>
            <w:vAlign w:val="center"/>
          </w:tcPr>
          <w:p w14:paraId="21C2993D">
            <w:pPr>
              <w:pStyle w:val="14"/>
              <w:spacing w:line="360" w:lineRule="auto"/>
              <w:ind w:firstLine="0" w:firstLineChars="0"/>
              <w:jc w:val="center"/>
              <w:rPr>
                <w:rFonts w:hint="eastAsia" w:asciiTheme="minorEastAsia" w:hAnsiTheme="minorEastAsia" w:eastAsiaTheme="minorEastAsia" w:cstheme="minorEastAsia"/>
                <w:color w:val="auto"/>
                <w:kern w:val="2"/>
                <w:sz w:val="21"/>
                <w:szCs w:val="21"/>
                <w:highlight w:val="none"/>
                <w:lang w:val="en-US" w:eastAsia="zh-CN"/>
              </w:rPr>
            </w:pPr>
          </w:p>
        </w:tc>
        <w:tc>
          <w:tcPr>
            <w:tcW w:w="2523" w:type="dxa"/>
            <w:tcBorders>
              <w:left w:val="single" w:color="auto" w:sz="4" w:space="0"/>
            </w:tcBorders>
            <w:noWrap w:val="0"/>
            <w:vAlign w:val="center"/>
          </w:tcPr>
          <w:p w14:paraId="720D8903">
            <w:pPr>
              <w:pStyle w:val="14"/>
              <w:spacing w:line="360" w:lineRule="auto"/>
              <w:ind w:firstLine="0" w:firstLineChars="0"/>
              <w:jc w:val="center"/>
              <w:rPr>
                <w:rFonts w:hint="eastAsia" w:asciiTheme="minorEastAsia" w:hAnsiTheme="minorEastAsia" w:eastAsiaTheme="minorEastAsia" w:cstheme="minorEastAsia"/>
                <w:color w:val="auto"/>
                <w:kern w:val="2"/>
                <w:sz w:val="21"/>
                <w:szCs w:val="21"/>
                <w:highlight w:val="none"/>
                <w:lang w:val="en-US" w:eastAsia="zh-CN"/>
              </w:rPr>
            </w:pPr>
          </w:p>
        </w:tc>
        <w:tc>
          <w:tcPr>
            <w:tcW w:w="2734" w:type="dxa"/>
            <w:noWrap w:val="0"/>
            <w:vAlign w:val="center"/>
          </w:tcPr>
          <w:p w14:paraId="2B76C1B1">
            <w:pPr>
              <w:pStyle w:val="14"/>
              <w:spacing w:line="360" w:lineRule="auto"/>
              <w:ind w:firstLine="0" w:firstLineChars="0"/>
              <w:jc w:val="center"/>
              <w:rPr>
                <w:rFonts w:hint="eastAsia" w:asciiTheme="minorEastAsia" w:hAnsiTheme="minorEastAsia" w:eastAsiaTheme="minorEastAsia" w:cstheme="minorEastAsia"/>
                <w:color w:val="auto"/>
                <w:kern w:val="2"/>
                <w:sz w:val="21"/>
                <w:szCs w:val="21"/>
                <w:highlight w:val="none"/>
                <w:lang w:val="en-US" w:eastAsia="zh-CN"/>
              </w:rPr>
            </w:pPr>
          </w:p>
        </w:tc>
        <w:tc>
          <w:tcPr>
            <w:tcW w:w="1492" w:type="dxa"/>
            <w:noWrap w:val="0"/>
            <w:vAlign w:val="center"/>
          </w:tcPr>
          <w:p w14:paraId="3950CCD5">
            <w:pPr>
              <w:pStyle w:val="14"/>
              <w:spacing w:line="360" w:lineRule="auto"/>
              <w:ind w:firstLine="0" w:firstLineChars="0"/>
              <w:jc w:val="center"/>
              <w:rPr>
                <w:rFonts w:hint="eastAsia" w:asciiTheme="minorEastAsia" w:hAnsiTheme="minorEastAsia" w:eastAsiaTheme="minorEastAsia" w:cstheme="minorEastAsia"/>
                <w:color w:val="auto"/>
                <w:kern w:val="2"/>
                <w:sz w:val="21"/>
                <w:szCs w:val="21"/>
                <w:highlight w:val="none"/>
                <w:lang w:val="en-US" w:eastAsia="zh-CN"/>
              </w:rPr>
            </w:pPr>
          </w:p>
        </w:tc>
      </w:tr>
      <w:tr w14:paraId="7D7C362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16" w:type="dxa"/>
            <w:noWrap w:val="0"/>
            <w:vAlign w:val="center"/>
          </w:tcPr>
          <w:p w14:paraId="014A3886">
            <w:pPr>
              <w:pStyle w:val="14"/>
              <w:spacing w:line="360" w:lineRule="auto"/>
              <w:ind w:firstLine="0" w:firstLineChars="0"/>
              <w:jc w:val="center"/>
              <w:rPr>
                <w:rFonts w:hint="eastAsia" w:asciiTheme="minorEastAsia" w:hAnsiTheme="minorEastAsia" w:eastAsiaTheme="minorEastAsia" w:cstheme="minorEastAsia"/>
                <w:color w:val="auto"/>
                <w:kern w:val="2"/>
                <w:sz w:val="21"/>
                <w:szCs w:val="21"/>
                <w:highlight w:val="none"/>
                <w:lang w:val="en-US" w:eastAsia="zh-CN"/>
              </w:rPr>
            </w:pPr>
            <w:bookmarkStart w:id="179" w:name="_Toc254970736"/>
            <w:bookmarkStart w:id="180" w:name="_Toc254970595"/>
            <w:bookmarkStart w:id="181" w:name="_Toc173211907"/>
            <w:bookmarkStart w:id="182" w:name="_Toc297193192"/>
            <w:bookmarkStart w:id="183" w:name="_Toc383699913"/>
            <w:bookmarkStart w:id="184" w:name="_Toc373333696"/>
            <w:bookmarkStart w:id="185" w:name="_Toc173066408"/>
            <w:bookmarkStart w:id="186" w:name="_Toc295404988"/>
            <w:bookmarkStart w:id="187" w:name="_Toc301781618"/>
            <w:r>
              <w:rPr>
                <w:rFonts w:hint="eastAsia" w:asciiTheme="minorEastAsia" w:hAnsiTheme="minorEastAsia" w:eastAsiaTheme="minorEastAsia" w:cstheme="minorEastAsia"/>
                <w:color w:val="auto"/>
                <w:kern w:val="2"/>
                <w:sz w:val="21"/>
                <w:szCs w:val="21"/>
                <w:highlight w:val="none"/>
                <w:lang w:val="en-US" w:eastAsia="zh-CN"/>
              </w:rPr>
              <w:t>3</w:t>
            </w:r>
            <w:bookmarkEnd w:id="179"/>
            <w:bookmarkEnd w:id="180"/>
            <w:bookmarkEnd w:id="181"/>
            <w:bookmarkEnd w:id="182"/>
            <w:bookmarkEnd w:id="183"/>
            <w:bookmarkEnd w:id="184"/>
            <w:bookmarkEnd w:id="185"/>
            <w:bookmarkEnd w:id="186"/>
            <w:bookmarkEnd w:id="187"/>
          </w:p>
        </w:tc>
        <w:tc>
          <w:tcPr>
            <w:tcW w:w="1430" w:type="dxa"/>
            <w:tcBorders>
              <w:right w:val="single" w:color="auto" w:sz="4" w:space="0"/>
            </w:tcBorders>
            <w:noWrap w:val="0"/>
            <w:vAlign w:val="center"/>
          </w:tcPr>
          <w:p w14:paraId="46B34CAA">
            <w:pPr>
              <w:pStyle w:val="14"/>
              <w:spacing w:line="360" w:lineRule="auto"/>
              <w:ind w:firstLine="0" w:firstLineChars="0"/>
              <w:jc w:val="center"/>
              <w:rPr>
                <w:rFonts w:hint="eastAsia" w:asciiTheme="minorEastAsia" w:hAnsiTheme="minorEastAsia" w:eastAsiaTheme="minorEastAsia" w:cstheme="minorEastAsia"/>
                <w:color w:val="auto"/>
                <w:kern w:val="2"/>
                <w:sz w:val="21"/>
                <w:szCs w:val="21"/>
                <w:highlight w:val="none"/>
                <w:lang w:val="en-US" w:eastAsia="zh-CN"/>
              </w:rPr>
            </w:pPr>
          </w:p>
        </w:tc>
        <w:tc>
          <w:tcPr>
            <w:tcW w:w="2523" w:type="dxa"/>
            <w:tcBorders>
              <w:left w:val="single" w:color="auto" w:sz="4" w:space="0"/>
            </w:tcBorders>
            <w:noWrap w:val="0"/>
            <w:vAlign w:val="center"/>
          </w:tcPr>
          <w:p w14:paraId="3A0C6BF8">
            <w:pPr>
              <w:pStyle w:val="14"/>
              <w:spacing w:line="360" w:lineRule="auto"/>
              <w:ind w:firstLine="0" w:firstLineChars="0"/>
              <w:jc w:val="center"/>
              <w:rPr>
                <w:rFonts w:hint="eastAsia" w:asciiTheme="minorEastAsia" w:hAnsiTheme="minorEastAsia" w:eastAsiaTheme="minorEastAsia" w:cstheme="minorEastAsia"/>
                <w:color w:val="auto"/>
                <w:kern w:val="2"/>
                <w:sz w:val="21"/>
                <w:szCs w:val="21"/>
                <w:highlight w:val="none"/>
                <w:lang w:val="en-US" w:eastAsia="zh-CN"/>
              </w:rPr>
            </w:pPr>
          </w:p>
        </w:tc>
        <w:tc>
          <w:tcPr>
            <w:tcW w:w="2734" w:type="dxa"/>
            <w:noWrap w:val="0"/>
            <w:vAlign w:val="center"/>
          </w:tcPr>
          <w:p w14:paraId="09E399A2">
            <w:pPr>
              <w:pStyle w:val="14"/>
              <w:spacing w:line="360" w:lineRule="auto"/>
              <w:ind w:firstLine="0" w:firstLineChars="0"/>
              <w:jc w:val="center"/>
              <w:rPr>
                <w:rFonts w:hint="eastAsia" w:asciiTheme="minorEastAsia" w:hAnsiTheme="minorEastAsia" w:eastAsiaTheme="minorEastAsia" w:cstheme="minorEastAsia"/>
                <w:color w:val="auto"/>
                <w:kern w:val="2"/>
                <w:sz w:val="21"/>
                <w:szCs w:val="21"/>
                <w:highlight w:val="none"/>
                <w:lang w:val="en-US" w:eastAsia="zh-CN"/>
              </w:rPr>
            </w:pPr>
          </w:p>
        </w:tc>
        <w:tc>
          <w:tcPr>
            <w:tcW w:w="1492" w:type="dxa"/>
            <w:noWrap w:val="0"/>
            <w:vAlign w:val="center"/>
          </w:tcPr>
          <w:p w14:paraId="667799FC">
            <w:pPr>
              <w:pStyle w:val="14"/>
              <w:spacing w:line="360" w:lineRule="auto"/>
              <w:ind w:firstLine="0" w:firstLineChars="0"/>
              <w:jc w:val="center"/>
              <w:rPr>
                <w:rFonts w:hint="eastAsia" w:asciiTheme="minorEastAsia" w:hAnsiTheme="minorEastAsia" w:eastAsiaTheme="minorEastAsia" w:cstheme="minorEastAsia"/>
                <w:color w:val="auto"/>
                <w:kern w:val="2"/>
                <w:sz w:val="21"/>
                <w:szCs w:val="21"/>
                <w:highlight w:val="none"/>
                <w:lang w:val="en-US" w:eastAsia="zh-CN"/>
              </w:rPr>
            </w:pPr>
          </w:p>
        </w:tc>
      </w:tr>
      <w:tr w14:paraId="7EDE22E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16" w:type="dxa"/>
            <w:noWrap w:val="0"/>
            <w:vAlign w:val="center"/>
          </w:tcPr>
          <w:p w14:paraId="472F6C3B">
            <w:pPr>
              <w:pStyle w:val="14"/>
              <w:spacing w:line="360" w:lineRule="auto"/>
              <w:ind w:firstLine="0" w:firstLineChars="0"/>
              <w:jc w:val="center"/>
              <w:rPr>
                <w:rFonts w:hint="eastAsia" w:asciiTheme="minorEastAsia" w:hAnsiTheme="minorEastAsia" w:eastAsiaTheme="minorEastAsia" w:cstheme="minorEastAsia"/>
                <w:color w:val="auto"/>
                <w:kern w:val="2"/>
                <w:sz w:val="21"/>
                <w:szCs w:val="21"/>
                <w:highlight w:val="none"/>
                <w:lang w:val="en-US" w:eastAsia="zh-CN"/>
              </w:rPr>
            </w:pPr>
            <w:bookmarkStart w:id="188" w:name="_Toc373333697"/>
            <w:bookmarkStart w:id="189" w:name="_Toc173211908"/>
            <w:bookmarkStart w:id="190" w:name="_Toc301781619"/>
            <w:bookmarkStart w:id="191" w:name="_Toc254970737"/>
            <w:bookmarkStart w:id="192" w:name="_Toc295404989"/>
            <w:bookmarkStart w:id="193" w:name="_Toc173066409"/>
            <w:bookmarkStart w:id="194" w:name="_Toc297193193"/>
            <w:bookmarkStart w:id="195" w:name="_Toc383699914"/>
            <w:bookmarkStart w:id="196" w:name="_Toc254970596"/>
            <w:r>
              <w:rPr>
                <w:rFonts w:hint="eastAsia" w:asciiTheme="minorEastAsia" w:hAnsiTheme="minorEastAsia" w:eastAsiaTheme="minorEastAsia" w:cstheme="minorEastAsia"/>
                <w:color w:val="auto"/>
                <w:kern w:val="2"/>
                <w:sz w:val="21"/>
                <w:szCs w:val="21"/>
                <w:highlight w:val="none"/>
                <w:lang w:val="en-US" w:eastAsia="zh-CN"/>
              </w:rPr>
              <w:t>4</w:t>
            </w:r>
            <w:bookmarkEnd w:id="188"/>
            <w:bookmarkEnd w:id="189"/>
            <w:bookmarkEnd w:id="190"/>
            <w:bookmarkEnd w:id="191"/>
            <w:bookmarkEnd w:id="192"/>
            <w:bookmarkEnd w:id="193"/>
            <w:bookmarkEnd w:id="194"/>
            <w:bookmarkEnd w:id="195"/>
            <w:bookmarkEnd w:id="196"/>
          </w:p>
        </w:tc>
        <w:tc>
          <w:tcPr>
            <w:tcW w:w="1430" w:type="dxa"/>
            <w:tcBorders>
              <w:right w:val="single" w:color="auto" w:sz="4" w:space="0"/>
            </w:tcBorders>
            <w:noWrap w:val="0"/>
            <w:vAlign w:val="center"/>
          </w:tcPr>
          <w:p w14:paraId="5CB398A7">
            <w:pPr>
              <w:pStyle w:val="14"/>
              <w:spacing w:line="360" w:lineRule="auto"/>
              <w:ind w:firstLine="0" w:firstLineChars="0"/>
              <w:jc w:val="center"/>
              <w:rPr>
                <w:rFonts w:hint="eastAsia" w:asciiTheme="minorEastAsia" w:hAnsiTheme="minorEastAsia" w:eastAsiaTheme="minorEastAsia" w:cstheme="minorEastAsia"/>
                <w:color w:val="auto"/>
                <w:kern w:val="2"/>
                <w:sz w:val="21"/>
                <w:szCs w:val="21"/>
                <w:highlight w:val="none"/>
                <w:lang w:val="en-US" w:eastAsia="zh-CN"/>
              </w:rPr>
            </w:pPr>
          </w:p>
        </w:tc>
        <w:tc>
          <w:tcPr>
            <w:tcW w:w="2523" w:type="dxa"/>
            <w:tcBorders>
              <w:left w:val="single" w:color="auto" w:sz="4" w:space="0"/>
            </w:tcBorders>
            <w:noWrap w:val="0"/>
            <w:vAlign w:val="center"/>
          </w:tcPr>
          <w:p w14:paraId="085370E8">
            <w:pPr>
              <w:pStyle w:val="14"/>
              <w:spacing w:line="360" w:lineRule="auto"/>
              <w:ind w:firstLine="0" w:firstLineChars="0"/>
              <w:jc w:val="center"/>
              <w:rPr>
                <w:rFonts w:hint="eastAsia" w:asciiTheme="minorEastAsia" w:hAnsiTheme="minorEastAsia" w:eastAsiaTheme="minorEastAsia" w:cstheme="minorEastAsia"/>
                <w:color w:val="auto"/>
                <w:kern w:val="2"/>
                <w:sz w:val="21"/>
                <w:szCs w:val="21"/>
                <w:highlight w:val="none"/>
                <w:lang w:val="en-US" w:eastAsia="zh-CN"/>
              </w:rPr>
            </w:pPr>
          </w:p>
        </w:tc>
        <w:tc>
          <w:tcPr>
            <w:tcW w:w="2734" w:type="dxa"/>
            <w:noWrap w:val="0"/>
            <w:vAlign w:val="center"/>
          </w:tcPr>
          <w:p w14:paraId="7C941580">
            <w:pPr>
              <w:pStyle w:val="14"/>
              <w:spacing w:line="360" w:lineRule="auto"/>
              <w:ind w:firstLine="0" w:firstLineChars="0"/>
              <w:jc w:val="center"/>
              <w:rPr>
                <w:rFonts w:hint="eastAsia" w:asciiTheme="minorEastAsia" w:hAnsiTheme="minorEastAsia" w:eastAsiaTheme="minorEastAsia" w:cstheme="minorEastAsia"/>
                <w:color w:val="auto"/>
                <w:kern w:val="2"/>
                <w:sz w:val="21"/>
                <w:szCs w:val="21"/>
                <w:highlight w:val="none"/>
                <w:lang w:val="en-US" w:eastAsia="zh-CN"/>
              </w:rPr>
            </w:pPr>
          </w:p>
        </w:tc>
        <w:tc>
          <w:tcPr>
            <w:tcW w:w="1492" w:type="dxa"/>
            <w:noWrap w:val="0"/>
            <w:vAlign w:val="center"/>
          </w:tcPr>
          <w:p w14:paraId="75ACDA3C">
            <w:pPr>
              <w:pStyle w:val="14"/>
              <w:spacing w:line="360" w:lineRule="auto"/>
              <w:ind w:firstLine="0" w:firstLineChars="0"/>
              <w:jc w:val="center"/>
              <w:rPr>
                <w:rFonts w:hint="eastAsia" w:asciiTheme="minorEastAsia" w:hAnsiTheme="minorEastAsia" w:eastAsiaTheme="minorEastAsia" w:cstheme="minorEastAsia"/>
                <w:color w:val="auto"/>
                <w:kern w:val="2"/>
                <w:sz w:val="21"/>
                <w:szCs w:val="21"/>
                <w:highlight w:val="none"/>
                <w:lang w:val="en-US" w:eastAsia="zh-CN"/>
              </w:rPr>
            </w:pPr>
          </w:p>
        </w:tc>
      </w:tr>
      <w:tr w14:paraId="31B83B9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16" w:type="dxa"/>
            <w:noWrap w:val="0"/>
            <w:vAlign w:val="center"/>
          </w:tcPr>
          <w:p w14:paraId="6E9554D3">
            <w:pPr>
              <w:pStyle w:val="14"/>
              <w:spacing w:line="360" w:lineRule="auto"/>
              <w:ind w:firstLine="0" w:firstLineChars="0"/>
              <w:jc w:val="center"/>
              <w:rPr>
                <w:rFonts w:hint="eastAsia" w:asciiTheme="minorEastAsia" w:hAnsiTheme="minorEastAsia" w:eastAsiaTheme="minorEastAsia" w:cstheme="minorEastAsia"/>
                <w:color w:val="auto"/>
                <w:kern w:val="2"/>
                <w:sz w:val="21"/>
                <w:szCs w:val="21"/>
                <w:highlight w:val="none"/>
                <w:lang w:val="en-US" w:eastAsia="zh-CN"/>
              </w:rPr>
            </w:pPr>
            <w:bookmarkStart w:id="197" w:name="_Toc173066410"/>
            <w:bookmarkStart w:id="198" w:name="_Toc173211909"/>
            <w:bookmarkStart w:id="199" w:name="_Toc295404990"/>
            <w:bookmarkStart w:id="200" w:name="_Toc254970738"/>
            <w:bookmarkStart w:id="201" w:name="_Toc301781620"/>
            <w:bookmarkStart w:id="202" w:name="_Toc373333698"/>
            <w:bookmarkStart w:id="203" w:name="_Toc383699915"/>
            <w:bookmarkStart w:id="204" w:name="_Toc254970597"/>
            <w:bookmarkStart w:id="205" w:name="_Toc297193194"/>
            <w:r>
              <w:rPr>
                <w:rFonts w:hint="eastAsia" w:asciiTheme="minorEastAsia" w:hAnsiTheme="minorEastAsia" w:eastAsiaTheme="minorEastAsia" w:cstheme="minorEastAsia"/>
                <w:color w:val="auto"/>
                <w:kern w:val="2"/>
                <w:sz w:val="21"/>
                <w:szCs w:val="21"/>
                <w:highlight w:val="none"/>
                <w:lang w:val="en-US" w:eastAsia="zh-CN"/>
              </w:rPr>
              <w:t>5</w:t>
            </w:r>
            <w:bookmarkEnd w:id="197"/>
            <w:bookmarkEnd w:id="198"/>
            <w:bookmarkEnd w:id="199"/>
            <w:bookmarkEnd w:id="200"/>
            <w:bookmarkEnd w:id="201"/>
            <w:bookmarkEnd w:id="202"/>
            <w:bookmarkEnd w:id="203"/>
            <w:bookmarkEnd w:id="204"/>
            <w:bookmarkEnd w:id="205"/>
          </w:p>
        </w:tc>
        <w:tc>
          <w:tcPr>
            <w:tcW w:w="1430" w:type="dxa"/>
            <w:tcBorders>
              <w:right w:val="single" w:color="auto" w:sz="4" w:space="0"/>
            </w:tcBorders>
            <w:noWrap w:val="0"/>
            <w:vAlign w:val="center"/>
          </w:tcPr>
          <w:p w14:paraId="78A9F091">
            <w:pPr>
              <w:pStyle w:val="14"/>
              <w:spacing w:line="360" w:lineRule="auto"/>
              <w:ind w:firstLine="0" w:firstLineChars="0"/>
              <w:jc w:val="center"/>
              <w:rPr>
                <w:rFonts w:hint="eastAsia" w:asciiTheme="minorEastAsia" w:hAnsiTheme="minorEastAsia" w:eastAsiaTheme="minorEastAsia" w:cstheme="minorEastAsia"/>
                <w:color w:val="auto"/>
                <w:kern w:val="2"/>
                <w:sz w:val="21"/>
                <w:szCs w:val="21"/>
                <w:highlight w:val="none"/>
                <w:lang w:val="en-US" w:eastAsia="zh-CN"/>
              </w:rPr>
            </w:pPr>
          </w:p>
        </w:tc>
        <w:tc>
          <w:tcPr>
            <w:tcW w:w="2523" w:type="dxa"/>
            <w:tcBorders>
              <w:left w:val="single" w:color="auto" w:sz="4" w:space="0"/>
            </w:tcBorders>
            <w:noWrap w:val="0"/>
            <w:vAlign w:val="center"/>
          </w:tcPr>
          <w:p w14:paraId="141905A5">
            <w:pPr>
              <w:pStyle w:val="14"/>
              <w:spacing w:line="360" w:lineRule="auto"/>
              <w:ind w:firstLine="0" w:firstLineChars="0"/>
              <w:jc w:val="center"/>
              <w:rPr>
                <w:rFonts w:hint="eastAsia" w:asciiTheme="minorEastAsia" w:hAnsiTheme="minorEastAsia" w:eastAsiaTheme="minorEastAsia" w:cstheme="minorEastAsia"/>
                <w:color w:val="auto"/>
                <w:kern w:val="2"/>
                <w:sz w:val="21"/>
                <w:szCs w:val="21"/>
                <w:highlight w:val="none"/>
                <w:lang w:val="en-US" w:eastAsia="zh-CN"/>
              </w:rPr>
            </w:pPr>
          </w:p>
        </w:tc>
        <w:tc>
          <w:tcPr>
            <w:tcW w:w="2734" w:type="dxa"/>
            <w:noWrap w:val="0"/>
            <w:vAlign w:val="center"/>
          </w:tcPr>
          <w:p w14:paraId="50134F9C">
            <w:pPr>
              <w:pStyle w:val="14"/>
              <w:spacing w:line="360" w:lineRule="auto"/>
              <w:ind w:firstLine="0" w:firstLineChars="0"/>
              <w:jc w:val="center"/>
              <w:rPr>
                <w:rFonts w:hint="eastAsia" w:asciiTheme="minorEastAsia" w:hAnsiTheme="minorEastAsia" w:eastAsiaTheme="minorEastAsia" w:cstheme="minorEastAsia"/>
                <w:color w:val="auto"/>
                <w:kern w:val="2"/>
                <w:sz w:val="21"/>
                <w:szCs w:val="21"/>
                <w:highlight w:val="none"/>
                <w:lang w:val="en-US" w:eastAsia="zh-CN"/>
              </w:rPr>
            </w:pPr>
          </w:p>
        </w:tc>
        <w:tc>
          <w:tcPr>
            <w:tcW w:w="1492" w:type="dxa"/>
            <w:noWrap w:val="0"/>
            <w:vAlign w:val="center"/>
          </w:tcPr>
          <w:p w14:paraId="1168822D">
            <w:pPr>
              <w:pStyle w:val="14"/>
              <w:spacing w:line="360" w:lineRule="auto"/>
              <w:ind w:firstLine="0" w:firstLineChars="0"/>
              <w:jc w:val="center"/>
              <w:rPr>
                <w:rFonts w:hint="eastAsia" w:asciiTheme="minorEastAsia" w:hAnsiTheme="minorEastAsia" w:eastAsiaTheme="minorEastAsia" w:cstheme="minorEastAsia"/>
                <w:color w:val="auto"/>
                <w:kern w:val="2"/>
                <w:sz w:val="21"/>
                <w:szCs w:val="21"/>
                <w:highlight w:val="none"/>
                <w:lang w:val="en-US" w:eastAsia="zh-CN"/>
              </w:rPr>
            </w:pPr>
          </w:p>
        </w:tc>
      </w:tr>
      <w:tr w14:paraId="7F32AB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916" w:type="dxa"/>
            <w:noWrap w:val="0"/>
            <w:vAlign w:val="center"/>
          </w:tcPr>
          <w:p w14:paraId="3243AA71">
            <w:pPr>
              <w:pStyle w:val="14"/>
              <w:spacing w:line="360" w:lineRule="auto"/>
              <w:ind w:firstLine="0" w:firstLineChars="0"/>
              <w:jc w:val="center"/>
              <w:rPr>
                <w:rFonts w:hint="eastAsia" w:asciiTheme="minorEastAsia" w:hAnsiTheme="minorEastAsia" w:eastAsiaTheme="minorEastAsia" w:cstheme="minorEastAsia"/>
                <w:color w:val="auto"/>
                <w:kern w:val="2"/>
                <w:sz w:val="21"/>
                <w:szCs w:val="21"/>
                <w:highlight w:val="none"/>
                <w:lang w:val="en-US" w:eastAsia="zh-CN"/>
              </w:rPr>
            </w:pPr>
            <w:bookmarkStart w:id="206" w:name="_Toc173211914"/>
            <w:bookmarkStart w:id="207" w:name="_Toc254970743"/>
            <w:bookmarkStart w:id="208" w:name="_Toc254970602"/>
            <w:bookmarkStart w:id="209" w:name="_Toc301781621"/>
            <w:bookmarkStart w:id="210" w:name="_Toc373333699"/>
            <w:bookmarkStart w:id="211" w:name="_Toc173066415"/>
            <w:bookmarkStart w:id="212" w:name="_Toc295404991"/>
            <w:bookmarkStart w:id="213" w:name="_Toc297193195"/>
            <w:bookmarkStart w:id="214" w:name="_Toc383699916"/>
            <w:r>
              <w:rPr>
                <w:rFonts w:hint="eastAsia" w:asciiTheme="minorEastAsia" w:hAnsiTheme="minorEastAsia" w:eastAsiaTheme="minorEastAsia" w:cstheme="minorEastAsia"/>
                <w:color w:val="auto"/>
                <w:kern w:val="2"/>
                <w:sz w:val="21"/>
                <w:szCs w:val="21"/>
                <w:highlight w:val="none"/>
                <w:lang w:val="en-US" w:eastAsia="zh-CN"/>
              </w:rPr>
              <w:t>…</w:t>
            </w:r>
            <w:bookmarkEnd w:id="206"/>
            <w:bookmarkEnd w:id="207"/>
            <w:bookmarkEnd w:id="208"/>
            <w:bookmarkEnd w:id="209"/>
            <w:bookmarkEnd w:id="210"/>
            <w:bookmarkEnd w:id="211"/>
            <w:bookmarkEnd w:id="212"/>
            <w:bookmarkEnd w:id="213"/>
            <w:bookmarkEnd w:id="214"/>
          </w:p>
        </w:tc>
        <w:tc>
          <w:tcPr>
            <w:tcW w:w="1430" w:type="dxa"/>
            <w:tcBorders>
              <w:right w:val="single" w:color="auto" w:sz="4" w:space="0"/>
            </w:tcBorders>
            <w:noWrap w:val="0"/>
            <w:vAlign w:val="center"/>
          </w:tcPr>
          <w:p w14:paraId="697E9D1D">
            <w:pPr>
              <w:pStyle w:val="14"/>
              <w:spacing w:line="360" w:lineRule="auto"/>
              <w:ind w:firstLine="0" w:firstLineChars="0"/>
              <w:jc w:val="center"/>
              <w:rPr>
                <w:rFonts w:hint="eastAsia" w:asciiTheme="minorEastAsia" w:hAnsiTheme="minorEastAsia" w:eastAsiaTheme="minorEastAsia" w:cstheme="minorEastAsia"/>
                <w:color w:val="auto"/>
                <w:kern w:val="2"/>
                <w:sz w:val="21"/>
                <w:szCs w:val="21"/>
                <w:highlight w:val="none"/>
                <w:lang w:val="en-US" w:eastAsia="zh-CN"/>
              </w:rPr>
            </w:pPr>
          </w:p>
        </w:tc>
        <w:tc>
          <w:tcPr>
            <w:tcW w:w="2523" w:type="dxa"/>
            <w:tcBorders>
              <w:left w:val="single" w:color="auto" w:sz="4" w:space="0"/>
            </w:tcBorders>
            <w:noWrap w:val="0"/>
            <w:vAlign w:val="center"/>
          </w:tcPr>
          <w:p w14:paraId="3D269429">
            <w:pPr>
              <w:pStyle w:val="14"/>
              <w:spacing w:line="360" w:lineRule="auto"/>
              <w:ind w:firstLine="0" w:firstLineChars="0"/>
              <w:jc w:val="center"/>
              <w:rPr>
                <w:rFonts w:hint="eastAsia" w:asciiTheme="minorEastAsia" w:hAnsiTheme="minorEastAsia" w:eastAsiaTheme="minorEastAsia" w:cstheme="minorEastAsia"/>
                <w:color w:val="auto"/>
                <w:kern w:val="2"/>
                <w:sz w:val="21"/>
                <w:szCs w:val="21"/>
                <w:highlight w:val="none"/>
                <w:lang w:val="en-US" w:eastAsia="zh-CN"/>
              </w:rPr>
            </w:pPr>
          </w:p>
        </w:tc>
        <w:tc>
          <w:tcPr>
            <w:tcW w:w="2734" w:type="dxa"/>
            <w:noWrap w:val="0"/>
            <w:vAlign w:val="center"/>
          </w:tcPr>
          <w:p w14:paraId="16D6DA25">
            <w:pPr>
              <w:pStyle w:val="14"/>
              <w:spacing w:line="360" w:lineRule="auto"/>
              <w:ind w:firstLine="0" w:firstLineChars="0"/>
              <w:jc w:val="center"/>
              <w:rPr>
                <w:rFonts w:hint="eastAsia" w:asciiTheme="minorEastAsia" w:hAnsiTheme="minorEastAsia" w:eastAsiaTheme="minorEastAsia" w:cstheme="minorEastAsia"/>
                <w:color w:val="auto"/>
                <w:kern w:val="2"/>
                <w:sz w:val="21"/>
                <w:szCs w:val="21"/>
                <w:highlight w:val="none"/>
                <w:lang w:val="en-US" w:eastAsia="zh-CN"/>
              </w:rPr>
            </w:pPr>
          </w:p>
        </w:tc>
        <w:tc>
          <w:tcPr>
            <w:tcW w:w="1492" w:type="dxa"/>
            <w:tcBorders>
              <w:right w:val="single" w:color="auto" w:sz="4" w:space="0"/>
            </w:tcBorders>
            <w:noWrap w:val="0"/>
            <w:vAlign w:val="center"/>
          </w:tcPr>
          <w:p w14:paraId="42CB061D">
            <w:pPr>
              <w:pStyle w:val="14"/>
              <w:spacing w:line="360" w:lineRule="auto"/>
              <w:ind w:firstLine="0" w:firstLineChars="0"/>
              <w:jc w:val="center"/>
              <w:rPr>
                <w:rFonts w:hint="eastAsia" w:asciiTheme="minorEastAsia" w:hAnsiTheme="minorEastAsia" w:eastAsiaTheme="minorEastAsia" w:cstheme="minorEastAsia"/>
                <w:color w:val="auto"/>
                <w:kern w:val="2"/>
                <w:sz w:val="21"/>
                <w:szCs w:val="21"/>
                <w:highlight w:val="none"/>
                <w:lang w:val="en-US" w:eastAsia="zh-CN"/>
              </w:rPr>
            </w:pPr>
          </w:p>
        </w:tc>
      </w:tr>
    </w:tbl>
    <w:p w14:paraId="7780940B">
      <w:pPr>
        <w:pStyle w:val="26"/>
        <w:rPr>
          <w:rFonts w:hint="eastAsia"/>
        </w:rPr>
      </w:pPr>
    </w:p>
    <w:p w14:paraId="2D8FB983">
      <w:pPr>
        <w:pStyle w:val="14"/>
        <w:spacing w:line="360" w:lineRule="auto"/>
        <w:ind w:firstLine="420" w:firstLineChars="200"/>
        <w:jc w:val="left"/>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注：</w:t>
      </w:r>
    </w:p>
    <w:p w14:paraId="0CDE9518">
      <w:pPr>
        <w:pStyle w:val="14"/>
        <w:spacing w:line="360" w:lineRule="auto"/>
        <w:ind w:firstLine="420" w:firstLineChars="200"/>
        <w:jc w:val="left"/>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1. 说明：应对照采购文件“第三章 采购需求”中的</w:t>
      </w:r>
      <w:r>
        <w:rPr>
          <w:rFonts w:hint="eastAsia" w:asciiTheme="minorEastAsia" w:hAnsiTheme="minorEastAsia" w:eastAsiaTheme="minorEastAsia" w:cstheme="minorEastAsia"/>
          <w:b/>
          <w:bCs/>
          <w:color w:val="auto"/>
          <w:kern w:val="2"/>
          <w:sz w:val="21"/>
          <w:szCs w:val="21"/>
          <w:highlight w:val="none"/>
          <w:lang w:val="en-US" w:eastAsia="zh-CN"/>
        </w:rPr>
        <w:t>核心设备技术参数</w:t>
      </w:r>
      <w:r>
        <w:rPr>
          <w:rFonts w:hint="eastAsia" w:asciiTheme="minorEastAsia" w:hAnsiTheme="minorEastAsia" w:eastAsiaTheme="minorEastAsia" w:cstheme="minorEastAsia"/>
          <w:color w:val="auto"/>
          <w:kern w:val="2"/>
          <w:sz w:val="21"/>
          <w:szCs w:val="21"/>
          <w:highlight w:val="none"/>
          <w:lang w:val="en-US" w:eastAsia="zh-CN"/>
        </w:rPr>
        <w:t>逐条实质性响应，并作出偏离说明。</w:t>
      </w:r>
    </w:p>
    <w:p w14:paraId="1454E158">
      <w:pPr>
        <w:pStyle w:val="14"/>
        <w:spacing w:line="360" w:lineRule="auto"/>
        <w:ind w:firstLine="420" w:firstLineChars="200"/>
        <w:jc w:val="left"/>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2.供应商应根据自身的承诺，对照采购文件要求，在“偏离说明”中注明“正偏离”、“负偏离”或者“无偏离”。既不属于“正偏离”也不属于“负偏离”即为“无偏离”。</w:t>
      </w:r>
    </w:p>
    <w:p w14:paraId="4811C674">
      <w:pPr>
        <w:pStyle w:val="14"/>
        <w:spacing w:line="360" w:lineRule="auto"/>
        <w:ind w:firstLine="420" w:firstLineChars="200"/>
        <w:jc w:val="both"/>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 xml:space="preserve">3.供应商认为其竞标响应有正偏离的，请在技术需求偏离表中列明，且在响应文件中提供竞标产品的彩页或国家认可有资质的第三方检测机构出具的检测报告复印件或产品生产厂家出具的技术参数说明证明作为佐证，以上佐证材料均需加盖供应商公章。 </w:t>
      </w:r>
    </w:p>
    <w:p w14:paraId="0E2A78F9">
      <w:pPr>
        <w:pStyle w:val="14"/>
        <w:spacing w:line="360" w:lineRule="auto"/>
        <w:ind w:firstLine="420" w:firstLineChars="200"/>
        <w:jc w:val="left"/>
        <w:rPr>
          <w:rFonts w:hint="eastAsia" w:ascii="宋体" w:hAnsi="宋体" w:eastAsia="宋体" w:cs="宋体"/>
          <w:bCs/>
          <w:color w:val="auto"/>
          <w:sz w:val="40"/>
          <w:szCs w:val="40"/>
          <w:highlight w:val="none"/>
        </w:rPr>
      </w:pPr>
      <w:r>
        <w:rPr>
          <w:rFonts w:hint="eastAsia" w:asciiTheme="minorEastAsia" w:hAnsiTheme="minorEastAsia" w:eastAsiaTheme="minorEastAsia" w:cstheme="minorEastAsia"/>
          <w:color w:val="auto"/>
          <w:kern w:val="2"/>
          <w:sz w:val="21"/>
          <w:szCs w:val="21"/>
          <w:highlight w:val="none"/>
          <w:lang w:val="en-US" w:eastAsia="zh-CN"/>
        </w:rPr>
        <w:t>4.如技术要求偏离表中的竞标响应与佐证材料不一致的，以佐证材料为准。</w:t>
      </w:r>
      <w:r>
        <w:rPr>
          <w:rFonts w:hint="eastAsia" w:ascii="宋体" w:hAnsi="宋体" w:eastAsia="宋体" w:cs="宋体"/>
          <w:bCs/>
          <w:color w:val="auto"/>
          <w:sz w:val="40"/>
          <w:szCs w:val="40"/>
          <w:highlight w:val="none"/>
          <w:lang w:val="en-US" w:eastAsia="zh-CN"/>
        </w:rPr>
        <w:t xml:space="preserve"> </w:t>
      </w:r>
    </w:p>
    <w:p w14:paraId="75DF9AD4">
      <w:pPr>
        <w:pStyle w:val="2"/>
        <w:rPr>
          <w:rFonts w:hint="eastAsia" w:ascii="宋体" w:hAnsi="宋体" w:eastAsia="宋体" w:cs="宋体"/>
          <w:bCs/>
          <w:color w:val="auto"/>
          <w:sz w:val="40"/>
          <w:szCs w:val="40"/>
          <w:highlight w:val="none"/>
        </w:rPr>
      </w:pPr>
    </w:p>
    <w:p w14:paraId="25B3D206">
      <w:pPr>
        <w:pStyle w:val="14"/>
        <w:spacing w:line="360" w:lineRule="auto"/>
        <w:ind w:firstLine="0" w:firstLineChars="0"/>
        <w:jc w:val="center"/>
        <w:rPr>
          <w:rFonts w:hint="eastAsia" w:asciiTheme="minorEastAsia" w:hAnsiTheme="minorEastAsia" w:eastAsiaTheme="minorEastAsia" w:cstheme="minorEastAsia"/>
          <w:color w:val="auto"/>
          <w:kern w:val="2"/>
          <w:sz w:val="21"/>
          <w:szCs w:val="21"/>
          <w:highlight w:val="none"/>
          <w:lang w:val="en-US" w:eastAsia="zh-CN"/>
        </w:rPr>
      </w:pPr>
    </w:p>
    <w:p w14:paraId="579B1082">
      <w:pPr>
        <w:pStyle w:val="14"/>
        <w:spacing w:line="360" w:lineRule="auto"/>
        <w:ind w:firstLine="0" w:firstLineChars="0"/>
        <w:jc w:val="both"/>
        <w:rPr>
          <w:rFonts w:hint="default" w:asciiTheme="minorEastAsia" w:hAnsiTheme="minorEastAsia" w:eastAsiaTheme="minorEastAsia" w:cstheme="minorEastAsia"/>
          <w:color w:val="auto"/>
          <w:kern w:val="2"/>
          <w:sz w:val="21"/>
          <w:szCs w:val="21"/>
          <w:highlight w:val="none"/>
          <w:u w:val="single"/>
          <w:lang w:val="en-US" w:eastAsia="zh-CN"/>
        </w:rPr>
      </w:pPr>
      <w:r>
        <w:rPr>
          <w:rFonts w:hint="eastAsia" w:asciiTheme="minorEastAsia" w:hAnsiTheme="minorEastAsia" w:eastAsiaTheme="minorEastAsia" w:cstheme="minorEastAsia"/>
          <w:color w:val="auto"/>
          <w:kern w:val="2"/>
          <w:sz w:val="21"/>
          <w:szCs w:val="21"/>
          <w:highlight w:val="none"/>
          <w:lang w:val="en-US" w:eastAsia="zh-CN"/>
        </w:rPr>
        <w:t xml:space="preserve">                 法定代表人或者委托代理人（签字或盖章或电子签名）：</w:t>
      </w:r>
      <w:r>
        <w:rPr>
          <w:rFonts w:hint="eastAsia" w:asciiTheme="minorEastAsia" w:hAnsiTheme="minorEastAsia" w:eastAsiaTheme="minorEastAsia" w:cstheme="minorEastAsia"/>
          <w:color w:val="auto"/>
          <w:kern w:val="2"/>
          <w:sz w:val="21"/>
          <w:szCs w:val="21"/>
          <w:highlight w:val="none"/>
          <w:u w:val="single"/>
          <w:lang w:val="en-US" w:eastAsia="zh-CN"/>
        </w:rPr>
        <w:t xml:space="preserve">                      </w:t>
      </w:r>
    </w:p>
    <w:p w14:paraId="2E1BF07B">
      <w:pPr>
        <w:pStyle w:val="14"/>
        <w:spacing w:line="360" w:lineRule="auto"/>
        <w:ind w:firstLine="0" w:firstLineChars="0"/>
        <w:jc w:val="center"/>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 xml:space="preserve">                 供应商（电子签章）： </w:t>
      </w:r>
      <w:r>
        <w:rPr>
          <w:rFonts w:hint="eastAsia" w:asciiTheme="minorEastAsia" w:hAnsiTheme="minorEastAsia" w:eastAsiaTheme="minorEastAsia" w:cstheme="minorEastAsia"/>
          <w:color w:val="auto"/>
          <w:kern w:val="2"/>
          <w:sz w:val="21"/>
          <w:szCs w:val="21"/>
          <w:highlight w:val="none"/>
          <w:u w:val="single"/>
          <w:lang w:val="en-US" w:eastAsia="zh-CN"/>
        </w:rPr>
        <w:t xml:space="preserve">                 </w:t>
      </w:r>
      <w:r>
        <w:rPr>
          <w:rFonts w:hint="eastAsia" w:asciiTheme="minorEastAsia" w:hAnsiTheme="minorEastAsia" w:eastAsiaTheme="minorEastAsia" w:cstheme="minorEastAsia"/>
          <w:color w:val="auto"/>
          <w:kern w:val="2"/>
          <w:sz w:val="21"/>
          <w:szCs w:val="21"/>
          <w:highlight w:val="none"/>
          <w:lang w:val="en-US" w:eastAsia="zh-CN"/>
        </w:rPr>
        <w:t xml:space="preserve">     </w:t>
      </w:r>
    </w:p>
    <w:p w14:paraId="354EFBE3">
      <w:pPr>
        <w:pStyle w:val="14"/>
        <w:spacing w:line="360" w:lineRule="auto"/>
        <w:ind w:firstLine="0" w:firstLineChars="0"/>
        <w:jc w:val="center"/>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val="en-US" w:eastAsia="zh-CN"/>
        </w:rPr>
        <w:t xml:space="preserve">                                              </w:t>
      </w:r>
      <w:r>
        <w:rPr>
          <w:rFonts w:hint="eastAsia" w:ascii="宋体" w:hAnsi="宋体" w:eastAsia="宋体" w:cs="宋体"/>
          <w:color w:val="auto"/>
          <w:sz w:val="21"/>
          <w:szCs w:val="21"/>
          <w:highlight w:val="none"/>
        </w:rPr>
        <w:t>日期：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319D8AF8">
      <w:pPr>
        <w:pStyle w:val="26"/>
        <w:rPr>
          <w:rFonts w:hint="eastAsia"/>
        </w:rPr>
      </w:pPr>
    </w:p>
    <w:p w14:paraId="4307D635">
      <w:pPr>
        <w:pStyle w:val="26"/>
        <w:rPr>
          <w:rFonts w:hint="eastAsia"/>
        </w:rPr>
      </w:pPr>
    </w:p>
    <w:p w14:paraId="093BF9A6">
      <w:pPr>
        <w:pStyle w:val="26"/>
        <w:rPr>
          <w:rFonts w:hint="eastAsia"/>
        </w:rPr>
      </w:pPr>
    </w:p>
    <w:p w14:paraId="65422B46">
      <w:pPr>
        <w:pStyle w:val="26"/>
        <w:rPr>
          <w:rFonts w:hint="eastAsia"/>
        </w:rPr>
      </w:pPr>
    </w:p>
    <w:p w14:paraId="02A1C001">
      <w:pPr>
        <w:pStyle w:val="26"/>
        <w:rPr>
          <w:rFonts w:hint="eastAsia"/>
        </w:rPr>
      </w:pPr>
    </w:p>
    <w:p w14:paraId="23805FD9">
      <w:pPr>
        <w:pStyle w:val="26"/>
        <w:ind w:left="0" w:leftChars="0" w:firstLine="0" w:firstLineChars="0"/>
        <w:rPr>
          <w:rFonts w:hint="eastAsia"/>
        </w:rPr>
      </w:pPr>
    </w:p>
    <w:p w14:paraId="127E2B19">
      <w:pPr>
        <w:pStyle w:val="26"/>
        <w:rPr>
          <w:rFonts w:hint="eastAsia"/>
        </w:rPr>
      </w:pPr>
    </w:p>
    <w:p w14:paraId="008341CE">
      <w:pPr>
        <w:jc w:val="center"/>
        <w:rPr>
          <w:rFonts w:hint="eastAsia" w:ascii="宋体" w:hAnsi="宋体" w:eastAsia="宋体" w:cs="宋体"/>
          <w:b/>
          <w:color w:val="auto"/>
          <w:sz w:val="28"/>
          <w:lang w:val="en-US" w:eastAsia="zh-CN"/>
        </w:rPr>
      </w:pPr>
      <w:r>
        <w:rPr>
          <w:rFonts w:hint="eastAsia" w:ascii="宋体" w:hAnsi="宋体" w:eastAsia="宋体" w:cs="宋体"/>
          <w:b/>
          <w:color w:val="auto"/>
          <w:sz w:val="28"/>
          <w:lang w:val="en-US" w:eastAsia="zh-CN"/>
        </w:rPr>
        <w:t>施工组织实施方案；</w:t>
      </w:r>
      <w:r>
        <w:rPr>
          <w:rFonts w:hint="eastAsia" w:ascii="宋体" w:hAnsi="宋体" w:eastAsia="宋体" w:cs="宋体"/>
          <w:b/>
          <w:color w:val="auto"/>
          <w:sz w:val="28"/>
          <w:lang w:eastAsia="zh-CN"/>
        </w:rPr>
        <w:t>（</w:t>
      </w:r>
      <w:r>
        <w:rPr>
          <w:rFonts w:hint="eastAsia" w:ascii="宋体" w:hAnsi="宋体" w:eastAsia="宋体" w:cs="宋体"/>
          <w:b/>
          <w:color w:val="auto"/>
          <w:sz w:val="28"/>
          <w:lang w:val="en-US" w:eastAsia="zh-CN"/>
        </w:rPr>
        <w:t>格式自拟</w:t>
      </w:r>
      <w:r>
        <w:rPr>
          <w:rFonts w:hint="eastAsia" w:ascii="宋体" w:hAnsi="宋体" w:eastAsia="宋体" w:cs="宋体"/>
          <w:b/>
          <w:color w:val="auto"/>
          <w:sz w:val="28"/>
          <w:lang w:eastAsia="zh-CN"/>
        </w:rPr>
        <w:t>）</w:t>
      </w:r>
    </w:p>
    <w:p w14:paraId="40D55285">
      <w:pPr>
        <w:jc w:val="center"/>
        <w:rPr>
          <w:rFonts w:hint="eastAsia" w:ascii="宋体" w:hAnsi="宋体" w:eastAsia="宋体" w:cs="宋体"/>
          <w:b/>
          <w:color w:val="auto"/>
          <w:sz w:val="28"/>
          <w:lang w:val="en-US" w:eastAsia="zh-CN"/>
        </w:rPr>
      </w:pPr>
      <w:r>
        <w:rPr>
          <w:rFonts w:hint="eastAsia" w:ascii="宋体" w:hAnsi="宋体" w:eastAsia="宋体" w:cs="宋体"/>
          <w:b/>
          <w:color w:val="auto"/>
          <w:sz w:val="28"/>
          <w:lang w:val="en-US" w:eastAsia="zh-CN"/>
        </w:rPr>
        <w:t>调试、检测及竣工验收方案；</w:t>
      </w:r>
      <w:r>
        <w:rPr>
          <w:rFonts w:hint="eastAsia" w:ascii="宋体" w:hAnsi="宋体" w:eastAsia="宋体" w:cs="宋体"/>
          <w:b/>
          <w:color w:val="auto"/>
          <w:sz w:val="28"/>
          <w:lang w:eastAsia="zh-CN"/>
        </w:rPr>
        <w:t>（</w:t>
      </w:r>
      <w:r>
        <w:rPr>
          <w:rFonts w:hint="eastAsia" w:ascii="宋体" w:hAnsi="宋体" w:eastAsia="宋体" w:cs="宋体"/>
          <w:b/>
          <w:color w:val="auto"/>
          <w:sz w:val="28"/>
          <w:lang w:val="en-US" w:eastAsia="zh-CN"/>
        </w:rPr>
        <w:t>格式自拟</w:t>
      </w:r>
      <w:r>
        <w:rPr>
          <w:rFonts w:hint="eastAsia" w:ascii="宋体" w:hAnsi="宋体" w:eastAsia="宋体" w:cs="宋体"/>
          <w:b/>
          <w:color w:val="auto"/>
          <w:sz w:val="28"/>
          <w:lang w:eastAsia="zh-CN"/>
        </w:rPr>
        <w:t>）</w:t>
      </w:r>
    </w:p>
    <w:p w14:paraId="1E9E00DA">
      <w:pPr>
        <w:jc w:val="center"/>
        <w:outlineLvl w:val="9"/>
        <w:rPr>
          <w:rFonts w:hint="eastAsia" w:ascii="宋体" w:hAnsi="宋体" w:eastAsia="宋体" w:cs="宋体"/>
          <w:b/>
          <w:bCs/>
          <w:color w:val="auto"/>
          <w:kern w:val="0"/>
          <w:sz w:val="32"/>
          <w:szCs w:val="32"/>
        </w:rPr>
      </w:pPr>
    </w:p>
    <w:p w14:paraId="38BBE179">
      <w:pPr>
        <w:jc w:val="center"/>
        <w:outlineLvl w:val="9"/>
        <w:rPr>
          <w:rFonts w:hint="eastAsia" w:ascii="宋体" w:hAnsi="宋体" w:eastAsia="宋体" w:cs="宋体"/>
          <w:b/>
          <w:bCs/>
          <w:color w:val="auto"/>
          <w:kern w:val="0"/>
          <w:sz w:val="32"/>
          <w:szCs w:val="32"/>
        </w:rPr>
      </w:pPr>
    </w:p>
    <w:p w14:paraId="622AF985">
      <w:pPr>
        <w:jc w:val="center"/>
        <w:outlineLvl w:val="9"/>
        <w:rPr>
          <w:rFonts w:hint="eastAsia" w:ascii="宋体" w:hAnsi="宋体" w:eastAsia="宋体" w:cs="宋体"/>
          <w:b/>
          <w:bCs/>
          <w:color w:val="auto"/>
          <w:kern w:val="0"/>
          <w:sz w:val="32"/>
          <w:szCs w:val="32"/>
        </w:rPr>
      </w:pPr>
    </w:p>
    <w:p w14:paraId="0C53745F">
      <w:pPr>
        <w:jc w:val="center"/>
        <w:outlineLvl w:val="9"/>
        <w:rPr>
          <w:rFonts w:hint="eastAsia" w:ascii="宋体" w:hAnsi="宋体" w:eastAsia="宋体" w:cs="宋体"/>
          <w:b/>
          <w:bCs/>
          <w:color w:val="auto"/>
          <w:kern w:val="0"/>
          <w:sz w:val="32"/>
          <w:szCs w:val="32"/>
        </w:rPr>
      </w:pPr>
    </w:p>
    <w:p w14:paraId="0D23D3A9">
      <w:pPr>
        <w:pStyle w:val="35"/>
        <w:rPr>
          <w:rFonts w:hint="eastAsia"/>
          <w:color w:val="auto"/>
        </w:rPr>
      </w:pPr>
    </w:p>
    <w:p w14:paraId="434E0C5A">
      <w:pPr>
        <w:jc w:val="center"/>
        <w:outlineLvl w:val="0"/>
        <w:rPr>
          <w:rFonts w:hint="eastAsia" w:ascii="宋体" w:hAnsi="宋体" w:eastAsia="宋体" w:cs="宋体"/>
          <w:b/>
          <w:bCs/>
          <w:color w:val="auto"/>
          <w:kern w:val="0"/>
          <w:sz w:val="32"/>
          <w:szCs w:val="32"/>
        </w:rPr>
      </w:pPr>
      <w:bookmarkStart w:id="215" w:name="_Toc25457"/>
    </w:p>
    <w:p w14:paraId="689206E7">
      <w:pPr>
        <w:jc w:val="center"/>
        <w:outlineLvl w:val="0"/>
        <w:rPr>
          <w:rFonts w:hint="eastAsia" w:ascii="宋体" w:hAnsi="宋体" w:eastAsia="宋体" w:cs="宋体"/>
          <w:b/>
          <w:bCs/>
          <w:color w:val="auto"/>
          <w:kern w:val="0"/>
          <w:sz w:val="32"/>
          <w:szCs w:val="32"/>
        </w:rPr>
      </w:pPr>
    </w:p>
    <w:p w14:paraId="3818CC08">
      <w:pPr>
        <w:jc w:val="center"/>
        <w:outlineLvl w:val="0"/>
        <w:rPr>
          <w:rFonts w:hint="eastAsia" w:ascii="宋体" w:hAnsi="宋体" w:eastAsia="宋体" w:cs="宋体"/>
          <w:b/>
          <w:bCs/>
          <w:color w:val="auto"/>
          <w:kern w:val="0"/>
          <w:sz w:val="32"/>
          <w:szCs w:val="32"/>
        </w:rPr>
      </w:pPr>
    </w:p>
    <w:p w14:paraId="5EB12585">
      <w:pPr>
        <w:jc w:val="center"/>
        <w:outlineLvl w:val="0"/>
        <w:rPr>
          <w:rFonts w:hint="eastAsia" w:ascii="宋体" w:hAnsi="宋体" w:eastAsia="宋体" w:cs="宋体"/>
          <w:b/>
          <w:bCs/>
          <w:color w:val="auto"/>
          <w:kern w:val="0"/>
          <w:sz w:val="32"/>
          <w:szCs w:val="32"/>
        </w:rPr>
      </w:pPr>
      <w:bookmarkStart w:id="216" w:name="_Toc2654"/>
    </w:p>
    <w:p w14:paraId="20296F31">
      <w:pPr>
        <w:jc w:val="center"/>
        <w:outlineLvl w:val="0"/>
        <w:rPr>
          <w:rFonts w:hint="eastAsia" w:ascii="宋体" w:hAnsi="宋体" w:eastAsia="宋体" w:cs="宋体"/>
          <w:b/>
          <w:bCs/>
          <w:color w:val="auto"/>
          <w:kern w:val="0"/>
          <w:sz w:val="32"/>
          <w:szCs w:val="32"/>
        </w:rPr>
      </w:pPr>
    </w:p>
    <w:p w14:paraId="3324431B">
      <w:pPr>
        <w:jc w:val="center"/>
        <w:outlineLvl w:val="0"/>
        <w:rPr>
          <w:rFonts w:hint="eastAsia" w:ascii="宋体" w:hAnsi="宋体" w:eastAsia="宋体" w:cs="宋体"/>
          <w:b/>
          <w:bCs/>
          <w:color w:val="auto"/>
          <w:kern w:val="0"/>
          <w:sz w:val="32"/>
          <w:szCs w:val="32"/>
        </w:rPr>
      </w:pPr>
    </w:p>
    <w:p w14:paraId="7E1E5756">
      <w:pPr>
        <w:jc w:val="center"/>
        <w:outlineLvl w:val="0"/>
        <w:rPr>
          <w:rFonts w:hint="eastAsia" w:ascii="宋体" w:hAnsi="宋体" w:eastAsia="宋体" w:cs="宋体"/>
          <w:b/>
          <w:bCs/>
          <w:color w:val="auto"/>
          <w:kern w:val="0"/>
          <w:sz w:val="32"/>
          <w:szCs w:val="32"/>
        </w:rPr>
      </w:pPr>
    </w:p>
    <w:p w14:paraId="11545209">
      <w:pPr>
        <w:jc w:val="center"/>
        <w:outlineLvl w:val="0"/>
        <w:rPr>
          <w:rFonts w:hint="eastAsia" w:ascii="宋体" w:hAnsi="宋体" w:eastAsia="宋体" w:cs="宋体"/>
          <w:b/>
          <w:bCs/>
          <w:color w:val="auto"/>
          <w:kern w:val="0"/>
          <w:sz w:val="32"/>
          <w:szCs w:val="32"/>
        </w:rPr>
      </w:pPr>
    </w:p>
    <w:p w14:paraId="7BBCB621">
      <w:pPr>
        <w:jc w:val="center"/>
        <w:outlineLvl w:val="0"/>
        <w:rPr>
          <w:rFonts w:hint="eastAsia" w:ascii="宋体" w:hAnsi="宋体" w:eastAsia="宋体" w:cs="宋体"/>
          <w:b/>
          <w:bCs/>
          <w:color w:val="auto"/>
          <w:kern w:val="0"/>
          <w:sz w:val="32"/>
          <w:szCs w:val="32"/>
        </w:rPr>
      </w:pPr>
    </w:p>
    <w:p w14:paraId="4D6F17E2">
      <w:pPr>
        <w:jc w:val="center"/>
        <w:outlineLvl w:val="0"/>
        <w:rPr>
          <w:rFonts w:hint="eastAsia" w:ascii="宋体" w:hAnsi="宋体" w:eastAsia="宋体" w:cs="宋体"/>
          <w:b/>
          <w:bCs/>
          <w:color w:val="auto"/>
          <w:kern w:val="0"/>
          <w:sz w:val="32"/>
          <w:szCs w:val="32"/>
        </w:rPr>
      </w:pPr>
    </w:p>
    <w:p w14:paraId="2E31E218">
      <w:pPr>
        <w:jc w:val="center"/>
        <w:outlineLvl w:val="0"/>
        <w:rPr>
          <w:rFonts w:hint="eastAsia" w:ascii="宋体" w:hAnsi="宋体" w:eastAsia="宋体" w:cs="宋体"/>
          <w:b/>
          <w:bCs/>
          <w:color w:val="auto"/>
          <w:kern w:val="0"/>
          <w:sz w:val="32"/>
          <w:szCs w:val="32"/>
        </w:rPr>
      </w:pPr>
    </w:p>
    <w:p w14:paraId="249A1145">
      <w:pPr>
        <w:jc w:val="center"/>
        <w:outlineLvl w:val="0"/>
        <w:rPr>
          <w:rFonts w:hint="eastAsia" w:ascii="宋体" w:hAnsi="宋体" w:eastAsia="宋体" w:cs="宋体"/>
          <w:b/>
          <w:bCs/>
          <w:color w:val="auto"/>
          <w:kern w:val="0"/>
          <w:sz w:val="32"/>
          <w:szCs w:val="32"/>
        </w:rPr>
      </w:pPr>
    </w:p>
    <w:p w14:paraId="15061C8A">
      <w:pPr>
        <w:jc w:val="center"/>
        <w:outlineLvl w:val="0"/>
        <w:rPr>
          <w:rFonts w:hint="eastAsia" w:ascii="宋体" w:hAnsi="宋体" w:eastAsia="宋体" w:cs="宋体"/>
          <w:b/>
          <w:bCs/>
          <w:color w:val="auto"/>
          <w:kern w:val="0"/>
          <w:sz w:val="32"/>
          <w:szCs w:val="32"/>
        </w:rPr>
      </w:pPr>
    </w:p>
    <w:p w14:paraId="2FD36767">
      <w:pPr>
        <w:pStyle w:val="26"/>
        <w:rPr>
          <w:rFonts w:hint="eastAsia" w:ascii="宋体" w:hAnsi="宋体" w:eastAsia="宋体" w:cs="宋体"/>
          <w:b/>
          <w:bCs/>
          <w:color w:val="auto"/>
          <w:kern w:val="0"/>
          <w:sz w:val="32"/>
          <w:szCs w:val="32"/>
        </w:rPr>
      </w:pPr>
    </w:p>
    <w:p w14:paraId="00B8399E">
      <w:pPr>
        <w:pStyle w:val="26"/>
        <w:rPr>
          <w:rFonts w:hint="eastAsia" w:ascii="宋体" w:hAnsi="宋体" w:eastAsia="宋体" w:cs="宋体"/>
          <w:b/>
          <w:bCs/>
          <w:color w:val="auto"/>
          <w:kern w:val="0"/>
          <w:sz w:val="32"/>
          <w:szCs w:val="32"/>
        </w:rPr>
      </w:pPr>
    </w:p>
    <w:bookmarkEnd w:id="124"/>
    <w:bookmarkEnd w:id="215"/>
    <w:bookmarkEnd w:id="216"/>
    <w:p w14:paraId="0C85552A">
      <w:pPr>
        <w:jc w:val="center"/>
        <w:rPr>
          <w:rFonts w:hint="eastAsia" w:ascii="宋体" w:hAnsi="宋体" w:eastAsia="宋体" w:cs="宋体"/>
          <w:b/>
          <w:color w:val="auto"/>
          <w:sz w:val="28"/>
        </w:rPr>
      </w:pPr>
      <w:r>
        <w:rPr>
          <w:rFonts w:hint="eastAsia" w:ascii="宋体" w:hAnsi="宋体" w:eastAsia="宋体" w:cs="宋体"/>
          <w:b/>
          <w:color w:val="auto"/>
          <w:sz w:val="28"/>
        </w:rPr>
        <w:t>项目管理机构配备情况表</w:t>
      </w:r>
    </w:p>
    <w:p w14:paraId="342D926D">
      <w:pPr>
        <w:spacing w:line="600" w:lineRule="exact"/>
        <w:rPr>
          <w:rFonts w:hint="eastAsia" w:ascii="宋体" w:hAnsi="宋体" w:eastAsia="宋体" w:cs="宋体"/>
          <w:b/>
          <w:color w:val="auto"/>
          <w:sz w:val="24"/>
        </w:rPr>
      </w:pPr>
      <w:r>
        <w:rPr>
          <w:rFonts w:hint="eastAsia" w:ascii="宋体" w:hAnsi="宋体" w:eastAsia="宋体" w:cs="宋体"/>
          <w:color w:val="auto"/>
          <w:spacing w:val="20"/>
          <w:kern w:val="0"/>
          <w:sz w:val="24"/>
          <w:u w:val="single"/>
        </w:rPr>
        <w:t xml:space="preserve">       （项目名称）      </w:t>
      </w:r>
      <w:r>
        <w:rPr>
          <w:rFonts w:hint="eastAsia" w:ascii="宋体" w:hAnsi="宋体" w:eastAsia="宋体" w:cs="宋体"/>
          <w:color w:val="auto"/>
          <w:spacing w:val="20"/>
          <w:kern w:val="0"/>
          <w:sz w:val="24"/>
        </w:rPr>
        <w:t xml:space="preserve">工程    </w:t>
      </w:r>
      <w:r>
        <w:rPr>
          <w:rFonts w:hint="eastAsia" w:ascii="宋体" w:hAnsi="宋体" w:eastAsia="宋体" w:cs="宋体"/>
          <w:color w:val="auto"/>
          <w:sz w:val="24"/>
        </w:rPr>
        <w:t xml:space="preserve">                </w:t>
      </w:r>
    </w:p>
    <w:tbl>
      <w:tblPr>
        <w:tblStyle w:val="28"/>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
        <w:gridCol w:w="928"/>
        <w:gridCol w:w="928"/>
        <w:gridCol w:w="1041"/>
        <w:gridCol w:w="1041"/>
        <w:gridCol w:w="1041"/>
        <w:gridCol w:w="1041"/>
        <w:gridCol w:w="1170"/>
        <w:gridCol w:w="1170"/>
      </w:tblGrid>
      <w:tr w14:paraId="58B39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28" w:type="dxa"/>
            <w:vMerge w:val="restart"/>
            <w:noWrap w:val="0"/>
            <w:vAlign w:val="center"/>
          </w:tcPr>
          <w:p w14:paraId="0FBA53B8">
            <w:pPr>
              <w:jc w:val="center"/>
              <w:rPr>
                <w:rFonts w:hint="eastAsia" w:ascii="宋体" w:hAnsi="宋体" w:eastAsia="宋体" w:cs="宋体"/>
                <w:b/>
                <w:color w:val="auto"/>
                <w:sz w:val="24"/>
              </w:rPr>
            </w:pPr>
            <w:r>
              <w:rPr>
                <w:rFonts w:hint="eastAsia" w:ascii="宋体" w:hAnsi="宋体" w:eastAsia="宋体" w:cs="宋体"/>
                <w:b/>
                <w:color w:val="auto"/>
                <w:sz w:val="24"/>
              </w:rPr>
              <w:t>职务</w:t>
            </w:r>
          </w:p>
        </w:tc>
        <w:tc>
          <w:tcPr>
            <w:tcW w:w="928" w:type="dxa"/>
            <w:vMerge w:val="restart"/>
            <w:noWrap w:val="0"/>
            <w:vAlign w:val="center"/>
          </w:tcPr>
          <w:p w14:paraId="1A9AEAF1">
            <w:pPr>
              <w:jc w:val="center"/>
              <w:rPr>
                <w:rFonts w:hint="eastAsia" w:ascii="宋体" w:hAnsi="宋体" w:eastAsia="宋体" w:cs="宋体"/>
                <w:b/>
                <w:color w:val="auto"/>
                <w:sz w:val="24"/>
              </w:rPr>
            </w:pPr>
            <w:r>
              <w:rPr>
                <w:rFonts w:hint="eastAsia" w:ascii="宋体" w:hAnsi="宋体" w:eastAsia="宋体" w:cs="宋体"/>
                <w:b/>
                <w:color w:val="auto"/>
                <w:sz w:val="24"/>
              </w:rPr>
              <w:t>姓名</w:t>
            </w:r>
          </w:p>
        </w:tc>
        <w:tc>
          <w:tcPr>
            <w:tcW w:w="928" w:type="dxa"/>
            <w:vMerge w:val="restart"/>
            <w:noWrap w:val="0"/>
            <w:vAlign w:val="center"/>
          </w:tcPr>
          <w:p w14:paraId="76CA2B2E">
            <w:pPr>
              <w:jc w:val="center"/>
              <w:rPr>
                <w:rFonts w:hint="eastAsia" w:ascii="宋体" w:hAnsi="宋体" w:eastAsia="宋体" w:cs="宋体"/>
                <w:b/>
                <w:color w:val="auto"/>
                <w:sz w:val="24"/>
              </w:rPr>
            </w:pPr>
            <w:r>
              <w:rPr>
                <w:rFonts w:hint="eastAsia" w:ascii="宋体" w:hAnsi="宋体" w:eastAsia="宋体" w:cs="宋体"/>
                <w:b/>
                <w:color w:val="auto"/>
                <w:sz w:val="24"/>
              </w:rPr>
              <w:t>职称</w:t>
            </w:r>
          </w:p>
        </w:tc>
        <w:tc>
          <w:tcPr>
            <w:tcW w:w="4164" w:type="dxa"/>
            <w:gridSpan w:val="4"/>
            <w:noWrap w:val="0"/>
            <w:vAlign w:val="center"/>
          </w:tcPr>
          <w:p w14:paraId="19EEBB09">
            <w:pPr>
              <w:jc w:val="center"/>
              <w:rPr>
                <w:rFonts w:hint="eastAsia" w:ascii="宋体" w:hAnsi="宋体" w:eastAsia="宋体" w:cs="宋体"/>
                <w:b/>
                <w:color w:val="auto"/>
                <w:sz w:val="24"/>
              </w:rPr>
            </w:pPr>
            <w:r>
              <w:rPr>
                <w:rFonts w:hint="eastAsia" w:ascii="宋体" w:hAnsi="宋体" w:eastAsia="宋体" w:cs="宋体"/>
                <w:b/>
                <w:color w:val="auto"/>
                <w:sz w:val="24"/>
              </w:rPr>
              <w:t>执业或职业资格证明</w:t>
            </w:r>
          </w:p>
        </w:tc>
        <w:tc>
          <w:tcPr>
            <w:tcW w:w="2340" w:type="dxa"/>
            <w:gridSpan w:val="2"/>
            <w:noWrap w:val="0"/>
            <w:vAlign w:val="center"/>
          </w:tcPr>
          <w:p w14:paraId="7322BB5E">
            <w:pPr>
              <w:jc w:val="center"/>
              <w:rPr>
                <w:rFonts w:hint="eastAsia" w:ascii="宋体" w:hAnsi="宋体" w:eastAsia="宋体" w:cs="宋体"/>
                <w:b/>
                <w:color w:val="auto"/>
                <w:sz w:val="24"/>
              </w:rPr>
            </w:pPr>
            <w:r>
              <w:rPr>
                <w:rFonts w:hint="eastAsia" w:ascii="宋体" w:hAnsi="宋体" w:eastAsia="宋体" w:cs="宋体"/>
                <w:b/>
                <w:color w:val="auto"/>
                <w:sz w:val="24"/>
              </w:rPr>
              <w:t>已承担在建</w:t>
            </w:r>
          </w:p>
          <w:p w14:paraId="2660FDD1">
            <w:pPr>
              <w:jc w:val="center"/>
              <w:rPr>
                <w:rFonts w:hint="eastAsia" w:ascii="宋体" w:hAnsi="宋体" w:eastAsia="宋体" w:cs="宋体"/>
                <w:b/>
                <w:color w:val="auto"/>
                <w:sz w:val="24"/>
              </w:rPr>
            </w:pPr>
            <w:r>
              <w:rPr>
                <w:rFonts w:hint="eastAsia" w:ascii="宋体" w:hAnsi="宋体" w:eastAsia="宋体" w:cs="宋体"/>
                <w:b/>
                <w:color w:val="auto"/>
                <w:sz w:val="24"/>
              </w:rPr>
              <w:t>工程情况</w:t>
            </w:r>
          </w:p>
        </w:tc>
      </w:tr>
      <w:tr w14:paraId="55374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28" w:type="dxa"/>
            <w:vMerge w:val="continue"/>
            <w:noWrap w:val="0"/>
            <w:vAlign w:val="center"/>
          </w:tcPr>
          <w:p w14:paraId="25220524">
            <w:pPr>
              <w:rPr>
                <w:rFonts w:hint="eastAsia" w:ascii="宋体" w:hAnsi="宋体" w:eastAsia="宋体" w:cs="宋体"/>
                <w:color w:val="auto"/>
              </w:rPr>
            </w:pPr>
          </w:p>
        </w:tc>
        <w:tc>
          <w:tcPr>
            <w:tcW w:w="928" w:type="dxa"/>
            <w:vMerge w:val="continue"/>
            <w:noWrap w:val="0"/>
            <w:vAlign w:val="center"/>
          </w:tcPr>
          <w:p w14:paraId="0D8E09C9">
            <w:pPr>
              <w:rPr>
                <w:rFonts w:hint="eastAsia" w:ascii="宋体" w:hAnsi="宋体" w:eastAsia="宋体" w:cs="宋体"/>
                <w:color w:val="auto"/>
              </w:rPr>
            </w:pPr>
          </w:p>
        </w:tc>
        <w:tc>
          <w:tcPr>
            <w:tcW w:w="928" w:type="dxa"/>
            <w:vMerge w:val="continue"/>
            <w:noWrap w:val="0"/>
            <w:vAlign w:val="center"/>
          </w:tcPr>
          <w:p w14:paraId="411D1A8E">
            <w:pPr>
              <w:rPr>
                <w:rFonts w:hint="eastAsia" w:ascii="宋体" w:hAnsi="宋体" w:eastAsia="宋体" w:cs="宋体"/>
                <w:color w:val="auto"/>
              </w:rPr>
            </w:pPr>
          </w:p>
        </w:tc>
        <w:tc>
          <w:tcPr>
            <w:tcW w:w="1041" w:type="dxa"/>
            <w:noWrap w:val="0"/>
            <w:vAlign w:val="center"/>
          </w:tcPr>
          <w:p w14:paraId="4F21C280">
            <w:pPr>
              <w:jc w:val="center"/>
              <w:rPr>
                <w:rFonts w:hint="eastAsia" w:ascii="宋体" w:hAnsi="宋体" w:eastAsia="宋体" w:cs="宋体"/>
                <w:b/>
                <w:color w:val="auto"/>
                <w:sz w:val="24"/>
              </w:rPr>
            </w:pPr>
            <w:r>
              <w:rPr>
                <w:rFonts w:hint="eastAsia" w:ascii="宋体" w:hAnsi="宋体" w:eastAsia="宋体" w:cs="宋体"/>
                <w:b/>
                <w:color w:val="auto"/>
                <w:sz w:val="24"/>
              </w:rPr>
              <w:t>证书</w:t>
            </w:r>
          </w:p>
          <w:p w14:paraId="099A6875">
            <w:pPr>
              <w:jc w:val="center"/>
              <w:rPr>
                <w:rFonts w:hint="eastAsia" w:ascii="宋体" w:hAnsi="宋体" w:eastAsia="宋体" w:cs="宋体"/>
                <w:b/>
                <w:color w:val="auto"/>
                <w:sz w:val="24"/>
              </w:rPr>
            </w:pPr>
            <w:r>
              <w:rPr>
                <w:rFonts w:hint="eastAsia" w:ascii="宋体" w:hAnsi="宋体" w:eastAsia="宋体" w:cs="宋体"/>
                <w:b/>
                <w:color w:val="auto"/>
                <w:sz w:val="24"/>
              </w:rPr>
              <w:t>名称</w:t>
            </w:r>
          </w:p>
        </w:tc>
        <w:tc>
          <w:tcPr>
            <w:tcW w:w="1041" w:type="dxa"/>
            <w:noWrap w:val="0"/>
            <w:vAlign w:val="center"/>
          </w:tcPr>
          <w:p w14:paraId="59A187E3">
            <w:pPr>
              <w:jc w:val="center"/>
              <w:rPr>
                <w:rFonts w:hint="eastAsia" w:ascii="宋体" w:hAnsi="宋体" w:eastAsia="宋体" w:cs="宋体"/>
                <w:b/>
                <w:color w:val="auto"/>
                <w:sz w:val="24"/>
              </w:rPr>
            </w:pPr>
            <w:r>
              <w:rPr>
                <w:rFonts w:hint="eastAsia" w:ascii="宋体" w:hAnsi="宋体" w:eastAsia="宋体" w:cs="宋体"/>
                <w:b/>
                <w:color w:val="auto"/>
                <w:sz w:val="24"/>
              </w:rPr>
              <w:t>级别</w:t>
            </w:r>
          </w:p>
        </w:tc>
        <w:tc>
          <w:tcPr>
            <w:tcW w:w="1041" w:type="dxa"/>
            <w:noWrap w:val="0"/>
            <w:vAlign w:val="center"/>
          </w:tcPr>
          <w:p w14:paraId="56218016">
            <w:pPr>
              <w:jc w:val="center"/>
              <w:rPr>
                <w:rFonts w:hint="eastAsia" w:ascii="宋体" w:hAnsi="宋体" w:eastAsia="宋体" w:cs="宋体"/>
                <w:b/>
                <w:color w:val="auto"/>
                <w:sz w:val="24"/>
              </w:rPr>
            </w:pPr>
            <w:r>
              <w:rPr>
                <w:rFonts w:hint="eastAsia" w:ascii="宋体" w:hAnsi="宋体" w:eastAsia="宋体" w:cs="宋体"/>
                <w:b/>
                <w:color w:val="auto"/>
                <w:sz w:val="24"/>
              </w:rPr>
              <w:t>证号</w:t>
            </w:r>
          </w:p>
        </w:tc>
        <w:tc>
          <w:tcPr>
            <w:tcW w:w="1041" w:type="dxa"/>
            <w:noWrap w:val="0"/>
            <w:vAlign w:val="center"/>
          </w:tcPr>
          <w:p w14:paraId="61ADFF79">
            <w:pPr>
              <w:jc w:val="center"/>
              <w:rPr>
                <w:rFonts w:hint="eastAsia" w:ascii="宋体" w:hAnsi="宋体" w:eastAsia="宋体" w:cs="宋体"/>
                <w:b/>
                <w:color w:val="auto"/>
                <w:sz w:val="24"/>
              </w:rPr>
            </w:pPr>
            <w:r>
              <w:rPr>
                <w:rFonts w:hint="eastAsia" w:ascii="宋体" w:hAnsi="宋体" w:eastAsia="宋体" w:cs="宋体"/>
                <w:b/>
                <w:color w:val="auto"/>
                <w:sz w:val="24"/>
              </w:rPr>
              <w:t>专业</w:t>
            </w:r>
          </w:p>
        </w:tc>
        <w:tc>
          <w:tcPr>
            <w:tcW w:w="1170" w:type="dxa"/>
            <w:noWrap w:val="0"/>
            <w:vAlign w:val="center"/>
          </w:tcPr>
          <w:p w14:paraId="20B323D0">
            <w:pPr>
              <w:jc w:val="center"/>
              <w:rPr>
                <w:rFonts w:hint="eastAsia" w:ascii="宋体" w:hAnsi="宋体" w:eastAsia="宋体" w:cs="宋体"/>
                <w:b/>
                <w:color w:val="auto"/>
                <w:sz w:val="24"/>
              </w:rPr>
            </w:pPr>
            <w:r>
              <w:rPr>
                <w:rFonts w:hint="eastAsia" w:ascii="宋体" w:hAnsi="宋体" w:eastAsia="宋体" w:cs="宋体"/>
                <w:b/>
                <w:color w:val="auto"/>
                <w:sz w:val="24"/>
              </w:rPr>
              <w:t>项目数</w:t>
            </w:r>
          </w:p>
        </w:tc>
        <w:tc>
          <w:tcPr>
            <w:tcW w:w="1170" w:type="dxa"/>
            <w:noWrap w:val="0"/>
            <w:vAlign w:val="center"/>
          </w:tcPr>
          <w:p w14:paraId="34C2916D">
            <w:pPr>
              <w:jc w:val="center"/>
              <w:rPr>
                <w:rFonts w:hint="eastAsia" w:ascii="宋体" w:hAnsi="宋体" w:eastAsia="宋体" w:cs="宋体"/>
                <w:b/>
                <w:color w:val="auto"/>
                <w:sz w:val="24"/>
              </w:rPr>
            </w:pPr>
            <w:r>
              <w:rPr>
                <w:rFonts w:hint="eastAsia" w:ascii="宋体" w:hAnsi="宋体" w:eastAsia="宋体" w:cs="宋体"/>
                <w:b/>
                <w:color w:val="auto"/>
                <w:sz w:val="24"/>
              </w:rPr>
              <w:t>主要项目名称</w:t>
            </w:r>
          </w:p>
        </w:tc>
      </w:tr>
      <w:tr w14:paraId="0D312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8" w:type="dxa"/>
            <w:noWrap w:val="0"/>
            <w:vAlign w:val="center"/>
          </w:tcPr>
          <w:p w14:paraId="44926A9B">
            <w:pPr>
              <w:jc w:val="center"/>
              <w:rPr>
                <w:rFonts w:hint="eastAsia" w:ascii="宋体" w:hAnsi="宋体" w:eastAsia="宋体" w:cs="宋体"/>
                <w:bCs/>
                <w:color w:val="auto"/>
                <w:sz w:val="24"/>
              </w:rPr>
            </w:pPr>
            <w:r>
              <w:rPr>
                <w:rFonts w:hint="eastAsia" w:ascii="宋体" w:hAnsi="宋体" w:eastAsia="宋体" w:cs="宋体"/>
                <w:bCs/>
                <w:color w:val="auto"/>
                <w:sz w:val="24"/>
              </w:rPr>
              <w:t>项目经理</w:t>
            </w:r>
          </w:p>
        </w:tc>
        <w:tc>
          <w:tcPr>
            <w:tcW w:w="928" w:type="dxa"/>
            <w:noWrap w:val="0"/>
            <w:vAlign w:val="center"/>
          </w:tcPr>
          <w:p w14:paraId="22D11581">
            <w:pPr>
              <w:jc w:val="center"/>
              <w:rPr>
                <w:rFonts w:hint="eastAsia" w:ascii="宋体" w:hAnsi="宋体" w:eastAsia="宋体" w:cs="宋体"/>
                <w:b/>
                <w:color w:val="auto"/>
                <w:sz w:val="24"/>
              </w:rPr>
            </w:pPr>
          </w:p>
        </w:tc>
        <w:tc>
          <w:tcPr>
            <w:tcW w:w="928" w:type="dxa"/>
            <w:noWrap w:val="0"/>
            <w:vAlign w:val="center"/>
          </w:tcPr>
          <w:p w14:paraId="522B9614">
            <w:pPr>
              <w:jc w:val="center"/>
              <w:rPr>
                <w:rFonts w:hint="eastAsia" w:ascii="宋体" w:hAnsi="宋体" w:eastAsia="宋体" w:cs="宋体"/>
                <w:b/>
                <w:color w:val="auto"/>
                <w:sz w:val="24"/>
              </w:rPr>
            </w:pPr>
          </w:p>
        </w:tc>
        <w:tc>
          <w:tcPr>
            <w:tcW w:w="1041" w:type="dxa"/>
            <w:noWrap w:val="0"/>
            <w:vAlign w:val="center"/>
          </w:tcPr>
          <w:p w14:paraId="767878AB">
            <w:pPr>
              <w:jc w:val="center"/>
              <w:rPr>
                <w:rFonts w:hint="eastAsia" w:ascii="宋体" w:hAnsi="宋体" w:eastAsia="宋体" w:cs="宋体"/>
                <w:b/>
                <w:color w:val="auto"/>
                <w:sz w:val="24"/>
              </w:rPr>
            </w:pPr>
          </w:p>
        </w:tc>
        <w:tc>
          <w:tcPr>
            <w:tcW w:w="1041" w:type="dxa"/>
            <w:noWrap w:val="0"/>
            <w:vAlign w:val="center"/>
          </w:tcPr>
          <w:p w14:paraId="4352F8A8">
            <w:pPr>
              <w:jc w:val="center"/>
              <w:rPr>
                <w:rFonts w:hint="eastAsia" w:ascii="宋体" w:hAnsi="宋体" w:eastAsia="宋体" w:cs="宋体"/>
                <w:b/>
                <w:color w:val="auto"/>
                <w:sz w:val="24"/>
              </w:rPr>
            </w:pPr>
          </w:p>
        </w:tc>
        <w:tc>
          <w:tcPr>
            <w:tcW w:w="1041" w:type="dxa"/>
            <w:noWrap w:val="0"/>
            <w:vAlign w:val="center"/>
          </w:tcPr>
          <w:p w14:paraId="47463DA1">
            <w:pPr>
              <w:jc w:val="center"/>
              <w:rPr>
                <w:rFonts w:hint="eastAsia" w:ascii="宋体" w:hAnsi="宋体" w:eastAsia="宋体" w:cs="宋体"/>
                <w:b/>
                <w:color w:val="auto"/>
                <w:sz w:val="24"/>
              </w:rPr>
            </w:pPr>
          </w:p>
        </w:tc>
        <w:tc>
          <w:tcPr>
            <w:tcW w:w="1041" w:type="dxa"/>
            <w:noWrap w:val="0"/>
            <w:vAlign w:val="center"/>
          </w:tcPr>
          <w:p w14:paraId="0FE97C3C">
            <w:pPr>
              <w:jc w:val="center"/>
              <w:rPr>
                <w:rFonts w:hint="eastAsia" w:ascii="宋体" w:hAnsi="宋体" w:eastAsia="宋体" w:cs="宋体"/>
                <w:b/>
                <w:color w:val="auto"/>
                <w:sz w:val="24"/>
              </w:rPr>
            </w:pPr>
          </w:p>
        </w:tc>
        <w:tc>
          <w:tcPr>
            <w:tcW w:w="1170" w:type="dxa"/>
            <w:noWrap w:val="0"/>
            <w:vAlign w:val="center"/>
          </w:tcPr>
          <w:p w14:paraId="4686F379">
            <w:pPr>
              <w:jc w:val="center"/>
              <w:rPr>
                <w:rFonts w:hint="eastAsia" w:ascii="宋体" w:hAnsi="宋体" w:eastAsia="宋体" w:cs="宋体"/>
                <w:b/>
                <w:color w:val="auto"/>
                <w:sz w:val="24"/>
              </w:rPr>
            </w:pPr>
          </w:p>
        </w:tc>
        <w:tc>
          <w:tcPr>
            <w:tcW w:w="1170" w:type="dxa"/>
            <w:noWrap w:val="0"/>
            <w:vAlign w:val="center"/>
          </w:tcPr>
          <w:p w14:paraId="0FC4D800">
            <w:pPr>
              <w:jc w:val="center"/>
              <w:rPr>
                <w:rFonts w:hint="eastAsia" w:ascii="宋体" w:hAnsi="宋体" w:eastAsia="宋体" w:cs="宋体"/>
                <w:b/>
                <w:color w:val="auto"/>
                <w:sz w:val="24"/>
              </w:rPr>
            </w:pPr>
          </w:p>
        </w:tc>
      </w:tr>
      <w:tr w14:paraId="366F0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8" w:type="dxa"/>
            <w:noWrap w:val="0"/>
            <w:vAlign w:val="center"/>
          </w:tcPr>
          <w:p w14:paraId="7B9C8B64">
            <w:pPr>
              <w:jc w:val="center"/>
              <w:rPr>
                <w:rFonts w:hint="eastAsia" w:ascii="宋体" w:hAnsi="宋体" w:eastAsia="宋体" w:cs="宋体"/>
                <w:bCs/>
                <w:color w:val="auto"/>
                <w:sz w:val="24"/>
              </w:rPr>
            </w:pPr>
            <w:r>
              <w:rPr>
                <w:rFonts w:hint="eastAsia" w:ascii="宋体" w:hAnsi="宋体" w:cs="宋体"/>
                <w:bCs/>
                <w:color w:val="auto"/>
                <w:sz w:val="24"/>
                <w:lang w:val="en-US" w:eastAsia="zh-CN"/>
              </w:rPr>
              <w:t>...</w:t>
            </w:r>
          </w:p>
        </w:tc>
        <w:tc>
          <w:tcPr>
            <w:tcW w:w="928" w:type="dxa"/>
            <w:noWrap w:val="0"/>
            <w:vAlign w:val="center"/>
          </w:tcPr>
          <w:p w14:paraId="37538BC1">
            <w:pPr>
              <w:jc w:val="center"/>
              <w:rPr>
                <w:rFonts w:hint="eastAsia" w:ascii="宋体" w:hAnsi="宋体" w:eastAsia="宋体" w:cs="宋体"/>
                <w:b/>
                <w:color w:val="auto"/>
                <w:sz w:val="24"/>
              </w:rPr>
            </w:pPr>
          </w:p>
        </w:tc>
        <w:tc>
          <w:tcPr>
            <w:tcW w:w="928" w:type="dxa"/>
            <w:noWrap w:val="0"/>
            <w:vAlign w:val="center"/>
          </w:tcPr>
          <w:p w14:paraId="0164C920">
            <w:pPr>
              <w:jc w:val="center"/>
              <w:rPr>
                <w:rFonts w:hint="eastAsia" w:ascii="宋体" w:hAnsi="宋体" w:eastAsia="宋体" w:cs="宋体"/>
                <w:b/>
                <w:color w:val="auto"/>
                <w:sz w:val="24"/>
              </w:rPr>
            </w:pPr>
          </w:p>
        </w:tc>
        <w:tc>
          <w:tcPr>
            <w:tcW w:w="1041" w:type="dxa"/>
            <w:noWrap w:val="0"/>
            <w:vAlign w:val="center"/>
          </w:tcPr>
          <w:p w14:paraId="4AAFC546">
            <w:pPr>
              <w:jc w:val="center"/>
              <w:rPr>
                <w:rFonts w:hint="eastAsia" w:ascii="宋体" w:hAnsi="宋体" w:eastAsia="宋体" w:cs="宋体"/>
                <w:b/>
                <w:color w:val="auto"/>
                <w:sz w:val="24"/>
              </w:rPr>
            </w:pPr>
          </w:p>
        </w:tc>
        <w:tc>
          <w:tcPr>
            <w:tcW w:w="1041" w:type="dxa"/>
            <w:noWrap w:val="0"/>
            <w:vAlign w:val="center"/>
          </w:tcPr>
          <w:p w14:paraId="346F2237">
            <w:pPr>
              <w:jc w:val="center"/>
              <w:rPr>
                <w:rFonts w:hint="eastAsia" w:ascii="宋体" w:hAnsi="宋体" w:eastAsia="宋体" w:cs="宋体"/>
                <w:b/>
                <w:color w:val="auto"/>
                <w:sz w:val="24"/>
              </w:rPr>
            </w:pPr>
          </w:p>
        </w:tc>
        <w:tc>
          <w:tcPr>
            <w:tcW w:w="1041" w:type="dxa"/>
            <w:noWrap w:val="0"/>
            <w:vAlign w:val="center"/>
          </w:tcPr>
          <w:p w14:paraId="3A2232E7">
            <w:pPr>
              <w:jc w:val="center"/>
              <w:rPr>
                <w:rFonts w:hint="eastAsia" w:ascii="宋体" w:hAnsi="宋体" w:eastAsia="宋体" w:cs="宋体"/>
                <w:b/>
                <w:color w:val="auto"/>
                <w:sz w:val="24"/>
              </w:rPr>
            </w:pPr>
          </w:p>
        </w:tc>
        <w:tc>
          <w:tcPr>
            <w:tcW w:w="1041" w:type="dxa"/>
            <w:noWrap w:val="0"/>
            <w:vAlign w:val="center"/>
          </w:tcPr>
          <w:p w14:paraId="73448F64">
            <w:pPr>
              <w:jc w:val="center"/>
              <w:rPr>
                <w:rFonts w:hint="eastAsia" w:ascii="宋体" w:hAnsi="宋体" w:eastAsia="宋体" w:cs="宋体"/>
                <w:b/>
                <w:color w:val="auto"/>
                <w:sz w:val="24"/>
              </w:rPr>
            </w:pPr>
          </w:p>
        </w:tc>
        <w:tc>
          <w:tcPr>
            <w:tcW w:w="1170" w:type="dxa"/>
            <w:noWrap w:val="0"/>
            <w:vAlign w:val="center"/>
          </w:tcPr>
          <w:p w14:paraId="58AEDB6C">
            <w:pPr>
              <w:jc w:val="center"/>
              <w:rPr>
                <w:rFonts w:hint="eastAsia" w:ascii="宋体" w:hAnsi="宋体" w:eastAsia="宋体" w:cs="宋体"/>
                <w:b/>
                <w:color w:val="auto"/>
                <w:sz w:val="24"/>
              </w:rPr>
            </w:pPr>
          </w:p>
        </w:tc>
        <w:tc>
          <w:tcPr>
            <w:tcW w:w="1170" w:type="dxa"/>
            <w:noWrap w:val="0"/>
            <w:vAlign w:val="center"/>
          </w:tcPr>
          <w:p w14:paraId="4A2FF519">
            <w:pPr>
              <w:jc w:val="center"/>
              <w:rPr>
                <w:rFonts w:hint="eastAsia" w:ascii="宋体" w:hAnsi="宋体" w:eastAsia="宋体" w:cs="宋体"/>
                <w:b/>
                <w:color w:val="auto"/>
                <w:sz w:val="24"/>
              </w:rPr>
            </w:pPr>
          </w:p>
        </w:tc>
      </w:tr>
      <w:tr w14:paraId="2BB57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8" w:type="dxa"/>
            <w:noWrap w:val="0"/>
            <w:vAlign w:val="center"/>
          </w:tcPr>
          <w:p w14:paraId="60FE20F3">
            <w:pPr>
              <w:jc w:val="center"/>
              <w:rPr>
                <w:rFonts w:hint="eastAsia" w:ascii="宋体" w:hAnsi="宋体" w:eastAsia="宋体" w:cs="宋体"/>
                <w:bCs/>
                <w:color w:val="auto"/>
                <w:sz w:val="24"/>
              </w:rPr>
            </w:pPr>
          </w:p>
        </w:tc>
        <w:tc>
          <w:tcPr>
            <w:tcW w:w="928" w:type="dxa"/>
            <w:noWrap w:val="0"/>
            <w:vAlign w:val="center"/>
          </w:tcPr>
          <w:p w14:paraId="1D90EE4D">
            <w:pPr>
              <w:jc w:val="center"/>
              <w:rPr>
                <w:rFonts w:hint="eastAsia" w:ascii="宋体" w:hAnsi="宋体" w:eastAsia="宋体" w:cs="宋体"/>
                <w:b/>
                <w:color w:val="auto"/>
                <w:sz w:val="24"/>
              </w:rPr>
            </w:pPr>
          </w:p>
        </w:tc>
        <w:tc>
          <w:tcPr>
            <w:tcW w:w="928" w:type="dxa"/>
            <w:noWrap w:val="0"/>
            <w:vAlign w:val="center"/>
          </w:tcPr>
          <w:p w14:paraId="46E45954">
            <w:pPr>
              <w:jc w:val="center"/>
              <w:rPr>
                <w:rFonts w:hint="eastAsia" w:ascii="宋体" w:hAnsi="宋体" w:eastAsia="宋体" w:cs="宋体"/>
                <w:b/>
                <w:color w:val="auto"/>
                <w:sz w:val="24"/>
              </w:rPr>
            </w:pPr>
          </w:p>
        </w:tc>
        <w:tc>
          <w:tcPr>
            <w:tcW w:w="1041" w:type="dxa"/>
            <w:noWrap w:val="0"/>
            <w:vAlign w:val="center"/>
          </w:tcPr>
          <w:p w14:paraId="6A80E96B">
            <w:pPr>
              <w:jc w:val="center"/>
              <w:rPr>
                <w:rFonts w:hint="eastAsia" w:ascii="宋体" w:hAnsi="宋体" w:eastAsia="宋体" w:cs="宋体"/>
                <w:b/>
                <w:color w:val="auto"/>
                <w:sz w:val="24"/>
              </w:rPr>
            </w:pPr>
          </w:p>
        </w:tc>
        <w:tc>
          <w:tcPr>
            <w:tcW w:w="1041" w:type="dxa"/>
            <w:noWrap w:val="0"/>
            <w:vAlign w:val="center"/>
          </w:tcPr>
          <w:p w14:paraId="2359378E">
            <w:pPr>
              <w:jc w:val="center"/>
              <w:rPr>
                <w:rFonts w:hint="eastAsia" w:ascii="宋体" w:hAnsi="宋体" w:eastAsia="宋体" w:cs="宋体"/>
                <w:b/>
                <w:color w:val="auto"/>
                <w:sz w:val="24"/>
              </w:rPr>
            </w:pPr>
          </w:p>
        </w:tc>
        <w:tc>
          <w:tcPr>
            <w:tcW w:w="1041" w:type="dxa"/>
            <w:noWrap w:val="0"/>
            <w:vAlign w:val="center"/>
          </w:tcPr>
          <w:p w14:paraId="64AD1979">
            <w:pPr>
              <w:jc w:val="center"/>
              <w:rPr>
                <w:rFonts w:hint="eastAsia" w:ascii="宋体" w:hAnsi="宋体" w:eastAsia="宋体" w:cs="宋体"/>
                <w:b/>
                <w:color w:val="auto"/>
                <w:sz w:val="24"/>
              </w:rPr>
            </w:pPr>
          </w:p>
        </w:tc>
        <w:tc>
          <w:tcPr>
            <w:tcW w:w="1041" w:type="dxa"/>
            <w:noWrap w:val="0"/>
            <w:vAlign w:val="center"/>
          </w:tcPr>
          <w:p w14:paraId="26869FF7">
            <w:pPr>
              <w:jc w:val="center"/>
              <w:rPr>
                <w:rFonts w:hint="eastAsia" w:ascii="宋体" w:hAnsi="宋体" w:eastAsia="宋体" w:cs="宋体"/>
                <w:b/>
                <w:color w:val="auto"/>
                <w:sz w:val="24"/>
              </w:rPr>
            </w:pPr>
          </w:p>
        </w:tc>
        <w:tc>
          <w:tcPr>
            <w:tcW w:w="1170" w:type="dxa"/>
            <w:noWrap w:val="0"/>
            <w:vAlign w:val="center"/>
          </w:tcPr>
          <w:p w14:paraId="5E0B7C15">
            <w:pPr>
              <w:jc w:val="center"/>
              <w:rPr>
                <w:rFonts w:hint="eastAsia" w:ascii="宋体" w:hAnsi="宋体" w:eastAsia="宋体" w:cs="宋体"/>
                <w:b/>
                <w:color w:val="auto"/>
                <w:sz w:val="24"/>
              </w:rPr>
            </w:pPr>
          </w:p>
        </w:tc>
        <w:tc>
          <w:tcPr>
            <w:tcW w:w="1170" w:type="dxa"/>
            <w:noWrap w:val="0"/>
            <w:vAlign w:val="center"/>
          </w:tcPr>
          <w:p w14:paraId="42C58CDF">
            <w:pPr>
              <w:jc w:val="center"/>
              <w:rPr>
                <w:rFonts w:hint="eastAsia" w:ascii="宋体" w:hAnsi="宋体" w:eastAsia="宋体" w:cs="宋体"/>
                <w:b/>
                <w:color w:val="auto"/>
                <w:sz w:val="24"/>
              </w:rPr>
            </w:pPr>
          </w:p>
        </w:tc>
      </w:tr>
      <w:tr w14:paraId="304EA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8" w:type="dxa"/>
            <w:noWrap w:val="0"/>
            <w:vAlign w:val="center"/>
          </w:tcPr>
          <w:p w14:paraId="5AD208A9">
            <w:pPr>
              <w:jc w:val="center"/>
              <w:rPr>
                <w:rFonts w:hint="eastAsia" w:ascii="宋体" w:hAnsi="宋体" w:eastAsia="宋体" w:cs="宋体"/>
                <w:bCs/>
                <w:color w:val="auto"/>
                <w:kern w:val="2"/>
                <w:sz w:val="24"/>
                <w:szCs w:val="24"/>
                <w:lang w:val="en-US" w:eastAsia="zh-CN" w:bidi="ar-SA"/>
              </w:rPr>
            </w:pPr>
          </w:p>
        </w:tc>
        <w:tc>
          <w:tcPr>
            <w:tcW w:w="928" w:type="dxa"/>
            <w:noWrap w:val="0"/>
            <w:vAlign w:val="center"/>
          </w:tcPr>
          <w:p w14:paraId="2EEC4191">
            <w:pPr>
              <w:jc w:val="center"/>
              <w:rPr>
                <w:rFonts w:hint="eastAsia" w:ascii="宋体" w:hAnsi="宋体" w:eastAsia="宋体" w:cs="宋体"/>
                <w:b/>
                <w:color w:val="auto"/>
                <w:sz w:val="24"/>
              </w:rPr>
            </w:pPr>
          </w:p>
        </w:tc>
        <w:tc>
          <w:tcPr>
            <w:tcW w:w="928" w:type="dxa"/>
            <w:noWrap w:val="0"/>
            <w:vAlign w:val="center"/>
          </w:tcPr>
          <w:p w14:paraId="65F0D6A5">
            <w:pPr>
              <w:jc w:val="center"/>
              <w:rPr>
                <w:rFonts w:hint="eastAsia" w:ascii="宋体" w:hAnsi="宋体" w:eastAsia="宋体" w:cs="宋体"/>
                <w:b/>
                <w:color w:val="auto"/>
                <w:sz w:val="24"/>
              </w:rPr>
            </w:pPr>
          </w:p>
        </w:tc>
        <w:tc>
          <w:tcPr>
            <w:tcW w:w="1041" w:type="dxa"/>
            <w:noWrap w:val="0"/>
            <w:vAlign w:val="center"/>
          </w:tcPr>
          <w:p w14:paraId="78D6C59C">
            <w:pPr>
              <w:jc w:val="center"/>
              <w:rPr>
                <w:rFonts w:hint="eastAsia" w:ascii="宋体" w:hAnsi="宋体" w:eastAsia="宋体" w:cs="宋体"/>
                <w:b/>
                <w:color w:val="auto"/>
                <w:sz w:val="24"/>
              </w:rPr>
            </w:pPr>
          </w:p>
        </w:tc>
        <w:tc>
          <w:tcPr>
            <w:tcW w:w="1041" w:type="dxa"/>
            <w:noWrap w:val="0"/>
            <w:vAlign w:val="center"/>
          </w:tcPr>
          <w:p w14:paraId="111C0124">
            <w:pPr>
              <w:jc w:val="center"/>
              <w:rPr>
                <w:rFonts w:hint="eastAsia" w:ascii="宋体" w:hAnsi="宋体" w:eastAsia="宋体" w:cs="宋体"/>
                <w:b/>
                <w:color w:val="auto"/>
                <w:sz w:val="24"/>
              </w:rPr>
            </w:pPr>
          </w:p>
        </w:tc>
        <w:tc>
          <w:tcPr>
            <w:tcW w:w="1041" w:type="dxa"/>
            <w:noWrap w:val="0"/>
            <w:vAlign w:val="center"/>
          </w:tcPr>
          <w:p w14:paraId="2255A06C">
            <w:pPr>
              <w:jc w:val="center"/>
              <w:rPr>
                <w:rFonts w:hint="eastAsia" w:ascii="宋体" w:hAnsi="宋体" w:eastAsia="宋体" w:cs="宋体"/>
                <w:b/>
                <w:color w:val="auto"/>
                <w:sz w:val="24"/>
              </w:rPr>
            </w:pPr>
          </w:p>
        </w:tc>
        <w:tc>
          <w:tcPr>
            <w:tcW w:w="1041" w:type="dxa"/>
            <w:noWrap w:val="0"/>
            <w:vAlign w:val="center"/>
          </w:tcPr>
          <w:p w14:paraId="2D8E1D63">
            <w:pPr>
              <w:jc w:val="center"/>
              <w:rPr>
                <w:rFonts w:hint="eastAsia" w:ascii="宋体" w:hAnsi="宋体" w:eastAsia="宋体" w:cs="宋体"/>
                <w:b/>
                <w:color w:val="auto"/>
                <w:sz w:val="24"/>
              </w:rPr>
            </w:pPr>
          </w:p>
        </w:tc>
        <w:tc>
          <w:tcPr>
            <w:tcW w:w="1170" w:type="dxa"/>
            <w:noWrap w:val="0"/>
            <w:vAlign w:val="center"/>
          </w:tcPr>
          <w:p w14:paraId="005A350B">
            <w:pPr>
              <w:jc w:val="center"/>
              <w:rPr>
                <w:rFonts w:hint="eastAsia" w:ascii="宋体" w:hAnsi="宋体" w:eastAsia="宋体" w:cs="宋体"/>
                <w:b/>
                <w:color w:val="auto"/>
                <w:sz w:val="24"/>
              </w:rPr>
            </w:pPr>
          </w:p>
        </w:tc>
        <w:tc>
          <w:tcPr>
            <w:tcW w:w="1170" w:type="dxa"/>
            <w:noWrap w:val="0"/>
            <w:vAlign w:val="center"/>
          </w:tcPr>
          <w:p w14:paraId="5A63A370">
            <w:pPr>
              <w:jc w:val="center"/>
              <w:rPr>
                <w:rFonts w:hint="eastAsia" w:ascii="宋体" w:hAnsi="宋体" w:eastAsia="宋体" w:cs="宋体"/>
                <w:b/>
                <w:color w:val="auto"/>
                <w:sz w:val="24"/>
              </w:rPr>
            </w:pPr>
          </w:p>
        </w:tc>
      </w:tr>
      <w:tr w14:paraId="6D68D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8" w:type="dxa"/>
            <w:noWrap w:val="0"/>
            <w:vAlign w:val="center"/>
          </w:tcPr>
          <w:p w14:paraId="6EF286DD">
            <w:pPr>
              <w:jc w:val="center"/>
              <w:rPr>
                <w:rFonts w:hint="eastAsia" w:ascii="宋体" w:hAnsi="宋体" w:eastAsia="宋体" w:cs="宋体"/>
                <w:bCs/>
                <w:color w:val="auto"/>
                <w:sz w:val="24"/>
              </w:rPr>
            </w:pPr>
          </w:p>
        </w:tc>
        <w:tc>
          <w:tcPr>
            <w:tcW w:w="928" w:type="dxa"/>
            <w:noWrap w:val="0"/>
            <w:vAlign w:val="center"/>
          </w:tcPr>
          <w:p w14:paraId="251974DA">
            <w:pPr>
              <w:jc w:val="center"/>
              <w:rPr>
                <w:rFonts w:hint="eastAsia" w:ascii="宋体" w:hAnsi="宋体" w:eastAsia="宋体" w:cs="宋体"/>
                <w:b/>
                <w:color w:val="auto"/>
                <w:sz w:val="24"/>
              </w:rPr>
            </w:pPr>
          </w:p>
        </w:tc>
        <w:tc>
          <w:tcPr>
            <w:tcW w:w="928" w:type="dxa"/>
            <w:noWrap w:val="0"/>
            <w:vAlign w:val="center"/>
          </w:tcPr>
          <w:p w14:paraId="4ACB24AE">
            <w:pPr>
              <w:jc w:val="center"/>
              <w:rPr>
                <w:rFonts w:hint="eastAsia" w:ascii="宋体" w:hAnsi="宋体" w:eastAsia="宋体" w:cs="宋体"/>
                <w:b/>
                <w:color w:val="auto"/>
                <w:sz w:val="24"/>
              </w:rPr>
            </w:pPr>
          </w:p>
        </w:tc>
        <w:tc>
          <w:tcPr>
            <w:tcW w:w="1041" w:type="dxa"/>
            <w:noWrap w:val="0"/>
            <w:vAlign w:val="center"/>
          </w:tcPr>
          <w:p w14:paraId="350B4BCB">
            <w:pPr>
              <w:jc w:val="center"/>
              <w:rPr>
                <w:rFonts w:hint="eastAsia" w:ascii="宋体" w:hAnsi="宋体" w:eastAsia="宋体" w:cs="宋体"/>
                <w:b/>
                <w:color w:val="auto"/>
                <w:sz w:val="24"/>
              </w:rPr>
            </w:pPr>
          </w:p>
        </w:tc>
        <w:tc>
          <w:tcPr>
            <w:tcW w:w="1041" w:type="dxa"/>
            <w:noWrap w:val="0"/>
            <w:vAlign w:val="center"/>
          </w:tcPr>
          <w:p w14:paraId="02DEC847">
            <w:pPr>
              <w:jc w:val="center"/>
              <w:rPr>
                <w:rFonts w:hint="eastAsia" w:ascii="宋体" w:hAnsi="宋体" w:eastAsia="宋体" w:cs="宋体"/>
                <w:b/>
                <w:color w:val="auto"/>
                <w:sz w:val="24"/>
              </w:rPr>
            </w:pPr>
          </w:p>
        </w:tc>
        <w:tc>
          <w:tcPr>
            <w:tcW w:w="1041" w:type="dxa"/>
            <w:noWrap w:val="0"/>
            <w:vAlign w:val="center"/>
          </w:tcPr>
          <w:p w14:paraId="4DAF4A2B">
            <w:pPr>
              <w:jc w:val="center"/>
              <w:rPr>
                <w:rFonts w:hint="eastAsia" w:ascii="宋体" w:hAnsi="宋体" w:eastAsia="宋体" w:cs="宋体"/>
                <w:b/>
                <w:color w:val="auto"/>
                <w:sz w:val="24"/>
              </w:rPr>
            </w:pPr>
          </w:p>
        </w:tc>
        <w:tc>
          <w:tcPr>
            <w:tcW w:w="1041" w:type="dxa"/>
            <w:noWrap w:val="0"/>
            <w:vAlign w:val="center"/>
          </w:tcPr>
          <w:p w14:paraId="2BC91753">
            <w:pPr>
              <w:jc w:val="center"/>
              <w:rPr>
                <w:rFonts w:hint="eastAsia" w:ascii="宋体" w:hAnsi="宋体" w:eastAsia="宋体" w:cs="宋体"/>
                <w:b/>
                <w:color w:val="auto"/>
                <w:sz w:val="24"/>
              </w:rPr>
            </w:pPr>
          </w:p>
        </w:tc>
        <w:tc>
          <w:tcPr>
            <w:tcW w:w="1170" w:type="dxa"/>
            <w:noWrap w:val="0"/>
            <w:vAlign w:val="center"/>
          </w:tcPr>
          <w:p w14:paraId="465B974C">
            <w:pPr>
              <w:jc w:val="center"/>
              <w:rPr>
                <w:rFonts w:hint="eastAsia" w:ascii="宋体" w:hAnsi="宋体" w:eastAsia="宋体" w:cs="宋体"/>
                <w:b/>
                <w:color w:val="auto"/>
                <w:sz w:val="24"/>
              </w:rPr>
            </w:pPr>
          </w:p>
        </w:tc>
        <w:tc>
          <w:tcPr>
            <w:tcW w:w="1170" w:type="dxa"/>
            <w:noWrap w:val="0"/>
            <w:vAlign w:val="center"/>
          </w:tcPr>
          <w:p w14:paraId="202E1D7B">
            <w:pPr>
              <w:jc w:val="center"/>
              <w:rPr>
                <w:rFonts w:hint="eastAsia" w:ascii="宋体" w:hAnsi="宋体" w:eastAsia="宋体" w:cs="宋体"/>
                <w:b/>
                <w:color w:val="auto"/>
                <w:sz w:val="24"/>
              </w:rPr>
            </w:pPr>
          </w:p>
        </w:tc>
      </w:tr>
      <w:tr w14:paraId="04F56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8" w:type="dxa"/>
            <w:noWrap w:val="0"/>
            <w:vAlign w:val="center"/>
          </w:tcPr>
          <w:p w14:paraId="19BE4C2A">
            <w:pPr>
              <w:jc w:val="center"/>
              <w:rPr>
                <w:rFonts w:hint="default" w:ascii="宋体" w:hAnsi="宋体" w:eastAsia="宋体" w:cs="宋体"/>
                <w:bCs/>
                <w:color w:val="auto"/>
                <w:sz w:val="24"/>
                <w:lang w:val="en-US" w:eastAsia="zh-CN"/>
              </w:rPr>
            </w:pPr>
          </w:p>
        </w:tc>
        <w:tc>
          <w:tcPr>
            <w:tcW w:w="928" w:type="dxa"/>
            <w:noWrap w:val="0"/>
            <w:vAlign w:val="center"/>
          </w:tcPr>
          <w:p w14:paraId="4285884F">
            <w:pPr>
              <w:jc w:val="center"/>
              <w:rPr>
                <w:rFonts w:hint="eastAsia" w:ascii="宋体" w:hAnsi="宋体" w:eastAsia="宋体" w:cs="宋体"/>
                <w:b/>
                <w:color w:val="auto"/>
                <w:sz w:val="24"/>
              </w:rPr>
            </w:pPr>
          </w:p>
        </w:tc>
        <w:tc>
          <w:tcPr>
            <w:tcW w:w="928" w:type="dxa"/>
            <w:noWrap w:val="0"/>
            <w:vAlign w:val="center"/>
          </w:tcPr>
          <w:p w14:paraId="77E13BAF">
            <w:pPr>
              <w:jc w:val="center"/>
              <w:rPr>
                <w:rFonts w:hint="eastAsia" w:ascii="宋体" w:hAnsi="宋体" w:eastAsia="宋体" w:cs="宋体"/>
                <w:b/>
                <w:color w:val="auto"/>
                <w:sz w:val="24"/>
              </w:rPr>
            </w:pPr>
          </w:p>
        </w:tc>
        <w:tc>
          <w:tcPr>
            <w:tcW w:w="1041" w:type="dxa"/>
            <w:noWrap w:val="0"/>
            <w:vAlign w:val="center"/>
          </w:tcPr>
          <w:p w14:paraId="7D38C5C6">
            <w:pPr>
              <w:jc w:val="center"/>
              <w:rPr>
                <w:rFonts w:hint="eastAsia" w:ascii="宋体" w:hAnsi="宋体" w:eastAsia="宋体" w:cs="宋体"/>
                <w:b/>
                <w:color w:val="auto"/>
                <w:sz w:val="24"/>
              </w:rPr>
            </w:pPr>
          </w:p>
        </w:tc>
        <w:tc>
          <w:tcPr>
            <w:tcW w:w="1041" w:type="dxa"/>
            <w:noWrap w:val="0"/>
            <w:vAlign w:val="center"/>
          </w:tcPr>
          <w:p w14:paraId="491C85E3">
            <w:pPr>
              <w:jc w:val="center"/>
              <w:rPr>
                <w:rFonts w:hint="eastAsia" w:ascii="宋体" w:hAnsi="宋体" w:eastAsia="宋体" w:cs="宋体"/>
                <w:b/>
                <w:color w:val="auto"/>
                <w:sz w:val="24"/>
              </w:rPr>
            </w:pPr>
          </w:p>
        </w:tc>
        <w:tc>
          <w:tcPr>
            <w:tcW w:w="1041" w:type="dxa"/>
            <w:noWrap w:val="0"/>
            <w:vAlign w:val="center"/>
          </w:tcPr>
          <w:p w14:paraId="59D0C8AE">
            <w:pPr>
              <w:jc w:val="center"/>
              <w:rPr>
                <w:rFonts w:hint="eastAsia" w:ascii="宋体" w:hAnsi="宋体" w:eastAsia="宋体" w:cs="宋体"/>
                <w:b/>
                <w:color w:val="auto"/>
                <w:sz w:val="24"/>
              </w:rPr>
            </w:pPr>
          </w:p>
        </w:tc>
        <w:tc>
          <w:tcPr>
            <w:tcW w:w="1041" w:type="dxa"/>
            <w:noWrap w:val="0"/>
            <w:vAlign w:val="center"/>
          </w:tcPr>
          <w:p w14:paraId="27CD3E75">
            <w:pPr>
              <w:jc w:val="center"/>
              <w:rPr>
                <w:rFonts w:hint="eastAsia" w:ascii="宋体" w:hAnsi="宋体" w:eastAsia="宋体" w:cs="宋体"/>
                <w:b/>
                <w:color w:val="auto"/>
                <w:sz w:val="24"/>
              </w:rPr>
            </w:pPr>
          </w:p>
        </w:tc>
        <w:tc>
          <w:tcPr>
            <w:tcW w:w="1170" w:type="dxa"/>
            <w:noWrap w:val="0"/>
            <w:vAlign w:val="center"/>
          </w:tcPr>
          <w:p w14:paraId="4157278F">
            <w:pPr>
              <w:jc w:val="center"/>
              <w:rPr>
                <w:rFonts w:hint="eastAsia" w:ascii="宋体" w:hAnsi="宋体" w:eastAsia="宋体" w:cs="宋体"/>
                <w:b/>
                <w:color w:val="auto"/>
                <w:sz w:val="24"/>
              </w:rPr>
            </w:pPr>
          </w:p>
        </w:tc>
        <w:tc>
          <w:tcPr>
            <w:tcW w:w="1170" w:type="dxa"/>
            <w:noWrap w:val="0"/>
            <w:vAlign w:val="center"/>
          </w:tcPr>
          <w:p w14:paraId="44A0B7FB">
            <w:pPr>
              <w:jc w:val="center"/>
              <w:rPr>
                <w:rFonts w:hint="eastAsia" w:ascii="宋体" w:hAnsi="宋体" w:eastAsia="宋体" w:cs="宋体"/>
                <w:b/>
                <w:color w:val="auto"/>
                <w:sz w:val="24"/>
              </w:rPr>
            </w:pPr>
          </w:p>
        </w:tc>
      </w:tr>
      <w:tr w14:paraId="24476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8" w:type="dxa"/>
            <w:noWrap w:val="0"/>
            <w:vAlign w:val="center"/>
          </w:tcPr>
          <w:p w14:paraId="36E82E2D">
            <w:pPr>
              <w:jc w:val="center"/>
              <w:rPr>
                <w:rFonts w:hint="eastAsia" w:ascii="宋体" w:hAnsi="宋体" w:eastAsia="宋体" w:cs="宋体"/>
                <w:b/>
                <w:color w:val="auto"/>
                <w:sz w:val="24"/>
              </w:rPr>
            </w:pPr>
          </w:p>
        </w:tc>
        <w:tc>
          <w:tcPr>
            <w:tcW w:w="928" w:type="dxa"/>
            <w:noWrap w:val="0"/>
            <w:vAlign w:val="center"/>
          </w:tcPr>
          <w:p w14:paraId="0D812BC0">
            <w:pPr>
              <w:jc w:val="center"/>
              <w:rPr>
                <w:rFonts w:hint="eastAsia" w:ascii="宋体" w:hAnsi="宋体" w:eastAsia="宋体" w:cs="宋体"/>
                <w:b/>
                <w:color w:val="auto"/>
                <w:sz w:val="24"/>
              </w:rPr>
            </w:pPr>
          </w:p>
        </w:tc>
        <w:tc>
          <w:tcPr>
            <w:tcW w:w="928" w:type="dxa"/>
            <w:noWrap w:val="0"/>
            <w:vAlign w:val="center"/>
          </w:tcPr>
          <w:p w14:paraId="53110317">
            <w:pPr>
              <w:jc w:val="center"/>
              <w:rPr>
                <w:rFonts w:hint="eastAsia" w:ascii="宋体" w:hAnsi="宋体" w:eastAsia="宋体" w:cs="宋体"/>
                <w:b/>
                <w:color w:val="auto"/>
                <w:sz w:val="24"/>
              </w:rPr>
            </w:pPr>
          </w:p>
        </w:tc>
        <w:tc>
          <w:tcPr>
            <w:tcW w:w="1041" w:type="dxa"/>
            <w:noWrap w:val="0"/>
            <w:vAlign w:val="center"/>
          </w:tcPr>
          <w:p w14:paraId="58784AB4">
            <w:pPr>
              <w:jc w:val="center"/>
              <w:rPr>
                <w:rFonts w:hint="eastAsia" w:ascii="宋体" w:hAnsi="宋体" w:eastAsia="宋体" w:cs="宋体"/>
                <w:b/>
                <w:color w:val="auto"/>
                <w:sz w:val="24"/>
              </w:rPr>
            </w:pPr>
          </w:p>
        </w:tc>
        <w:tc>
          <w:tcPr>
            <w:tcW w:w="1041" w:type="dxa"/>
            <w:noWrap w:val="0"/>
            <w:vAlign w:val="center"/>
          </w:tcPr>
          <w:p w14:paraId="0D0C6F20">
            <w:pPr>
              <w:jc w:val="center"/>
              <w:rPr>
                <w:rFonts w:hint="eastAsia" w:ascii="宋体" w:hAnsi="宋体" w:eastAsia="宋体" w:cs="宋体"/>
                <w:b/>
                <w:color w:val="auto"/>
                <w:sz w:val="24"/>
              </w:rPr>
            </w:pPr>
          </w:p>
        </w:tc>
        <w:tc>
          <w:tcPr>
            <w:tcW w:w="1041" w:type="dxa"/>
            <w:noWrap w:val="0"/>
            <w:vAlign w:val="center"/>
          </w:tcPr>
          <w:p w14:paraId="53D22773">
            <w:pPr>
              <w:jc w:val="center"/>
              <w:rPr>
                <w:rFonts w:hint="eastAsia" w:ascii="宋体" w:hAnsi="宋体" w:eastAsia="宋体" w:cs="宋体"/>
                <w:b/>
                <w:color w:val="auto"/>
                <w:sz w:val="24"/>
              </w:rPr>
            </w:pPr>
          </w:p>
        </w:tc>
        <w:tc>
          <w:tcPr>
            <w:tcW w:w="1041" w:type="dxa"/>
            <w:noWrap w:val="0"/>
            <w:vAlign w:val="center"/>
          </w:tcPr>
          <w:p w14:paraId="41EB0FA9">
            <w:pPr>
              <w:jc w:val="center"/>
              <w:rPr>
                <w:rFonts w:hint="eastAsia" w:ascii="宋体" w:hAnsi="宋体" w:eastAsia="宋体" w:cs="宋体"/>
                <w:b/>
                <w:color w:val="auto"/>
                <w:sz w:val="24"/>
              </w:rPr>
            </w:pPr>
          </w:p>
        </w:tc>
        <w:tc>
          <w:tcPr>
            <w:tcW w:w="1170" w:type="dxa"/>
            <w:noWrap w:val="0"/>
            <w:vAlign w:val="center"/>
          </w:tcPr>
          <w:p w14:paraId="51E5F22F">
            <w:pPr>
              <w:jc w:val="center"/>
              <w:rPr>
                <w:rFonts w:hint="eastAsia" w:ascii="宋体" w:hAnsi="宋体" w:eastAsia="宋体" w:cs="宋体"/>
                <w:b/>
                <w:color w:val="auto"/>
                <w:sz w:val="24"/>
              </w:rPr>
            </w:pPr>
          </w:p>
        </w:tc>
        <w:tc>
          <w:tcPr>
            <w:tcW w:w="1170" w:type="dxa"/>
            <w:noWrap w:val="0"/>
            <w:vAlign w:val="center"/>
          </w:tcPr>
          <w:p w14:paraId="020FE48B">
            <w:pPr>
              <w:jc w:val="center"/>
              <w:rPr>
                <w:rFonts w:hint="eastAsia" w:ascii="宋体" w:hAnsi="宋体" w:eastAsia="宋体" w:cs="宋体"/>
                <w:b/>
                <w:color w:val="auto"/>
                <w:sz w:val="24"/>
              </w:rPr>
            </w:pPr>
          </w:p>
        </w:tc>
      </w:tr>
      <w:tr w14:paraId="58779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8" w:type="dxa"/>
            <w:noWrap w:val="0"/>
            <w:vAlign w:val="center"/>
          </w:tcPr>
          <w:p w14:paraId="65954354">
            <w:pPr>
              <w:jc w:val="center"/>
              <w:rPr>
                <w:rFonts w:hint="eastAsia" w:ascii="宋体" w:hAnsi="宋体" w:eastAsia="宋体" w:cs="宋体"/>
                <w:b/>
                <w:color w:val="auto"/>
                <w:sz w:val="24"/>
              </w:rPr>
            </w:pPr>
          </w:p>
        </w:tc>
        <w:tc>
          <w:tcPr>
            <w:tcW w:w="928" w:type="dxa"/>
            <w:noWrap w:val="0"/>
            <w:vAlign w:val="center"/>
          </w:tcPr>
          <w:p w14:paraId="16118FBC">
            <w:pPr>
              <w:jc w:val="center"/>
              <w:rPr>
                <w:rFonts w:hint="eastAsia" w:ascii="宋体" w:hAnsi="宋体" w:eastAsia="宋体" w:cs="宋体"/>
                <w:b/>
                <w:color w:val="auto"/>
                <w:sz w:val="24"/>
              </w:rPr>
            </w:pPr>
          </w:p>
        </w:tc>
        <w:tc>
          <w:tcPr>
            <w:tcW w:w="928" w:type="dxa"/>
            <w:noWrap w:val="0"/>
            <w:vAlign w:val="center"/>
          </w:tcPr>
          <w:p w14:paraId="261A8FC3">
            <w:pPr>
              <w:jc w:val="center"/>
              <w:rPr>
                <w:rFonts w:hint="eastAsia" w:ascii="宋体" w:hAnsi="宋体" w:eastAsia="宋体" w:cs="宋体"/>
                <w:b/>
                <w:color w:val="auto"/>
                <w:sz w:val="24"/>
              </w:rPr>
            </w:pPr>
          </w:p>
        </w:tc>
        <w:tc>
          <w:tcPr>
            <w:tcW w:w="1041" w:type="dxa"/>
            <w:noWrap w:val="0"/>
            <w:vAlign w:val="center"/>
          </w:tcPr>
          <w:p w14:paraId="0DB14167">
            <w:pPr>
              <w:jc w:val="center"/>
              <w:rPr>
                <w:rFonts w:hint="eastAsia" w:ascii="宋体" w:hAnsi="宋体" w:eastAsia="宋体" w:cs="宋体"/>
                <w:b/>
                <w:color w:val="auto"/>
                <w:sz w:val="24"/>
              </w:rPr>
            </w:pPr>
          </w:p>
        </w:tc>
        <w:tc>
          <w:tcPr>
            <w:tcW w:w="1041" w:type="dxa"/>
            <w:noWrap w:val="0"/>
            <w:vAlign w:val="center"/>
          </w:tcPr>
          <w:p w14:paraId="255A6BCF">
            <w:pPr>
              <w:jc w:val="center"/>
              <w:rPr>
                <w:rFonts w:hint="eastAsia" w:ascii="宋体" w:hAnsi="宋体" w:eastAsia="宋体" w:cs="宋体"/>
                <w:b/>
                <w:color w:val="auto"/>
                <w:sz w:val="24"/>
              </w:rPr>
            </w:pPr>
          </w:p>
        </w:tc>
        <w:tc>
          <w:tcPr>
            <w:tcW w:w="1041" w:type="dxa"/>
            <w:noWrap w:val="0"/>
            <w:vAlign w:val="center"/>
          </w:tcPr>
          <w:p w14:paraId="21DE8EA9">
            <w:pPr>
              <w:jc w:val="center"/>
              <w:rPr>
                <w:rFonts w:hint="eastAsia" w:ascii="宋体" w:hAnsi="宋体" w:eastAsia="宋体" w:cs="宋体"/>
                <w:b/>
                <w:color w:val="auto"/>
                <w:sz w:val="24"/>
              </w:rPr>
            </w:pPr>
          </w:p>
        </w:tc>
        <w:tc>
          <w:tcPr>
            <w:tcW w:w="1041" w:type="dxa"/>
            <w:noWrap w:val="0"/>
            <w:vAlign w:val="center"/>
          </w:tcPr>
          <w:p w14:paraId="3B0C6AAB">
            <w:pPr>
              <w:jc w:val="center"/>
              <w:rPr>
                <w:rFonts w:hint="eastAsia" w:ascii="宋体" w:hAnsi="宋体" w:eastAsia="宋体" w:cs="宋体"/>
                <w:b/>
                <w:color w:val="auto"/>
                <w:sz w:val="24"/>
              </w:rPr>
            </w:pPr>
          </w:p>
        </w:tc>
        <w:tc>
          <w:tcPr>
            <w:tcW w:w="1170" w:type="dxa"/>
            <w:noWrap w:val="0"/>
            <w:vAlign w:val="center"/>
          </w:tcPr>
          <w:p w14:paraId="40B5D6B4">
            <w:pPr>
              <w:jc w:val="center"/>
              <w:rPr>
                <w:rFonts w:hint="eastAsia" w:ascii="宋体" w:hAnsi="宋体" w:eastAsia="宋体" w:cs="宋体"/>
                <w:b/>
                <w:color w:val="auto"/>
                <w:sz w:val="24"/>
              </w:rPr>
            </w:pPr>
          </w:p>
        </w:tc>
        <w:tc>
          <w:tcPr>
            <w:tcW w:w="1170" w:type="dxa"/>
            <w:noWrap w:val="0"/>
            <w:vAlign w:val="center"/>
          </w:tcPr>
          <w:p w14:paraId="2A98F711">
            <w:pPr>
              <w:jc w:val="center"/>
              <w:rPr>
                <w:rFonts w:hint="eastAsia" w:ascii="宋体" w:hAnsi="宋体" w:eastAsia="宋体" w:cs="宋体"/>
                <w:b/>
                <w:color w:val="auto"/>
                <w:sz w:val="24"/>
              </w:rPr>
            </w:pPr>
          </w:p>
        </w:tc>
      </w:tr>
      <w:tr w14:paraId="4A5A4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8" w:type="dxa"/>
            <w:noWrap w:val="0"/>
            <w:vAlign w:val="center"/>
          </w:tcPr>
          <w:p w14:paraId="3A206239">
            <w:pPr>
              <w:jc w:val="center"/>
              <w:rPr>
                <w:rFonts w:hint="eastAsia" w:ascii="宋体" w:hAnsi="宋体" w:eastAsia="宋体" w:cs="宋体"/>
                <w:b/>
                <w:color w:val="auto"/>
                <w:sz w:val="24"/>
              </w:rPr>
            </w:pPr>
          </w:p>
        </w:tc>
        <w:tc>
          <w:tcPr>
            <w:tcW w:w="928" w:type="dxa"/>
            <w:noWrap w:val="0"/>
            <w:vAlign w:val="center"/>
          </w:tcPr>
          <w:p w14:paraId="53FE4417">
            <w:pPr>
              <w:jc w:val="center"/>
              <w:rPr>
                <w:rFonts w:hint="eastAsia" w:ascii="宋体" w:hAnsi="宋体" w:eastAsia="宋体" w:cs="宋体"/>
                <w:b/>
                <w:color w:val="auto"/>
                <w:sz w:val="24"/>
              </w:rPr>
            </w:pPr>
          </w:p>
        </w:tc>
        <w:tc>
          <w:tcPr>
            <w:tcW w:w="928" w:type="dxa"/>
            <w:noWrap w:val="0"/>
            <w:vAlign w:val="center"/>
          </w:tcPr>
          <w:p w14:paraId="315BA9EB">
            <w:pPr>
              <w:jc w:val="center"/>
              <w:rPr>
                <w:rFonts w:hint="eastAsia" w:ascii="宋体" w:hAnsi="宋体" w:eastAsia="宋体" w:cs="宋体"/>
                <w:b/>
                <w:color w:val="auto"/>
                <w:sz w:val="24"/>
              </w:rPr>
            </w:pPr>
          </w:p>
        </w:tc>
        <w:tc>
          <w:tcPr>
            <w:tcW w:w="1041" w:type="dxa"/>
            <w:noWrap w:val="0"/>
            <w:vAlign w:val="center"/>
          </w:tcPr>
          <w:p w14:paraId="080A7C58">
            <w:pPr>
              <w:jc w:val="center"/>
              <w:rPr>
                <w:rFonts w:hint="eastAsia" w:ascii="宋体" w:hAnsi="宋体" w:eastAsia="宋体" w:cs="宋体"/>
                <w:b/>
                <w:color w:val="auto"/>
                <w:sz w:val="24"/>
              </w:rPr>
            </w:pPr>
          </w:p>
        </w:tc>
        <w:tc>
          <w:tcPr>
            <w:tcW w:w="1041" w:type="dxa"/>
            <w:noWrap w:val="0"/>
            <w:vAlign w:val="center"/>
          </w:tcPr>
          <w:p w14:paraId="6F5115A9">
            <w:pPr>
              <w:jc w:val="center"/>
              <w:rPr>
                <w:rFonts w:hint="eastAsia" w:ascii="宋体" w:hAnsi="宋体" w:eastAsia="宋体" w:cs="宋体"/>
                <w:b/>
                <w:color w:val="auto"/>
                <w:sz w:val="24"/>
              </w:rPr>
            </w:pPr>
          </w:p>
        </w:tc>
        <w:tc>
          <w:tcPr>
            <w:tcW w:w="1041" w:type="dxa"/>
            <w:noWrap w:val="0"/>
            <w:vAlign w:val="center"/>
          </w:tcPr>
          <w:p w14:paraId="53463118">
            <w:pPr>
              <w:jc w:val="center"/>
              <w:rPr>
                <w:rFonts w:hint="eastAsia" w:ascii="宋体" w:hAnsi="宋体" w:eastAsia="宋体" w:cs="宋体"/>
                <w:b/>
                <w:color w:val="auto"/>
                <w:sz w:val="24"/>
              </w:rPr>
            </w:pPr>
          </w:p>
        </w:tc>
        <w:tc>
          <w:tcPr>
            <w:tcW w:w="1041" w:type="dxa"/>
            <w:noWrap w:val="0"/>
            <w:vAlign w:val="center"/>
          </w:tcPr>
          <w:p w14:paraId="29C38BD6">
            <w:pPr>
              <w:jc w:val="center"/>
              <w:rPr>
                <w:rFonts w:hint="eastAsia" w:ascii="宋体" w:hAnsi="宋体" w:eastAsia="宋体" w:cs="宋体"/>
                <w:b/>
                <w:color w:val="auto"/>
                <w:sz w:val="24"/>
              </w:rPr>
            </w:pPr>
          </w:p>
        </w:tc>
        <w:tc>
          <w:tcPr>
            <w:tcW w:w="1170" w:type="dxa"/>
            <w:noWrap w:val="0"/>
            <w:vAlign w:val="center"/>
          </w:tcPr>
          <w:p w14:paraId="32C56AD7">
            <w:pPr>
              <w:jc w:val="center"/>
              <w:rPr>
                <w:rFonts w:hint="eastAsia" w:ascii="宋体" w:hAnsi="宋体" w:eastAsia="宋体" w:cs="宋体"/>
                <w:b/>
                <w:color w:val="auto"/>
                <w:sz w:val="24"/>
              </w:rPr>
            </w:pPr>
          </w:p>
        </w:tc>
        <w:tc>
          <w:tcPr>
            <w:tcW w:w="1170" w:type="dxa"/>
            <w:noWrap w:val="0"/>
            <w:vAlign w:val="center"/>
          </w:tcPr>
          <w:p w14:paraId="5BD1C902">
            <w:pPr>
              <w:jc w:val="center"/>
              <w:rPr>
                <w:rFonts w:hint="eastAsia" w:ascii="宋体" w:hAnsi="宋体" w:eastAsia="宋体" w:cs="宋体"/>
                <w:b/>
                <w:color w:val="auto"/>
                <w:sz w:val="24"/>
              </w:rPr>
            </w:pPr>
          </w:p>
        </w:tc>
      </w:tr>
      <w:tr w14:paraId="3BC29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8" w:type="dxa"/>
            <w:noWrap w:val="0"/>
            <w:vAlign w:val="center"/>
          </w:tcPr>
          <w:p w14:paraId="611D3C73">
            <w:pPr>
              <w:jc w:val="center"/>
              <w:rPr>
                <w:rFonts w:hint="eastAsia" w:ascii="宋体" w:hAnsi="宋体" w:eastAsia="宋体" w:cs="宋体"/>
                <w:b/>
                <w:color w:val="auto"/>
                <w:sz w:val="24"/>
              </w:rPr>
            </w:pPr>
          </w:p>
        </w:tc>
        <w:tc>
          <w:tcPr>
            <w:tcW w:w="928" w:type="dxa"/>
            <w:noWrap w:val="0"/>
            <w:vAlign w:val="center"/>
          </w:tcPr>
          <w:p w14:paraId="3D5740BB">
            <w:pPr>
              <w:jc w:val="center"/>
              <w:rPr>
                <w:rFonts w:hint="eastAsia" w:ascii="宋体" w:hAnsi="宋体" w:eastAsia="宋体" w:cs="宋体"/>
                <w:b/>
                <w:color w:val="auto"/>
                <w:sz w:val="24"/>
              </w:rPr>
            </w:pPr>
          </w:p>
        </w:tc>
        <w:tc>
          <w:tcPr>
            <w:tcW w:w="928" w:type="dxa"/>
            <w:noWrap w:val="0"/>
            <w:vAlign w:val="center"/>
          </w:tcPr>
          <w:p w14:paraId="6E79D7C2">
            <w:pPr>
              <w:jc w:val="center"/>
              <w:rPr>
                <w:rFonts w:hint="eastAsia" w:ascii="宋体" w:hAnsi="宋体" w:eastAsia="宋体" w:cs="宋体"/>
                <w:b/>
                <w:color w:val="auto"/>
                <w:sz w:val="24"/>
              </w:rPr>
            </w:pPr>
          </w:p>
        </w:tc>
        <w:tc>
          <w:tcPr>
            <w:tcW w:w="1041" w:type="dxa"/>
            <w:noWrap w:val="0"/>
            <w:vAlign w:val="center"/>
          </w:tcPr>
          <w:p w14:paraId="4D66F186">
            <w:pPr>
              <w:jc w:val="center"/>
              <w:rPr>
                <w:rFonts w:hint="eastAsia" w:ascii="宋体" w:hAnsi="宋体" w:eastAsia="宋体" w:cs="宋体"/>
                <w:b/>
                <w:color w:val="auto"/>
                <w:sz w:val="24"/>
              </w:rPr>
            </w:pPr>
          </w:p>
        </w:tc>
        <w:tc>
          <w:tcPr>
            <w:tcW w:w="1041" w:type="dxa"/>
            <w:noWrap w:val="0"/>
            <w:vAlign w:val="center"/>
          </w:tcPr>
          <w:p w14:paraId="1B8C4078">
            <w:pPr>
              <w:jc w:val="center"/>
              <w:rPr>
                <w:rFonts w:hint="eastAsia" w:ascii="宋体" w:hAnsi="宋体" w:eastAsia="宋体" w:cs="宋体"/>
                <w:b/>
                <w:color w:val="auto"/>
                <w:sz w:val="24"/>
              </w:rPr>
            </w:pPr>
          </w:p>
        </w:tc>
        <w:tc>
          <w:tcPr>
            <w:tcW w:w="1041" w:type="dxa"/>
            <w:noWrap w:val="0"/>
            <w:vAlign w:val="center"/>
          </w:tcPr>
          <w:p w14:paraId="4F0144B9">
            <w:pPr>
              <w:jc w:val="center"/>
              <w:rPr>
                <w:rFonts w:hint="eastAsia" w:ascii="宋体" w:hAnsi="宋体" w:eastAsia="宋体" w:cs="宋体"/>
                <w:b/>
                <w:color w:val="auto"/>
                <w:sz w:val="24"/>
              </w:rPr>
            </w:pPr>
          </w:p>
        </w:tc>
        <w:tc>
          <w:tcPr>
            <w:tcW w:w="1041" w:type="dxa"/>
            <w:noWrap w:val="0"/>
            <w:vAlign w:val="center"/>
          </w:tcPr>
          <w:p w14:paraId="44FFB747">
            <w:pPr>
              <w:jc w:val="center"/>
              <w:rPr>
                <w:rFonts w:hint="eastAsia" w:ascii="宋体" w:hAnsi="宋体" w:eastAsia="宋体" w:cs="宋体"/>
                <w:b/>
                <w:color w:val="auto"/>
                <w:sz w:val="24"/>
              </w:rPr>
            </w:pPr>
          </w:p>
        </w:tc>
        <w:tc>
          <w:tcPr>
            <w:tcW w:w="1170" w:type="dxa"/>
            <w:noWrap w:val="0"/>
            <w:vAlign w:val="center"/>
          </w:tcPr>
          <w:p w14:paraId="2F9BADC7">
            <w:pPr>
              <w:jc w:val="center"/>
              <w:rPr>
                <w:rFonts w:hint="eastAsia" w:ascii="宋体" w:hAnsi="宋体" w:eastAsia="宋体" w:cs="宋体"/>
                <w:b/>
                <w:color w:val="auto"/>
                <w:sz w:val="24"/>
              </w:rPr>
            </w:pPr>
          </w:p>
        </w:tc>
        <w:tc>
          <w:tcPr>
            <w:tcW w:w="1170" w:type="dxa"/>
            <w:noWrap w:val="0"/>
            <w:vAlign w:val="center"/>
          </w:tcPr>
          <w:p w14:paraId="23EEEE1D">
            <w:pPr>
              <w:jc w:val="center"/>
              <w:rPr>
                <w:rFonts w:hint="eastAsia" w:ascii="宋体" w:hAnsi="宋体" w:eastAsia="宋体" w:cs="宋体"/>
                <w:b/>
                <w:color w:val="auto"/>
                <w:sz w:val="24"/>
              </w:rPr>
            </w:pPr>
          </w:p>
        </w:tc>
      </w:tr>
      <w:tr w14:paraId="19AFD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8" w:type="dxa"/>
            <w:noWrap w:val="0"/>
            <w:vAlign w:val="center"/>
          </w:tcPr>
          <w:p w14:paraId="129F6012">
            <w:pPr>
              <w:jc w:val="center"/>
              <w:rPr>
                <w:rFonts w:hint="eastAsia" w:ascii="宋体" w:hAnsi="宋体" w:eastAsia="宋体" w:cs="宋体"/>
                <w:b/>
                <w:color w:val="auto"/>
                <w:sz w:val="24"/>
              </w:rPr>
            </w:pPr>
          </w:p>
        </w:tc>
        <w:tc>
          <w:tcPr>
            <w:tcW w:w="928" w:type="dxa"/>
            <w:noWrap w:val="0"/>
            <w:vAlign w:val="center"/>
          </w:tcPr>
          <w:p w14:paraId="153B7C9D">
            <w:pPr>
              <w:jc w:val="center"/>
              <w:rPr>
                <w:rFonts w:hint="eastAsia" w:ascii="宋体" w:hAnsi="宋体" w:eastAsia="宋体" w:cs="宋体"/>
                <w:b/>
                <w:color w:val="auto"/>
                <w:sz w:val="24"/>
              </w:rPr>
            </w:pPr>
          </w:p>
        </w:tc>
        <w:tc>
          <w:tcPr>
            <w:tcW w:w="928" w:type="dxa"/>
            <w:noWrap w:val="0"/>
            <w:vAlign w:val="center"/>
          </w:tcPr>
          <w:p w14:paraId="4BA674DE">
            <w:pPr>
              <w:jc w:val="center"/>
              <w:rPr>
                <w:rFonts w:hint="eastAsia" w:ascii="宋体" w:hAnsi="宋体" w:eastAsia="宋体" w:cs="宋体"/>
                <w:b/>
                <w:color w:val="auto"/>
                <w:sz w:val="24"/>
              </w:rPr>
            </w:pPr>
          </w:p>
        </w:tc>
        <w:tc>
          <w:tcPr>
            <w:tcW w:w="1041" w:type="dxa"/>
            <w:noWrap w:val="0"/>
            <w:vAlign w:val="center"/>
          </w:tcPr>
          <w:p w14:paraId="395D5509">
            <w:pPr>
              <w:jc w:val="center"/>
              <w:rPr>
                <w:rFonts w:hint="eastAsia" w:ascii="宋体" w:hAnsi="宋体" w:eastAsia="宋体" w:cs="宋体"/>
                <w:b/>
                <w:color w:val="auto"/>
                <w:sz w:val="24"/>
              </w:rPr>
            </w:pPr>
          </w:p>
        </w:tc>
        <w:tc>
          <w:tcPr>
            <w:tcW w:w="1041" w:type="dxa"/>
            <w:noWrap w:val="0"/>
            <w:vAlign w:val="center"/>
          </w:tcPr>
          <w:p w14:paraId="2D3F1181">
            <w:pPr>
              <w:jc w:val="center"/>
              <w:rPr>
                <w:rFonts w:hint="eastAsia" w:ascii="宋体" w:hAnsi="宋体" w:eastAsia="宋体" w:cs="宋体"/>
                <w:b/>
                <w:color w:val="auto"/>
                <w:sz w:val="24"/>
              </w:rPr>
            </w:pPr>
          </w:p>
        </w:tc>
        <w:tc>
          <w:tcPr>
            <w:tcW w:w="1041" w:type="dxa"/>
            <w:noWrap w:val="0"/>
            <w:vAlign w:val="center"/>
          </w:tcPr>
          <w:p w14:paraId="5EE61509">
            <w:pPr>
              <w:jc w:val="center"/>
              <w:rPr>
                <w:rFonts w:hint="eastAsia" w:ascii="宋体" w:hAnsi="宋体" w:eastAsia="宋体" w:cs="宋体"/>
                <w:b/>
                <w:color w:val="auto"/>
                <w:sz w:val="24"/>
              </w:rPr>
            </w:pPr>
          </w:p>
        </w:tc>
        <w:tc>
          <w:tcPr>
            <w:tcW w:w="1041" w:type="dxa"/>
            <w:noWrap w:val="0"/>
            <w:vAlign w:val="center"/>
          </w:tcPr>
          <w:p w14:paraId="7CF02169">
            <w:pPr>
              <w:jc w:val="center"/>
              <w:rPr>
                <w:rFonts w:hint="eastAsia" w:ascii="宋体" w:hAnsi="宋体" w:eastAsia="宋体" w:cs="宋体"/>
                <w:b/>
                <w:color w:val="auto"/>
                <w:sz w:val="24"/>
              </w:rPr>
            </w:pPr>
          </w:p>
        </w:tc>
        <w:tc>
          <w:tcPr>
            <w:tcW w:w="1170" w:type="dxa"/>
            <w:noWrap w:val="0"/>
            <w:vAlign w:val="center"/>
          </w:tcPr>
          <w:p w14:paraId="45B2E9C5">
            <w:pPr>
              <w:jc w:val="center"/>
              <w:rPr>
                <w:rFonts w:hint="eastAsia" w:ascii="宋体" w:hAnsi="宋体" w:eastAsia="宋体" w:cs="宋体"/>
                <w:b/>
                <w:color w:val="auto"/>
                <w:sz w:val="24"/>
              </w:rPr>
            </w:pPr>
          </w:p>
        </w:tc>
        <w:tc>
          <w:tcPr>
            <w:tcW w:w="1170" w:type="dxa"/>
            <w:noWrap w:val="0"/>
            <w:vAlign w:val="center"/>
          </w:tcPr>
          <w:p w14:paraId="7E279768">
            <w:pPr>
              <w:jc w:val="center"/>
              <w:rPr>
                <w:rFonts w:hint="eastAsia" w:ascii="宋体" w:hAnsi="宋体" w:eastAsia="宋体" w:cs="宋体"/>
                <w:b/>
                <w:color w:val="auto"/>
                <w:sz w:val="24"/>
              </w:rPr>
            </w:pPr>
          </w:p>
        </w:tc>
      </w:tr>
      <w:tr w14:paraId="5B6C3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8" w:type="dxa"/>
            <w:noWrap w:val="0"/>
            <w:vAlign w:val="center"/>
          </w:tcPr>
          <w:p w14:paraId="465A74BB">
            <w:pPr>
              <w:jc w:val="center"/>
              <w:rPr>
                <w:rFonts w:hint="eastAsia" w:ascii="宋体" w:hAnsi="宋体" w:eastAsia="宋体" w:cs="宋体"/>
                <w:b/>
                <w:color w:val="auto"/>
                <w:sz w:val="24"/>
              </w:rPr>
            </w:pPr>
          </w:p>
        </w:tc>
        <w:tc>
          <w:tcPr>
            <w:tcW w:w="928" w:type="dxa"/>
            <w:noWrap w:val="0"/>
            <w:vAlign w:val="center"/>
          </w:tcPr>
          <w:p w14:paraId="3C824C80">
            <w:pPr>
              <w:jc w:val="center"/>
              <w:rPr>
                <w:rFonts w:hint="eastAsia" w:ascii="宋体" w:hAnsi="宋体" w:eastAsia="宋体" w:cs="宋体"/>
                <w:b/>
                <w:color w:val="auto"/>
                <w:sz w:val="24"/>
              </w:rPr>
            </w:pPr>
          </w:p>
        </w:tc>
        <w:tc>
          <w:tcPr>
            <w:tcW w:w="928" w:type="dxa"/>
            <w:noWrap w:val="0"/>
            <w:vAlign w:val="center"/>
          </w:tcPr>
          <w:p w14:paraId="233C8036">
            <w:pPr>
              <w:jc w:val="center"/>
              <w:rPr>
                <w:rFonts w:hint="eastAsia" w:ascii="宋体" w:hAnsi="宋体" w:eastAsia="宋体" w:cs="宋体"/>
                <w:b/>
                <w:color w:val="auto"/>
                <w:sz w:val="24"/>
              </w:rPr>
            </w:pPr>
          </w:p>
        </w:tc>
        <w:tc>
          <w:tcPr>
            <w:tcW w:w="1041" w:type="dxa"/>
            <w:noWrap w:val="0"/>
            <w:vAlign w:val="center"/>
          </w:tcPr>
          <w:p w14:paraId="13975627">
            <w:pPr>
              <w:jc w:val="center"/>
              <w:rPr>
                <w:rFonts w:hint="eastAsia" w:ascii="宋体" w:hAnsi="宋体" w:eastAsia="宋体" w:cs="宋体"/>
                <w:b/>
                <w:color w:val="auto"/>
                <w:sz w:val="24"/>
              </w:rPr>
            </w:pPr>
          </w:p>
        </w:tc>
        <w:tc>
          <w:tcPr>
            <w:tcW w:w="1041" w:type="dxa"/>
            <w:noWrap w:val="0"/>
            <w:vAlign w:val="center"/>
          </w:tcPr>
          <w:p w14:paraId="564CA4F3">
            <w:pPr>
              <w:jc w:val="center"/>
              <w:rPr>
                <w:rFonts w:hint="eastAsia" w:ascii="宋体" w:hAnsi="宋体" w:eastAsia="宋体" w:cs="宋体"/>
                <w:b/>
                <w:color w:val="auto"/>
                <w:sz w:val="24"/>
              </w:rPr>
            </w:pPr>
          </w:p>
        </w:tc>
        <w:tc>
          <w:tcPr>
            <w:tcW w:w="1041" w:type="dxa"/>
            <w:noWrap w:val="0"/>
            <w:vAlign w:val="center"/>
          </w:tcPr>
          <w:p w14:paraId="21E767C3">
            <w:pPr>
              <w:jc w:val="center"/>
              <w:rPr>
                <w:rFonts w:hint="eastAsia" w:ascii="宋体" w:hAnsi="宋体" w:eastAsia="宋体" w:cs="宋体"/>
                <w:b/>
                <w:color w:val="auto"/>
                <w:sz w:val="24"/>
              </w:rPr>
            </w:pPr>
          </w:p>
        </w:tc>
        <w:tc>
          <w:tcPr>
            <w:tcW w:w="1041" w:type="dxa"/>
            <w:noWrap w:val="0"/>
            <w:vAlign w:val="center"/>
          </w:tcPr>
          <w:p w14:paraId="678E0C32">
            <w:pPr>
              <w:jc w:val="center"/>
              <w:rPr>
                <w:rFonts w:hint="eastAsia" w:ascii="宋体" w:hAnsi="宋体" w:eastAsia="宋体" w:cs="宋体"/>
                <w:b/>
                <w:color w:val="auto"/>
                <w:sz w:val="24"/>
              </w:rPr>
            </w:pPr>
          </w:p>
        </w:tc>
        <w:tc>
          <w:tcPr>
            <w:tcW w:w="1170" w:type="dxa"/>
            <w:noWrap w:val="0"/>
            <w:vAlign w:val="center"/>
          </w:tcPr>
          <w:p w14:paraId="3AA15DDE">
            <w:pPr>
              <w:jc w:val="center"/>
              <w:rPr>
                <w:rFonts w:hint="eastAsia" w:ascii="宋体" w:hAnsi="宋体" w:eastAsia="宋体" w:cs="宋体"/>
                <w:b/>
                <w:color w:val="auto"/>
                <w:sz w:val="24"/>
              </w:rPr>
            </w:pPr>
          </w:p>
        </w:tc>
        <w:tc>
          <w:tcPr>
            <w:tcW w:w="1170" w:type="dxa"/>
            <w:noWrap w:val="0"/>
            <w:vAlign w:val="center"/>
          </w:tcPr>
          <w:p w14:paraId="78CD23CB">
            <w:pPr>
              <w:jc w:val="center"/>
              <w:rPr>
                <w:rFonts w:hint="eastAsia" w:ascii="宋体" w:hAnsi="宋体" w:eastAsia="宋体" w:cs="宋体"/>
                <w:b/>
                <w:color w:val="auto"/>
                <w:sz w:val="24"/>
              </w:rPr>
            </w:pPr>
          </w:p>
        </w:tc>
      </w:tr>
      <w:tr w14:paraId="65FE8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8" w:type="dxa"/>
            <w:noWrap w:val="0"/>
            <w:vAlign w:val="center"/>
          </w:tcPr>
          <w:p w14:paraId="117E28B7">
            <w:pPr>
              <w:jc w:val="center"/>
              <w:rPr>
                <w:rFonts w:hint="eastAsia" w:ascii="宋体" w:hAnsi="宋体" w:eastAsia="宋体" w:cs="宋体"/>
                <w:b/>
                <w:color w:val="auto"/>
                <w:sz w:val="24"/>
              </w:rPr>
            </w:pPr>
          </w:p>
        </w:tc>
        <w:tc>
          <w:tcPr>
            <w:tcW w:w="928" w:type="dxa"/>
            <w:noWrap w:val="0"/>
            <w:vAlign w:val="center"/>
          </w:tcPr>
          <w:p w14:paraId="2A423150">
            <w:pPr>
              <w:jc w:val="center"/>
              <w:rPr>
                <w:rFonts w:hint="eastAsia" w:ascii="宋体" w:hAnsi="宋体" w:eastAsia="宋体" w:cs="宋体"/>
                <w:b/>
                <w:color w:val="auto"/>
                <w:sz w:val="24"/>
              </w:rPr>
            </w:pPr>
          </w:p>
        </w:tc>
        <w:tc>
          <w:tcPr>
            <w:tcW w:w="928" w:type="dxa"/>
            <w:noWrap w:val="0"/>
            <w:vAlign w:val="center"/>
          </w:tcPr>
          <w:p w14:paraId="02183B58">
            <w:pPr>
              <w:jc w:val="center"/>
              <w:rPr>
                <w:rFonts w:hint="eastAsia" w:ascii="宋体" w:hAnsi="宋体" w:eastAsia="宋体" w:cs="宋体"/>
                <w:b/>
                <w:color w:val="auto"/>
                <w:sz w:val="24"/>
              </w:rPr>
            </w:pPr>
          </w:p>
        </w:tc>
        <w:tc>
          <w:tcPr>
            <w:tcW w:w="1041" w:type="dxa"/>
            <w:noWrap w:val="0"/>
            <w:vAlign w:val="center"/>
          </w:tcPr>
          <w:p w14:paraId="6A734C98">
            <w:pPr>
              <w:jc w:val="center"/>
              <w:rPr>
                <w:rFonts w:hint="eastAsia" w:ascii="宋体" w:hAnsi="宋体" w:eastAsia="宋体" w:cs="宋体"/>
                <w:b/>
                <w:color w:val="auto"/>
                <w:sz w:val="24"/>
              </w:rPr>
            </w:pPr>
          </w:p>
        </w:tc>
        <w:tc>
          <w:tcPr>
            <w:tcW w:w="1041" w:type="dxa"/>
            <w:noWrap w:val="0"/>
            <w:vAlign w:val="center"/>
          </w:tcPr>
          <w:p w14:paraId="20F62C41">
            <w:pPr>
              <w:jc w:val="center"/>
              <w:rPr>
                <w:rFonts w:hint="eastAsia" w:ascii="宋体" w:hAnsi="宋体" w:eastAsia="宋体" w:cs="宋体"/>
                <w:b/>
                <w:color w:val="auto"/>
                <w:sz w:val="24"/>
              </w:rPr>
            </w:pPr>
          </w:p>
        </w:tc>
        <w:tc>
          <w:tcPr>
            <w:tcW w:w="1041" w:type="dxa"/>
            <w:noWrap w:val="0"/>
            <w:vAlign w:val="center"/>
          </w:tcPr>
          <w:p w14:paraId="6DC8275B">
            <w:pPr>
              <w:jc w:val="center"/>
              <w:rPr>
                <w:rFonts w:hint="eastAsia" w:ascii="宋体" w:hAnsi="宋体" w:eastAsia="宋体" w:cs="宋体"/>
                <w:b/>
                <w:color w:val="auto"/>
                <w:sz w:val="24"/>
              </w:rPr>
            </w:pPr>
          </w:p>
        </w:tc>
        <w:tc>
          <w:tcPr>
            <w:tcW w:w="1041" w:type="dxa"/>
            <w:noWrap w:val="0"/>
            <w:vAlign w:val="center"/>
          </w:tcPr>
          <w:p w14:paraId="0AAD6CCA">
            <w:pPr>
              <w:jc w:val="center"/>
              <w:rPr>
                <w:rFonts w:hint="eastAsia" w:ascii="宋体" w:hAnsi="宋体" w:eastAsia="宋体" w:cs="宋体"/>
                <w:b/>
                <w:color w:val="auto"/>
                <w:sz w:val="24"/>
              </w:rPr>
            </w:pPr>
          </w:p>
        </w:tc>
        <w:tc>
          <w:tcPr>
            <w:tcW w:w="1170" w:type="dxa"/>
            <w:noWrap w:val="0"/>
            <w:vAlign w:val="center"/>
          </w:tcPr>
          <w:p w14:paraId="3163FCB7">
            <w:pPr>
              <w:jc w:val="center"/>
              <w:rPr>
                <w:rFonts w:hint="eastAsia" w:ascii="宋体" w:hAnsi="宋体" w:eastAsia="宋体" w:cs="宋体"/>
                <w:b/>
                <w:color w:val="auto"/>
                <w:sz w:val="24"/>
              </w:rPr>
            </w:pPr>
          </w:p>
        </w:tc>
        <w:tc>
          <w:tcPr>
            <w:tcW w:w="1170" w:type="dxa"/>
            <w:noWrap w:val="0"/>
            <w:vAlign w:val="center"/>
          </w:tcPr>
          <w:p w14:paraId="0C8E091E">
            <w:pPr>
              <w:jc w:val="center"/>
              <w:rPr>
                <w:rFonts w:hint="eastAsia" w:ascii="宋体" w:hAnsi="宋体" w:eastAsia="宋体" w:cs="宋体"/>
                <w:b/>
                <w:color w:val="auto"/>
                <w:sz w:val="24"/>
              </w:rPr>
            </w:pPr>
          </w:p>
        </w:tc>
      </w:tr>
      <w:tr w14:paraId="38912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8" w:type="dxa"/>
            <w:noWrap w:val="0"/>
            <w:vAlign w:val="center"/>
          </w:tcPr>
          <w:p w14:paraId="21E12A26">
            <w:pPr>
              <w:jc w:val="center"/>
              <w:rPr>
                <w:rFonts w:hint="eastAsia" w:ascii="宋体" w:hAnsi="宋体" w:eastAsia="宋体" w:cs="宋体"/>
                <w:b/>
                <w:color w:val="auto"/>
                <w:sz w:val="24"/>
              </w:rPr>
            </w:pPr>
          </w:p>
        </w:tc>
        <w:tc>
          <w:tcPr>
            <w:tcW w:w="928" w:type="dxa"/>
            <w:noWrap w:val="0"/>
            <w:vAlign w:val="center"/>
          </w:tcPr>
          <w:p w14:paraId="60B0C20E">
            <w:pPr>
              <w:jc w:val="center"/>
              <w:rPr>
                <w:rFonts w:hint="eastAsia" w:ascii="宋体" w:hAnsi="宋体" w:eastAsia="宋体" w:cs="宋体"/>
                <w:b/>
                <w:color w:val="auto"/>
                <w:sz w:val="24"/>
              </w:rPr>
            </w:pPr>
          </w:p>
        </w:tc>
        <w:tc>
          <w:tcPr>
            <w:tcW w:w="928" w:type="dxa"/>
            <w:noWrap w:val="0"/>
            <w:vAlign w:val="center"/>
          </w:tcPr>
          <w:p w14:paraId="2061D430">
            <w:pPr>
              <w:jc w:val="center"/>
              <w:rPr>
                <w:rFonts w:hint="eastAsia" w:ascii="宋体" w:hAnsi="宋体" w:eastAsia="宋体" w:cs="宋体"/>
                <w:b/>
                <w:color w:val="auto"/>
                <w:sz w:val="24"/>
              </w:rPr>
            </w:pPr>
          </w:p>
        </w:tc>
        <w:tc>
          <w:tcPr>
            <w:tcW w:w="1041" w:type="dxa"/>
            <w:noWrap w:val="0"/>
            <w:vAlign w:val="center"/>
          </w:tcPr>
          <w:p w14:paraId="07AC12EB">
            <w:pPr>
              <w:jc w:val="center"/>
              <w:rPr>
                <w:rFonts w:hint="eastAsia" w:ascii="宋体" w:hAnsi="宋体" w:eastAsia="宋体" w:cs="宋体"/>
                <w:b/>
                <w:color w:val="auto"/>
                <w:sz w:val="24"/>
              </w:rPr>
            </w:pPr>
          </w:p>
        </w:tc>
        <w:tc>
          <w:tcPr>
            <w:tcW w:w="1041" w:type="dxa"/>
            <w:noWrap w:val="0"/>
            <w:vAlign w:val="center"/>
          </w:tcPr>
          <w:p w14:paraId="7B38C87F">
            <w:pPr>
              <w:jc w:val="center"/>
              <w:rPr>
                <w:rFonts w:hint="eastAsia" w:ascii="宋体" w:hAnsi="宋体" w:eastAsia="宋体" w:cs="宋体"/>
                <w:b/>
                <w:color w:val="auto"/>
                <w:sz w:val="24"/>
              </w:rPr>
            </w:pPr>
          </w:p>
        </w:tc>
        <w:tc>
          <w:tcPr>
            <w:tcW w:w="1041" w:type="dxa"/>
            <w:noWrap w:val="0"/>
            <w:vAlign w:val="center"/>
          </w:tcPr>
          <w:p w14:paraId="42DFADC3">
            <w:pPr>
              <w:jc w:val="center"/>
              <w:rPr>
                <w:rFonts w:hint="eastAsia" w:ascii="宋体" w:hAnsi="宋体" w:eastAsia="宋体" w:cs="宋体"/>
                <w:b/>
                <w:color w:val="auto"/>
                <w:sz w:val="24"/>
              </w:rPr>
            </w:pPr>
          </w:p>
        </w:tc>
        <w:tc>
          <w:tcPr>
            <w:tcW w:w="1041" w:type="dxa"/>
            <w:noWrap w:val="0"/>
            <w:vAlign w:val="center"/>
          </w:tcPr>
          <w:p w14:paraId="403551A7">
            <w:pPr>
              <w:jc w:val="center"/>
              <w:rPr>
                <w:rFonts w:hint="eastAsia" w:ascii="宋体" w:hAnsi="宋体" w:eastAsia="宋体" w:cs="宋体"/>
                <w:b/>
                <w:color w:val="auto"/>
                <w:sz w:val="24"/>
              </w:rPr>
            </w:pPr>
          </w:p>
        </w:tc>
        <w:tc>
          <w:tcPr>
            <w:tcW w:w="1170" w:type="dxa"/>
            <w:noWrap w:val="0"/>
            <w:vAlign w:val="center"/>
          </w:tcPr>
          <w:p w14:paraId="1608E6C4">
            <w:pPr>
              <w:jc w:val="center"/>
              <w:rPr>
                <w:rFonts w:hint="eastAsia" w:ascii="宋体" w:hAnsi="宋体" w:eastAsia="宋体" w:cs="宋体"/>
                <w:b/>
                <w:color w:val="auto"/>
                <w:sz w:val="24"/>
              </w:rPr>
            </w:pPr>
          </w:p>
        </w:tc>
        <w:tc>
          <w:tcPr>
            <w:tcW w:w="1170" w:type="dxa"/>
            <w:noWrap w:val="0"/>
            <w:vAlign w:val="center"/>
          </w:tcPr>
          <w:p w14:paraId="62CD8897">
            <w:pPr>
              <w:jc w:val="center"/>
              <w:rPr>
                <w:rFonts w:hint="eastAsia" w:ascii="宋体" w:hAnsi="宋体" w:eastAsia="宋体" w:cs="宋体"/>
                <w:b/>
                <w:color w:val="auto"/>
                <w:sz w:val="24"/>
              </w:rPr>
            </w:pPr>
          </w:p>
        </w:tc>
      </w:tr>
    </w:tbl>
    <w:p w14:paraId="54D5DE86">
      <w:pPr>
        <w:rPr>
          <w:rFonts w:hint="eastAsia" w:ascii="宋体" w:hAnsi="宋体" w:eastAsia="宋体" w:cs="宋体"/>
          <w:b/>
          <w:color w:val="auto"/>
          <w:kern w:val="0"/>
          <w:szCs w:val="21"/>
        </w:rPr>
      </w:pPr>
      <w:r>
        <w:rPr>
          <w:rFonts w:hint="eastAsia" w:ascii="宋体" w:hAnsi="宋体" w:eastAsia="宋体" w:cs="宋体"/>
          <w:b/>
          <w:color w:val="auto"/>
          <w:kern w:val="0"/>
          <w:szCs w:val="21"/>
        </w:rPr>
        <w:t>【备注：附以上各岗位人员资格证件等复印件，以及供应商认为需要增加的其他证明材料复印件，以上复印件页面均须加盖供应商单位公章。】</w:t>
      </w:r>
    </w:p>
    <w:p w14:paraId="30A4DA64">
      <w:pPr>
        <w:spacing w:line="360" w:lineRule="auto"/>
        <w:rPr>
          <w:rFonts w:hint="eastAsia" w:ascii="宋体" w:hAnsi="宋体" w:eastAsia="宋体" w:cs="宋体"/>
          <w:color w:val="auto"/>
          <w:kern w:val="0"/>
          <w:sz w:val="24"/>
        </w:rPr>
      </w:pPr>
    </w:p>
    <w:p w14:paraId="59664E99">
      <w:pPr>
        <w:pStyle w:val="2"/>
        <w:rPr>
          <w:rFonts w:hint="eastAsia" w:ascii="宋体" w:hAnsi="宋体" w:eastAsia="宋体" w:cs="宋体"/>
          <w:color w:val="auto"/>
          <w:kern w:val="0"/>
          <w:sz w:val="24"/>
        </w:rPr>
      </w:pPr>
    </w:p>
    <w:p w14:paraId="24B6793D">
      <w:pPr>
        <w:pStyle w:val="36"/>
        <w:rPr>
          <w:rFonts w:hint="eastAsia" w:ascii="宋体" w:hAnsi="宋体" w:eastAsia="宋体" w:cs="宋体"/>
          <w:color w:val="auto"/>
          <w:kern w:val="0"/>
          <w:sz w:val="24"/>
        </w:rPr>
      </w:pPr>
    </w:p>
    <w:p w14:paraId="137CAAE4">
      <w:pPr>
        <w:rPr>
          <w:rFonts w:hint="eastAsia" w:ascii="宋体" w:hAnsi="宋体" w:eastAsia="宋体" w:cs="宋体"/>
          <w:color w:val="auto"/>
          <w:kern w:val="0"/>
          <w:sz w:val="24"/>
        </w:rPr>
      </w:pPr>
    </w:p>
    <w:p w14:paraId="6864520A">
      <w:pPr>
        <w:pStyle w:val="2"/>
        <w:rPr>
          <w:rFonts w:hint="eastAsia" w:ascii="宋体" w:hAnsi="宋体" w:eastAsia="宋体" w:cs="宋体"/>
          <w:color w:val="auto"/>
          <w:kern w:val="0"/>
          <w:sz w:val="24"/>
        </w:rPr>
      </w:pPr>
    </w:p>
    <w:p w14:paraId="055F82B4">
      <w:pPr>
        <w:spacing w:line="300" w:lineRule="auto"/>
        <w:rPr>
          <w:rFonts w:hint="eastAsia" w:ascii="宋体" w:hAnsi="宋体"/>
          <w:b/>
          <w:bCs/>
          <w:color w:val="auto"/>
          <w:sz w:val="24"/>
        </w:rPr>
      </w:pPr>
    </w:p>
    <w:p w14:paraId="40DF223B">
      <w:pPr>
        <w:pStyle w:val="26"/>
        <w:rPr>
          <w:rFonts w:hint="eastAsia"/>
        </w:rPr>
      </w:pPr>
    </w:p>
    <w:p w14:paraId="69E48A21">
      <w:pPr>
        <w:pStyle w:val="26"/>
        <w:rPr>
          <w:rFonts w:hint="eastAsia"/>
        </w:rPr>
      </w:pPr>
    </w:p>
    <w:p w14:paraId="6E7EC6E3">
      <w:pPr>
        <w:spacing w:line="360" w:lineRule="auto"/>
        <w:jc w:val="center"/>
        <w:rPr>
          <w:rFonts w:ascii="宋体" w:hAnsi="宋体" w:cs="方正小标宋简体"/>
          <w:b/>
          <w:color w:val="auto"/>
          <w:sz w:val="32"/>
          <w:szCs w:val="32"/>
          <w:highlight w:val="none"/>
        </w:rPr>
      </w:pPr>
      <w:r>
        <w:rPr>
          <w:rFonts w:hint="eastAsia" w:ascii="宋体" w:hAnsi="宋体" w:cs="方正小标宋简体"/>
          <w:b/>
          <w:color w:val="auto"/>
          <w:sz w:val="32"/>
          <w:szCs w:val="32"/>
          <w:highlight w:val="none"/>
        </w:rPr>
        <w:t>建筑材料和设备节能环保要求承诺书</w:t>
      </w:r>
    </w:p>
    <w:p w14:paraId="7D15800F">
      <w:pPr>
        <w:spacing w:line="360" w:lineRule="auto"/>
        <w:jc w:val="center"/>
        <w:rPr>
          <w:rFonts w:hint="eastAsia" w:ascii="宋体" w:hAnsi="宋体" w:cs="宋体"/>
          <w:color w:val="auto"/>
          <w:szCs w:val="21"/>
          <w:highlight w:val="none"/>
        </w:rPr>
      </w:pPr>
    </w:p>
    <w:p w14:paraId="16750008">
      <w:pPr>
        <w:spacing w:line="360" w:lineRule="auto"/>
        <w:ind w:firstLine="480" w:firstLineChars="200"/>
        <w:jc w:val="left"/>
        <w:rPr>
          <w:rFonts w:hint="eastAsia"/>
          <w:color w:val="auto"/>
          <w:sz w:val="24"/>
          <w:highlight w:val="none"/>
        </w:rPr>
      </w:pPr>
      <w:r>
        <w:rPr>
          <w:rFonts w:hint="eastAsia"/>
          <w:color w:val="auto"/>
          <w:sz w:val="24"/>
          <w:highlight w:val="none"/>
        </w:rPr>
        <w:t>我方承诺，一旦成交，我方保证严格执行</w:t>
      </w:r>
      <w:r>
        <w:rPr>
          <w:rFonts w:hint="eastAsia" w:cs="宋体"/>
          <w:color w:val="auto"/>
          <w:sz w:val="24"/>
          <w:highlight w:val="none"/>
        </w:rPr>
        <w:t>《</w:t>
      </w:r>
      <w:r>
        <w:rPr>
          <w:rFonts w:hint="eastAsia" w:ascii="宋体" w:hAnsi="宋体"/>
          <w:color w:val="auto"/>
          <w:sz w:val="24"/>
          <w:highlight w:val="none"/>
        </w:rPr>
        <w:t>财政部 国家发展改革委关于印发《节能产品政府采购实施意见》的通知</w:t>
      </w:r>
      <w:r>
        <w:rPr>
          <w:rFonts w:hint="eastAsia" w:cs="宋体"/>
          <w:color w:val="auto"/>
          <w:sz w:val="24"/>
          <w:highlight w:val="none"/>
        </w:rPr>
        <w:t>》</w:t>
      </w:r>
      <w:r>
        <w:rPr>
          <w:rFonts w:hint="eastAsia" w:ascii="宋体" w:hAnsi="宋体"/>
          <w:color w:val="auto"/>
          <w:sz w:val="24"/>
          <w:highlight w:val="none"/>
        </w:rPr>
        <w:t>（财库〔2004〕185号）、</w:t>
      </w:r>
      <w:r>
        <w:rPr>
          <w:rFonts w:hint="eastAsia" w:cs="宋体"/>
          <w:color w:val="auto"/>
          <w:sz w:val="24"/>
          <w:highlight w:val="none"/>
        </w:rPr>
        <w:t>《财政部</w:t>
      </w:r>
      <w:r>
        <w:rPr>
          <w:rFonts w:cs="宋体"/>
          <w:color w:val="auto"/>
          <w:sz w:val="24"/>
          <w:highlight w:val="none"/>
        </w:rPr>
        <w:t xml:space="preserve"> </w:t>
      </w:r>
      <w:r>
        <w:rPr>
          <w:rFonts w:hint="eastAsia" w:cs="宋体"/>
          <w:color w:val="auto"/>
          <w:sz w:val="24"/>
          <w:highlight w:val="none"/>
        </w:rPr>
        <w:t>发展改革委</w:t>
      </w:r>
      <w:r>
        <w:rPr>
          <w:rFonts w:cs="宋体"/>
          <w:color w:val="auto"/>
          <w:sz w:val="24"/>
          <w:highlight w:val="none"/>
        </w:rPr>
        <w:t xml:space="preserve"> </w:t>
      </w:r>
      <w:r>
        <w:rPr>
          <w:rFonts w:hint="eastAsia" w:cs="宋体"/>
          <w:color w:val="auto"/>
          <w:sz w:val="24"/>
          <w:highlight w:val="none"/>
        </w:rPr>
        <w:t>生态环境部</w:t>
      </w:r>
      <w:r>
        <w:rPr>
          <w:rFonts w:cs="宋体"/>
          <w:color w:val="auto"/>
          <w:sz w:val="24"/>
          <w:highlight w:val="none"/>
        </w:rPr>
        <w:t xml:space="preserve"> </w:t>
      </w:r>
      <w:r>
        <w:rPr>
          <w:rFonts w:hint="eastAsia" w:cs="宋体"/>
          <w:color w:val="auto"/>
          <w:sz w:val="24"/>
          <w:highlight w:val="none"/>
        </w:rPr>
        <w:t>市场监管总局关于调整优化节能产品、环境标志产品政府采购执行机制的通知》（财库〔</w:t>
      </w:r>
      <w:r>
        <w:rPr>
          <w:rFonts w:cs="宋体"/>
          <w:color w:val="auto"/>
          <w:sz w:val="24"/>
          <w:highlight w:val="none"/>
        </w:rPr>
        <w:t>2019</w:t>
      </w:r>
      <w:r>
        <w:rPr>
          <w:rFonts w:hint="eastAsia" w:cs="宋体"/>
          <w:color w:val="auto"/>
          <w:sz w:val="24"/>
          <w:highlight w:val="none"/>
        </w:rPr>
        <w:t>〕</w:t>
      </w:r>
      <w:r>
        <w:rPr>
          <w:rFonts w:cs="宋体"/>
          <w:color w:val="auto"/>
          <w:sz w:val="24"/>
          <w:highlight w:val="none"/>
        </w:rPr>
        <w:t>9</w:t>
      </w:r>
      <w:r>
        <w:rPr>
          <w:rFonts w:hint="eastAsia" w:cs="宋体"/>
          <w:color w:val="auto"/>
          <w:sz w:val="24"/>
          <w:highlight w:val="none"/>
        </w:rPr>
        <w:t>号）和《关于印发节能产品政府采购品目清单的通知》（财库〔</w:t>
      </w:r>
      <w:r>
        <w:rPr>
          <w:rFonts w:cs="宋体"/>
          <w:color w:val="auto"/>
          <w:sz w:val="24"/>
          <w:highlight w:val="none"/>
        </w:rPr>
        <w:t>2019</w:t>
      </w:r>
      <w:r>
        <w:rPr>
          <w:rFonts w:hint="eastAsia" w:cs="宋体"/>
          <w:color w:val="auto"/>
          <w:sz w:val="24"/>
          <w:highlight w:val="none"/>
        </w:rPr>
        <w:t>〕</w:t>
      </w:r>
      <w:r>
        <w:rPr>
          <w:rFonts w:cs="宋体"/>
          <w:color w:val="auto"/>
          <w:sz w:val="24"/>
          <w:highlight w:val="none"/>
        </w:rPr>
        <w:t>19</w:t>
      </w:r>
      <w:r>
        <w:rPr>
          <w:rFonts w:hint="eastAsia" w:cs="宋体"/>
          <w:color w:val="auto"/>
          <w:sz w:val="24"/>
          <w:highlight w:val="none"/>
        </w:rPr>
        <w:t>号）的规定，所有工程中涉及的建筑材料和设备如属于财库〔</w:t>
      </w:r>
      <w:r>
        <w:rPr>
          <w:rFonts w:cs="宋体"/>
          <w:color w:val="auto"/>
          <w:sz w:val="24"/>
          <w:highlight w:val="none"/>
        </w:rPr>
        <w:t>2019</w:t>
      </w:r>
      <w:r>
        <w:rPr>
          <w:rFonts w:hint="eastAsia" w:cs="宋体"/>
          <w:color w:val="auto"/>
          <w:sz w:val="24"/>
          <w:highlight w:val="none"/>
        </w:rPr>
        <w:t>〕</w:t>
      </w:r>
      <w:r>
        <w:rPr>
          <w:rFonts w:cs="宋体"/>
          <w:color w:val="auto"/>
          <w:sz w:val="24"/>
          <w:highlight w:val="none"/>
        </w:rPr>
        <w:t>19</w:t>
      </w:r>
      <w:r>
        <w:rPr>
          <w:rFonts w:hint="eastAsia" w:cs="宋体"/>
          <w:color w:val="auto"/>
          <w:sz w:val="24"/>
          <w:highlight w:val="none"/>
        </w:rPr>
        <w:t>号文中《节能产品政府采购品目清单》内标注“★”的产品，都使用政府强制采购的节能产品。</w:t>
      </w:r>
      <w:r>
        <w:rPr>
          <w:rFonts w:hint="eastAsia"/>
          <w:color w:val="auto"/>
          <w:sz w:val="24"/>
          <w:highlight w:val="none"/>
        </w:rPr>
        <w:t>如我方在该项目的承包中出现未按规定执行的情形，我方愿意按照相关规定接受采购人及有关行政主管部门的处罚，愿意承担一切后果，并不再寻求任何旨在减轻或者免除法律责任的辩解。</w:t>
      </w:r>
    </w:p>
    <w:p w14:paraId="5F2CA941">
      <w:pPr>
        <w:spacing w:line="360" w:lineRule="auto"/>
        <w:ind w:firstLine="480" w:firstLineChars="200"/>
        <w:jc w:val="center"/>
        <w:rPr>
          <w:color w:val="auto"/>
          <w:sz w:val="24"/>
          <w:highlight w:val="none"/>
        </w:rPr>
      </w:pPr>
    </w:p>
    <w:p w14:paraId="1E278A00">
      <w:pPr>
        <w:spacing w:line="360" w:lineRule="auto"/>
        <w:rPr>
          <w:rFonts w:ascii="宋体" w:hAnsi="宋体" w:cs="仿宋_GB2312"/>
          <w:color w:val="auto"/>
          <w:sz w:val="24"/>
          <w:highlight w:val="none"/>
        </w:rPr>
      </w:pPr>
    </w:p>
    <w:p w14:paraId="192D08CB">
      <w:pPr>
        <w:spacing w:line="360" w:lineRule="auto"/>
        <w:ind w:firstLine="3600" w:firstLineChars="1500"/>
        <w:rPr>
          <w:rFonts w:hint="eastAsia" w:ascii="宋体" w:hAnsi="宋体" w:cs="仿宋_GB2312"/>
          <w:color w:val="auto"/>
          <w:sz w:val="24"/>
          <w:highlight w:val="none"/>
        </w:rPr>
      </w:pPr>
      <w:r>
        <w:rPr>
          <w:rFonts w:hint="eastAsia" w:ascii="宋体" w:hAnsi="宋体" w:cs="仿宋_GB2312"/>
          <w:color w:val="auto"/>
          <w:sz w:val="24"/>
          <w:highlight w:val="none"/>
        </w:rPr>
        <w:t>供应商（电子签章）：</w:t>
      </w:r>
    </w:p>
    <w:p w14:paraId="3A2A2F4E">
      <w:pPr>
        <w:spacing w:line="300" w:lineRule="auto"/>
        <w:rPr>
          <w:rFonts w:hint="eastAsia" w:ascii="宋体" w:hAnsi="宋体"/>
          <w:b/>
          <w:bCs/>
          <w:color w:val="auto"/>
          <w:sz w:val="24"/>
        </w:rPr>
      </w:pPr>
      <w:r>
        <w:rPr>
          <w:rFonts w:hint="eastAsia" w:ascii="宋体" w:hAnsi="宋体" w:cs="仿宋_GB2312"/>
          <w:color w:val="auto"/>
          <w:sz w:val="24"/>
          <w:highlight w:val="none"/>
        </w:rPr>
        <w:t xml:space="preserve">                               年   月   日</w:t>
      </w:r>
      <w:r>
        <w:rPr>
          <w:rFonts w:ascii="宋体" w:hAnsi="宋体" w:cs="仿宋_GB2312"/>
          <w:color w:val="auto"/>
          <w:sz w:val="24"/>
          <w:highlight w:val="none"/>
        </w:rPr>
        <w:br w:type="page"/>
      </w:r>
    </w:p>
    <w:p w14:paraId="7C853E61">
      <w:pPr>
        <w:spacing w:line="300" w:lineRule="auto"/>
        <w:rPr>
          <w:rFonts w:hint="eastAsia" w:ascii="宋体" w:hAnsi="宋体"/>
          <w:b/>
          <w:bCs/>
          <w:color w:val="auto"/>
          <w:sz w:val="24"/>
        </w:rPr>
      </w:pPr>
      <w:r>
        <w:rPr>
          <w:rFonts w:hint="eastAsia" w:ascii="宋体" w:hAnsi="宋体"/>
          <w:b/>
          <w:bCs/>
          <w:color w:val="auto"/>
          <w:sz w:val="24"/>
        </w:rPr>
        <w:t>其他文书、文件格式</w:t>
      </w:r>
    </w:p>
    <w:p w14:paraId="434F6F60">
      <w:pPr>
        <w:spacing w:line="300" w:lineRule="auto"/>
        <w:rPr>
          <w:rFonts w:hint="eastAsia" w:ascii="宋体" w:hAnsi="宋体"/>
          <w:b/>
          <w:bCs/>
          <w:color w:val="auto"/>
          <w:sz w:val="24"/>
        </w:rPr>
      </w:pPr>
    </w:p>
    <w:p w14:paraId="192FC136">
      <w:pPr>
        <w:keepNext w:val="0"/>
        <w:keepLines w:val="0"/>
        <w:widowControl/>
        <w:suppressLineNumbers w:val="0"/>
        <w:jc w:val="left"/>
        <w:rPr>
          <w:rFonts w:hint="eastAsia" w:ascii="宋体" w:hAnsi="宋体" w:eastAsia="宋体" w:cs="宋体"/>
          <w:b/>
          <w:bCs/>
          <w:color w:val="auto"/>
          <w:sz w:val="32"/>
          <w:szCs w:val="32"/>
        </w:rPr>
      </w:pPr>
      <w:r>
        <w:rPr>
          <w:rFonts w:hint="eastAsia" w:ascii="宋体" w:hAnsi="宋体" w:eastAsia="宋体" w:cs="宋体"/>
          <w:b/>
          <w:bCs/>
          <w:color w:val="auto"/>
          <w:sz w:val="32"/>
          <w:szCs w:val="32"/>
          <w:lang w:val="en-US" w:eastAsia="zh-CN"/>
        </w:rPr>
        <w:t>最后报价的格式</w:t>
      </w:r>
    </w:p>
    <w:p w14:paraId="31A8516B">
      <w:pPr>
        <w:keepNext w:val="0"/>
        <w:keepLines w:val="0"/>
        <w:widowControl/>
        <w:suppressLineNumbers w:val="0"/>
        <w:jc w:val="center"/>
        <w:rPr>
          <w:rFonts w:hint="eastAsia" w:ascii="宋体" w:hAnsi="宋体" w:eastAsia="宋体" w:cs="宋体"/>
          <w:color w:val="auto"/>
          <w:sz w:val="32"/>
          <w:szCs w:val="32"/>
          <w:highlight w:val="none"/>
        </w:rPr>
      </w:pPr>
      <w:r>
        <w:rPr>
          <w:rFonts w:hint="eastAsia" w:ascii="宋体" w:hAnsi="宋体" w:cs="宋体"/>
          <w:color w:val="auto"/>
          <w:sz w:val="32"/>
          <w:szCs w:val="32"/>
          <w:highlight w:val="none"/>
          <w:lang w:val="en-US" w:eastAsia="zh-CN"/>
        </w:rPr>
        <w:t xml:space="preserve">陆川县人民医院高压、低压供电系统改造工程项目 </w:t>
      </w:r>
    </w:p>
    <w:p w14:paraId="48D1CE2A">
      <w:pPr>
        <w:keepNext w:val="0"/>
        <w:keepLines w:val="0"/>
        <w:widowControl/>
        <w:suppressLineNumbers w:val="0"/>
        <w:jc w:val="center"/>
        <w:rPr>
          <w:rFonts w:hint="eastAsia" w:ascii="宋体" w:hAnsi="宋体" w:eastAsia="宋体" w:cs="宋体"/>
          <w:color w:val="auto"/>
          <w:sz w:val="32"/>
          <w:szCs w:val="32"/>
        </w:rPr>
      </w:pPr>
      <w:r>
        <w:rPr>
          <w:rFonts w:hint="eastAsia" w:ascii="宋体" w:hAnsi="宋体" w:eastAsia="宋体" w:cs="宋体"/>
          <w:color w:val="auto"/>
          <w:sz w:val="32"/>
          <w:szCs w:val="32"/>
          <w:lang w:val="en-US" w:eastAsia="zh-CN"/>
        </w:rPr>
        <w:t>最后报价表</w:t>
      </w:r>
    </w:p>
    <w:p w14:paraId="017EAE27">
      <w:pPr>
        <w:spacing w:line="360" w:lineRule="auto"/>
        <w:jc w:val="center"/>
        <w:rPr>
          <w:rFonts w:hint="eastAsia" w:ascii="方正小标宋简体" w:hAnsi="方正小标宋简体" w:eastAsia="方正小标宋简体" w:cs="方正小标宋简体"/>
          <w:color w:val="auto"/>
          <w:sz w:val="40"/>
          <w:szCs w:val="40"/>
          <w:highlight w:val="none"/>
        </w:rPr>
      </w:pPr>
    </w:p>
    <w:tbl>
      <w:tblPr>
        <w:tblStyle w:val="28"/>
        <w:tblpPr w:leftFromText="180" w:rightFromText="180" w:vertAnchor="text" w:horzAnchor="page" w:tblpX="1530" w:tblpY="31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7"/>
        <w:gridCol w:w="2712"/>
        <w:gridCol w:w="1484"/>
        <w:gridCol w:w="3128"/>
        <w:gridCol w:w="1184"/>
      </w:tblGrid>
      <w:tr w14:paraId="68120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trPr>
        <w:tc>
          <w:tcPr>
            <w:tcW w:w="587" w:type="dxa"/>
            <w:tcBorders>
              <w:top w:val="single" w:color="auto" w:sz="4" w:space="0"/>
              <w:left w:val="single" w:color="auto" w:sz="4" w:space="0"/>
              <w:bottom w:val="single" w:color="auto" w:sz="4" w:space="0"/>
              <w:right w:val="single" w:color="auto" w:sz="4" w:space="0"/>
            </w:tcBorders>
            <w:noWrap w:val="0"/>
            <w:vAlign w:val="center"/>
          </w:tcPr>
          <w:p w14:paraId="71664B54">
            <w:pPr>
              <w:spacing w:line="360" w:lineRule="auto"/>
              <w:contextualSpacing/>
              <w:jc w:val="center"/>
              <w:rPr>
                <w:rFonts w:ascii="宋体" w:hAnsi="宋体" w:cs="仿宋_GB2312"/>
                <w:color w:val="auto"/>
                <w:sz w:val="21"/>
                <w:szCs w:val="21"/>
                <w:highlight w:val="none"/>
              </w:rPr>
            </w:pPr>
            <w:r>
              <w:rPr>
                <w:rFonts w:ascii="宋体" w:hAnsi="宋体" w:cs="仿宋_GB2312"/>
                <w:color w:val="auto"/>
                <w:sz w:val="21"/>
                <w:szCs w:val="21"/>
                <w:highlight w:val="none"/>
              </w:rPr>
              <w:t>序号</w:t>
            </w:r>
          </w:p>
        </w:tc>
        <w:tc>
          <w:tcPr>
            <w:tcW w:w="2712" w:type="dxa"/>
            <w:tcBorders>
              <w:top w:val="single" w:color="auto" w:sz="4" w:space="0"/>
              <w:left w:val="single" w:color="auto" w:sz="4" w:space="0"/>
              <w:bottom w:val="single" w:color="auto" w:sz="4" w:space="0"/>
              <w:right w:val="single" w:color="auto" w:sz="4" w:space="0"/>
            </w:tcBorders>
            <w:noWrap w:val="0"/>
            <w:vAlign w:val="center"/>
          </w:tcPr>
          <w:p w14:paraId="483B578D">
            <w:pPr>
              <w:spacing w:line="360" w:lineRule="auto"/>
              <w:contextualSpacing/>
              <w:jc w:val="center"/>
              <w:rPr>
                <w:rFonts w:ascii="宋体" w:hAnsi="宋体" w:cs="仿宋_GB2312"/>
                <w:color w:val="auto"/>
                <w:sz w:val="21"/>
                <w:szCs w:val="21"/>
                <w:highlight w:val="none"/>
              </w:rPr>
            </w:pPr>
            <w:r>
              <w:rPr>
                <w:rFonts w:hint="eastAsia" w:ascii="宋体" w:hAnsi="宋体" w:cs="仿宋_GB2312"/>
                <w:color w:val="auto"/>
                <w:sz w:val="21"/>
                <w:szCs w:val="21"/>
                <w:highlight w:val="none"/>
              </w:rPr>
              <w:t>标的</w:t>
            </w:r>
            <w:r>
              <w:rPr>
                <w:rFonts w:hint="eastAsia" w:ascii="宋体" w:hAnsi="宋体" w:cs="仿宋_GB2312"/>
                <w:color w:val="auto"/>
                <w:sz w:val="21"/>
                <w:szCs w:val="21"/>
                <w:highlight w:val="none"/>
                <w:lang w:val="en-US" w:eastAsia="zh-CN"/>
              </w:rPr>
              <w:t>的</w:t>
            </w:r>
            <w:r>
              <w:rPr>
                <w:rFonts w:ascii="宋体" w:hAnsi="宋体" w:cs="仿宋_GB2312"/>
                <w:color w:val="auto"/>
                <w:sz w:val="21"/>
                <w:szCs w:val="21"/>
                <w:highlight w:val="none"/>
              </w:rPr>
              <w:t>名称</w:t>
            </w:r>
          </w:p>
        </w:tc>
        <w:tc>
          <w:tcPr>
            <w:tcW w:w="1484" w:type="dxa"/>
            <w:tcBorders>
              <w:top w:val="single" w:color="auto" w:sz="4" w:space="0"/>
              <w:left w:val="single" w:color="auto" w:sz="4" w:space="0"/>
              <w:bottom w:val="single" w:color="auto" w:sz="4" w:space="0"/>
              <w:right w:val="single" w:color="auto" w:sz="4" w:space="0"/>
            </w:tcBorders>
            <w:noWrap w:val="0"/>
            <w:vAlign w:val="center"/>
          </w:tcPr>
          <w:p w14:paraId="5082608A">
            <w:pPr>
              <w:spacing w:line="360" w:lineRule="auto"/>
              <w:contextualSpacing/>
              <w:jc w:val="center"/>
              <w:rPr>
                <w:rFonts w:ascii="宋体" w:hAnsi="宋体" w:cs="仿宋_GB2312"/>
                <w:color w:val="auto"/>
                <w:sz w:val="21"/>
                <w:szCs w:val="21"/>
                <w:highlight w:val="none"/>
              </w:rPr>
            </w:pPr>
            <w:r>
              <w:rPr>
                <w:rFonts w:hint="eastAsia" w:ascii="宋体" w:hAnsi="宋体" w:cs="仿宋_GB2312"/>
                <w:color w:val="auto"/>
                <w:sz w:val="21"/>
                <w:szCs w:val="21"/>
                <w:highlight w:val="none"/>
              </w:rPr>
              <w:t>数量及单位</w:t>
            </w:r>
          </w:p>
        </w:tc>
        <w:tc>
          <w:tcPr>
            <w:tcW w:w="3128" w:type="dxa"/>
            <w:tcBorders>
              <w:top w:val="single" w:color="auto" w:sz="4" w:space="0"/>
              <w:left w:val="single" w:color="auto" w:sz="4" w:space="0"/>
              <w:bottom w:val="single" w:color="auto" w:sz="4" w:space="0"/>
              <w:right w:val="single" w:color="auto" w:sz="4" w:space="0"/>
            </w:tcBorders>
            <w:noWrap w:val="0"/>
            <w:vAlign w:val="center"/>
          </w:tcPr>
          <w:p w14:paraId="229FBD1D">
            <w:pPr>
              <w:spacing w:line="360" w:lineRule="auto"/>
              <w:contextualSpacing/>
              <w:jc w:val="center"/>
              <w:rPr>
                <w:rFonts w:ascii="宋体" w:hAnsi="宋体" w:cs="仿宋_GB2312"/>
                <w:color w:val="auto"/>
                <w:sz w:val="21"/>
                <w:szCs w:val="21"/>
                <w:highlight w:val="none"/>
              </w:rPr>
            </w:pPr>
            <w:r>
              <w:rPr>
                <w:rFonts w:hint="eastAsia" w:ascii="宋体" w:hAnsi="宋体" w:cs="仿宋_GB2312"/>
                <w:color w:val="auto"/>
                <w:sz w:val="21"/>
                <w:szCs w:val="21"/>
                <w:highlight w:val="none"/>
              </w:rPr>
              <w:t>竞标总报价</w:t>
            </w:r>
          </w:p>
        </w:tc>
        <w:tc>
          <w:tcPr>
            <w:tcW w:w="1184" w:type="dxa"/>
            <w:tcBorders>
              <w:top w:val="single" w:color="auto" w:sz="4" w:space="0"/>
              <w:left w:val="single" w:color="auto" w:sz="4" w:space="0"/>
              <w:bottom w:val="single" w:color="auto" w:sz="4" w:space="0"/>
              <w:right w:val="single" w:color="auto" w:sz="4" w:space="0"/>
            </w:tcBorders>
            <w:noWrap w:val="0"/>
            <w:vAlign w:val="center"/>
          </w:tcPr>
          <w:p w14:paraId="1723DC35">
            <w:pPr>
              <w:spacing w:line="360" w:lineRule="auto"/>
              <w:contextualSpacing/>
              <w:jc w:val="center"/>
              <w:rPr>
                <w:rFonts w:ascii="宋体" w:hAnsi="宋体" w:cs="仿宋_GB2312"/>
                <w:color w:val="auto"/>
                <w:sz w:val="21"/>
                <w:szCs w:val="21"/>
                <w:highlight w:val="none"/>
              </w:rPr>
            </w:pPr>
            <w:r>
              <w:rPr>
                <w:rFonts w:ascii="宋体" w:hAnsi="宋体" w:cs="仿宋_GB2312"/>
                <w:color w:val="auto"/>
                <w:sz w:val="21"/>
                <w:szCs w:val="21"/>
                <w:highlight w:val="none"/>
              </w:rPr>
              <w:t>备注</w:t>
            </w:r>
          </w:p>
        </w:tc>
      </w:tr>
      <w:tr w14:paraId="35EBD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trPr>
        <w:tc>
          <w:tcPr>
            <w:tcW w:w="587" w:type="dxa"/>
            <w:tcBorders>
              <w:top w:val="single" w:color="auto" w:sz="4" w:space="0"/>
              <w:left w:val="single" w:color="auto" w:sz="4" w:space="0"/>
              <w:bottom w:val="single" w:color="auto" w:sz="4" w:space="0"/>
              <w:right w:val="single" w:color="auto" w:sz="4" w:space="0"/>
            </w:tcBorders>
            <w:noWrap w:val="0"/>
            <w:vAlign w:val="center"/>
          </w:tcPr>
          <w:p w14:paraId="2CACA278">
            <w:pPr>
              <w:spacing w:line="360" w:lineRule="auto"/>
              <w:contextualSpacing/>
              <w:jc w:val="center"/>
              <w:rPr>
                <w:rFonts w:ascii="宋体" w:hAnsi="宋体" w:cs="仿宋_GB2312"/>
                <w:color w:val="auto"/>
                <w:sz w:val="21"/>
                <w:szCs w:val="21"/>
                <w:highlight w:val="none"/>
              </w:rPr>
            </w:pPr>
            <w:r>
              <w:rPr>
                <w:rFonts w:hint="eastAsia" w:ascii="宋体" w:hAnsi="宋体" w:cs="仿宋_GB2312"/>
                <w:color w:val="auto"/>
                <w:sz w:val="21"/>
                <w:szCs w:val="21"/>
                <w:highlight w:val="none"/>
                <w:lang w:val="en-US" w:eastAsia="zh-CN"/>
              </w:rPr>
              <w:t>1</w:t>
            </w:r>
          </w:p>
        </w:tc>
        <w:tc>
          <w:tcPr>
            <w:tcW w:w="2712" w:type="dxa"/>
            <w:tcBorders>
              <w:top w:val="single" w:color="auto" w:sz="4" w:space="0"/>
              <w:left w:val="single" w:color="auto" w:sz="4" w:space="0"/>
              <w:bottom w:val="single" w:color="auto" w:sz="4" w:space="0"/>
              <w:right w:val="single" w:color="auto" w:sz="4" w:space="0"/>
            </w:tcBorders>
            <w:noWrap w:val="0"/>
            <w:vAlign w:val="center"/>
          </w:tcPr>
          <w:p w14:paraId="215C2F19">
            <w:pPr>
              <w:spacing w:line="360" w:lineRule="auto"/>
              <w:contextualSpacing/>
              <w:jc w:val="center"/>
              <w:rPr>
                <w:rFonts w:ascii="宋体" w:hAnsi="宋体" w:cs="仿宋_GB2312"/>
                <w:color w:val="auto"/>
                <w:sz w:val="21"/>
                <w:szCs w:val="21"/>
                <w:highlight w:val="none"/>
              </w:rPr>
            </w:pPr>
          </w:p>
        </w:tc>
        <w:tc>
          <w:tcPr>
            <w:tcW w:w="1484" w:type="dxa"/>
            <w:tcBorders>
              <w:top w:val="single" w:color="auto" w:sz="4" w:space="0"/>
              <w:left w:val="single" w:color="auto" w:sz="4" w:space="0"/>
              <w:bottom w:val="single" w:color="auto" w:sz="4" w:space="0"/>
              <w:right w:val="single" w:color="auto" w:sz="4" w:space="0"/>
            </w:tcBorders>
            <w:noWrap w:val="0"/>
            <w:vAlign w:val="center"/>
          </w:tcPr>
          <w:p w14:paraId="413C7315">
            <w:pPr>
              <w:spacing w:line="360" w:lineRule="auto"/>
              <w:contextualSpacing/>
              <w:jc w:val="center"/>
              <w:rPr>
                <w:rFonts w:ascii="宋体" w:hAnsi="宋体" w:cs="仿宋_GB2312"/>
                <w:color w:val="auto"/>
                <w:sz w:val="21"/>
                <w:szCs w:val="21"/>
                <w:highlight w:val="none"/>
              </w:rPr>
            </w:pPr>
          </w:p>
        </w:tc>
        <w:tc>
          <w:tcPr>
            <w:tcW w:w="3128" w:type="dxa"/>
            <w:tcBorders>
              <w:top w:val="single" w:color="auto" w:sz="4" w:space="0"/>
              <w:left w:val="single" w:color="auto" w:sz="4" w:space="0"/>
              <w:bottom w:val="single" w:color="auto" w:sz="4" w:space="0"/>
              <w:right w:val="single" w:color="auto" w:sz="4" w:space="0"/>
            </w:tcBorders>
            <w:noWrap w:val="0"/>
            <w:vAlign w:val="top"/>
          </w:tcPr>
          <w:p w14:paraId="4B2AA565">
            <w:pPr>
              <w:spacing w:line="360" w:lineRule="auto"/>
              <w:contextualSpacing/>
              <w:rPr>
                <w:rFonts w:ascii="宋体" w:hAnsi="宋体" w:cs="仿宋_GB2312"/>
                <w:color w:val="auto"/>
                <w:sz w:val="21"/>
                <w:szCs w:val="21"/>
                <w:highlight w:val="none"/>
              </w:rPr>
            </w:pPr>
          </w:p>
        </w:tc>
        <w:tc>
          <w:tcPr>
            <w:tcW w:w="1184" w:type="dxa"/>
            <w:tcBorders>
              <w:top w:val="single" w:color="auto" w:sz="4" w:space="0"/>
              <w:left w:val="single" w:color="auto" w:sz="4" w:space="0"/>
              <w:bottom w:val="single" w:color="auto" w:sz="4" w:space="0"/>
              <w:right w:val="single" w:color="auto" w:sz="4" w:space="0"/>
            </w:tcBorders>
            <w:noWrap w:val="0"/>
            <w:vAlign w:val="center"/>
          </w:tcPr>
          <w:p w14:paraId="5C7703A3">
            <w:pPr>
              <w:spacing w:line="360" w:lineRule="auto"/>
              <w:contextualSpacing/>
              <w:rPr>
                <w:rFonts w:ascii="宋体" w:hAnsi="宋体" w:cs="仿宋_GB2312"/>
                <w:color w:val="auto"/>
                <w:sz w:val="21"/>
                <w:szCs w:val="21"/>
                <w:highlight w:val="none"/>
              </w:rPr>
            </w:pPr>
          </w:p>
        </w:tc>
      </w:tr>
      <w:tr w14:paraId="5B1E2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trPr>
        <w:tc>
          <w:tcPr>
            <w:tcW w:w="9095" w:type="dxa"/>
            <w:gridSpan w:val="5"/>
            <w:tcBorders>
              <w:top w:val="single" w:color="auto" w:sz="4" w:space="0"/>
              <w:left w:val="single" w:color="auto" w:sz="4" w:space="0"/>
              <w:bottom w:val="single" w:color="auto" w:sz="4" w:space="0"/>
              <w:right w:val="single" w:color="auto" w:sz="4" w:space="0"/>
            </w:tcBorders>
            <w:noWrap w:val="0"/>
            <w:vAlign w:val="center"/>
          </w:tcPr>
          <w:p w14:paraId="69A308CC">
            <w:pPr>
              <w:spacing w:line="360" w:lineRule="auto"/>
              <w:contextualSpacing/>
              <w:rPr>
                <w:rFonts w:ascii="宋体" w:hAnsi="宋体" w:cs="仿宋_GB2312"/>
                <w:color w:val="auto"/>
                <w:sz w:val="21"/>
                <w:szCs w:val="21"/>
                <w:highlight w:val="none"/>
              </w:rPr>
            </w:pPr>
            <w:r>
              <w:rPr>
                <w:rFonts w:hint="eastAsia" w:ascii="宋体" w:hAnsi="宋体" w:cs="仿宋_GB2312"/>
                <w:color w:val="auto"/>
                <w:sz w:val="21"/>
                <w:szCs w:val="21"/>
                <w:highlight w:val="none"/>
              </w:rPr>
              <w:t>合计金额（人民币）</w:t>
            </w:r>
            <w:r>
              <w:rPr>
                <w:rFonts w:hint="eastAsia" w:ascii="宋体" w:hAnsi="宋体" w:cs="仿宋_GB2312"/>
                <w:color w:val="auto"/>
                <w:sz w:val="21"/>
                <w:szCs w:val="21"/>
                <w:highlight w:val="none"/>
                <w:u w:val="single"/>
              </w:rPr>
              <w:t xml:space="preserve">大写：                      </w:t>
            </w:r>
            <w:r>
              <w:rPr>
                <w:rFonts w:hint="eastAsia" w:ascii="宋体" w:hAnsi="宋体" w:cs="仿宋_GB2312"/>
                <w:color w:val="auto"/>
                <w:sz w:val="21"/>
                <w:szCs w:val="21"/>
                <w:highlight w:val="none"/>
              </w:rPr>
              <w:t xml:space="preserve"> （</w:t>
            </w:r>
            <w:r>
              <w:rPr>
                <w:rFonts w:ascii="宋体" w:hAnsi="宋体" w:cs="仿宋_GB2312"/>
                <w:color w:val="auto"/>
                <w:sz w:val="21"/>
                <w:szCs w:val="21"/>
                <w:highlight w:val="none"/>
              </w:rPr>
              <w:t>¥</w:t>
            </w:r>
            <w:r>
              <w:rPr>
                <w:rFonts w:hint="eastAsia" w:ascii="宋体" w:hAnsi="宋体" w:cs="仿宋_GB2312"/>
                <w:color w:val="auto"/>
                <w:sz w:val="21"/>
                <w:szCs w:val="21"/>
                <w:highlight w:val="none"/>
                <w:u w:val="single"/>
              </w:rPr>
              <w:t xml:space="preserve">                </w:t>
            </w:r>
            <w:r>
              <w:rPr>
                <w:rFonts w:hint="eastAsia" w:ascii="宋体" w:hAnsi="宋体" w:cs="仿宋_GB2312"/>
                <w:color w:val="auto"/>
                <w:sz w:val="21"/>
                <w:szCs w:val="21"/>
                <w:highlight w:val="none"/>
              </w:rPr>
              <w:t>）</w:t>
            </w:r>
          </w:p>
        </w:tc>
      </w:tr>
    </w:tbl>
    <w:p w14:paraId="4EE33D38">
      <w:pPr>
        <w:spacing w:line="360" w:lineRule="auto"/>
        <w:jc w:val="center"/>
        <w:rPr>
          <w:rFonts w:hint="eastAsia" w:ascii="方正小标宋简体" w:hAnsi="方正小标宋简体" w:eastAsia="方正小标宋简体" w:cs="方正小标宋简体"/>
          <w:color w:val="auto"/>
          <w:sz w:val="40"/>
          <w:szCs w:val="40"/>
          <w:highlight w:val="none"/>
        </w:rPr>
      </w:pPr>
    </w:p>
    <w:p w14:paraId="4687C4AD">
      <w:pPr>
        <w:spacing w:line="360" w:lineRule="auto"/>
        <w:jc w:val="both"/>
        <w:rPr>
          <w:rFonts w:hint="eastAsia" w:ascii="方正小标宋简体" w:hAnsi="方正小标宋简体" w:eastAsia="方正小标宋简体" w:cs="方正小标宋简体"/>
          <w:color w:val="auto"/>
          <w:sz w:val="40"/>
          <w:szCs w:val="40"/>
          <w:highlight w:val="none"/>
        </w:rPr>
      </w:pPr>
    </w:p>
    <w:p w14:paraId="0DF2CB24">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auto"/>
        <w:rPr>
          <w:rFonts w:hint="eastAsia" w:ascii="宋体" w:hAnsi="宋体" w:eastAsia="宋体" w:cs="宋体"/>
          <w:color w:val="auto"/>
          <w:kern w:val="0"/>
          <w:sz w:val="21"/>
          <w:szCs w:val="21"/>
          <w:lang w:val="en-US" w:eastAsia="zh-CN" w:bidi="ar"/>
        </w:rPr>
      </w:pPr>
    </w:p>
    <w:p w14:paraId="68A3059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color w:val="auto"/>
        </w:rPr>
      </w:pPr>
      <w:r>
        <w:rPr>
          <w:rFonts w:hint="eastAsia" w:ascii="宋体" w:hAnsi="宋体" w:eastAsia="宋体" w:cs="宋体"/>
          <w:color w:val="auto"/>
          <w:kern w:val="0"/>
          <w:sz w:val="21"/>
          <w:szCs w:val="21"/>
          <w:lang w:val="en-US" w:eastAsia="zh-CN" w:bidi="ar"/>
        </w:rPr>
        <w:t xml:space="preserve">                                      供应商（电子签章）：</w:t>
      </w:r>
      <w:r>
        <w:rPr>
          <w:rFonts w:hint="eastAsia" w:ascii="宋体" w:hAnsi="宋体" w:cs="宋体"/>
          <w:color w:val="auto"/>
          <w:kern w:val="0"/>
          <w:sz w:val="21"/>
          <w:szCs w:val="21"/>
          <w:u w:val="single"/>
          <w:lang w:val="en-US" w:eastAsia="zh-CN" w:bidi="ar"/>
        </w:rPr>
        <w:t xml:space="preserve">               </w:t>
      </w:r>
      <w:r>
        <w:rPr>
          <w:rFonts w:hint="eastAsia" w:ascii="宋体" w:hAnsi="宋体" w:eastAsia="宋体" w:cs="宋体"/>
          <w:color w:val="auto"/>
          <w:kern w:val="0"/>
          <w:sz w:val="24"/>
          <w:szCs w:val="24"/>
          <w:lang w:val="en-US" w:eastAsia="zh-CN" w:bidi="ar"/>
        </w:rPr>
        <w:t xml:space="preserve"> </w:t>
      </w:r>
    </w:p>
    <w:p w14:paraId="53AD0E7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b/>
          <w:bCs/>
          <w:color w:val="auto"/>
          <w:sz w:val="24"/>
        </w:rPr>
      </w:pPr>
      <w:r>
        <w:rPr>
          <w:rFonts w:hint="eastAsia" w:asciiTheme="minorEastAsia" w:hAnsiTheme="minorEastAsia" w:eastAsiaTheme="minorEastAsia" w:cstheme="minorEastAsia"/>
          <w:color w:val="auto"/>
          <w:kern w:val="2"/>
          <w:sz w:val="21"/>
          <w:szCs w:val="21"/>
          <w:lang w:val="en-US" w:eastAsia="zh-CN"/>
        </w:rPr>
        <w:t xml:space="preserve">                                                            </w:t>
      </w:r>
      <w:r>
        <w:rPr>
          <w:rFonts w:hint="eastAsia" w:ascii="宋体" w:hAnsi="宋体" w:eastAsia="宋体" w:cs="宋体"/>
          <w:color w:val="auto"/>
          <w:sz w:val="21"/>
          <w:szCs w:val="21"/>
          <w:highlight w:val="none"/>
        </w:rPr>
        <w:t>日期：</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5B0A0DB3">
      <w:pPr>
        <w:spacing w:line="360" w:lineRule="auto"/>
        <w:jc w:val="both"/>
        <w:rPr>
          <w:rFonts w:hint="eastAsia" w:ascii="方正小标宋简体" w:hAnsi="方正小标宋简体" w:eastAsia="方正小标宋简体" w:cs="方正小标宋简体"/>
          <w:color w:val="auto"/>
          <w:sz w:val="40"/>
          <w:szCs w:val="40"/>
          <w:highlight w:val="none"/>
        </w:rPr>
      </w:pPr>
    </w:p>
    <w:p w14:paraId="04D1620F">
      <w:pPr>
        <w:keepNext w:val="0"/>
        <w:keepLines w:val="0"/>
        <w:widowControl/>
        <w:suppressLineNumbers w:val="0"/>
        <w:jc w:val="left"/>
        <w:rPr>
          <w:color w:val="auto"/>
        </w:rPr>
      </w:pPr>
      <w:r>
        <w:rPr>
          <w:rFonts w:hint="eastAsia" w:ascii="宋体" w:hAnsi="宋体" w:eastAsia="宋体" w:cs="宋体"/>
          <w:b/>
          <w:bCs/>
          <w:color w:val="auto"/>
          <w:kern w:val="0"/>
          <w:sz w:val="24"/>
          <w:szCs w:val="24"/>
          <w:lang w:val="en-US" w:eastAsia="zh-CN" w:bidi="ar"/>
        </w:rPr>
        <w:t>注：供应商的最后报价须按本格式在广西政府采购云平台平台以附件形式提交</w:t>
      </w:r>
    </w:p>
    <w:p w14:paraId="3E5FEA8D">
      <w:pPr>
        <w:pStyle w:val="2"/>
        <w:rPr>
          <w:rFonts w:hint="eastAsia"/>
          <w:color w:val="auto"/>
        </w:rPr>
      </w:pPr>
    </w:p>
    <w:p w14:paraId="55AD4A83">
      <w:pPr>
        <w:spacing w:line="360" w:lineRule="auto"/>
        <w:jc w:val="center"/>
        <w:rPr>
          <w:rFonts w:hint="eastAsia" w:ascii="方正小标宋简体" w:hAnsi="方正小标宋简体" w:eastAsia="方正小标宋简体" w:cs="方正小标宋简体"/>
          <w:color w:val="auto"/>
          <w:sz w:val="40"/>
          <w:szCs w:val="40"/>
          <w:highlight w:val="none"/>
        </w:rPr>
      </w:pPr>
    </w:p>
    <w:p w14:paraId="0FA34DD0">
      <w:pPr>
        <w:pStyle w:val="26"/>
        <w:rPr>
          <w:rFonts w:hint="eastAsia" w:ascii="方正小标宋简体" w:hAnsi="方正小标宋简体" w:eastAsia="方正小标宋简体" w:cs="方正小标宋简体"/>
          <w:color w:val="auto"/>
          <w:sz w:val="40"/>
          <w:szCs w:val="40"/>
          <w:highlight w:val="none"/>
        </w:rPr>
      </w:pPr>
    </w:p>
    <w:p w14:paraId="2090CAC6">
      <w:pPr>
        <w:pStyle w:val="26"/>
        <w:rPr>
          <w:rFonts w:hint="eastAsia" w:ascii="方正小标宋简体" w:hAnsi="方正小标宋简体" w:eastAsia="方正小标宋简体" w:cs="方正小标宋简体"/>
          <w:color w:val="auto"/>
          <w:sz w:val="40"/>
          <w:szCs w:val="40"/>
          <w:highlight w:val="none"/>
        </w:rPr>
      </w:pPr>
    </w:p>
    <w:p w14:paraId="364D32A6">
      <w:pPr>
        <w:pStyle w:val="26"/>
        <w:rPr>
          <w:rFonts w:hint="eastAsia" w:ascii="方正小标宋简体" w:hAnsi="方正小标宋简体" w:eastAsia="方正小标宋简体" w:cs="方正小标宋简体"/>
          <w:color w:val="auto"/>
          <w:sz w:val="40"/>
          <w:szCs w:val="40"/>
          <w:highlight w:val="none"/>
        </w:rPr>
      </w:pPr>
    </w:p>
    <w:p w14:paraId="116259A1">
      <w:pPr>
        <w:pStyle w:val="26"/>
        <w:rPr>
          <w:rFonts w:hint="eastAsia" w:ascii="方正小标宋简体" w:hAnsi="方正小标宋简体" w:eastAsia="方正小标宋简体" w:cs="方正小标宋简体"/>
          <w:color w:val="auto"/>
          <w:sz w:val="40"/>
          <w:szCs w:val="40"/>
          <w:highlight w:val="none"/>
        </w:rPr>
      </w:pPr>
    </w:p>
    <w:p w14:paraId="6DCC3BD0">
      <w:pPr>
        <w:pStyle w:val="26"/>
        <w:rPr>
          <w:rFonts w:hint="eastAsia" w:ascii="方正小标宋简体" w:hAnsi="方正小标宋简体" w:eastAsia="方正小标宋简体" w:cs="方正小标宋简体"/>
          <w:color w:val="auto"/>
          <w:sz w:val="40"/>
          <w:szCs w:val="40"/>
          <w:highlight w:val="none"/>
        </w:rPr>
      </w:pPr>
    </w:p>
    <w:p w14:paraId="32F12C8B">
      <w:pPr>
        <w:spacing w:line="360" w:lineRule="auto"/>
        <w:jc w:val="center"/>
        <w:rPr>
          <w:rFonts w:hint="eastAsia" w:ascii="宋体" w:hAnsi="宋体"/>
          <w:b/>
          <w:bCs/>
          <w:color w:val="auto"/>
          <w:sz w:val="28"/>
          <w:szCs w:val="28"/>
          <w:highlight w:val="none"/>
        </w:rPr>
      </w:pPr>
      <w:r>
        <w:rPr>
          <w:rFonts w:hint="eastAsia" w:ascii="方正小标宋简体" w:hAnsi="方正小标宋简体" w:eastAsia="方正小标宋简体" w:cs="方正小标宋简体"/>
          <w:color w:val="auto"/>
          <w:sz w:val="40"/>
          <w:szCs w:val="40"/>
          <w:highlight w:val="none"/>
        </w:rPr>
        <w:t>质疑函（格式）</w:t>
      </w:r>
    </w:p>
    <w:p w14:paraId="1D7CE7DC">
      <w:pPr>
        <w:pStyle w:val="16"/>
        <w:spacing w:line="360" w:lineRule="auto"/>
        <w:ind w:firstLine="442" w:firstLineChars="200"/>
        <w:contextualSpacing/>
        <w:rPr>
          <w:rFonts w:hAnsi="宋体"/>
          <w:b/>
          <w:bCs/>
          <w:color w:val="auto"/>
          <w:sz w:val="22"/>
          <w:szCs w:val="22"/>
          <w:highlight w:val="none"/>
        </w:rPr>
      </w:pPr>
      <w:r>
        <w:rPr>
          <w:rFonts w:hint="eastAsia" w:hAnsi="宋体"/>
          <w:b/>
          <w:bCs/>
          <w:color w:val="auto"/>
          <w:sz w:val="22"/>
          <w:szCs w:val="22"/>
          <w:highlight w:val="none"/>
        </w:rPr>
        <w:t>一、质疑供应商基本信息：</w:t>
      </w:r>
    </w:p>
    <w:p w14:paraId="63A3629A">
      <w:pPr>
        <w:pStyle w:val="16"/>
        <w:spacing w:line="360" w:lineRule="auto"/>
        <w:ind w:firstLine="440" w:firstLineChars="200"/>
        <w:contextualSpacing/>
        <w:rPr>
          <w:rFonts w:hint="eastAsia" w:hAnsi="宋体"/>
          <w:bCs/>
          <w:color w:val="auto"/>
          <w:sz w:val="22"/>
          <w:szCs w:val="22"/>
          <w:highlight w:val="none"/>
          <w:u w:val="single"/>
        </w:rPr>
      </w:pPr>
      <w:r>
        <w:rPr>
          <w:rFonts w:hint="eastAsia" w:hAnsi="宋体"/>
          <w:bCs/>
          <w:color w:val="auto"/>
          <w:sz w:val="22"/>
          <w:szCs w:val="22"/>
          <w:highlight w:val="none"/>
        </w:rPr>
        <w:t>质疑供应商：</w:t>
      </w:r>
      <w:r>
        <w:rPr>
          <w:rFonts w:hint="eastAsia" w:hAnsi="宋体"/>
          <w:bCs/>
          <w:color w:val="auto"/>
          <w:sz w:val="22"/>
          <w:szCs w:val="22"/>
          <w:highlight w:val="none"/>
          <w:u w:val="single"/>
        </w:rPr>
        <w:t xml:space="preserve">                                       </w:t>
      </w:r>
      <w:r>
        <w:rPr>
          <w:rFonts w:hint="eastAsia" w:hAnsi="宋体"/>
          <w:bCs/>
          <w:color w:val="auto"/>
          <w:sz w:val="22"/>
          <w:szCs w:val="22"/>
          <w:highlight w:val="none"/>
        </w:rPr>
        <w:t xml:space="preserve">                 </w:t>
      </w:r>
    </w:p>
    <w:p w14:paraId="4789AF0B">
      <w:pPr>
        <w:pStyle w:val="16"/>
        <w:spacing w:line="360" w:lineRule="auto"/>
        <w:ind w:firstLine="440" w:firstLineChars="200"/>
        <w:contextualSpacing/>
        <w:rPr>
          <w:rFonts w:hint="eastAsia" w:hAnsi="宋体"/>
          <w:bCs/>
          <w:color w:val="auto"/>
          <w:sz w:val="22"/>
          <w:szCs w:val="22"/>
          <w:highlight w:val="none"/>
        </w:rPr>
      </w:pPr>
      <w:r>
        <w:rPr>
          <w:rFonts w:hAnsi="宋体"/>
          <w:bCs/>
          <w:color w:val="auto"/>
          <w:sz w:val="22"/>
          <w:szCs w:val="22"/>
          <w:highlight w:val="none"/>
        </w:rPr>
        <w:t>地址</w:t>
      </w:r>
      <w:r>
        <w:rPr>
          <w:rFonts w:hint="eastAsia" w:hAnsi="宋体"/>
          <w:bCs/>
          <w:color w:val="auto"/>
          <w:sz w:val="22"/>
          <w:szCs w:val="22"/>
          <w:highlight w:val="none"/>
        </w:rPr>
        <w:t>：</w:t>
      </w:r>
      <w:r>
        <w:rPr>
          <w:rFonts w:hint="eastAsia" w:hAnsi="宋体"/>
          <w:bCs/>
          <w:color w:val="auto"/>
          <w:sz w:val="22"/>
          <w:szCs w:val="22"/>
          <w:highlight w:val="none"/>
          <w:u w:val="single"/>
        </w:rPr>
        <w:t xml:space="preserve">                                          </w:t>
      </w:r>
      <w:r>
        <w:rPr>
          <w:rFonts w:hAnsi="宋体"/>
          <w:bCs/>
          <w:color w:val="auto"/>
          <w:sz w:val="22"/>
          <w:szCs w:val="22"/>
          <w:highlight w:val="none"/>
        </w:rPr>
        <w:t>邮编</w:t>
      </w:r>
      <w:r>
        <w:rPr>
          <w:rFonts w:hint="eastAsia" w:hAnsi="宋体"/>
          <w:bCs/>
          <w:color w:val="auto"/>
          <w:sz w:val="22"/>
          <w:szCs w:val="22"/>
          <w:highlight w:val="none"/>
        </w:rPr>
        <w:t>：</w:t>
      </w:r>
      <w:r>
        <w:rPr>
          <w:rFonts w:hint="eastAsia" w:hAnsi="宋体"/>
          <w:bCs/>
          <w:color w:val="auto"/>
          <w:sz w:val="22"/>
          <w:szCs w:val="22"/>
          <w:highlight w:val="none"/>
          <w:u w:val="single"/>
        </w:rPr>
        <w:t xml:space="preserve">                  </w:t>
      </w:r>
      <w:r>
        <w:rPr>
          <w:rFonts w:hint="eastAsia" w:hAnsi="宋体"/>
          <w:bCs/>
          <w:color w:val="auto"/>
          <w:sz w:val="22"/>
          <w:szCs w:val="22"/>
          <w:highlight w:val="none"/>
        </w:rPr>
        <w:t xml:space="preserve">                 </w:t>
      </w:r>
    </w:p>
    <w:p w14:paraId="5A380A04">
      <w:pPr>
        <w:pStyle w:val="16"/>
        <w:spacing w:line="360" w:lineRule="auto"/>
        <w:ind w:firstLine="440" w:firstLineChars="200"/>
        <w:contextualSpacing/>
        <w:rPr>
          <w:rFonts w:hint="eastAsia" w:hAnsi="宋体"/>
          <w:bCs/>
          <w:color w:val="auto"/>
          <w:sz w:val="22"/>
          <w:szCs w:val="22"/>
          <w:highlight w:val="none"/>
        </w:rPr>
      </w:pPr>
      <w:r>
        <w:rPr>
          <w:rFonts w:hAnsi="宋体"/>
          <w:bCs/>
          <w:color w:val="auto"/>
          <w:sz w:val="22"/>
          <w:szCs w:val="22"/>
          <w:highlight w:val="none"/>
        </w:rPr>
        <w:t>联系人</w:t>
      </w:r>
      <w:r>
        <w:rPr>
          <w:rFonts w:hint="eastAsia" w:hAnsi="宋体"/>
          <w:bCs/>
          <w:color w:val="auto"/>
          <w:sz w:val="22"/>
          <w:szCs w:val="22"/>
          <w:highlight w:val="none"/>
        </w:rPr>
        <w:t>：</w:t>
      </w:r>
      <w:r>
        <w:rPr>
          <w:rFonts w:hint="eastAsia" w:hAnsi="宋体"/>
          <w:bCs/>
          <w:color w:val="auto"/>
          <w:sz w:val="22"/>
          <w:szCs w:val="22"/>
          <w:highlight w:val="none"/>
          <w:u w:val="single"/>
        </w:rPr>
        <w:t xml:space="preserve">                     </w:t>
      </w:r>
      <w:r>
        <w:rPr>
          <w:rFonts w:hAnsi="宋体"/>
          <w:bCs/>
          <w:color w:val="auto"/>
          <w:sz w:val="22"/>
          <w:szCs w:val="22"/>
          <w:highlight w:val="none"/>
        </w:rPr>
        <w:t>联系电话</w:t>
      </w:r>
      <w:r>
        <w:rPr>
          <w:rFonts w:hint="eastAsia" w:hAnsi="宋体"/>
          <w:bCs/>
          <w:color w:val="auto"/>
          <w:sz w:val="22"/>
          <w:szCs w:val="22"/>
          <w:highlight w:val="none"/>
        </w:rPr>
        <w:t>：</w:t>
      </w:r>
      <w:r>
        <w:rPr>
          <w:rFonts w:hint="eastAsia" w:hAnsi="宋体"/>
          <w:bCs/>
          <w:color w:val="auto"/>
          <w:sz w:val="22"/>
          <w:szCs w:val="22"/>
          <w:highlight w:val="none"/>
          <w:u w:val="single"/>
        </w:rPr>
        <w:t xml:space="preserve">                 </w:t>
      </w:r>
    </w:p>
    <w:p w14:paraId="7C2A9CF6">
      <w:pPr>
        <w:pStyle w:val="16"/>
        <w:spacing w:line="360" w:lineRule="auto"/>
        <w:ind w:firstLine="440" w:firstLineChars="200"/>
        <w:contextualSpacing/>
        <w:rPr>
          <w:rFonts w:hint="eastAsia" w:hAnsi="宋体"/>
          <w:bCs/>
          <w:color w:val="auto"/>
          <w:sz w:val="22"/>
          <w:szCs w:val="22"/>
          <w:highlight w:val="none"/>
        </w:rPr>
      </w:pPr>
      <w:r>
        <w:rPr>
          <w:rFonts w:hint="eastAsia" w:hAnsi="宋体"/>
          <w:bCs/>
          <w:color w:val="auto"/>
          <w:sz w:val="22"/>
          <w:szCs w:val="22"/>
          <w:highlight w:val="none"/>
        </w:rPr>
        <w:t>授权代表：</w:t>
      </w:r>
      <w:r>
        <w:rPr>
          <w:rFonts w:hint="eastAsia" w:hAnsi="宋体"/>
          <w:bCs/>
          <w:color w:val="auto"/>
          <w:sz w:val="22"/>
          <w:szCs w:val="22"/>
          <w:highlight w:val="none"/>
          <w:u w:val="single"/>
        </w:rPr>
        <w:t xml:space="preserve">                      </w:t>
      </w:r>
    </w:p>
    <w:p w14:paraId="7444DD22">
      <w:pPr>
        <w:pStyle w:val="16"/>
        <w:spacing w:line="360" w:lineRule="auto"/>
        <w:ind w:firstLine="440" w:firstLineChars="200"/>
        <w:contextualSpacing/>
        <w:rPr>
          <w:rFonts w:hint="eastAsia" w:hAnsi="宋体"/>
          <w:bCs/>
          <w:color w:val="auto"/>
          <w:sz w:val="22"/>
          <w:szCs w:val="22"/>
          <w:highlight w:val="none"/>
          <w:u w:val="single"/>
        </w:rPr>
      </w:pPr>
      <w:r>
        <w:rPr>
          <w:rFonts w:hAnsi="宋体"/>
          <w:bCs/>
          <w:color w:val="auto"/>
          <w:sz w:val="22"/>
          <w:szCs w:val="22"/>
          <w:highlight w:val="none"/>
        </w:rPr>
        <w:t>联系</w:t>
      </w:r>
      <w:r>
        <w:rPr>
          <w:rFonts w:hint="eastAsia" w:hAnsi="宋体"/>
          <w:bCs/>
          <w:color w:val="auto"/>
          <w:sz w:val="22"/>
          <w:szCs w:val="22"/>
          <w:highlight w:val="none"/>
        </w:rPr>
        <w:t>电话：</w:t>
      </w:r>
      <w:r>
        <w:rPr>
          <w:rFonts w:hint="eastAsia" w:hAnsi="宋体"/>
          <w:bCs/>
          <w:color w:val="auto"/>
          <w:sz w:val="22"/>
          <w:szCs w:val="22"/>
          <w:highlight w:val="none"/>
          <w:u w:val="single"/>
        </w:rPr>
        <w:t xml:space="preserve">                      </w:t>
      </w:r>
    </w:p>
    <w:p w14:paraId="0CA52A44">
      <w:pPr>
        <w:pStyle w:val="16"/>
        <w:spacing w:line="360" w:lineRule="auto"/>
        <w:ind w:firstLine="440" w:firstLineChars="200"/>
        <w:contextualSpacing/>
        <w:rPr>
          <w:rFonts w:hint="eastAsia" w:hAnsi="宋体"/>
          <w:bCs/>
          <w:color w:val="auto"/>
          <w:sz w:val="22"/>
          <w:szCs w:val="22"/>
          <w:highlight w:val="none"/>
        </w:rPr>
      </w:pPr>
      <w:r>
        <w:rPr>
          <w:rFonts w:hAnsi="宋体"/>
          <w:bCs/>
          <w:color w:val="auto"/>
          <w:sz w:val="22"/>
          <w:szCs w:val="22"/>
          <w:highlight w:val="none"/>
        </w:rPr>
        <w:t>地址</w:t>
      </w:r>
      <w:r>
        <w:rPr>
          <w:rFonts w:hint="eastAsia" w:hAnsi="宋体"/>
          <w:bCs/>
          <w:color w:val="auto"/>
          <w:sz w:val="22"/>
          <w:szCs w:val="22"/>
          <w:highlight w:val="none"/>
        </w:rPr>
        <w:t>：</w:t>
      </w:r>
      <w:r>
        <w:rPr>
          <w:rFonts w:hint="eastAsia" w:hAnsi="宋体"/>
          <w:bCs/>
          <w:color w:val="auto"/>
          <w:sz w:val="22"/>
          <w:szCs w:val="22"/>
          <w:highlight w:val="none"/>
          <w:u w:val="single"/>
        </w:rPr>
        <w:t xml:space="preserve">                 </w:t>
      </w:r>
      <w:r>
        <w:rPr>
          <w:rFonts w:hAnsi="宋体"/>
          <w:bCs/>
          <w:color w:val="auto"/>
          <w:sz w:val="22"/>
          <w:szCs w:val="22"/>
          <w:highlight w:val="none"/>
        </w:rPr>
        <w:t>邮编</w:t>
      </w:r>
      <w:r>
        <w:rPr>
          <w:rFonts w:hint="eastAsia" w:hAnsi="宋体"/>
          <w:bCs/>
          <w:color w:val="auto"/>
          <w:sz w:val="22"/>
          <w:szCs w:val="22"/>
          <w:highlight w:val="none"/>
        </w:rPr>
        <w:t>：</w:t>
      </w:r>
      <w:r>
        <w:rPr>
          <w:rFonts w:hint="eastAsia" w:hAnsi="宋体"/>
          <w:bCs/>
          <w:color w:val="auto"/>
          <w:sz w:val="22"/>
          <w:szCs w:val="22"/>
          <w:highlight w:val="none"/>
          <w:u w:val="single"/>
        </w:rPr>
        <w:t xml:space="preserve">                  </w:t>
      </w:r>
      <w:r>
        <w:rPr>
          <w:rFonts w:hint="eastAsia" w:hAnsi="宋体"/>
          <w:bCs/>
          <w:color w:val="auto"/>
          <w:sz w:val="22"/>
          <w:szCs w:val="22"/>
          <w:highlight w:val="none"/>
        </w:rPr>
        <w:t xml:space="preserve">     </w:t>
      </w:r>
    </w:p>
    <w:p w14:paraId="05D22E4B">
      <w:pPr>
        <w:pStyle w:val="16"/>
        <w:spacing w:line="360" w:lineRule="auto"/>
        <w:ind w:firstLine="442" w:firstLineChars="200"/>
        <w:contextualSpacing/>
        <w:rPr>
          <w:rFonts w:hint="eastAsia" w:hAnsi="宋体"/>
          <w:b/>
          <w:bCs/>
          <w:color w:val="auto"/>
          <w:sz w:val="22"/>
          <w:szCs w:val="22"/>
          <w:highlight w:val="none"/>
        </w:rPr>
      </w:pPr>
      <w:r>
        <w:rPr>
          <w:rFonts w:hint="eastAsia" w:hAnsi="宋体"/>
          <w:b/>
          <w:bCs/>
          <w:color w:val="auto"/>
          <w:sz w:val="22"/>
          <w:szCs w:val="22"/>
          <w:highlight w:val="none"/>
        </w:rPr>
        <w:t>二、质疑项目基本情况：</w:t>
      </w:r>
    </w:p>
    <w:p w14:paraId="5389B17F">
      <w:pPr>
        <w:pStyle w:val="16"/>
        <w:spacing w:line="360" w:lineRule="auto"/>
        <w:ind w:left="25" w:leftChars="12" w:firstLine="433" w:firstLineChars="197"/>
        <w:contextualSpacing/>
        <w:rPr>
          <w:rFonts w:hint="eastAsia" w:hAnsi="宋体"/>
          <w:color w:val="auto"/>
          <w:sz w:val="22"/>
          <w:szCs w:val="22"/>
          <w:highlight w:val="none"/>
        </w:rPr>
      </w:pPr>
      <w:r>
        <w:rPr>
          <w:rFonts w:hint="eastAsia" w:hAnsi="宋体"/>
          <w:bCs/>
          <w:color w:val="auto"/>
          <w:sz w:val="22"/>
          <w:szCs w:val="22"/>
          <w:highlight w:val="none"/>
        </w:rPr>
        <w:t>质疑</w:t>
      </w:r>
      <w:r>
        <w:rPr>
          <w:rFonts w:hint="eastAsia" w:hAnsi="宋体"/>
          <w:color w:val="auto"/>
          <w:sz w:val="22"/>
          <w:szCs w:val="22"/>
          <w:highlight w:val="none"/>
        </w:rPr>
        <w:t>项目的名称：</w:t>
      </w:r>
      <w:r>
        <w:rPr>
          <w:rFonts w:hint="eastAsia" w:hAnsi="宋体"/>
          <w:bCs/>
          <w:color w:val="auto"/>
          <w:sz w:val="22"/>
          <w:szCs w:val="22"/>
          <w:highlight w:val="none"/>
          <w:u w:val="single"/>
        </w:rPr>
        <w:t xml:space="preserve">                                     </w:t>
      </w:r>
    </w:p>
    <w:p w14:paraId="6B319285">
      <w:pPr>
        <w:pStyle w:val="16"/>
        <w:spacing w:line="360" w:lineRule="auto"/>
        <w:ind w:left="25" w:leftChars="12" w:firstLine="433" w:firstLineChars="197"/>
        <w:contextualSpacing/>
        <w:rPr>
          <w:rFonts w:hint="eastAsia" w:hAnsi="宋体"/>
          <w:color w:val="auto"/>
          <w:sz w:val="22"/>
          <w:szCs w:val="22"/>
          <w:highlight w:val="none"/>
        </w:rPr>
      </w:pPr>
      <w:r>
        <w:rPr>
          <w:rFonts w:hint="eastAsia" w:hAnsi="宋体"/>
          <w:bCs/>
          <w:color w:val="auto"/>
          <w:sz w:val="22"/>
          <w:szCs w:val="22"/>
          <w:highlight w:val="none"/>
        </w:rPr>
        <w:t>质疑</w:t>
      </w:r>
      <w:r>
        <w:rPr>
          <w:rFonts w:hint="eastAsia" w:hAnsi="宋体"/>
          <w:color w:val="auto"/>
          <w:sz w:val="22"/>
          <w:szCs w:val="22"/>
          <w:highlight w:val="none"/>
        </w:rPr>
        <w:t>项目的编号：</w:t>
      </w:r>
      <w:r>
        <w:rPr>
          <w:rFonts w:hint="eastAsia" w:hAnsi="宋体"/>
          <w:bCs/>
          <w:color w:val="auto"/>
          <w:sz w:val="22"/>
          <w:szCs w:val="22"/>
          <w:highlight w:val="none"/>
          <w:u w:val="single"/>
        </w:rPr>
        <w:t xml:space="preserve">                                     </w:t>
      </w:r>
    </w:p>
    <w:p w14:paraId="7609A5AA">
      <w:pPr>
        <w:pStyle w:val="16"/>
        <w:spacing w:line="360" w:lineRule="auto"/>
        <w:ind w:left="25" w:leftChars="12" w:firstLine="433" w:firstLineChars="197"/>
        <w:contextualSpacing/>
        <w:rPr>
          <w:rFonts w:hint="eastAsia" w:hAnsi="宋体"/>
          <w:color w:val="auto"/>
          <w:sz w:val="22"/>
          <w:szCs w:val="22"/>
          <w:highlight w:val="none"/>
        </w:rPr>
      </w:pPr>
      <w:r>
        <w:rPr>
          <w:rFonts w:hint="eastAsia" w:hAnsi="宋体"/>
          <w:color w:val="auto"/>
          <w:sz w:val="22"/>
          <w:szCs w:val="22"/>
          <w:highlight w:val="none"/>
        </w:rPr>
        <w:t>采购人名称：</w:t>
      </w:r>
      <w:r>
        <w:rPr>
          <w:rFonts w:hint="eastAsia" w:hAnsi="宋体"/>
          <w:bCs/>
          <w:color w:val="auto"/>
          <w:sz w:val="22"/>
          <w:szCs w:val="22"/>
          <w:highlight w:val="none"/>
          <w:u w:val="single"/>
        </w:rPr>
        <w:t xml:space="preserve">                                         </w:t>
      </w:r>
    </w:p>
    <w:p w14:paraId="1335E072">
      <w:pPr>
        <w:pStyle w:val="16"/>
        <w:spacing w:line="360" w:lineRule="auto"/>
        <w:ind w:left="25" w:leftChars="12" w:firstLine="433" w:firstLineChars="197"/>
        <w:contextualSpacing/>
        <w:rPr>
          <w:rFonts w:hint="eastAsia" w:hAnsi="宋体"/>
          <w:color w:val="auto"/>
          <w:sz w:val="22"/>
          <w:szCs w:val="22"/>
          <w:highlight w:val="none"/>
        </w:rPr>
      </w:pPr>
      <w:r>
        <w:rPr>
          <w:rFonts w:hint="eastAsia" w:hAnsi="宋体"/>
          <w:color w:val="auto"/>
          <w:sz w:val="22"/>
          <w:szCs w:val="22"/>
          <w:highlight w:val="none"/>
        </w:rPr>
        <w:t>质疑事项：</w:t>
      </w:r>
    </w:p>
    <w:p w14:paraId="66F5C526">
      <w:pPr>
        <w:pStyle w:val="16"/>
        <w:spacing w:line="360" w:lineRule="auto"/>
        <w:ind w:left="25" w:leftChars="12" w:firstLine="323" w:firstLineChars="147"/>
        <w:contextualSpacing/>
        <w:rPr>
          <w:rFonts w:hint="eastAsia" w:hAnsi="宋体"/>
          <w:color w:val="auto"/>
          <w:sz w:val="22"/>
          <w:szCs w:val="22"/>
          <w:highlight w:val="none"/>
        </w:rPr>
      </w:pPr>
      <w:r>
        <w:rPr>
          <w:rFonts w:hint="eastAsia" w:hAnsi="宋体"/>
          <w:color w:val="auto"/>
          <w:sz w:val="22"/>
          <w:szCs w:val="22"/>
          <w:highlight w:val="none"/>
        </w:rPr>
        <w:t>□采购文件   采购文件获取日期：</w:t>
      </w:r>
      <w:r>
        <w:rPr>
          <w:rFonts w:hint="eastAsia" w:hAnsi="宋体"/>
          <w:bCs/>
          <w:color w:val="auto"/>
          <w:sz w:val="22"/>
          <w:szCs w:val="22"/>
          <w:highlight w:val="none"/>
          <w:u w:val="single"/>
        </w:rPr>
        <w:t xml:space="preserve">                                   </w:t>
      </w:r>
    </w:p>
    <w:p w14:paraId="6EC1C65A">
      <w:pPr>
        <w:pStyle w:val="16"/>
        <w:spacing w:line="360" w:lineRule="auto"/>
        <w:ind w:left="25" w:leftChars="12" w:firstLine="323" w:firstLineChars="147"/>
        <w:contextualSpacing/>
        <w:rPr>
          <w:rFonts w:hint="eastAsia" w:hAnsi="宋体"/>
          <w:color w:val="auto"/>
          <w:sz w:val="22"/>
          <w:szCs w:val="22"/>
          <w:highlight w:val="none"/>
        </w:rPr>
      </w:pPr>
      <w:r>
        <w:rPr>
          <w:rFonts w:hint="eastAsia" w:hAnsi="宋体"/>
          <w:color w:val="auto"/>
          <w:sz w:val="22"/>
          <w:szCs w:val="22"/>
          <w:highlight w:val="none"/>
        </w:rPr>
        <w:t xml:space="preserve">□采购过程   </w:t>
      </w:r>
    </w:p>
    <w:p w14:paraId="384BBCC8">
      <w:pPr>
        <w:pStyle w:val="16"/>
        <w:spacing w:line="360" w:lineRule="auto"/>
        <w:ind w:left="25" w:leftChars="12" w:firstLine="323" w:firstLineChars="147"/>
        <w:contextualSpacing/>
        <w:rPr>
          <w:rFonts w:hint="eastAsia" w:hAnsi="宋体"/>
          <w:bCs/>
          <w:color w:val="auto"/>
          <w:sz w:val="22"/>
          <w:szCs w:val="22"/>
          <w:highlight w:val="none"/>
          <w:u w:val="single"/>
        </w:rPr>
      </w:pPr>
      <w:r>
        <w:rPr>
          <w:rFonts w:hint="eastAsia" w:hAnsi="宋体"/>
          <w:color w:val="auto"/>
          <w:sz w:val="22"/>
          <w:szCs w:val="22"/>
          <w:highlight w:val="none"/>
        </w:rPr>
        <w:t xml:space="preserve">□成交结果   </w:t>
      </w:r>
    </w:p>
    <w:p w14:paraId="1B5D8150">
      <w:pPr>
        <w:pStyle w:val="16"/>
        <w:spacing w:line="360" w:lineRule="auto"/>
        <w:ind w:left="25" w:leftChars="12" w:firstLine="433" w:firstLineChars="196"/>
        <w:contextualSpacing/>
        <w:rPr>
          <w:rFonts w:hint="eastAsia" w:hAnsi="宋体"/>
          <w:b/>
          <w:color w:val="auto"/>
          <w:sz w:val="22"/>
          <w:szCs w:val="22"/>
          <w:highlight w:val="none"/>
        </w:rPr>
      </w:pPr>
      <w:r>
        <w:rPr>
          <w:rFonts w:hint="eastAsia" w:hAnsi="宋体"/>
          <w:b/>
          <w:color w:val="auto"/>
          <w:sz w:val="22"/>
          <w:szCs w:val="22"/>
          <w:highlight w:val="none"/>
        </w:rPr>
        <w:t>三、质疑事项具体内容</w:t>
      </w:r>
    </w:p>
    <w:p w14:paraId="29C1B4C1">
      <w:pPr>
        <w:pStyle w:val="16"/>
        <w:spacing w:line="360" w:lineRule="auto"/>
        <w:ind w:left="25" w:leftChars="12" w:firstLine="433" w:firstLineChars="197"/>
        <w:contextualSpacing/>
        <w:rPr>
          <w:rFonts w:hint="eastAsia" w:hAnsi="宋体"/>
          <w:color w:val="auto"/>
          <w:sz w:val="22"/>
          <w:szCs w:val="22"/>
          <w:highlight w:val="none"/>
        </w:rPr>
      </w:pPr>
      <w:r>
        <w:rPr>
          <w:rFonts w:hint="eastAsia" w:hAnsi="宋体"/>
          <w:color w:val="auto"/>
          <w:sz w:val="22"/>
          <w:szCs w:val="22"/>
          <w:highlight w:val="none"/>
        </w:rPr>
        <w:t>质疑事项1：</w:t>
      </w:r>
      <w:r>
        <w:rPr>
          <w:rFonts w:hint="eastAsia" w:hAnsi="宋体"/>
          <w:bCs/>
          <w:color w:val="auto"/>
          <w:sz w:val="22"/>
          <w:szCs w:val="22"/>
          <w:highlight w:val="none"/>
          <w:u w:val="single"/>
        </w:rPr>
        <w:t xml:space="preserve">                                                                    </w:t>
      </w:r>
    </w:p>
    <w:p w14:paraId="673C1938">
      <w:pPr>
        <w:pStyle w:val="16"/>
        <w:spacing w:line="360" w:lineRule="auto"/>
        <w:ind w:left="25" w:leftChars="12" w:firstLine="433" w:firstLineChars="197"/>
        <w:contextualSpacing/>
        <w:rPr>
          <w:rFonts w:hint="eastAsia" w:hAnsi="宋体"/>
          <w:color w:val="auto"/>
          <w:sz w:val="22"/>
          <w:szCs w:val="22"/>
          <w:highlight w:val="none"/>
        </w:rPr>
      </w:pPr>
      <w:r>
        <w:rPr>
          <w:rFonts w:hint="eastAsia" w:hAnsi="宋体"/>
          <w:color w:val="auto"/>
          <w:sz w:val="22"/>
          <w:szCs w:val="22"/>
          <w:highlight w:val="none"/>
        </w:rPr>
        <w:t>事实依据：</w:t>
      </w:r>
      <w:r>
        <w:rPr>
          <w:rFonts w:hint="eastAsia" w:hAnsi="宋体"/>
          <w:bCs/>
          <w:color w:val="auto"/>
          <w:sz w:val="22"/>
          <w:szCs w:val="22"/>
          <w:highlight w:val="none"/>
          <w:u w:val="single"/>
        </w:rPr>
        <w:t xml:space="preserve">                                                                      </w:t>
      </w:r>
    </w:p>
    <w:p w14:paraId="5BAA31D6">
      <w:pPr>
        <w:pStyle w:val="16"/>
        <w:spacing w:line="360" w:lineRule="auto"/>
        <w:ind w:left="25" w:leftChars="12" w:firstLine="433" w:firstLineChars="197"/>
        <w:contextualSpacing/>
        <w:rPr>
          <w:rFonts w:hint="eastAsia" w:hAnsi="宋体"/>
          <w:color w:val="auto"/>
          <w:sz w:val="22"/>
          <w:szCs w:val="22"/>
          <w:highlight w:val="none"/>
        </w:rPr>
      </w:pPr>
      <w:r>
        <w:rPr>
          <w:rFonts w:hint="eastAsia" w:hAnsi="宋体"/>
          <w:color w:val="auto"/>
          <w:sz w:val="22"/>
          <w:szCs w:val="22"/>
          <w:highlight w:val="none"/>
        </w:rPr>
        <w:t>法律依据：</w:t>
      </w:r>
      <w:r>
        <w:rPr>
          <w:rFonts w:hint="eastAsia" w:hAnsi="宋体"/>
          <w:color w:val="auto"/>
          <w:sz w:val="22"/>
          <w:szCs w:val="22"/>
          <w:highlight w:val="none"/>
          <w:u w:val="single"/>
        </w:rPr>
        <w:t xml:space="preserve">                                                        </w:t>
      </w:r>
      <w:r>
        <w:rPr>
          <w:rFonts w:hint="eastAsia" w:hAnsi="宋体"/>
          <w:bCs/>
          <w:color w:val="auto"/>
          <w:sz w:val="22"/>
          <w:szCs w:val="22"/>
          <w:highlight w:val="none"/>
          <w:u w:val="single"/>
        </w:rPr>
        <w:t xml:space="preserve">               </w:t>
      </w:r>
    </w:p>
    <w:p w14:paraId="3B6AC8E9">
      <w:pPr>
        <w:pStyle w:val="16"/>
        <w:spacing w:line="360" w:lineRule="auto"/>
        <w:ind w:left="25" w:leftChars="12" w:firstLine="433" w:firstLineChars="197"/>
        <w:contextualSpacing/>
        <w:rPr>
          <w:rFonts w:hint="eastAsia" w:hAnsi="宋体"/>
          <w:color w:val="auto"/>
          <w:sz w:val="22"/>
          <w:szCs w:val="22"/>
          <w:highlight w:val="none"/>
        </w:rPr>
      </w:pPr>
      <w:r>
        <w:rPr>
          <w:rFonts w:hint="eastAsia" w:hAnsi="宋体"/>
          <w:color w:val="auto"/>
          <w:sz w:val="22"/>
          <w:szCs w:val="22"/>
          <w:highlight w:val="none"/>
        </w:rPr>
        <w:t>质疑事项2</w:t>
      </w:r>
    </w:p>
    <w:p w14:paraId="24ADB446">
      <w:pPr>
        <w:pStyle w:val="16"/>
        <w:spacing w:line="360" w:lineRule="auto"/>
        <w:ind w:left="25" w:leftChars="12" w:firstLine="433" w:firstLineChars="197"/>
        <w:contextualSpacing/>
        <w:rPr>
          <w:rFonts w:hint="eastAsia" w:hAnsi="宋体"/>
          <w:color w:val="auto"/>
          <w:sz w:val="22"/>
          <w:szCs w:val="22"/>
          <w:highlight w:val="none"/>
        </w:rPr>
      </w:pPr>
      <w:r>
        <w:rPr>
          <w:rFonts w:hAnsi="宋体"/>
          <w:color w:val="auto"/>
          <w:sz w:val="22"/>
          <w:szCs w:val="22"/>
          <w:highlight w:val="none"/>
        </w:rPr>
        <w:t>……</w:t>
      </w:r>
    </w:p>
    <w:p w14:paraId="09E47AAE">
      <w:pPr>
        <w:pStyle w:val="16"/>
        <w:spacing w:line="360" w:lineRule="auto"/>
        <w:ind w:left="25" w:leftChars="12" w:firstLine="433" w:firstLineChars="197"/>
        <w:contextualSpacing/>
        <w:rPr>
          <w:rFonts w:hint="eastAsia" w:hAnsi="宋体"/>
          <w:color w:val="auto"/>
          <w:sz w:val="22"/>
          <w:szCs w:val="22"/>
          <w:highlight w:val="none"/>
        </w:rPr>
      </w:pPr>
      <w:r>
        <w:rPr>
          <w:rFonts w:hint="eastAsia" w:hAnsi="宋体"/>
          <w:color w:val="auto"/>
          <w:sz w:val="22"/>
          <w:szCs w:val="22"/>
          <w:highlight w:val="none"/>
        </w:rPr>
        <w:t>四、与质疑事项相关的质疑请求：</w:t>
      </w:r>
    </w:p>
    <w:p w14:paraId="37B9D65C">
      <w:pPr>
        <w:pStyle w:val="16"/>
        <w:spacing w:line="360" w:lineRule="auto"/>
        <w:ind w:left="25" w:leftChars="12" w:firstLine="433" w:firstLineChars="197"/>
        <w:contextualSpacing/>
        <w:rPr>
          <w:rFonts w:hint="eastAsia" w:hAnsi="宋体"/>
          <w:color w:val="auto"/>
          <w:sz w:val="22"/>
          <w:szCs w:val="22"/>
          <w:highlight w:val="none"/>
        </w:rPr>
      </w:pPr>
      <w:r>
        <w:rPr>
          <w:rFonts w:hint="eastAsia" w:hAnsi="宋体"/>
          <w:color w:val="auto"/>
          <w:sz w:val="22"/>
          <w:szCs w:val="22"/>
          <w:highlight w:val="none"/>
        </w:rPr>
        <w:t>请求：</w:t>
      </w:r>
      <w:r>
        <w:rPr>
          <w:rFonts w:hint="eastAsia" w:hAnsi="宋体"/>
          <w:bCs/>
          <w:color w:val="auto"/>
          <w:sz w:val="22"/>
          <w:szCs w:val="22"/>
          <w:highlight w:val="none"/>
          <w:u w:val="single"/>
        </w:rPr>
        <w:t xml:space="preserve">                                                                </w:t>
      </w:r>
    </w:p>
    <w:p w14:paraId="6BF2A682">
      <w:pPr>
        <w:pStyle w:val="16"/>
        <w:spacing w:line="360" w:lineRule="auto"/>
        <w:ind w:left="25" w:leftChars="12" w:firstLine="323" w:firstLineChars="147"/>
        <w:contextualSpacing/>
        <w:rPr>
          <w:rFonts w:hint="eastAsia" w:hAnsi="宋体"/>
          <w:color w:val="auto"/>
          <w:sz w:val="22"/>
          <w:szCs w:val="22"/>
          <w:highlight w:val="none"/>
        </w:rPr>
      </w:pPr>
    </w:p>
    <w:p w14:paraId="7FD126C4">
      <w:pPr>
        <w:pStyle w:val="16"/>
        <w:spacing w:line="360" w:lineRule="auto"/>
        <w:ind w:left="25" w:leftChars="12" w:firstLine="433" w:firstLineChars="197"/>
        <w:contextualSpacing/>
        <w:rPr>
          <w:rFonts w:hint="eastAsia" w:hAnsi="宋体"/>
          <w:color w:val="auto"/>
          <w:sz w:val="22"/>
          <w:szCs w:val="22"/>
          <w:highlight w:val="none"/>
        </w:rPr>
      </w:pPr>
      <w:r>
        <w:rPr>
          <w:rFonts w:hint="eastAsia" w:hAnsi="宋体"/>
          <w:color w:val="auto"/>
          <w:sz w:val="22"/>
          <w:szCs w:val="22"/>
          <w:highlight w:val="none"/>
        </w:rPr>
        <w:t>签字（签章）：                                       公章：</w:t>
      </w:r>
    </w:p>
    <w:p w14:paraId="39722EA2">
      <w:pPr>
        <w:pStyle w:val="16"/>
        <w:spacing w:line="360" w:lineRule="auto"/>
        <w:ind w:firstLine="440" w:firstLineChars="200"/>
        <w:contextualSpacing/>
        <w:rPr>
          <w:rFonts w:hint="eastAsia" w:hAnsi="宋体"/>
          <w:b/>
          <w:color w:val="auto"/>
          <w:sz w:val="22"/>
          <w:szCs w:val="22"/>
          <w:highlight w:val="none"/>
        </w:rPr>
      </w:pPr>
      <w:r>
        <w:rPr>
          <w:rFonts w:hint="eastAsia" w:hAnsi="宋体"/>
          <w:color w:val="auto"/>
          <w:sz w:val="22"/>
          <w:szCs w:val="22"/>
          <w:highlight w:val="none"/>
        </w:rPr>
        <w:t>日期：</w:t>
      </w:r>
    </w:p>
    <w:p w14:paraId="7E912513">
      <w:pPr>
        <w:pStyle w:val="16"/>
        <w:spacing w:line="360" w:lineRule="auto"/>
        <w:contextualSpacing/>
        <w:rPr>
          <w:rFonts w:hint="eastAsia" w:hAnsi="宋体"/>
          <w:b/>
          <w:color w:val="auto"/>
          <w:sz w:val="22"/>
          <w:szCs w:val="22"/>
          <w:highlight w:val="none"/>
        </w:rPr>
      </w:pPr>
    </w:p>
    <w:p w14:paraId="0A1D31DF">
      <w:pPr>
        <w:pStyle w:val="16"/>
        <w:spacing w:line="360" w:lineRule="auto"/>
        <w:contextualSpacing/>
        <w:rPr>
          <w:rFonts w:hint="eastAsia" w:hAnsi="宋体"/>
          <w:b/>
          <w:color w:val="auto"/>
          <w:sz w:val="22"/>
          <w:szCs w:val="22"/>
          <w:highlight w:val="none"/>
        </w:rPr>
      </w:pPr>
      <w:r>
        <w:rPr>
          <w:rFonts w:hint="eastAsia" w:hAnsi="宋体"/>
          <w:b/>
          <w:color w:val="auto"/>
          <w:sz w:val="22"/>
          <w:szCs w:val="22"/>
          <w:highlight w:val="none"/>
        </w:rPr>
        <w:t>说明：</w:t>
      </w:r>
    </w:p>
    <w:p w14:paraId="7FED770A">
      <w:pPr>
        <w:pStyle w:val="16"/>
        <w:spacing w:line="360" w:lineRule="auto"/>
        <w:ind w:left="25" w:leftChars="12" w:firstLine="325" w:firstLineChars="147"/>
        <w:contextualSpacing/>
        <w:rPr>
          <w:rFonts w:hint="eastAsia" w:hAnsi="宋体"/>
          <w:b/>
          <w:bCs/>
          <w:color w:val="auto"/>
          <w:sz w:val="22"/>
          <w:szCs w:val="22"/>
          <w:highlight w:val="none"/>
        </w:rPr>
      </w:pPr>
      <w:r>
        <w:rPr>
          <w:rFonts w:hint="eastAsia" w:hAnsi="宋体"/>
          <w:b/>
          <w:color w:val="auto"/>
          <w:sz w:val="22"/>
          <w:szCs w:val="22"/>
          <w:highlight w:val="none"/>
        </w:rPr>
        <w:t>1.供应商提出质疑时，应提交质疑函和必要的证明材料</w:t>
      </w:r>
      <w:r>
        <w:rPr>
          <w:rFonts w:hint="eastAsia" w:hAnsi="宋体"/>
          <w:b/>
          <w:bCs/>
          <w:color w:val="auto"/>
          <w:sz w:val="22"/>
          <w:szCs w:val="22"/>
          <w:highlight w:val="none"/>
        </w:rPr>
        <w:t>。</w:t>
      </w:r>
    </w:p>
    <w:p w14:paraId="7CAFBFC8">
      <w:pPr>
        <w:pStyle w:val="16"/>
        <w:spacing w:line="360" w:lineRule="auto"/>
        <w:ind w:left="25" w:leftChars="12" w:firstLine="325" w:firstLineChars="147"/>
        <w:contextualSpacing/>
        <w:rPr>
          <w:rFonts w:hint="eastAsia" w:hAnsi="宋体"/>
          <w:b/>
          <w:color w:val="auto"/>
          <w:sz w:val="22"/>
          <w:szCs w:val="22"/>
          <w:highlight w:val="none"/>
        </w:rPr>
      </w:pPr>
      <w:r>
        <w:rPr>
          <w:rFonts w:hint="eastAsia" w:hAnsi="宋体"/>
          <w:b/>
          <w:color w:val="auto"/>
          <w:sz w:val="22"/>
          <w:szCs w:val="22"/>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2C55916A">
      <w:pPr>
        <w:pStyle w:val="16"/>
        <w:spacing w:line="360" w:lineRule="auto"/>
        <w:ind w:left="25" w:leftChars="12" w:firstLine="325" w:firstLineChars="147"/>
        <w:contextualSpacing/>
        <w:rPr>
          <w:rFonts w:hint="eastAsia" w:hAnsi="宋体"/>
          <w:b/>
          <w:color w:val="auto"/>
          <w:sz w:val="22"/>
          <w:szCs w:val="22"/>
          <w:highlight w:val="none"/>
        </w:rPr>
      </w:pPr>
      <w:r>
        <w:rPr>
          <w:rFonts w:hint="eastAsia" w:hAnsi="宋体"/>
          <w:b/>
          <w:color w:val="auto"/>
          <w:sz w:val="22"/>
          <w:szCs w:val="22"/>
          <w:highlight w:val="none"/>
        </w:rPr>
        <w:t>3.质疑函的质疑事项应具体、明确，并有必要的事实依据和法律依据。</w:t>
      </w:r>
    </w:p>
    <w:p w14:paraId="525BE9F8">
      <w:pPr>
        <w:pStyle w:val="16"/>
        <w:spacing w:line="360" w:lineRule="auto"/>
        <w:ind w:left="25" w:leftChars="12" w:firstLine="325" w:firstLineChars="147"/>
        <w:contextualSpacing/>
        <w:rPr>
          <w:rFonts w:hint="eastAsia" w:hAnsi="宋体"/>
          <w:b/>
          <w:color w:val="auto"/>
          <w:sz w:val="22"/>
          <w:szCs w:val="22"/>
          <w:highlight w:val="none"/>
        </w:rPr>
      </w:pPr>
      <w:r>
        <w:rPr>
          <w:rFonts w:hint="eastAsia" w:hAnsi="宋体"/>
          <w:b/>
          <w:color w:val="auto"/>
          <w:sz w:val="22"/>
          <w:szCs w:val="22"/>
          <w:highlight w:val="none"/>
        </w:rPr>
        <w:t>4.质疑函的质疑请求应与质疑事项相关。</w:t>
      </w:r>
    </w:p>
    <w:p w14:paraId="142181CC">
      <w:pPr>
        <w:pStyle w:val="16"/>
        <w:spacing w:line="360" w:lineRule="auto"/>
        <w:ind w:left="25" w:leftChars="12" w:firstLine="325" w:firstLineChars="147"/>
        <w:contextualSpacing/>
        <w:rPr>
          <w:rFonts w:hint="eastAsia" w:hAnsi="宋体"/>
          <w:b/>
          <w:color w:val="auto"/>
          <w:sz w:val="20"/>
          <w:szCs w:val="18"/>
          <w:highlight w:val="none"/>
        </w:rPr>
      </w:pPr>
      <w:r>
        <w:rPr>
          <w:rFonts w:hint="eastAsia" w:hAnsi="宋体"/>
          <w:b/>
          <w:color w:val="auto"/>
          <w:sz w:val="22"/>
          <w:szCs w:val="22"/>
          <w:highlight w:val="none"/>
        </w:rPr>
        <w:t>5.质疑供应商为法人或者其他组织的，质疑函应由法定代表人、主要负责人，或者其授权代表签字或者盖章，并加盖公章。</w:t>
      </w:r>
    </w:p>
    <w:p w14:paraId="205B35ED">
      <w:pPr>
        <w:pStyle w:val="16"/>
        <w:snapToGrid w:val="0"/>
        <w:rPr>
          <w:rFonts w:hint="eastAsia"/>
          <w:b/>
          <w:color w:val="auto"/>
          <w:sz w:val="22"/>
          <w:szCs w:val="22"/>
          <w:highlight w:val="none"/>
        </w:rPr>
      </w:pPr>
    </w:p>
    <w:p w14:paraId="0A55E938">
      <w:pPr>
        <w:rPr>
          <w:rFonts w:hint="eastAsia"/>
          <w:color w:val="auto"/>
          <w:sz w:val="28"/>
          <w:szCs w:val="36"/>
          <w:highlight w:val="none"/>
        </w:rPr>
      </w:pPr>
    </w:p>
    <w:p w14:paraId="1E2B5CFE">
      <w:pPr>
        <w:rPr>
          <w:rFonts w:hint="eastAsia"/>
          <w:color w:val="auto"/>
          <w:sz w:val="28"/>
          <w:szCs w:val="36"/>
          <w:highlight w:val="none"/>
        </w:rPr>
      </w:pPr>
    </w:p>
    <w:p w14:paraId="3849A1CA">
      <w:pPr>
        <w:rPr>
          <w:rFonts w:hint="eastAsia"/>
          <w:color w:val="auto"/>
          <w:sz w:val="28"/>
          <w:szCs w:val="36"/>
          <w:highlight w:val="none"/>
        </w:rPr>
      </w:pPr>
    </w:p>
    <w:p w14:paraId="126AED30">
      <w:pPr>
        <w:rPr>
          <w:rFonts w:hint="eastAsia"/>
          <w:color w:val="auto"/>
          <w:sz w:val="28"/>
          <w:szCs w:val="36"/>
          <w:highlight w:val="none"/>
        </w:rPr>
      </w:pPr>
    </w:p>
    <w:p w14:paraId="3ED7BB98">
      <w:pPr>
        <w:rPr>
          <w:rFonts w:hint="eastAsia"/>
          <w:color w:val="auto"/>
          <w:sz w:val="28"/>
          <w:szCs w:val="36"/>
          <w:highlight w:val="none"/>
        </w:rPr>
      </w:pPr>
    </w:p>
    <w:p w14:paraId="4EFFEB71">
      <w:pPr>
        <w:rPr>
          <w:rFonts w:hint="eastAsia"/>
          <w:color w:val="auto"/>
          <w:sz w:val="28"/>
          <w:szCs w:val="36"/>
          <w:highlight w:val="none"/>
        </w:rPr>
      </w:pPr>
    </w:p>
    <w:p w14:paraId="1E0D1001">
      <w:pPr>
        <w:rPr>
          <w:rFonts w:hint="eastAsia"/>
          <w:color w:val="auto"/>
          <w:sz w:val="28"/>
          <w:szCs w:val="36"/>
          <w:highlight w:val="none"/>
        </w:rPr>
      </w:pPr>
    </w:p>
    <w:p w14:paraId="5772D344">
      <w:pPr>
        <w:rPr>
          <w:rFonts w:hint="eastAsia"/>
          <w:color w:val="auto"/>
          <w:sz w:val="28"/>
          <w:szCs w:val="36"/>
          <w:highlight w:val="none"/>
        </w:rPr>
      </w:pPr>
    </w:p>
    <w:p w14:paraId="41545F65">
      <w:pPr>
        <w:rPr>
          <w:rFonts w:hint="eastAsia"/>
          <w:color w:val="auto"/>
          <w:sz w:val="28"/>
          <w:szCs w:val="36"/>
          <w:highlight w:val="none"/>
        </w:rPr>
      </w:pPr>
    </w:p>
    <w:p w14:paraId="38E8C59A">
      <w:pPr>
        <w:rPr>
          <w:rFonts w:hint="eastAsia" w:eastAsia="宋体"/>
          <w:color w:val="auto"/>
          <w:sz w:val="28"/>
          <w:szCs w:val="36"/>
          <w:highlight w:val="none"/>
          <w:lang w:eastAsia="zh-CN"/>
        </w:rPr>
      </w:pPr>
    </w:p>
    <w:p w14:paraId="32CD90DB">
      <w:pPr>
        <w:rPr>
          <w:rFonts w:hint="eastAsia"/>
          <w:color w:val="auto"/>
          <w:sz w:val="28"/>
          <w:szCs w:val="36"/>
          <w:highlight w:val="none"/>
        </w:rPr>
      </w:pPr>
    </w:p>
    <w:p w14:paraId="52682DA6">
      <w:pPr>
        <w:rPr>
          <w:rFonts w:hint="eastAsia"/>
          <w:color w:val="auto"/>
          <w:sz w:val="28"/>
          <w:szCs w:val="36"/>
          <w:highlight w:val="none"/>
        </w:rPr>
      </w:pPr>
    </w:p>
    <w:p w14:paraId="2B6CFBA1">
      <w:pPr>
        <w:rPr>
          <w:rFonts w:hint="eastAsia"/>
          <w:color w:val="auto"/>
          <w:sz w:val="28"/>
          <w:szCs w:val="36"/>
          <w:highlight w:val="none"/>
        </w:rPr>
      </w:pPr>
    </w:p>
    <w:p w14:paraId="2AA41201">
      <w:pPr>
        <w:spacing w:line="360" w:lineRule="auto"/>
        <w:jc w:val="both"/>
        <w:rPr>
          <w:rFonts w:hint="eastAsia" w:ascii="方正小标宋简体" w:hAnsi="方正小标宋简体" w:eastAsia="方正小标宋简体" w:cs="方正小标宋简体"/>
          <w:color w:val="auto"/>
          <w:sz w:val="40"/>
          <w:szCs w:val="40"/>
          <w:highlight w:val="none"/>
        </w:rPr>
      </w:pPr>
    </w:p>
    <w:p w14:paraId="60C25A03">
      <w:pPr>
        <w:spacing w:line="360" w:lineRule="auto"/>
        <w:jc w:val="both"/>
        <w:rPr>
          <w:rFonts w:hint="eastAsia" w:ascii="方正小标宋简体" w:hAnsi="方正小标宋简体" w:eastAsia="方正小标宋简体" w:cs="方正小标宋简体"/>
          <w:color w:val="auto"/>
          <w:sz w:val="40"/>
          <w:szCs w:val="40"/>
          <w:highlight w:val="none"/>
        </w:rPr>
      </w:pPr>
    </w:p>
    <w:p w14:paraId="0F999854">
      <w:pPr>
        <w:spacing w:line="360" w:lineRule="auto"/>
        <w:jc w:val="both"/>
        <w:rPr>
          <w:rFonts w:hint="eastAsia" w:ascii="方正小标宋简体" w:hAnsi="方正小标宋简体" w:eastAsia="方正小标宋简体" w:cs="方正小标宋简体"/>
          <w:color w:val="auto"/>
          <w:sz w:val="40"/>
          <w:szCs w:val="40"/>
          <w:highlight w:val="none"/>
        </w:rPr>
      </w:pPr>
    </w:p>
    <w:p w14:paraId="70F64414">
      <w:pPr>
        <w:spacing w:line="360" w:lineRule="auto"/>
        <w:jc w:val="both"/>
        <w:rPr>
          <w:rFonts w:hint="eastAsia" w:ascii="方正小标宋简体" w:hAnsi="方正小标宋简体" w:eastAsia="方正小标宋简体" w:cs="方正小标宋简体"/>
          <w:color w:val="auto"/>
          <w:sz w:val="40"/>
          <w:szCs w:val="40"/>
          <w:highlight w:val="none"/>
        </w:rPr>
      </w:pPr>
    </w:p>
    <w:p w14:paraId="3CF33526">
      <w:pPr>
        <w:spacing w:line="360" w:lineRule="auto"/>
        <w:jc w:val="center"/>
        <w:rPr>
          <w:rFonts w:hint="eastAsia" w:ascii="方正小标宋简体" w:hAnsi="方正小标宋简体" w:eastAsia="方正小标宋简体" w:cs="方正小标宋简体"/>
          <w:color w:val="auto"/>
          <w:sz w:val="40"/>
          <w:szCs w:val="40"/>
          <w:highlight w:val="none"/>
        </w:rPr>
      </w:pPr>
      <w:r>
        <w:rPr>
          <w:rFonts w:hint="eastAsia" w:ascii="方正小标宋简体" w:hAnsi="方正小标宋简体" w:eastAsia="方正小标宋简体" w:cs="方正小标宋简体"/>
          <w:color w:val="auto"/>
          <w:sz w:val="40"/>
          <w:szCs w:val="40"/>
          <w:highlight w:val="none"/>
        </w:rPr>
        <w:t>投诉书（格式）</w:t>
      </w:r>
    </w:p>
    <w:p w14:paraId="496BAF09">
      <w:pPr>
        <w:pStyle w:val="16"/>
        <w:snapToGrid w:val="0"/>
        <w:spacing w:line="360" w:lineRule="auto"/>
        <w:ind w:firstLine="442" w:firstLineChars="200"/>
        <w:rPr>
          <w:rFonts w:hAnsi="宋体"/>
          <w:b/>
          <w:bCs/>
          <w:color w:val="auto"/>
          <w:sz w:val="22"/>
          <w:szCs w:val="22"/>
          <w:highlight w:val="none"/>
        </w:rPr>
      </w:pPr>
      <w:r>
        <w:rPr>
          <w:rFonts w:hint="eastAsia" w:hAnsi="宋体"/>
          <w:b/>
          <w:bCs/>
          <w:color w:val="auto"/>
          <w:sz w:val="22"/>
          <w:szCs w:val="22"/>
          <w:highlight w:val="none"/>
        </w:rPr>
        <w:t>一、投诉相关主体基本情况：</w:t>
      </w:r>
    </w:p>
    <w:p w14:paraId="14CF3898">
      <w:pPr>
        <w:pStyle w:val="16"/>
        <w:snapToGrid w:val="0"/>
        <w:spacing w:line="360" w:lineRule="auto"/>
        <w:ind w:firstLine="440" w:firstLineChars="200"/>
        <w:rPr>
          <w:rFonts w:hint="eastAsia" w:hAnsi="宋体"/>
          <w:bCs/>
          <w:color w:val="auto"/>
          <w:sz w:val="22"/>
          <w:szCs w:val="22"/>
          <w:highlight w:val="none"/>
          <w:u w:val="single"/>
        </w:rPr>
      </w:pPr>
      <w:r>
        <w:rPr>
          <w:rFonts w:hint="eastAsia" w:hAnsi="宋体"/>
          <w:bCs/>
          <w:color w:val="auto"/>
          <w:sz w:val="22"/>
          <w:szCs w:val="22"/>
          <w:highlight w:val="none"/>
        </w:rPr>
        <w:t>供应商：</w:t>
      </w:r>
      <w:r>
        <w:rPr>
          <w:rFonts w:hint="eastAsia" w:hAnsi="宋体"/>
          <w:bCs/>
          <w:color w:val="auto"/>
          <w:sz w:val="22"/>
          <w:szCs w:val="22"/>
          <w:highlight w:val="none"/>
          <w:u w:val="single"/>
        </w:rPr>
        <w:t xml:space="preserve">                                                                        </w:t>
      </w:r>
      <w:r>
        <w:rPr>
          <w:rFonts w:hint="eastAsia" w:hAnsi="宋体"/>
          <w:bCs/>
          <w:color w:val="auto"/>
          <w:sz w:val="22"/>
          <w:szCs w:val="22"/>
          <w:highlight w:val="none"/>
        </w:rPr>
        <w:t xml:space="preserve">                 </w:t>
      </w:r>
    </w:p>
    <w:p w14:paraId="161E11BD">
      <w:pPr>
        <w:pStyle w:val="16"/>
        <w:snapToGrid w:val="0"/>
        <w:spacing w:line="360" w:lineRule="auto"/>
        <w:ind w:firstLine="440" w:firstLineChars="200"/>
        <w:rPr>
          <w:rFonts w:hint="eastAsia" w:hAnsi="宋体"/>
          <w:bCs/>
          <w:color w:val="auto"/>
          <w:sz w:val="22"/>
          <w:szCs w:val="22"/>
          <w:highlight w:val="none"/>
        </w:rPr>
      </w:pPr>
      <w:r>
        <w:rPr>
          <w:rFonts w:hAnsi="宋体"/>
          <w:bCs/>
          <w:color w:val="auto"/>
          <w:sz w:val="22"/>
          <w:szCs w:val="22"/>
          <w:highlight w:val="none"/>
        </w:rPr>
        <w:t>地址</w:t>
      </w:r>
      <w:r>
        <w:rPr>
          <w:rFonts w:hint="eastAsia" w:hAnsi="宋体"/>
          <w:bCs/>
          <w:color w:val="auto"/>
          <w:sz w:val="22"/>
          <w:szCs w:val="22"/>
          <w:highlight w:val="none"/>
        </w:rPr>
        <w:t>：</w:t>
      </w:r>
      <w:r>
        <w:rPr>
          <w:rFonts w:hint="eastAsia" w:hAnsi="宋体"/>
          <w:bCs/>
          <w:color w:val="auto"/>
          <w:sz w:val="22"/>
          <w:szCs w:val="22"/>
          <w:highlight w:val="none"/>
          <w:u w:val="single"/>
        </w:rPr>
        <w:t xml:space="preserve">                                          </w:t>
      </w:r>
      <w:r>
        <w:rPr>
          <w:rFonts w:hAnsi="宋体"/>
          <w:bCs/>
          <w:color w:val="auto"/>
          <w:sz w:val="22"/>
          <w:szCs w:val="22"/>
          <w:highlight w:val="none"/>
        </w:rPr>
        <w:t>邮编</w:t>
      </w:r>
      <w:r>
        <w:rPr>
          <w:rFonts w:hint="eastAsia" w:hAnsi="宋体"/>
          <w:bCs/>
          <w:color w:val="auto"/>
          <w:sz w:val="22"/>
          <w:szCs w:val="22"/>
          <w:highlight w:val="none"/>
        </w:rPr>
        <w:t>：</w:t>
      </w:r>
      <w:r>
        <w:rPr>
          <w:rFonts w:hint="eastAsia" w:hAnsi="宋体"/>
          <w:bCs/>
          <w:color w:val="auto"/>
          <w:sz w:val="22"/>
          <w:szCs w:val="22"/>
          <w:highlight w:val="none"/>
          <w:u w:val="single"/>
        </w:rPr>
        <w:t xml:space="preserve">                          </w:t>
      </w:r>
      <w:r>
        <w:rPr>
          <w:rFonts w:hint="eastAsia" w:hAnsi="宋体"/>
          <w:bCs/>
          <w:color w:val="auto"/>
          <w:sz w:val="22"/>
          <w:szCs w:val="22"/>
          <w:highlight w:val="none"/>
        </w:rPr>
        <w:t xml:space="preserve">                 </w:t>
      </w:r>
    </w:p>
    <w:p w14:paraId="7FAFBEF4">
      <w:pPr>
        <w:pStyle w:val="16"/>
        <w:snapToGrid w:val="0"/>
        <w:spacing w:line="360" w:lineRule="auto"/>
        <w:ind w:firstLine="440" w:firstLineChars="200"/>
        <w:rPr>
          <w:rFonts w:hint="eastAsia" w:hAnsi="宋体"/>
          <w:bCs/>
          <w:color w:val="auto"/>
          <w:sz w:val="22"/>
          <w:szCs w:val="22"/>
          <w:highlight w:val="none"/>
          <w:u w:val="single"/>
        </w:rPr>
      </w:pPr>
      <w:r>
        <w:rPr>
          <w:rFonts w:hint="eastAsia" w:hAnsi="宋体"/>
          <w:bCs/>
          <w:color w:val="auto"/>
          <w:sz w:val="22"/>
          <w:szCs w:val="22"/>
          <w:highlight w:val="none"/>
        </w:rPr>
        <w:t>法定代表人/主要负责人：</w:t>
      </w:r>
      <w:r>
        <w:rPr>
          <w:rFonts w:hint="eastAsia" w:hAnsi="宋体"/>
          <w:bCs/>
          <w:color w:val="auto"/>
          <w:sz w:val="22"/>
          <w:szCs w:val="22"/>
          <w:highlight w:val="none"/>
          <w:u w:val="single"/>
        </w:rPr>
        <w:t xml:space="preserve">                                                         </w:t>
      </w:r>
    </w:p>
    <w:p w14:paraId="0163BA34">
      <w:pPr>
        <w:pStyle w:val="16"/>
        <w:snapToGrid w:val="0"/>
        <w:spacing w:line="360" w:lineRule="auto"/>
        <w:ind w:firstLine="440" w:firstLineChars="200"/>
        <w:rPr>
          <w:rFonts w:hint="eastAsia" w:hAnsi="宋体"/>
          <w:bCs/>
          <w:color w:val="auto"/>
          <w:sz w:val="22"/>
          <w:szCs w:val="22"/>
          <w:highlight w:val="none"/>
        </w:rPr>
      </w:pPr>
      <w:r>
        <w:rPr>
          <w:rFonts w:hAnsi="宋体"/>
          <w:bCs/>
          <w:color w:val="auto"/>
          <w:sz w:val="22"/>
          <w:szCs w:val="22"/>
          <w:highlight w:val="none"/>
        </w:rPr>
        <w:t>联系电话</w:t>
      </w:r>
      <w:r>
        <w:rPr>
          <w:rFonts w:hint="eastAsia" w:hAnsi="宋体"/>
          <w:bCs/>
          <w:color w:val="auto"/>
          <w:sz w:val="22"/>
          <w:szCs w:val="22"/>
          <w:highlight w:val="none"/>
        </w:rPr>
        <w:t>：</w:t>
      </w:r>
      <w:r>
        <w:rPr>
          <w:rFonts w:hint="eastAsia" w:hAnsi="宋体"/>
          <w:bCs/>
          <w:color w:val="auto"/>
          <w:sz w:val="22"/>
          <w:szCs w:val="22"/>
          <w:highlight w:val="none"/>
          <w:u w:val="single"/>
        </w:rPr>
        <w:t xml:space="preserve">                                         </w:t>
      </w:r>
    </w:p>
    <w:p w14:paraId="0C2C2907">
      <w:pPr>
        <w:pStyle w:val="16"/>
        <w:snapToGrid w:val="0"/>
        <w:spacing w:line="360" w:lineRule="auto"/>
        <w:ind w:firstLine="440" w:firstLineChars="200"/>
        <w:rPr>
          <w:rFonts w:hint="eastAsia" w:hAnsi="宋体"/>
          <w:bCs/>
          <w:color w:val="auto"/>
          <w:sz w:val="22"/>
          <w:szCs w:val="22"/>
          <w:highlight w:val="none"/>
          <w:u w:val="single"/>
        </w:rPr>
      </w:pPr>
      <w:r>
        <w:rPr>
          <w:rFonts w:hint="eastAsia" w:hAnsi="宋体"/>
          <w:bCs/>
          <w:color w:val="auto"/>
          <w:sz w:val="22"/>
          <w:szCs w:val="22"/>
          <w:highlight w:val="none"/>
        </w:rPr>
        <w:t>授权代表：</w:t>
      </w:r>
      <w:r>
        <w:rPr>
          <w:rFonts w:hint="eastAsia" w:hAnsi="宋体"/>
          <w:bCs/>
          <w:color w:val="auto"/>
          <w:sz w:val="22"/>
          <w:szCs w:val="22"/>
          <w:highlight w:val="none"/>
          <w:u w:val="single"/>
        </w:rPr>
        <w:t xml:space="preserve">                                         </w:t>
      </w:r>
      <w:r>
        <w:rPr>
          <w:rFonts w:hAnsi="宋体"/>
          <w:bCs/>
          <w:color w:val="auto"/>
          <w:sz w:val="22"/>
          <w:szCs w:val="22"/>
          <w:highlight w:val="none"/>
        </w:rPr>
        <w:t>联系</w:t>
      </w:r>
      <w:r>
        <w:rPr>
          <w:rFonts w:hint="eastAsia" w:hAnsi="宋体"/>
          <w:bCs/>
          <w:color w:val="auto"/>
          <w:sz w:val="22"/>
          <w:szCs w:val="22"/>
          <w:highlight w:val="none"/>
        </w:rPr>
        <w:t>电话：</w:t>
      </w:r>
      <w:r>
        <w:rPr>
          <w:rFonts w:hint="eastAsia" w:hAnsi="宋体"/>
          <w:bCs/>
          <w:color w:val="auto"/>
          <w:sz w:val="22"/>
          <w:szCs w:val="22"/>
          <w:highlight w:val="none"/>
          <w:u w:val="single"/>
        </w:rPr>
        <w:t xml:space="preserve">                   </w:t>
      </w:r>
    </w:p>
    <w:p w14:paraId="0037FD84">
      <w:pPr>
        <w:pStyle w:val="16"/>
        <w:snapToGrid w:val="0"/>
        <w:spacing w:line="360" w:lineRule="auto"/>
        <w:ind w:firstLine="440" w:firstLineChars="200"/>
        <w:rPr>
          <w:rFonts w:hint="eastAsia" w:hAnsi="宋体"/>
          <w:bCs/>
          <w:color w:val="auto"/>
          <w:sz w:val="22"/>
          <w:szCs w:val="22"/>
          <w:highlight w:val="none"/>
          <w:u w:val="single"/>
        </w:rPr>
      </w:pPr>
      <w:r>
        <w:rPr>
          <w:rFonts w:hAnsi="宋体"/>
          <w:bCs/>
          <w:color w:val="auto"/>
          <w:sz w:val="22"/>
          <w:szCs w:val="22"/>
          <w:highlight w:val="none"/>
        </w:rPr>
        <w:t>地址</w:t>
      </w:r>
      <w:r>
        <w:rPr>
          <w:rFonts w:hint="eastAsia" w:hAnsi="宋体"/>
          <w:bCs/>
          <w:color w:val="auto"/>
          <w:sz w:val="22"/>
          <w:szCs w:val="22"/>
          <w:highlight w:val="none"/>
        </w:rPr>
        <w:t>：</w:t>
      </w:r>
      <w:r>
        <w:rPr>
          <w:rFonts w:hint="eastAsia" w:hAnsi="宋体"/>
          <w:bCs/>
          <w:color w:val="auto"/>
          <w:sz w:val="22"/>
          <w:szCs w:val="22"/>
          <w:highlight w:val="none"/>
          <w:u w:val="single"/>
        </w:rPr>
        <w:t xml:space="preserve">                                                            </w:t>
      </w:r>
    </w:p>
    <w:p w14:paraId="3CC339DD">
      <w:pPr>
        <w:pStyle w:val="16"/>
        <w:snapToGrid w:val="0"/>
        <w:spacing w:line="360" w:lineRule="auto"/>
        <w:ind w:firstLine="440" w:firstLineChars="200"/>
        <w:rPr>
          <w:rFonts w:hint="eastAsia" w:hAnsi="宋体"/>
          <w:bCs/>
          <w:color w:val="auto"/>
          <w:sz w:val="22"/>
          <w:szCs w:val="22"/>
          <w:highlight w:val="none"/>
        </w:rPr>
      </w:pPr>
      <w:r>
        <w:rPr>
          <w:rFonts w:hAnsi="宋体"/>
          <w:bCs/>
          <w:color w:val="auto"/>
          <w:sz w:val="22"/>
          <w:szCs w:val="22"/>
          <w:highlight w:val="none"/>
        </w:rPr>
        <w:t>邮编</w:t>
      </w:r>
      <w:r>
        <w:rPr>
          <w:rFonts w:hint="eastAsia" w:hAnsi="宋体"/>
          <w:bCs/>
          <w:color w:val="auto"/>
          <w:sz w:val="22"/>
          <w:szCs w:val="22"/>
          <w:highlight w:val="none"/>
        </w:rPr>
        <w:t>：</w:t>
      </w:r>
      <w:r>
        <w:rPr>
          <w:rFonts w:hint="eastAsia" w:hAnsi="宋体"/>
          <w:bCs/>
          <w:color w:val="auto"/>
          <w:sz w:val="22"/>
          <w:szCs w:val="22"/>
          <w:highlight w:val="none"/>
          <w:u w:val="single"/>
        </w:rPr>
        <w:t xml:space="preserve">         </w:t>
      </w:r>
      <w:r>
        <w:rPr>
          <w:rFonts w:hint="eastAsia" w:hAnsi="宋体"/>
          <w:bCs/>
          <w:color w:val="auto"/>
          <w:sz w:val="22"/>
          <w:szCs w:val="22"/>
          <w:highlight w:val="none"/>
        </w:rPr>
        <w:t xml:space="preserve">   </w:t>
      </w:r>
    </w:p>
    <w:p w14:paraId="6E6879C1">
      <w:pPr>
        <w:pStyle w:val="16"/>
        <w:snapToGrid w:val="0"/>
        <w:spacing w:line="360" w:lineRule="auto"/>
        <w:ind w:firstLine="440" w:firstLineChars="200"/>
        <w:rPr>
          <w:rFonts w:hint="eastAsia" w:hAnsi="宋体"/>
          <w:bCs/>
          <w:color w:val="auto"/>
          <w:sz w:val="22"/>
          <w:szCs w:val="22"/>
          <w:highlight w:val="none"/>
        </w:rPr>
      </w:pPr>
      <w:r>
        <w:rPr>
          <w:rFonts w:hint="eastAsia" w:hAnsi="宋体"/>
          <w:bCs/>
          <w:color w:val="auto"/>
          <w:sz w:val="22"/>
          <w:szCs w:val="22"/>
          <w:highlight w:val="none"/>
        </w:rPr>
        <w:t>被投诉人1：</w:t>
      </w:r>
    </w:p>
    <w:p w14:paraId="4B0A4858">
      <w:pPr>
        <w:pStyle w:val="16"/>
        <w:snapToGrid w:val="0"/>
        <w:spacing w:line="360" w:lineRule="auto"/>
        <w:ind w:firstLine="440" w:firstLineChars="200"/>
        <w:rPr>
          <w:rFonts w:hint="eastAsia" w:hAnsi="宋体"/>
          <w:bCs/>
          <w:color w:val="auto"/>
          <w:sz w:val="22"/>
          <w:szCs w:val="22"/>
          <w:highlight w:val="none"/>
          <w:u w:val="single"/>
        </w:rPr>
      </w:pPr>
      <w:r>
        <w:rPr>
          <w:rFonts w:hint="eastAsia" w:hAnsi="宋体"/>
          <w:bCs/>
          <w:color w:val="auto"/>
          <w:sz w:val="22"/>
          <w:szCs w:val="22"/>
          <w:highlight w:val="none"/>
        </w:rPr>
        <w:t>地址：</w:t>
      </w:r>
      <w:r>
        <w:rPr>
          <w:rFonts w:hint="eastAsia" w:hAnsi="宋体"/>
          <w:bCs/>
          <w:color w:val="auto"/>
          <w:sz w:val="22"/>
          <w:szCs w:val="22"/>
          <w:highlight w:val="none"/>
          <w:u w:val="single"/>
        </w:rPr>
        <w:t xml:space="preserve">                                                            </w:t>
      </w:r>
    </w:p>
    <w:p w14:paraId="16B09898">
      <w:pPr>
        <w:pStyle w:val="16"/>
        <w:snapToGrid w:val="0"/>
        <w:spacing w:line="360" w:lineRule="auto"/>
        <w:ind w:firstLine="440" w:firstLineChars="200"/>
        <w:rPr>
          <w:rFonts w:hint="eastAsia" w:hAnsi="宋体"/>
          <w:bCs/>
          <w:color w:val="auto"/>
          <w:sz w:val="22"/>
          <w:szCs w:val="22"/>
          <w:highlight w:val="none"/>
        </w:rPr>
      </w:pPr>
      <w:r>
        <w:rPr>
          <w:rFonts w:hAnsi="宋体"/>
          <w:bCs/>
          <w:color w:val="auto"/>
          <w:sz w:val="22"/>
          <w:szCs w:val="22"/>
          <w:highlight w:val="none"/>
        </w:rPr>
        <w:t>邮编</w:t>
      </w:r>
      <w:r>
        <w:rPr>
          <w:rFonts w:hint="eastAsia" w:hAnsi="宋体"/>
          <w:bCs/>
          <w:color w:val="auto"/>
          <w:sz w:val="22"/>
          <w:szCs w:val="22"/>
          <w:highlight w:val="none"/>
        </w:rPr>
        <w:t>：</w:t>
      </w:r>
      <w:r>
        <w:rPr>
          <w:rFonts w:hint="eastAsia" w:hAnsi="宋体"/>
          <w:bCs/>
          <w:color w:val="auto"/>
          <w:sz w:val="22"/>
          <w:szCs w:val="22"/>
          <w:highlight w:val="none"/>
          <w:u w:val="single"/>
        </w:rPr>
        <w:t xml:space="preserve">         </w:t>
      </w:r>
      <w:r>
        <w:rPr>
          <w:rFonts w:hint="eastAsia" w:hAnsi="宋体"/>
          <w:bCs/>
          <w:color w:val="auto"/>
          <w:sz w:val="22"/>
          <w:szCs w:val="22"/>
          <w:highlight w:val="none"/>
        </w:rPr>
        <w:t xml:space="preserve">  </w:t>
      </w:r>
    </w:p>
    <w:p w14:paraId="5B5E0174">
      <w:pPr>
        <w:pStyle w:val="16"/>
        <w:snapToGrid w:val="0"/>
        <w:spacing w:line="360" w:lineRule="auto"/>
        <w:ind w:firstLine="440" w:firstLineChars="200"/>
        <w:rPr>
          <w:rFonts w:hint="eastAsia" w:hAnsi="宋体"/>
          <w:bCs/>
          <w:color w:val="auto"/>
          <w:sz w:val="22"/>
          <w:szCs w:val="22"/>
          <w:highlight w:val="none"/>
          <w:u w:val="single"/>
        </w:rPr>
      </w:pPr>
      <w:r>
        <w:rPr>
          <w:rFonts w:hint="eastAsia" w:hAnsi="宋体"/>
          <w:bCs/>
          <w:color w:val="auto"/>
          <w:sz w:val="22"/>
          <w:szCs w:val="22"/>
          <w:highlight w:val="none"/>
        </w:rPr>
        <w:t>联系人：</w:t>
      </w:r>
      <w:r>
        <w:rPr>
          <w:rFonts w:hint="eastAsia" w:hAnsi="宋体"/>
          <w:bCs/>
          <w:color w:val="auto"/>
          <w:sz w:val="22"/>
          <w:szCs w:val="22"/>
          <w:highlight w:val="none"/>
          <w:u w:val="single"/>
        </w:rPr>
        <w:t xml:space="preserve">                                                </w:t>
      </w:r>
      <w:r>
        <w:rPr>
          <w:rFonts w:hAnsi="宋体"/>
          <w:bCs/>
          <w:color w:val="auto"/>
          <w:sz w:val="22"/>
          <w:szCs w:val="22"/>
          <w:highlight w:val="none"/>
        </w:rPr>
        <w:t>联系</w:t>
      </w:r>
      <w:r>
        <w:rPr>
          <w:rFonts w:hint="eastAsia" w:hAnsi="宋体"/>
          <w:bCs/>
          <w:color w:val="auto"/>
          <w:sz w:val="22"/>
          <w:szCs w:val="22"/>
          <w:highlight w:val="none"/>
        </w:rPr>
        <w:t>电话：</w:t>
      </w:r>
      <w:r>
        <w:rPr>
          <w:rFonts w:hint="eastAsia" w:hAnsi="宋体"/>
          <w:bCs/>
          <w:color w:val="auto"/>
          <w:sz w:val="22"/>
          <w:szCs w:val="22"/>
          <w:highlight w:val="none"/>
          <w:u w:val="single"/>
        </w:rPr>
        <w:t xml:space="preserve">                </w:t>
      </w:r>
    </w:p>
    <w:p w14:paraId="62BF2900">
      <w:pPr>
        <w:pStyle w:val="16"/>
        <w:snapToGrid w:val="0"/>
        <w:spacing w:line="360" w:lineRule="auto"/>
        <w:ind w:firstLine="440" w:firstLineChars="200"/>
        <w:rPr>
          <w:rFonts w:hint="eastAsia" w:hAnsi="宋体"/>
          <w:bCs/>
          <w:color w:val="auto"/>
          <w:sz w:val="22"/>
          <w:szCs w:val="22"/>
          <w:highlight w:val="none"/>
        </w:rPr>
      </w:pPr>
      <w:r>
        <w:rPr>
          <w:rFonts w:hint="eastAsia" w:hAnsi="宋体"/>
          <w:bCs/>
          <w:color w:val="auto"/>
          <w:sz w:val="22"/>
          <w:szCs w:val="22"/>
          <w:highlight w:val="none"/>
        </w:rPr>
        <w:t>被投诉人2：</w:t>
      </w:r>
    </w:p>
    <w:p w14:paraId="289425B0">
      <w:pPr>
        <w:pStyle w:val="16"/>
        <w:snapToGrid w:val="0"/>
        <w:spacing w:line="360" w:lineRule="auto"/>
        <w:ind w:firstLine="440" w:firstLineChars="200"/>
        <w:rPr>
          <w:rFonts w:hint="eastAsia" w:hAnsi="宋体"/>
          <w:bCs/>
          <w:color w:val="auto"/>
          <w:sz w:val="22"/>
          <w:szCs w:val="22"/>
          <w:highlight w:val="none"/>
        </w:rPr>
      </w:pPr>
      <w:r>
        <w:rPr>
          <w:rFonts w:hAnsi="宋体"/>
          <w:bCs/>
          <w:color w:val="auto"/>
          <w:sz w:val="22"/>
          <w:szCs w:val="22"/>
          <w:highlight w:val="none"/>
        </w:rPr>
        <w:t>……</w:t>
      </w:r>
    </w:p>
    <w:p w14:paraId="720771BA">
      <w:pPr>
        <w:pStyle w:val="16"/>
        <w:snapToGrid w:val="0"/>
        <w:spacing w:line="360" w:lineRule="auto"/>
        <w:ind w:firstLine="440" w:firstLineChars="200"/>
        <w:rPr>
          <w:rFonts w:hint="eastAsia" w:hAnsi="宋体"/>
          <w:bCs/>
          <w:color w:val="auto"/>
          <w:sz w:val="22"/>
          <w:szCs w:val="22"/>
          <w:highlight w:val="none"/>
          <w:u w:val="single"/>
        </w:rPr>
      </w:pPr>
      <w:r>
        <w:rPr>
          <w:rFonts w:hint="eastAsia" w:hAnsi="宋体"/>
          <w:bCs/>
          <w:color w:val="auto"/>
          <w:sz w:val="22"/>
          <w:szCs w:val="22"/>
          <w:highlight w:val="none"/>
        </w:rPr>
        <w:t>相关供应商：</w:t>
      </w:r>
      <w:r>
        <w:rPr>
          <w:rFonts w:hint="eastAsia" w:hAnsi="宋体"/>
          <w:bCs/>
          <w:color w:val="auto"/>
          <w:sz w:val="22"/>
          <w:szCs w:val="22"/>
          <w:highlight w:val="none"/>
          <w:u w:val="single"/>
        </w:rPr>
        <w:t xml:space="preserve">                                                                       </w:t>
      </w:r>
    </w:p>
    <w:p w14:paraId="244671B3">
      <w:pPr>
        <w:pStyle w:val="16"/>
        <w:snapToGrid w:val="0"/>
        <w:spacing w:line="360" w:lineRule="auto"/>
        <w:ind w:firstLine="440" w:firstLineChars="200"/>
        <w:rPr>
          <w:rFonts w:hint="eastAsia" w:hAnsi="宋体"/>
          <w:bCs/>
          <w:color w:val="auto"/>
          <w:sz w:val="22"/>
          <w:szCs w:val="22"/>
          <w:highlight w:val="none"/>
          <w:u w:val="single"/>
        </w:rPr>
      </w:pPr>
      <w:r>
        <w:rPr>
          <w:rFonts w:hAnsi="宋体"/>
          <w:bCs/>
          <w:color w:val="auto"/>
          <w:sz w:val="22"/>
          <w:szCs w:val="22"/>
          <w:highlight w:val="none"/>
        </w:rPr>
        <w:t>地址</w:t>
      </w:r>
      <w:r>
        <w:rPr>
          <w:rFonts w:hint="eastAsia" w:hAnsi="宋体"/>
          <w:bCs/>
          <w:color w:val="auto"/>
          <w:sz w:val="22"/>
          <w:szCs w:val="22"/>
          <w:highlight w:val="none"/>
        </w:rPr>
        <w:t>：</w:t>
      </w:r>
      <w:r>
        <w:rPr>
          <w:rFonts w:hint="eastAsia" w:hAnsi="宋体"/>
          <w:bCs/>
          <w:color w:val="auto"/>
          <w:sz w:val="22"/>
          <w:szCs w:val="22"/>
          <w:highlight w:val="none"/>
          <w:u w:val="single"/>
        </w:rPr>
        <w:t xml:space="preserve">                                              </w:t>
      </w:r>
      <w:r>
        <w:rPr>
          <w:rFonts w:hAnsi="宋体"/>
          <w:bCs/>
          <w:color w:val="auto"/>
          <w:sz w:val="22"/>
          <w:szCs w:val="22"/>
          <w:highlight w:val="none"/>
        </w:rPr>
        <w:t>邮编</w:t>
      </w:r>
      <w:r>
        <w:rPr>
          <w:rFonts w:hint="eastAsia" w:hAnsi="宋体"/>
          <w:bCs/>
          <w:color w:val="auto"/>
          <w:sz w:val="22"/>
          <w:szCs w:val="22"/>
          <w:highlight w:val="none"/>
        </w:rPr>
        <w:t>：</w:t>
      </w:r>
      <w:r>
        <w:rPr>
          <w:rFonts w:hint="eastAsia" w:hAnsi="宋体"/>
          <w:bCs/>
          <w:color w:val="auto"/>
          <w:sz w:val="22"/>
          <w:szCs w:val="22"/>
          <w:highlight w:val="none"/>
          <w:u w:val="single"/>
        </w:rPr>
        <w:t xml:space="preserve">                         </w:t>
      </w:r>
    </w:p>
    <w:p w14:paraId="771FA9E9">
      <w:pPr>
        <w:pStyle w:val="16"/>
        <w:snapToGrid w:val="0"/>
        <w:spacing w:line="360" w:lineRule="auto"/>
        <w:ind w:firstLine="440" w:firstLineChars="200"/>
        <w:rPr>
          <w:rFonts w:hint="eastAsia" w:hAnsi="宋体"/>
          <w:bCs/>
          <w:color w:val="auto"/>
          <w:sz w:val="22"/>
          <w:szCs w:val="22"/>
          <w:highlight w:val="none"/>
        </w:rPr>
      </w:pPr>
      <w:r>
        <w:rPr>
          <w:rFonts w:hint="eastAsia" w:hAnsi="宋体"/>
          <w:bCs/>
          <w:color w:val="auto"/>
          <w:sz w:val="22"/>
          <w:szCs w:val="22"/>
          <w:highlight w:val="none"/>
        </w:rPr>
        <w:t>联系人：</w:t>
      </w:r>
      <w:r>
        <w:rPr>
          <w:rFonts w:hint="eastAsia" w:hAnsi="宋体"/>
          <w:bCs/>
          <w:color w:val="auto"/>
          <w:sz w:val="22"/>
          <w:szCs w:val="22"/>
          <w:highlight w:val="none"/>
          <w:u w:val="single"/>
        </w:rPr>
        <w:t xml:space="preserve">                                            </w:t>
      </w:r>
      <w:r>
        <w:rPr>
          <w:rFonts w:hAnsi="宋体"/>
          <w:bCs/>
          <w:color w:val="auto"/>
          <w:sz w:val="22"/>
          <w:szCs w:val="22"/>
          <w:highlight w:val="none"/>
        </w:rPr>
        <w:t>联系</w:t>
      </w:r>
      <w:r>
        <w:rPr>
          <w:rFonts w:hint="eastAsia" w:hAnsi="宋体"/>
          <w:bCs/>
          <w:color w:val="auto"/>
          <w:sz w:val="22"/>
          <w:szCs w:val="22"/>
          <w:highlight w:val="none"/>
        </w:rPr>
        <w:t>电话：</w:t>
      </w:r>
      <w:r>
        <w:rPr>
          <w:rFonts w:hint="eastAsia" w:hAnsi="宋体"/>
          <w:bCs/>
          <w:color w:val="auto"/>
          <w:sz w:val="22"/>
          <w:szCs w:val="22"/>
          <w:highlight w:val="none"/>
          <w:u w:val="single"/>
        </w:rPr>
        <w:t xml:space="preserve">                     </w:t>
      </w:r>
      <w:r>
        <w:rPr>
          <w:rFonts w:hint="eastAsia" w:hAnsi="宋体"/>
          <w:bCs/>
          <w:color w:val="auto"/>
          <w:sz w:val="22"/>
          <w:szCs w:val="22"/>
          <w:highlight w:val="none"/>
        </w:rPr>
        <w:t xml:space="preserve">                </w:t>
      </w:r>
    </w:p>
    <w:p w14:paraId="6D5E7C9D">
      <w:pPr>
        <w:pStyle w:val="16"/>
        <w:snapToGrid w:val="0"/>
        <w:spacing w:line="360" w:lineRule="auto"/>
        <w:ind w:firstLine="442" w:firstLineChars="200"/>
        <w:rPr>
          <w:rFonts w:hint="eastAsia" w:hAnsi="宋体"/>
          <w:b/>
          <w:bCs/>
          <w:color w:val="auto"/>
          <w:sz w:val="22"/>
          <w:szCs w:val="22"/>
          <w:highlight w:val="none"/>
        </w:rPr>
      </w:pPr>
      <w:r>
        <w:rPr>
          <w:rFonts w:hint="eastAsia" w:hAnsi="宋体"/>
          <w:b/>
          <w:bCs/>
          <w:color w:val="auto"/>
          <w:sz w:val="22"/>
          <w:szCs w:val="22"/>
          <w:highlight w:val="none"/>
        </w:rPr>
        <w:t>二、投诉项目基本情况：</w:t>
      </w:r>
    </w:p>
    <w:p w14:paraId="7875DEDE">
      <w:pPr>
        <w:pStyle w:val="16"/>
        <w:spacing w:line="360" w:lineRule="auto"/>
        <w:ind w:left="25" w:leftChars="12" w:firstLine="433" w:firstLineChars="197"/>
        <w:rPr>
          <w:rFonts w:hint="eastAsia" w:hAnsi="宋体"/>
          <w:color w:val="auto"/>
          <w:sz w:val="22"/>
          <w:szCs w:val="22"/>
          <w:highlight w:val="none"/>
        </w:rPr>
      </w:pPr>
      <w:r>
        <w:rPr>
          <w:rFonts w:hint="eastAsia" w:hAnsi="宋体"/>
          <w:bCs/>
          <w:color w:val="auto"/>
          <w:sz w:val="22"/>
          <w:szCs w:val="22"/>
          <w:highlight w:val="none"/>
        </w:rPr>
        <w:t>采购</w:t>
      </w:r>
      <w:r>
        <w:rPr>
          <w:rFonts w:hint="eastAsia" w:hAnsi="宋体"/>
          <w:color w:val="auto"/>
          <w:sz w:val="22"/>
          <w:szCs w:val="22"/>
          <w:highlight w:val="none"/>
        </w:rPr>
        <w:t>项目的名称：</w:t>
      </w:r>
      <w:r>
        <w:rPr>
          <w:rFonts w:hint="eastAsia" w:hAnsi="宋体"/>
          <w:bCs/>
          <w:color w:val="auto"/>
          <w:sz w:val="22"/>
          <w:szCs w:val="22"/>
          <w:highlight w:val="none"/>
          <w:u w:val="single"/>
        </w:rPr>
        <w:t xml:space="preserve">                                                                   </w:t>
      </w:r>
    </w:p>
    <w:p w14:paraId="3F6A96B7">
      <w:pPr>
        <w:pStyle w:val="16"/>
        <w:spacing w:line="360" w:lineRule="auto"/>
        <w:ind w:left="25" w:leftChars="12" w:firstLine="433" w:firstLineChars="197"/>
        <w:rPr>
          <w:rFonts w:hint="eastAsia" w:hAnsi="宋体"/>
          <w:color w:val="auto"/>
          <w:sz w:val="22"/>
          <w:szCs w:val="22"/>
          <w:highlight w:val="none"/>
        </w:rPr>
      </w:pPr>
      <w:r>
        <w:rPr>
          <w:rFonts w:hint="eastAsia" w:hAnsi="宋体"/>
          <w:bCs/>
          <w:color w:val="auto"/>
          <w:sz w:val="22"/>
          <w:szCs w:val="22"/>
          <w:highlight w:val="none"/>
        </w:rPr>
        <w:t>采购</w:t>
      </w:r>
      <w:r>
        <w:rPr>
          <w:rFonts w:hint="eastAsia" w:hAnsi="宋体"/>
          <w:color w:val="auto"/>
          <w:sz w:val="22"/>
          <w:szCs w:val="22"/>
          <w:highlight w:val="none"/>
        </w:rPr>
        <w:t>项目的编号：</w:t>
      </w:r>
      <w:r>
        <w:rPr>
          <w:rFonts w:hint="eastAsia" w:hAnsi="宋体"/>
          <w:bCs/>
          <w:color w:val="auto"/>
          <w:sz w:val="22"/>
          <w:szCs w:val="22"/>
          <w:highlight w:val="none"/>
          <w:u w:val="single"/>
        </w:rPr>
        <w:t xml:space="preserve">                                          </w:t>
      </w:r>
    </w:p>
    <w:p w14:paraId="2775E90A">
      <w:pPr>
        <w:pStyle w:val="16"/>
        <w:spacing w:line="360" w:lineRule="auto"/>
        <w:ind w:left="25" w:leftChars="12" w:firstLine="433" w:firstLineChars="197"/>
        <w:rPr>
          <w:rFonts w:hint="eastAsia" w:hAnsi="宋体"/>
          <w:bCs/>
          <w:color w:val="auto"/>
          <w:sz w:val="22"/>
          <w:szCs w:val="22"/>
          <w:highlight w:val="none"/>
          <w:u w:val="single"/>
        </w:rPr>
      </w:pPr>
      <w:r>
        <w:rPr>
          <w:rFonts w:hint="eastAsia" w:hAnsi="宋体"/>
          <w:color w:val="auto"/>
          <w:sz w:val="22"/>
          <w:szCs w:val="22"/>
          <w:highlight w:val="none"/>
        </w:rPr>
        <w:t>采购人名称：</w:t>
      </w:r>
      <w:r>
        <w:rPr>
          <w:rFonts w:hint="eastAsia" w:hAnsi="宋体"/>
          <w:bCs/>
          <w:color w:val="auto"/>
          <w:sz w:val="22"/>
          <w:szCs w:val="22"/>
          <w:highlight w:val="none"/>
          <w:u w:val="single"/>
        </w:rPr>
        <w:t xml:space="preserve">                                                                        </w:t>
      </w:r>
    </w:p>
    <w:p w14:paraId="385B78E0">
      <w:pPr>
        <w:pStyle w:val="16"/>
        <w:spacing w:line="360" w:lineRule="auto"/>
        <w:ind w:left="25" w:leftChars="12" w:firstLine="433" w:firstLineChars="197"/>
        <w:rPr>
          <w:rFonts w:hint="eastAsia" w:hAnsi="宋体"/>
          <w:bCs/>
          <w:color w:val="auto"/>
          <w:sz w:val="22"/>
          <w:szCs w:val="22"/>
          <w:highlight w:val="none"/>
          <w:u w:val="single"/>
        </w:rPr>
      </w:pPr>
      <w:r>
        <w:rPr>
          <w:rFonts w:hint="eastAsia" w:hAnsi="宋体"/>
          <w:color w:val="auto"/>
          <w:sz w:val="22"/>
          <w:szCs w:val="22"/>
          <w:highlight w:val="none"/>
        </w:rPr>
        <w:t>代理机构名称：</w:t>
      </w:r>
      <w:r>
        <w:rPr>
          <w:rFonts w:hint="eastAsia" w:hAnsi="宋体"/>
          <w:bCs/>
          <w:color w:val="auto"/>
          <w:sz w:val="22"/>
          <w:szCs w:val="22"/>
          <w:highlight w:val="none"/>
          <w:u w:val="single"/>
        </w:rPr>
        <w:t xml:space="preserve">                                                                      </w:t>
      </w:r>
    </w:p>
    <w:p w14:paraId="232B63EE">
      <w:pPr>
        <w:pStyle w:val="16"/>
        <w:spacing w:line="360" w:lineRule="auto"/>
        <w:ind w:left="25" w:leftChars="12" w:firstLine="433" w:firstLineChars="197"/>
        <w:rPr>
          <w:rFonts w:hint="eastAsia" w:hAnsi="宋体"/>
          <w:bCs/>
          <w:color w:val="auto"/>
          <w:sz w:val="22"/>
          <w:szCs w:val="22"/>
          <w:highlight w:val="none"/>
          <w:u w:val="single"/>
        </w:rPr>
      </w:pPr>
      <w:r>
        <w:rPr>
          <w:rFonts w:hint="eastAsia" w:hAnsi="宋体"/>
          <w:bCs/>
          <w:color w:val="auto"/>
          <w:sz w:val="22"/>
          <w:szCs w:val="22"/>
          <w:highlight w:val="none"/>
        </w:rPr>
        <w:t>采购文件公告：</w:t>
      </w:r>
      <w:r>
        <w:rPr>
          <w:rFonts w:hint="eastAsia" w:hAnsi="宋体"/>
          <w:bCs/>
          <w:color w:val="auto"/>
          <w:sz w:val="22"/>
          <w:szCs w:val="22"/>
          <w:highlight w:val="none"/>
          <w:u w:val="single"/>
        </w:rPr>
        <w:t>是/否</w:t>
      </w:r>
      <w:r>
        <w:rPr>
          <w:rFonts w:hint="eastAsia" w:hAnsi="宋体"/>
          <w:bCs/>
          <w:color w:val="auto"/>
          <w:sz w:val="22"/>
          <w:szCs w:val="22"/>
          <w:highlight w:val="none"/>
        </w:rPr>
        <w:t>公告期限：</w:t>
      </w:r>
      <w:r>
        <w:rPr>
          <w:rFonts w:hint="eastAsia" w:hAnsi="宋体"/>
          <w:bCs/>
          <w:color w:val="auto"/>
          <w:sz w:val="22"/>
          <w:szCs w:val="22"/>
          <w:highlight w:val="none"/>
          <w:u w:val="single"/>
        </w:rPr>
        <w:t xml:space="preserve">                                                       </w:t>
      </w:r>
    </w:p>
    <w:p w14:paraId="08B28C2A">
      <w:pPr>
        <w:pStyle w:val="16"/>
        <w:spacing w:line="360" w:lineRule="auto"/>
        <w:ind w:left="25" w:leftChars="12" w:firstLine="433" w:firstLineChars="197"/>
        <w:rPr>
          <w:rFonts w:hint="eastAsia" w:hAnsi="宋体"/>
          <w:b/>
          <w:color w:val="auto"/>
          <w:sz w:val="22"/>
          <w:szCs w:val="22"/>
          <w:highlight w:val="none"/>
        </w:rPr>
      </w:pPr>
      <w:r>
        <w:rPr>
          <w:rFonts w:hint="eastAsia" w:hAnsi="宋体"/>
          <w:bCs/>
          <w:color w:val="auto"/>
          <w:sz w:val="22"/>
          <w:szCs w:val="22"/>
          <w:highlight w:val="none"/>
        </w:rPr>
        <w:t>采购结果公告：</w:t>
      </w:r>
      <w:r>
        <w:rPr>
          <w:rFonts w:hint="eastAsia" w:hAnsi="宋体"/>
          <w:bCs/>
          <w:color w:val="auto"/>
          <w:sz w:val="22"/>
          <w:szCs w:val="22"/>
          <w:highlight w:val="none"/>
          <w:u w:val="single"/>
        </w:rPr>
        <w:t>是/否</w:t>
      </w:r>
      <w:r>
        <w:rPr>
          <w:rFonts w:hint="eastAsia" w:hAnsi="宋体"/>
          <w:bCs/>
          <w:color w:val="auto"/>
          <w:sz w:val="22"/>
          <w:szCs w:val="22"/>
          <w:highlight w:val="none"/>
        </w:rPr>
        <w:t>公告期限：</w:t>
      </w:r>
      <w:r>
        <w:rPr>
          <w:rFonts w:hint="eastAsia" w:hAnsi="宋体"/>
          <w:bCs/>
          <w:color w:val="auto"/>
          <w:sz w:val="22"/>
          <w:szCs w:val="22"/>
          <w:highlight w:val="none"/>
          <w:u w:val="single"/>
        </w:rPr>
        <w:t xml:space="preserve">                                                       </w:t>
      </w:r>
    </w:p>
    <w:p w14:paraId="147A49DC">
      <w:pPr>
        <w:pStyle w:val="16"/>
        <w:spacing w:line="360" w:lineRule="auto"/>
        <w:ind w:left="25" w:leftChars="12" w:firstLine="433" w:firstLineChars="196"/>
        <w:rPr>
          <w:rFonts w:hint="eastAsia" w:hAnsi="宋体"/>
          <w:b/>
          <w:color w:val="auto"/>
          <w:sz w:val="22"/>
          <w:szCs w:val="22"/>
          <w:highlight w:val="none"/>
        </w:rPr>
      </w:pPr>
      <w:r>
        <w:rPr>
          <w:rFonts w:hint="eastAsia" w:hAnsi="宋体"/>
          <w:b/>
          <w:color w:val="auto"/>
          <w:sz w:val="22"/>
          <w:szCs w:val="22"/>
          <w:highlight w:val="none"/>
        </w:rPr>
        <w:t>三、质疑基本情况</w:t>
      </w:r>
    </w:p>
    <w:p w14:paraId="06059C86">
      <w:pPr>
        <w:pStyle w:val="16"/>
        <w:spacing w:line="360" w:lineRule="auto"/>
        <w:ind w:firstLine="440" w:firstLineChars="200"/>
        <w:rPr>
          <w:rFonts w:hint="eastAsia" w:hAnsi="宋体"/>
          <w:color w:val="auto"/>
          <w:sz w:val="22"/>
          <w:szCs w:val="22"/>
          <w:highlight w:val="none"/>
        </w:rPr>
      </w:pPr>
      <w:r>
        <w:rPr>
          <w:rFonts w:hint="eastAsia" w:hAnsi="宋体"/>
          <w:color w:val="auto"/>
          <w:sz w:val="22"/>
          <w:szCs w:val="22"/>
          <w:highlight w:val="none"/>
        </w:rPr>
        <w:t>投诉人于</w:t>
      </w:r>
      <w:r>
        <w:rPr>
          <w:rFonts w:hint="eastAsia" w:hAnsi="宋体"/>
          <w:color w:val="auto"/>
          <w:sz w:val="22"/>
          <w:szCs w:val="22"/>
          <w:highlight w:val="none"/>
          <w:u w:val="single"/>
        </w:rPr>
        <w:t xml:space="preserve">      </w:t>
      </w:r>
      <w:r>
        <w:rPr>
          <w:rFonts w:hint="eastAsia" w:hAnsi="宋体"/>
          <w:color w:val="auto"/>
          <w:sz w:val="22"/>
          <w:szCs w:val="22"/>
          <w:highlight w:val="none"/>
        </w:rPr>
        <w:t>年</w:t>
      </w:r>
      <w:r>
        <w:rPr>
          <w:rFonts w:hint="eastAsia" w:hAnsi="宋体"/>
          <w:color w:val="auto"/>
          <w:sz w:val="22"/>
          <w:szCs w:val="22"/>
          <w:highlight w:val="none"/>
          <w:u w:val="single"/>
        </w:rPr>
        <w:t xml:space="preserve">   </w:t>
      </w:r>
      <w:r>
        <w:rPr>
          <w:rFonts w:hint="eastAsia" w:hAnsi="宋体"/>
          <w:color w:val="auto"/>
          <w:sz w:val="22"/>
          <w:szCs w:val="22"/>
          <w:highlight w:val="none"/>
        </w:rPr>
        <w:t>月</w:t>
      </w:r>
      <w:r>
        <w:rPr>
          <w:rFonts w:hint="eastAsia" w:hAnsi="宋体"/>
          <w:color w:val="auto"/>
          <w:sz w:val="22"/>
          <w:szCs w:val="22"/>
          <w:highlight w:val="none"/>
          <w:u w:val="single"/>
        </w:rPr>
        <w:t xml:space="preserve">   </w:t>
      </w:r>
      <w:r>
        <w:rPr>
          <w:rFonts w:hint="eastAsia" w:hAnsi="宋体"/>
          <w:color w:val="auto"/>
          <w:sz w:val="22"/>
          <w:szCs w:val="22"/>
          <w:highlight w:val="none"/>
        </w:rPr>
        <w:t>日，向</w:t>
      </w:r>
      <w:r>
        <w:rPr>
          <w:rFonts w:hint="eastAsia" w:hAnsi="宋体"/>
          <w:color w:val="auto"/>
          <w:sz w:val="22"/>
          <w:szCs w:val="22"/>
          <w:highlight w:val="none"/>
          <w:u w:val="single"/>
        </w:rPr>
        <w:t xml:space="preserve">                                </w:t>
      </w:r>
      <w:r>
        <w:rPr>
          <w:rFonts w:hint="eastAsia" w:hAnsi="宋体"/>
          <w:color w:val="auto"/>
          <w:sz w:val="22"/>
          <w:szCs w:val="22"/>
          <w:highlight w:val="none"/>
        </w:rPr>
        <w:t>提出质疑，质疑事项为：</w:t>
      </w:r>
    </w:p>
    <w:p w14:paraId="4AB6675E">
      <w:pPr>
        <w:pStyle w:val="16"/>
        <w:spacing w:line="360" w:lineRule="auto"/>
        <w:ind w:firstLine="241"/>
        <w:rPr>
          <w:rFonts w:hint="eastAsia" w:hAnsi="宋体"/>
          <w:bCs/>
          <w:color w:val="auto"/>
          <w:sz w:val="22"/>
          <w:szCs w:val="22"/>
          <w:highlight w:val="none"/>
          <w:u w:val="single"/>
        </w:rPr>
      </w:pPr>
      <w:r>
        <w:rPr>
          <w:rFonts w:hint="eastAsia" w:hAnsi="宋体"/>
          <w:color w:val="auto"/>
          <w:sz w:val="22"/>
          <w:szCs w:val="22"/>
          <w:highlight w:val="none"/>
        </w:rPr>
        <w:t xml:space="preserve">    </w:t>
      </w:r>
      <w:r>
        <w:rPr>
          <w:rFonts w:hint="eastAsia" w:hAnsi="宋体"/>
          <w:bCs/>
          <w:color w:val="auto"/>
          <w:sz w:val="22"/>
          <w:szCs w:val="22"/>
          <w:highlight w:val="none"/>
          <w:u w:val="single"/>
        </w:rPr>
        <w:t xml:space="preserve">                                                                                      </w:t>
      </w:r>
    </w:p>
    <w:p w14:paraId="3EDFCC0A">
      <w:pPr>
        <w:pStyle w:val="16"/>
        <w:spacing w:line="360" w:lineRule="auto"/>
        <w:ind w:firstLine="241"/>
        <w:rPr>
          <w:rFonts w:hint="eastAsia" w:hAnsi="宋体"/>
          <w:bCs/>
          <w:color w:val="auto"/>
          <w:sz w:val="22"/>
          <w:szCs w:val="22"/>
          <w:highlight w:val="none"/>
          <w:u w:val="single"/>
        </w:rPr>
      </w:pPr>
      <w:r>
        <w:rPr>
          <w:rFonts w:hint="eastAsia" w:hAnsi="宋体"/>
          <w:bCs/>
          <w:color w:val="auto"/>
          <w:sz w:val="22"/>
          <w:szCs w:val="22"/>
          <w:highlight w:val="none"/>
        </w:rPr>
        <w:t xml:space="preserve">    </w:t>
      </w:r>
      <w:r>
        <w:rPr>
          <w:rFonts w:hint="eastAsia" w:hAnsi="宋体"/>
          <w:bCs/>
          <w:color w:val="auto"/>
          <w:sz w:val="22"/>
          <w:szCs w:val="22"/>
          <w:highlight w:val="none"/>
          <w:u w:val="single"/>
        </w:rPr>
        <w:t xml:space="preserve">                                                                                      </w:t>
      </w:r>
    </w:p>
    <w:p w14:paraId="2A93C56E">
      <w:pPr>
        <w:pStyle w:val="16"/>
        <w:spacing w:line="360" w:lineRule="auto"/>
        <w:ind w:firstLine="440" w:firstLineChars="200"/>
        <w:rPr>
          <w:rFonts w:hint="eastAsia" w:hAnsi="宋体"/>
          <w:color w:val="auto"/>
          <w:sz w:val="22"/>
          <w:szCs w:val="22"/>
          <w:highlight w:val="none"/>
        </w:rPr>
      </w:pPr>
      <w:r>
        <w:rPr>
          <w:rFonts w:hint="eastAsia" w:hAnsi="宋体"/>
          <w:bCs/>
          <w:color w:val="auto"/>
          <w:sz w:val="22"/>
          <w:szCs w:val="22"/>
          <w:highlight w:val="none"/>
          <w:u w:val="single"/>
        </w:rPr>
        <w:t>采购人/代理机构</w:t>
      </w:r>
      <w:r>
        <w:rPr>
          <w:rFonts w:hint="eastAsia" w:hAnsi="宋体"/>
          <w:bCs/>
          <w:color w:val="auto"/>
          <w:sz w:val="22"/>
          <w:szCs w:val="22"/>
          <w:highlight w:val="none"/>
        </w:rPr>
        <w:t>于</w:t>
      </w:r>
      <w:r>
        <w:rPr>
          <w:rFonts w:hint="eastAsia" w:hAnsi="宋体"/>
          <w:color w:val="auto"/>
          <w:sz w:val="22"/>
          <w:szCs w:val="22"/>
          <w:highlight w:val="none"/>
          <w:u w:val="single"/>
        </w:rPr>
        <w:t xml:space="preserve">      </w:t>
      </w:r>
      <w:r>
        <w:rPr>
          <w:rFonts w:hint="eastAsia" w:hAnsi="宋体"/>
          <w:color w:val="auto"/>
          <w:sz w:val="22"/>
          <w:szCs w:val="22"/>
          <w:highlight w:val="none"/>
        </w:rPr>
        <w:t>年</w:t>
      </w:r>
      <w:r>
        <w:rPr>
          <w:rFonts w:hint="eastAsia" w:hAnsi="宋体"/>
          <w:color w:val="auto"/>
          <w:sz w:val="22"/>
          <w:szCs w:val="22"/>
          <w:highlight w:val="none"/>
          <w:u w:val="single"/>
        </w:rPr>
        <w:t xml:space="preserve">   </w:t>
      </w:r>
      <w:r>
        <w:rPr>
          <w:rFonts w:hint="eastAsia" w:hAnsi="宋体"/>
          <w:color w:val="auto"/>
          <w:sz w:val="22"/>
          <w:szCs w:val="22"/>
          <w:highlight w:val="none"/>
        </w:rPr>
        <w:t>月</w:t>
      </w:r>
      <w:r>
        <w:rPr>
          <w:rFonts w:hint="eastAsia" w:hAnsi="宋体"/>
          <w:color w:val="auto"/>
          <w:sz w:val="22"/>
          <w:szCs w:val="22"/>
          <w:highlight w:val="none"/>
          <w:u w:val="single"/>
        </w:rPr>
        <w:t xml:space="preserve">   </w:t>
      </w:r>
      <w:r>
        <w:rPr>
          <w:rFonts w:hint="eastAsia" w:hAnsi="宋体"/>
          <w:color w:val="auto"/>
          <w:sz w:val="22"/>
          <w:szCs w:val="22"/>
          <w:highlight w:val="none"/>
        </w:rPr>
        <w:t>日，</w:t>
      </w:r>
      <w:r>
        <w:rPr>
          <w:rFonts w:hint="eastAsia" w:hAnsi="宋体"/>
          <w:bCs/>
          <w:color w:val="auto"/>
          <w:sz w:val="22"/>
          <w:szCs w:val="22"/>
          <w:highlight w:val="none"/>
        </w:rPr>
        <w:t xml:space="preserve">就质疑事项作出了答复/没有在法定期限内作出答复。                                                                                             </w:t>
      </w:r>
    </w:p>
    <w:p w14:paraId="0D050630">
      <w:pPr>
        <w:pStyle w:val="16"/>
        <w:spacing w:line="360" w:lineRule="auto"/>
        <w:ind w:left="25" w:leftChars="12" w:firstLine="433" w:firstLineChars="196"/>
        <w:rPr>
          <w:rFonts w:hint="eastAsia" w:hAnsi="宋体"/>
          <w:b/>
          <w:color w:val="auto"/>
          <w:sz w:val="22"/>
          <w:szCs w:val="22"/>
          <w:highlight w:val="none"/>
        </w:rPr>
      </w:pPr>
      <w:r>
        <w:rPr>
          <w:rFonts w:hint="eastAsia" w:hAnsi="宋体"/>
          <w:b/>
          <w:color w:val="auto"/>
          <w:sz w:val="22"/>
          <w:szCs w:val="22"/>
          <w:highlight w:val="none"/>
        </w:rPr>
        <w:t>四、投诉事项具体内容</w:t>
      </w:r>
    </w:p>
    <w:p w14:paraId="2EFB7C5A">
      <w:pPr>
        <w:pStyle w:val="16"/>
        <w:spacing w:line="360" w:lineRule="auto"/>
        <w:ind w:left="25" w:leftChars="12" w:firstLine="433" w:firstLineChars="197"/>
        <w:rPr>
          <w:rFonts w:hint="eastAsia" w:hAnsi="宋体"/>
          <w:bCs/>
          <w:color w:val="auto"/>
          <w:sz w:val="22"/>
          <w:szCs w:val="22"/>
          <w:highlight w:val="none"/>
          <w:u w:val="single"/>
        </w:rPr>
      </w:pPr>
      <w:r>
        <w:rPr>
          <w:rFonts w:hint="eastAsia" w:hAnsi="宋体"/>
          <w:color w:val="auto"/>
          <w:sz w:val="22"/>
          <w:szCs w:val="22"/>
          <w:highlight w:val="none"/>
        </w:rPr>
        <w:t>投诉事项1：</w:t>
      </w:r>
      <w:r>
        <w:rPr>
          <w:rFonts w:hint="eastAsia" w:hAnsi="宋体"/>
          <w:bCs/>
          <w:color w:val="auto"/>
          <w:sz w:val="22"/>
          <w:szCs w:val="22"/>
          <w:highlight w:val="none"/>
          <w:u w:val="single"/>
        </w:rPr>
        <w:t xml:space="preserve">                                                                           </w:t>
      </w:r>
    </w:p>
    <w:p w14:paraId="7903CE02">
      <w:pPr>
        <w:pStyle w:val="16"/>
        <w:spacing w:line="360" w:lineRule="auto"/>
        <w:ind w:firstLine="440" w:firstLineChars="200"/>
        <w:rPr>
          <w:rFonts w:hint="eastAsia" w:hAnsi="宋体"/>
          <w:bCs/>
          <w:color w:val="auto"/>
          <w:sz w:val="22"/>
          <w:szCs w:val="22"/>
          <w:highlight w:val="none"/>
          <w:u w:val="single"/>
        </w:rPr>
      </w:pPr>
      <w:r>
        <w:rPr>
          <w:rFonts w:hint="eastAsia" w:hAnsi="宋体"/>
          <w:bCs/>
          <w:color w:val="auto"/>
          <w:sz w:val="22"/>
          <w:szCs w:val="22"/>
          <w:highlight w:val="none"/>
        </w:rPr>
        <w:t>事实依据：</w:t>
      </w:r>
      <w:r>
        <w:rPr>
          <w:rFonts w:hint="eastAsia" w:hAnsi="宋体"/>
          <w:color w:val="auto"/>
          <w:sz w:val="22"/>
          <w:szCs w:val="22"/>
          <w:highlight w:val="none"/>
        </w:rPr>
        <w:t xml:space="preserve"> </w:t>
      </w:r>
      <w:r>
        <w:rPr>
          <w:rFonts w:hint="eastAsia" w:hAnsi="宋体"/>
          <w:bCs/>
          <w:color w:val="auto"/>
          <w:sz w:val="22"/>
          <w:szCs w:val="22"/>
          <w:highlight w:val="none"/>
          <w:u w:val="single"/>
        </w:rPr>
        <w:t xml:space="preserve">                                                                                      </w:t>
      </w:r>
    </w:p>
    <w:p w14:paraId="653A267C">
      <w:pPr>
        <w:pStyle w:val="16"/>
        <w:spacing w:line="360" w:lineRule="auto"/>
        <w:ind w:left="25" w:leftChars="12" w:firstLine="433" w:firstLineChars="197"/>
        <w:rPr>
          <w:rFonts w:hint="eastAsia" w:hAnsi="宋体"/>
          <w:color w:val="auto"/>
          <w:sz w:val="22"/>
          <w:szCs w:val="22"/>
          <w:highlight w:val="none"/>
        </w:rPr>
      </w:pPr>
      <w:r>
        <w:rPr>
          <w:rFonts w:hint="eastAsia" w:hAnsi="宋体"/>
          <w:bCs/>
          <w:color w:val="auto"/>
          <w:sz w:val="22"/>
          <w:szCs w:val="22"/>
          <w:highlight w:val="none"/>
          <w:u w:val="single"/>
        </w:rPr>
        <w:t xml:space="preserve">                                                                                        </w:t>
      </w:r>
    </w:p>
    <w:p w14:paraId="085D397D">
      <w:pPr>
        <w:pStyle w:val="16"/>
        <w:spacing w:line="360" w:lineRule="auto"/>
        <w:ind w:firstLine="440" w:firstLineChars="200"/>
        <w:rPr>
          <w:rFonts w:hint="eastAsia" w:hAnsi="宋体"/>
          <w:bCs/>
          <w:color w:val="auto"/>
          <w:sz w:val="22"/>
          <w:szCs w:val="22"/>
          <w:highlight w:val="none"/>
          <w:u w:val="single"/>
        </w:rPr>
      </w:pPr>
      <w:r>
        <w:rPr>
          <w:rFonts w:hint="eastAsia" w:hAnsi="宋体"/>
          <w:bCs/>
          <w:color w:val="auto"/>
          <w:sz w:val="22"/>
          <w:szCs w:val="22"/>
          <w:highlight w:val="none"/>
        </w:rPr>
        <w:t>法律依据：</w:t>
      </w:r>
      <w:r>
        <w:rPr>
          <w:rFonts w:hint="eastAsia" w:hAnsi="宋体"/>
          <w:color w:val="auto"/>
          <w:sz w:val="22"/>
          <w:szCs w:val="22"/>
          <w:highlight w:val="none"/>
        </w:rPr>
        <w:t xml:space="preserve"> </w:t>
      </w:r>
      <w:r>
        <w:rPr>
          <w:rFonts w:hint="eastAsia" w:hAnsi="宋体"/>
          <w:bCs/>
          <w:color w:val="auto"/>
          <w:sz w:val="22"/>
          <w:szCs w:val="22"/>
          <w:highlight w:val="none"/>
          <w:u w:val="single"/>
        </w:rPr>
        <w:t xml:space="preserve">                                                                                      </w:t>
      </w:r>
    </w:p>
    <w:p w14:paraId="7777DA07">
      <w:pPr>
        <w:pStyle w:val="16"/>
        <w:spacing w:line="360" w:lineRule="auto"/>
        <w:ind w:left="25" w:leftChars="12" w:firstLine="323" w:firstLineChars="147"/>
        <w:rPr>
          <w:rFonts w:hint="eastAsia" w:hAnsi="宋体"/>
          <w:bCs/>
          <w:color w:val="auto"/>
          <w:sz w:val="22"/>
          <w:szCs w:val="22"/>
          <w:highlight w:val="none"/>
          <w:u w:val="single"/>
        </w:rPr>
      </w:pPr>
      <w:r>
        <w:rPr>
          <w:rFonts w:hint="eastAsia" w:hAnsi="宋体"/>
          <w:bCs/>
          <w:color w:val="auto"/>
          <w:sz w:val="22"/>
          <w:szCs w:val="22"/>
          <w:highlight w:val="none"/>
        </w:rPr>
        <w:t xml:space="preserve"> </w:t>
      </w:r>
      <w:r>
        <w:rPr>
          <w:rFonts w:hint="eastAsia" w:hAnsi="宋体"/>
          <w:bCs/>
          <w:color w:val="auto"/>
          <w:sz w:val="22"/>
          <w:szCs w:val="22"/>
          <w:highlight w:val="none"/>
          <w:u w:val="single"/>
        </w:rPr>
        <w:t xml:space="preserve">                                                                                        </w:t>
      </w:r>
    </w:p>
    <w:p w14:paraId="42F0E5E0">
      <w:pPr>
        <w:pStyle w:val="16"/>
        <w:spacing w:line="360" w:lineRule="auto"/>
        <w:ind w:left="25" w:leftChars="12" w:firstLine="433" w:firstLineChars="197"/>
        <w:rPr>
          <w:rFonts w:hint="eastAsia" w:hAnsi="宋体"/>
          <w:bCs/>
          <w:color w:val="auto"/>
          <w:sz w:val="22"/>
          <w:szCs w:val="22"/>
          <w:highlight w:val="none"/>
        </w:rPr>
      </w:pPr>
      <w:r>
        <w:rPr>
          <w:rFonts w:hint="eastAsia" w:hAnsi="宋体"/>
          <w:color w:val="auto"/>
          <w:sz w:val="22"/>
          <w:szCs w:val="22"/>
          <w:highlight w:val="none"/>
        </w:rPr>
        <w:t xml:space="preserve">投诉事项2  </w:t>
      </w:r>
      <w:r>
        <w:rPr>
          <w:rFonts w:hint="eastAsia" w:hAnsi="宋体"/>
          <w:bCs/>
          <w:color w:val="auto"/>
          <w:sz w:val="22"/>
          <w:szCs w:val="22"/>
          <w:highlight w:val="none"/>
        </w:rPr>
        <w:t xml:space="preserve">   </w:t>
      </w:r>
    </w:p>
    <w:p w14:paraId="66FB6935">
      <w:pPr>
        <w:pStyle w:val="16"/>
        <w:spacing w:line="360" w:lineRule="auto"/>
        <w:ind w:left="25" w:leftChars="12" w:firstLine="433" w:firstLineChars="197"/>
        <w:rPr>
          <w:rFonts w:hint="eastAsia" w:hAnsi="宋体"/>
          <w:bCs/>
          <w:color w:val="auto"/>
          <w:sz w:val="22"/>
          <w:szCs w:val="22"/>
          <w:highlight w:val="none"/>
        </w:rPr>
      </w:pPr>
      <w:r>
        <w:rPr>
          <w:rFonts w:hAnsi="宋体"/>
          <w:bCs/>
          <w:color w:val="auto"/>
          <w:sz w:val="22"/>
          <w:szCs w:val="22"/>
          <w:highlight w:val="none"/>
        </w:rPr>
        <w:t>……</w:t>
      </w:r>
    </w:p>
    <w:p w14:paraId="3079A869">
      <w:pPr>
        <w:pStyle w:val="16"/>
        <w:spacing w:line="360" w:lineRule="auto"/>
        <w:ind w:left="25" w:leftChars="12" w:firstLine="433" w:firstLineChars="196"/>
        <w:rPr>
          <w:rFonts w:hint="eastAsia" w:hAnsi="宋体"/>
          <w:b/>
          <w:color w:val="auto"/>
          <w:sz w:val="22"/>
          <w:szCs w:val="22"/>
          <w:highlight w:val="none"/>
        </w:rPr>
      </w:pPr>
      <w:r>
        <w:rPr>
          <w:rFonts w:hint="eastAsia" w:hAnsi="宋体"/>
          <w:b/>
          <w:color w:val="auto"/>
          <w:sz w:val="22"/>
          <w:szCs w:val="22"/>
          <w:highlight w:val="none"/>
        </w:rPr>
        <w:t>五、与投诉事项相关的投诉请求：</w:t>
      </w:r>
    </w:p>
    <w:p w14:paraId="2E4617D5">
      <w:pPr>
        <w:pStyle w:val="16"/>
        <w:spacing w:line="360" w:lineRule="auto"/>
        <w:ind w:left="25" w:leftChars="12" w:firstLine="433" w:firstLineChars="197"/>
        <w:rPr>
          <w:rFonts w:hint="eastAsia" w:hAnsi="宋体"/>
          <w:color w:val="auto"/>
          <w:sz w:val="22"/>
          <w:szCs w:val="22"/>
          <w:highlight w:val="none"/>
        </w:rPr>
      </w:pPr>
      <w:r>
        <w:rPr>
          <w:rFonts w:hint="eastAsia" w:hAnsi="宋体"/>
          <w:color w:val="auto"/>
          <w:sz w:val="22"/>
          <w:szCs w:val="22"/>
          <w:highlight w:val="none"/>
        </w:rPr>
        <w:t>请求：</w:t>
      </w:r>
      <w:r>
        <w:rPr>
          <w:rFonts w:hint="eastAsia" w:hAnsi="宋体"/>
          <w:bCs/>
          <w:color w:val="auto"/>
          <w:sz w:val="22"/>
          <w:szCs w:val="22"/>
          <w:highlight w:val="none"/>
          <w:u w:val="single"/>
        </w:rPr>
        <w:t xml:space="preserve">                                                                                 </w:t>
      </w:r>
    </w:p>
    <w:p w14:paraId="189EAFAE">
      <w:pPr>
        <w:pStyle w:val="16"/>
        <w:spacing w:line="360" w:lineRule="auto"/>
        <w:ind w:left="25" w:leftChars="12" w:firstLine="323" w:firstLineChars="147"/>
        <w:rPr>
          <w:rFonts w:hint="eastAsia" w:hAnsi="宋体"/>
          <w:color w:val="auto"/>
          <w:sz w:val="22"/>
          <w:szCs w:val="22"/>
          <w:highlight w:val="none"/>
        </w:rPr>
      </w:pPr>
    </w:p>
    <w:p w14:paraId="4986C8C6">
      <w:pPr>
        <w:pStyle w:val="16"/>
        <w:spacing w:line="360" w:lineRule="auto"/>
        <w:ind w:left="25" w:leftChars="12" w:firstLine="433" w:firstLineChars="197"/>
        <w:rPr>
          <w:rFonts w:hint="eastAsia" w:hAnsi="宋体"/>
          <w:color w:val="auto"/>
          <w:sz w:val="22"/>
          <w:szCs w:val="22"/>
          <w:highlight w:val="none"/>
        </w:rPr>
      </w:pPr>
      <w:r>
        <w:rPr>
          <w:rFonts w:hint="eastAsia" w:hAnsi="宋体"/>
          <w:color w:val="auto"/>
          <w:sz w:val="22"/>
          <w:szCs w:val="22"/>
          <w:highlight w:val="none"/>
        </w:rPr>
        <w:t>签字（签章）：                                       公章：</w:t>
      </w:r>
    </w:p>
    <w:p w14:paraId="2B8355DA">
      <w:pPr>
        <w:pStyle w:val="16"/>
        <w:spacing w:line="360" w:lineRule="auto"/>
        <w:ind w:left="25" w:leftChars="12" w:firstLine="323" w:firstLineChars="147"/>
        <w:rPr>
          <w:rFonts w:hint="eastAsia" w:hAnsi="宋体"/>
          <w:color w:val="auto"/>
          <w:sz w:val="22"/>
          <w:szCs w:val="22"/>
          <w:highlight w:val="none"/>
        </w:rPr>
      </w:pPr>
    </w:p>
    <w:p w14:paraId="78B0C54F">
      <w:pPr>
        <w:pStyle w:val="16"/>
        <w:spacing w:line="360" w:lineRule="auto"/>
        <w:ind w:left="25" w:leftChars="12" w:firstLine="433" w:firstLineChars="197"/>
        <w:rPr>
          <w:rFonts w:hint="eastAsia" w:hAnsi="宋体"/>
          <w:color w:val="auto"/>
          <w:sz w:val="22"/>
          <w:szCs w:val="22"/>
          <w:highlight w:val="none"/>
        </w:rPr>
      </w:pPr>
      <w:r>
        <w:rPr>
          <w:rFonts w:hint="eastAsia" w:hAnsi="宋体"/>
          <w:color w:val="auto"/>
          <w:sz w:val="22"/>
          <w:szCs w:val="22"/>
          <w:highlight w:val="none"/>
        </w:rPr>
        <w:t>日期：</w:t>
      </w:r>
    </w:p>
    <w:p w14:paraId="50976263">
      <w:pPr>
        <w:pStyle w:val="16"/>
        <w:spacing w:line="360" w:lineRule="auto"/>
        <w:ind w:left="25" w:leftChars="12" w:firstLine="433" w:firstLineChars="197"/>
        <w:rPr>
          <w:rFonts w:hint="eastAsia" w:hAnsi="宋体"/>
          <w:b/>
          <w:color w:val="auto"/>
          <w:sz w:val="22"/>
          <w:szCs w:val="22"/>
          <w:highlight w:val="none"/>
        </w:rPr>
      </w:pPr>
      <w:r>
        <w:rPr>
          <w:rFonts w:hint="eastAsia" w:hAnsi="宋体"/>
          <w:bCs/>
          <w:color w:val="auto"/>
          <w:sz w:val="22"/>
          <w:szCs w:val="22"/>
          <w:highlight w:val="none"/>
        </w:rPr>
        <w:t xml:space="preserve">                                                                                 </w:t>
      </w:r>
    </w:p>
    <w:p w14:paraId="214D43E6">
      <w:pPr>
        <w:pStyle w:val="16"/>
        <w:snapToGrid w:val="0"/>
        <w:spacing w:line="360" w:lineRule="auto"/>
        <w:rPr>
          <w:rFonts w:hint="eastAsia" w:hAnsi="宋体"/>
          <w:b/>
          <w:color w:val="auto"/>
          <w:sz w:val="22"/>
          <w:szCs w:val="22"/>
          <w:highlight w:val="none"/>
        </w:rPr>
      </w:pPr>
      <w:r>
        <w:rPr>
          <w:rFonts w:hint="eastAsia" w:hAnsi="宋体"/>
          <w:b/>
          <w:color w:val="auto"/>
          <w:sz w:val="22"/>
          <w:szCs w:val="22"/>
          <w:highlight w:val="none"/>
        </w:rPr>
        <w:t>说明：</w:t>
      </w:r>
    </w:p>
    <w:p w14:paraId="20941526">
      <w:pPr>
        <w:pStyle w:val="16"/>
        <w:spacing w:line="360" w:lineRule="auto"/>
        <w:ind w:left="25" w:leftChars="12" w:firstLine="325" w:firstLineChars="147"/>
        <w:rPr>
          <w:rFonts w:hint="eastAsia" w:hAnsi="宋体"/>
          <w:b/>
          <w:bCs/>
          <w:color w:val="auto"/>
          <w:sz w:val="22"/>
          <w:szCs w:val="22"/>
          <w:highlight w:val="none"/>
        </w:rPr>
      </w:pPr>
      <w:r>
        <w:rPr>
          <w:rFonts w:hint="eastAsia" w:hAnsi="宋体"/>
          <w:b/>
          <w:color w:val="auto"/>
          <w:sz w:val="22"/>
          <w:szCs w:val="22"/>
          <w:highlight w:val="none"/>
        </w:rPr>
        <w:t>1.投诉人提起投诉时，应当提交投诉书和必要的证明材料，并按照被投诉人和与投诉事项有关的供应商数量提供投诉书副本</w:t>
      </w:r>
      <w:r>
        <w:rPr>
          <w:rFonts w:hint="eastAsia" w:hAnsi="宋体"/>
          <w:b/>
          <w:bCs/>
          <w:color w:val="auto"/>
          <w:sz w:val="22"/>
          <w:szCs w:val="22"/>
          <w:highlight w:val="none"/>
        </w:rPr>
        <w:t>。</w:t>
      </w:r>
    </w:p>
    <w:p w14:paraId="406F84CF">
      <w:pPr>
        <w:pStyle w:val="16"/>
        <w:spacing w:line="360" w:lineRule="auto"/>
        <w:ind w:left="25" w:leftChars="12" w:firstLine="325" w:firstLineChars="147"/>
        <w:rPr>
          <w:rFonts w:hint="eastAsia" w:hAnsi="宋体"/>
          <w:b/>
          <w:color w:val="auto"/>
          <w:sz w:val="22"/>
          <w:szCs w:val="22"/>
          <w:highlight w:val="none"/>
        </w:rPr>
      </w:pPr>
      <w:r>
        <w:rPr>
          <w:rFonts w:hint="eastAsia" w:hAnsi="宋体"/>
          <w:b/>
          <w:color w:val="auto"/>
          <w:sz w:val="22"/>
          <w:szCs w:val="22"/>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50FE2A93">
      <w:pPr>
        <w:pStyle w:val="16"/>
        <w:spacing w:line="360" w:lineRule="auto"/>
        <w:ind w:left="25" w:leftChars="12" w:firstLine="325" w:firstLineChars="147"/>
        <w:rPr>
          <w:rFonts w:hint="eastAsia" w:hAnsi="宋体"/>
          <w:b/>
          <w:color w:val="auto"/>
          <w:sz w:val="22"/>
          <w:szCs w:val="22"/>
          <w:highlight w:val="none"/>
        </w:rPr>
      </w:pPr>
      <w:r>
        <w:rPr>
          <w:rFonts w:hint="eastAsia" w:hAnsi="宋体"/>
          <w:b/>
          <w:color w:val="auto"/>
          <w:sz w:val="22"/>
          <w:szCs w:val="22"/>
          <w:highlight w:val="none"/>
        </w:rPr>
        <w:t>3.投诉书应简要列明质疑事项，质疑函、质疑答复等作为附件材料提供。</w:t>
      </w:r>
    </w:p>
    <w:p w14:paraId="5CF9A391">
      <w:pPr>
        <w:pStyle w:val="16"/>
        <w:spacing w:line="360" w:lineRule="auto"/>
        <w:ind w:left="25" w:leftChars="12" w:firstLine="325" w:firstLineChars="147"/>
        <w:rPr>
          <w:rFonts w:hint="eastAsia" w:hAnsi="宋体"/>
          <w:b/>
          <w:color w:val="auto"/>
          <w:sz w:val="22"/>
          <w:szCs w:val="22"/>
          <w:highlight w:val="none"/>
        </w:rPr>
      </w:pPr>
      <w:r>
        <w:rPr>
          <w:rFonts w:hint="eastAsia" w:hAnsi="宋体"/>
          <w:b/>
          <w:color w:val="auto"/>
          <w:sz w:val="22"/>
          <w:szCs w:val="22"/>
          <w:highlight w:val="none"/>
        </w:rPr>
        <w:t>4.投诉书的投诉事项应具体、明确，并有必要的事实依据和法律依据。</w:t>
      </w:r>
    </w:p>
    <w:p w14:paraId="0CDFF98C">
      <w:pPr>
        <w:pStyle w:val="16"/>
        <w:spacing w:line="360" w:lineRule="auto"/>
        <w:ind w:left="25" w:leftChars="12" w:firstLine="325" w:firstLineChars="147"/>
        <w:rPr>
          <w:rFonts w:hint="eastAsia" w:hAnsi="宋体"/>
          <w:b/>
          <w:color w:val="auto"/>
          <w:sz w:val="22"/>
          <w:szCs w:val="22"/>
          <w:highlight w:val="none"/>
        </w:rPr>
      </w:pPr>
      <w:r>
        <w:rPr>
          <w:rFonts w:hint="eastAsia" w:hAnsi="宋体"/>
          <w:b/>
          <w:color w:val="auto"/>
          <w:sz w:val="22"/>
          <w:szCs w:val="22"/>
          <w:highlight w:val="none"/>
        </w:rPr>
        <w:t>5.投诉书的投诉请求应与投诉事项相关。</w:t>
      </w:r>
    </w:p>
    <w:p w14:paraId="3DBCD508">
      <w:pPr>
        <w:pStyle w:val="16"/>
        <w:spacing w:line="360" w:lineRule="auto"/>
        <w:ind w:left="25" w:leftChars="12" w:firstLine="325" w:firstLineChars="147"/>
        <w:rPr>
          <w:rFonts w:hint="eastAsia" w:hAnsi="宋体"/>
          <w:b/>
          <w:color w:val="auto"/>
          <w:sz w:val="20"/>
          <w:szCs w:val="18"/>
          <w:highlight w:val="none"/>
        </w:rPr>
      </w:pPr>
      <w:r>
        <w:rPr>
          <w:rFonts w:hint="eastAsia" w:hAnsi="宋体"/>
          <w:b/>
          <w:color w:val="auto"/>
          <w:sz w:val="22"/>
          <w:szCs w:val="22"/>
          <w:highlight w:val="none"/>
        </w:rPr>
        <w:t>6.投诉人为法人或者其他组织的，投诉书应由法定代表人、主要负责人，或者其授权代表签字或者盖章，并加盖公章。</w:t>
      </w:r>
    </w:p>
    <w:p w14:paraId="7528B433">
      <w:pPr>
        <w:pStyle w:val="3"/>
        <w:keepLines/>
        <w:spacing w:before="340" w:after="330" w:line="578" w:lineRule="auto"/>
        <w:jc w:val="both"/>
        <w:outlineLvl w:val="9"/>
        <w:rPr>
          <w:rFonts w:hint="eastAsia" w:asciiTheme="majorEastAsia" w:hAnsiTheme="majorEastAsia" w:eastAsiaTheme="majorEastAsia" w:cstheme="majorEastAsia"/>
          <w:b/>
          <w:bCs w:val="0"/>
          <w:color w:val="auto"/>
          <w:kern w:val="2"/>
          <w:sz w:val="40"/>
          <w:szCs w:val="52"/>
          <w:lang w:val="en-US" w:eastAsia="zh-CN" w:bidi="ar-SA"/>
        </w:rPr>
      </w:pPr>
    </w:p>
    <w:p w14:paraId="12E5C0F3">
      <w:pPr>
        <w:rPr>
          <w:rFonts w:hint="eastAsia"/>
          <w:color w:val="auto"/>
          <w:lang w:val="en-US" w:eastAsia="zh-CN"/>
        </w:rPr>
      </w:pPr>
    </w:p>
    <w:p w14:paraId="2A21108E">
      <w:pPr>
        <w:pStyle w:val="3"/>
        <w:keepLines/>
        <w:spacing w:before="340" w:after="330" w:line="578" w:lineRule="auto"/>
        <w:jc w:val="center"/>
        <w:rPr>
          <w:rFonts w:hint="eastAsia" w:asciiTheme="majorEastAsia" w:hAnsiTheme="majorEastAsia" w:eastAsiaTheme="majorEastAsia" w:cstheme="majorEastAsia"/>
          <w:b/>
          <w:bCs w:val="0"/>
          <w:color w:val="auto"/>
          <w:kern w:val="2"/>
          <w:sz w:val="40"/>
          <w:szCs w:val="52"/>
          <w:lang w:val="en-US" w:eastAsia="zh-CN" w:bidi="ar-SA"/>
        </w:rPr>
      </w:pPr>
      <w:bookmarkStart w:id="217" w:name="_Toc26675"/>
    </w:p>
    <w:p w14:paraId="47AF60DD">
      <w:pPr>
        <w:pStyle w:val="3"/>
        <w:keepLines/>
        <w:spacing w:before="340" w:after="330" w:line="578" w:lineRule="auto"/>
        <w:jc w:val="center"/>
        <w:rPr>
          <w:rFonts w:hint="eastAsia" w:ascii="宋体" w:hAnsi="宋体" w:cs="Courier New"/>
          <w:b/>
          <w:color w:val="auto"/>
          <w:sz w:val="40"/>
          <w:szCs w:val="40"/>
        </w:rPr>
      </w:pPr>
      <w:r>
        <w:rPr>
          <w:rFonts w:hint="eastAsia" w:asciiTheme="majorEastAsia" w:hAnsiTheme="majorEastAsia" w:eastAsiaTheme="majorEastAsia" w:cstheme="majorEastAsia"/>
          <w:b/>
          <w:bCs w:val="0"/>
          <w:color w:val="auto"/>
          <w:kern w:val="2"/>
          <w:sz w:val="48"/>
          <w:szCs w:val="60"/>
          <w:lang w:val="en-US" w:eastAsia="zh-CN" w:bidi="ar-SA"/>
        </w:rPr>
        <w:t>第七章 合同文本</w:t>
      </w:r>
      <w:bookmarkEnd w:id="111"/>
      <w:bookmarkEnd w:id="217"/>
    </w:p>
    <w:p w14:paraId="55757625">
      <w:pPr>
        <w:wordWrap/>
        <w:rPr>
          <w:rFonts w:hint="eastAsia"/>
          <w:b w:val="0"/>
          <w:szCs w:val="24"/>
          <w:u w:val="single"/>
          <w:lang w:val="en-US" w:eastAsia="zh-CN"/>
        </w:rPr>
      </w:pPr>
    </w:p>
    <w:p w14:paraId="76CC27C8">
      <w:pPr>
        <w:jc w:val="center"/>
        <w:rPr>
          <w:rFonts w:hint="default" w:ascii="宋体" w:hAnsi="宋体" w:eastAsia="宋体" w:cs="宋体"/>
          <w:sz w:val="44"/>
          <w:szCs w:val="32"/>
          <w:u w:val="single"/>
          <w:lang w:val="en-US" w:eastAsia="zh-CN"/>
        </w:rPr>
      </w:pPr>
      <w:bookmarkStart w:id="218" w:name="_Toc351203652"/>
      <w:r>
        <w:rPr>
          <w:rFonts w:hint="eastAsia" w:ascii="仿宋_GB2312" w:hAnsi="宋体" w:eastAsia="仿宋_GB2312"/>
          <w:b/>
          <w:bCs/>
          <w:color w:val="auto"/>
          <w:sz w:val="52"/>
          <w:szCs w:val="52"/>
          <w:highlight w:val="none"/>
          <w:u w:val="single"/>
          <w:lang w:val="en-US" w:eastAsia="zh-CN"/>
        </w:rPr>
        <w:t xml:space="preserve">          工程</w:t>
      </w:r>
    </w:p>
    <w:p w14:paraId="22010C85">
      <w:pPr>
        <w:jc w:val="center"/>
        <w:rPr>
          <w:rFonts w:hint="eastAsia" w:ascii="宋体" w:hAnsi="宋体" w:eastAsia="宋体" w:cs="宋体"/>
          <w:sz w:val="44"/>
          <w:szCs w:val="32"/>
          <w:u w:val="single"/>
          <w:lang w:eastAsia="zh-CN"/>
        </w:rPr>
      </w:pPr>
    </w:p>
    <w:p w14:paraId="6653ADBC">
      <w:pPr>
        <w:rPr>
          <w:rFonts w:hint="eastAsia"/>
          <w:sz w:val="28"/>
          <w:szCs w:val="28"/>
        </w:rPr>
      </w:pPr>
    </w:p>
    <w:p w14:paraId="09529CBD">
      <w:pPr>
        <w:jc w:val="center"/>
        <w:rPr>
          <w:rFonts w:hint="eastAsia" w:ascii="宋体" w:hAnsi="宋体"/>
          <w:b/>
          <w:sz w:val="28"/>
          <w:szCs w:val="28"/>
        </w:rPr>
      </w:pPr>
      <w:r>
        <w:rPr>
          <w:rFonts w:hint="eastAsia"/>
          <w:b/>
          <w:bCs/>
          <w:sz w:val="84"/>
          <w:szCs w:val="84"/>
        </w:rPr>
        <w:t>建设工程施工合同</w:t>
      </w:r>
    </w:p>
    <w:p w14:paraId="1BC4AE5A">
      <w:pPr>
        <w:pStyle w:val="5"/>
        <w:tabs>
          <w:tab w:val="left" w:pos="7537"/>
          <w:tab w:val="left" w:pos="8122"/>
        </w:tabs>
        <w:wordWrap/>
        <w:ind w:left="1396" w:leftChars="665" w:firstLine="848" w:firstLineChars="303"/>
        <w:jc w:val="both"/>
        <w:rPr>
          <w:rFonts w:hint="default" w:ascii="宋体" w:hAnsi="宋体" w:eastAsia="宋体" w:cs="宋体"/>
          <w:b w:val="0"/>
          <w:sz w:val="28"/>
          <w:szCs w:val="22"/>
          <w:u w:val="single"/>
          <w:lang w:val="en-US" w:eastAsia="zh-CN"/>
        </w:rPr>
      </w:pPr>
      <w:r>
        <w:rPr>
          <w:rFonts w:hint="eastAsia" w:ascii="宋体" w:hAnsi="宋体" w:eastAsia="宋体" w:cs="宋体"/>
          <w:b w:val="0"/>
          <w:sz w:val="28"/>
          <w:szCs w:val="22"/>
        </w:rPr>
        <w:t>合同编号：</w:t>
      </w:r>
      <w:r>
        <w:rPr>
          <w:rFonts w:hint="eastAsia" w:ascii="宋体" w:hAnsi="宋体" w:eastAsia="宋体" w:cs="宋体"/>
          <w:b w:val="0"/>
          <w:sz w:val="28"/>
          <w:szCs w:val="22"/>
          <w:u w:val="single"/>
        </w:rPr>
        <w:t xml:space="preserve"> </w:t>
      </w:r>
      <w:r>
        <w:rPr>
          <w:rFonts w:hint="eastAsia" w:ascii="宋体" w:hAnsi="宋体" w:cs="宋体"/>
          <w:b w:val="0"/>
          <w:sz w:val="28"/>
          <w:szCs w:val="22"/>
          <w:u w:val="single"/>
          <w:lang w:val="en-US" w:eastAsia="zh-CN"/>
        </w:rPr>
        <w:t xml:space="preserve">             </w:t>
      </w:r>
    </w:p>
    <w:p w14:paraId="5B5BBCBB">
      <w:pPr>
        <w:rPr>
          <w:rFonts w:hint="eastAsia" w:ascii="宋体" w:hAnsi="宋体"/>
          <w:b w:val="0"/>
          <w:bCs/>
          <w:sz w:val="30"/>
          <w:szCs w:val="30"/>
          <w:u w:val="single"/>
        </w:rPr>
      </w:pPr>
    </w:p>
    <w:p w14:paraId="19409C39">
      <w:pPr>
        <w:rPr>
          <w:rFonts w:hint="eastAsia" w:ascii="宋体" w:hAnsi="宋体"/>
          <w:b w:val="0"/>
          <w:bCs/>
          <w:sz w:val="30"/>
          <w:szCs w:val="30"/>
          <w:u w:val="single"/>
        </w:rPr>
      </w:pPr>
    </w:p>
    <w:p w14:paraId="44F5BD42">
      <w:pPr>
        <w:rPr>
          <w:rFonts w:hint="eastAsia" w:ascii="宋体" w:hAnsi="宋体"/>
          <w:b w:val="0"/>
          <w:bCs/>
          <w:sz w:val="30"/>
          <w:szCs w:val="30"/>
          <w:u w:val="single"/>
        </w:rPr>
      </w:pPr>
    </w:p>
    <w:p w14:paraId="5F867D4E">
      <w:pPr>
        <w:spacing w:line="700" w:lineRule="exact"/>
        <w:rPr>
          <w:rFonts w:hint="eastAsia" w:ascii="宋体" w:hAnsi="宋体"/>
          <w:b w:val="0"/>
          <w:bCs/>
          <w:spacing w:val="20"/>
          <w:position w:val="6"/>
          <w:sz w:val="30"/>
          <w:szCs w:val="30"/>
          <w:u w:val="none"/>
        </w:rPr>
      </w:pPr>
      <w:r>
        <w:rPr>
          <w:rFonts w:hint="eastAsia" w:ascii="宋体" w:hAnsi="宋体"/>
          <w:b w:val="0"/>
          <w:bCs/>
          <w:spacing w:val="20"/>
          <w:position w:val="6"/>
          <w:sz w:val="30"/>
          <w:szCs w:val="30"/>
          <w:u w:val="none"/>
        </w:rPr>
        <w:t xml:space="preserve">     </w:t>
      </w:r>
    </w:p>
    <w:p w14:paraId="2A636DD2">
      <w:pPr>
        <w:pStyle w:val="35"/>
        <w:rPr>
          <w:rFonts w:hint="eastAsia"/>
        </w:rPr>
      </w:pPr>
    </w:p>
    <w:p w14:paraId="09F98D9C">
      <w:pPr>
        <w:ind w:right="2719" w:rightChars="1295"/>
        <w:jc w:val="center"/>
        <w:rPr>
          <w:rFonts w:hint="eastAsia" w:ascii="宋体" w:hAnsi="宋体"/>
          <w:b/>
          <w:spacing w:val="20"/>
          <w:position w:val="6"/>
          <w:sz w:val="24"/>
        </w:rPr>
      </w:pPr>
    </w:p>
    <w:p w14:paraId="4566E0CB">
      <w:pPr>
        <w:ind w:right="2719" w:rightChars="1295"/>
        <w:jc w:val="center"/>
        <w:rPr>
          <w:rFonts w:hint="eastAsia" w:ascii="宋体" w:hAnsi="宋体"/>
          <w:b/>
          <w:spacing w:val="20"/>
          <w:position w:val="6"/>
          <w:sz w:val="24"/>
        </w:rPr>
      </w:pPr>
    </w:p>
    <w:p w14:paraId="6DDD181F">
      <w:pPr>
        <w:ind w:right="2719" w:rightChars="1295"/>
        <w:jc w:val="center"/>
        <w:rPr>
          <w:rFonts w:hint="eastAsia" w:ascii="宋体" w:hAnsi="宋体"/>
          <w:b/>
          <w:spacing w:val="20"/>
          <w:position w:val="6"/>
          <w:sz w:val="24"/>
        </w:rPr>
      </w:pPr>
    </w:p>
    <w:p w14:paraId="316AB5A3">
      <w:pPr>
        <w:ind w:right="2719" w:rightChars="1295"/>
        <w:jc w:val="both"/>
        <w:rPr>
          <w:rFonts w:hint="eastAsia" w:ascii="宋体" w:hAnsi="宋体"/>
          <w:b/>
          <w:spacing w:val="20"/>
          <w:position w:val="6"/>
          <w:sz w:val="24"/>
        </w:rPr>
      </w:pPr>
    </w:p>
    <w:p w14:paraId="380BABC5">
      <w:pPr>
        <w:ind w:right="2719" w:rightChars="1295"/>
        <w:jc w:val="both"/>
        <w:rPr>
          <w:rFonts w:hint="eastAsia" w:ascii="宋体" w:hAnsi="宋体" w:eastAsia="宋体"/>
          <w:b/>
          <w:spacing w:val="20"/>
          <w:position w:val="6"/>
          <w:sz w:val="24"/>
          <w:lang w:eastAsia="zh-CN"/>
        </w:rPr>
      </w:pPr>
    </w:p>
    <w:p w14:paraId="058ED700">
      <w:pPr>
        <w:ind w:right="2719" w:rightChars="1295"/>
        <w:jc w:val="center"/>
        <w:rPr>
          <w:rFonts w:hint="eastAsia" w:ascii="宋体" w:hAnsi="宋体"/>
          <w:b/>
          <w:spacing w:val="20"/>
          <w:position w:val="6"/>
          <w:sz w:val="28"/>
        </w:rPr>
      </w:pPr>
      <w:r>
        <w:rPr>
          <w:rFonts w:hint="eastAsia"/>
          <w:sz w:val="24"/>
        </w:rPr>
        <mc:AlternateContent>
          <mc:Choice Requires="wps">
            <w:drawing>
              <wp:anchor distT="0" distB="0" distL="114300" distR="114300" simplePos="0" relativeHeight="251659264" behindDoc="0" locked="0" layoutInCell="1" allowOverlap="1">
                <wp:simplePos x="0" y="0"/>
                <wp:positionH relativeFrom="column">
                  <wp:posOffset>3810000</wp:posOffset>
                </wp:positionH>
                <wp:positionV relativeFrom="paragraph">
                  <wp:posOffset>137160</wp:posOffset>
                </wp:positionV>
                <wp:extent cx="723900" cy="457200"/>
                <wp:effectExtent l="4445" t="4445" r="14605" b="14605"/>
                <wp:wrapNone/>
                <wp:docPr id="10" name="文本框 10"/>
                <wp:cNvGraphicFramePr/>
                <a:graphic xmlns:a="http://schemas.openxmlformats.org/drawingml/2006/main">
                  <a:graphicData uri="http://schemas.microsoft.com/office/word/2010/wordprocessingShape">
                    <wps:wsp>
                      <wps:cNvSpPr txBox="1"/>
                      <wps:spPr>
                        <a:xfrm>
                          <a:off x="0" y="0"/>
                          <a:ext cx="723900" cy="457200"/>
                        </a:xfrm>
                        <a:prstGeom prst="rect">
                          <a:avLst/>
                        </a:prstGeom>
                        <a:noFill/>
                        <a:ln w="9525" cap="flat" cmpd="sng">
                          <a:solidFill>
                            <a:srgbClr val="FFFFFF"/>
                          </a:solidFill>
                          <a:prstDash val="solid"/>
                          <a:miter/>
                          <a:headEnd type="none" w="med" len="med"/>
                          <a:tailEnd type="none" w="med" len="med"/>
                        </a:ln>
                        <a:effectLst/>
                      </wps:spPr>
                      <wps:txbx>
                        <w:txbxContent>
                          <w:p w14:paraId="5A087666">
                            <w:pPr>
                              <w:rPr>
                                <w:rFonts w:ascii="宋体" w:hAnsi="宋体"/>
                                <w:b/>
                                <w:bCs/>
                                <w:sz w:val="28"/>
                              </w:rPr>
                            </w:pPr>
                            <w:r>
                              <w:rPr>
                                <w:rFonts w:hint="eastAsia" w:ascii="宋体" w:hAnsi="宋体"/>
                                <w:b/>
                                <w:bCs/>
                                <w:sz w:val="28"/>
                              </w:rPr>
                              <w:t>制定</w:t>
                            </w:r>
                          </w:p>
                          <w:p w14:paraId="1DEC6F64">
                            <w:pPr>
                              <w:rPr>
                                <w:rFonts w:hint="eastAsia"/>
                              </w:rPr>
                            </w:pPr>
                          </w:p>
                        </w:txbxContent>
                      </wps:txbx>
                      <wps:bodyPr upright="1"/>
                    </wps:wsp>
                  </a:graphicData>
                </a:graphic>
              </wp:anchor>
            </w:drawing>
          </mc:Choice>
          <mc:Fallback>
            <w:pict>
              <v:shape id="_x0000_s1026" o:spid="_x0000_s1026" o:spt="202" type="#_x0000_t202" style="position:absolute;left:0pt;margin-left:300pt;margin-top:10.8pt;height:36pt;width:57pt;z-index:251659264;mso-width-relative:page;mso-height-relative:page;" filled="f" stroked="t" coordsize="21600,21600" o:gfxdata="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Sn/Fa2AAAAAkBAAAPAAAAAAAAAAEAIAAAACIA&#10;AABkcnMvZG93bnJldi54bWxQSwECFAAUAAAACACHTuJAIZwffwkCAAAcBAAADgAAAAAAAAABACAA&#10;AAAnAQAAZHJzL2Uyb0RvYy54bWxQSwUGAAAAAAYABgBZAQAAogUAAAAA&#10;">
                <v:fill on="f" focussize="0,0"/>
                <v:stroke color="#FFFFFF" joinstyle="miter"/>
                <v:imagedata o:title=""/>
                <o:lock v:ext="edit" aspectratio="f"/>
                <v:textbox>
                  <w:txbxContent>
                    <w:p w14:paraId="5A087666">
                      <w:pPr>
                        <w:rPr>
                          <w:rFonts w:ascii="宋体" w:hAnsi="宋体"/>
                          <w:b/>
                          <w:bCs/>
                          <w:sz w:val="28"/>
                        </w:rPr>
                      </w:pPr>
                      <w:r>
                        <w:rPr>
                          <w:rFonts w:hint="eastAsia" w:ascii="宋体" w:hAnsi="宋体"/>
                          <w:b/>
                          <w:bCs/>
                          <w:sz w:val="28"/>
                        </w:rPr>
                        <w:t>制定</w:t>
                      </w:r>
                    </w:p>
                    <w:p w14:paraId="1DEC6F64">
                      <w:pPr>
                        <w:rPr>
                          <w:rFonts w:hint="eastAsia"/>
                        </w:rPr>
                      </w:pPr>
                    </w:p>
                  </w:txbxContent>
                </v:textbox>
              </v:shape>
            </w:pict>
          </mc:Fallback>
        </mc:AlternateContent>
      </w:r>
      <w:r>
        <w:rPr>
          <w:rFonts w:hint="eastAsia" w:ascii="宋体" w:hAnsi="宋体"/>
          <w:b/>
          <w:spacing w:val="20"/>
          <w:position w:val="6"/>
          <w:sz w:val="24"/>
        </w:rPr>
        <w:t xml:space="preserve"> </w:t>
      </w:r>
      <w:r>
        <w:rPr>
          <w:rFonts w:hint="eastAsia" w:ascii="宋体" w:hAnsi="宋体"/>
          <w:b/>
          <w:spacing w:val="20"/>
          <w:position w:val="6"/>
          <w:sz w:val="24"/>
          <w:lang w:val="en-US" w:eastAsia="zh-CN"/>
        </w:rPr>
        <w:t xml:space="preserve">   </w:t>
      </w:r>
      <w:r>
        <w:rPr>
          <w:rFonts w:hint="eastAsia"/>
          <w:b/>
          <w:sz w:val="28"/>
          <w:szCs w:val="28"/>
        </w:rPr>
        <w:t>住房和城乡建设部</w:t>
      </w:r>
    </w:p>
    <w:p w14:paraId="0E7D1C04">
      <w:pPr>
        <w:ind w:right="2719" w:rightChars="1295"/>
        <w:jc w:val="center"/>
        <w:rPr>
          <w:rFonts w:hint="eastAsia" w:ascii="宋体" w:hAnsi="宋体"/>
          <w:b/>
          <w:spacing w:val="40"/>
          <w:position w:val="6"/>
          <w:sz w:val="28"/>
        </w:rPr>
      </w:pPr>
      <w:r>
        <w:rPr>
          <w:rFonts w:hint="eastAsia" w:ascii="宋体" w:hAnsi="宋体"/>
          <w:b/>
          <w:spacing w:val="40"/>
          <w:position w:val="6"/>
          <w:sz w:val="28"/>
        </w:rPr>
        <w:t xml:space="preserve">      国家</w:t>
      </w:r>
      <w:r>
        <w:rPr>
          <w:rFonts w:hint="eastAsia" w:ascii="宋体" w:hAnsi="宋体"/>
          <w:b/>
          <w:spacing w:val="40"/>
          <w:position w:val="6"/>
          <w:sz w:val="28"/>
          <w:lang w:val="en-US" w:eastAsia="zh-CN"/>
        </w:rPr>
        <w:t>市场监督</w:t>
      </w:r>
      <w:r>
        <w:rPr>
          <w:rFonts w:hint="eastAsia" w:ascii="宋体" w:hAnsi="宋体"/>
          <w:b/>
          <w:spacing w:val="40"/>
          <w:position w:val="6"/>
          <w:sz w:val="28"/>
        </w:rPr>
        <w:t>管理</w:t>
      </w:r>
      <w:r>
        <w:rPr>
          <w:rFonts w:hint="eastAsia" w:ascii="宋体" w:hAnsi="宋体"/>
          <w:b/>
          <w:spacing w:val="40"/>
          <w:position w:val="6"/>
          <w:sz w:val="28"/>
          <w:lang w:val="en-US" w:eastAsia="zh-CN"/>
        </w:rPr>
        <w:t>总</w:t>
      </w:r>
      <w:r>
        <w:rPr>
          <w:rFonts w:hint="eastAsia" w:ascii="宋体" w:hAnsi="宋体"/>
          <w:b/>
          <w:spacing w:val="40"/>
          <w:position w:val="6"/>
          <w:sz w:val="28"/>
        </w:rPr>
        <w:t>局</w:t>
      </w:r>
    </w:p>
    <w:p w14:paraId="4682427A">
      <w:pPr>
        <w:jc w:val="both"/>
        <w:rPr>
          <w:rFonts w:hint="eastAsia" w:ascii="宋体" w:hAnsi="宋体"/>
          <w:b/>
          <w:bCs/>
          <w:sz w:val="44"/>
          <w:szCs w:val="52"/>
        </w:rPr>
        <w:sectPr>
          <w:headerReference r:id="rId11" w:type="default"/>
          <w:footerReference r:id="rId12" w:type="default"/>
          <w:footerReference r:id="rId13" w:type="even"/>
          <w:pgSz w:w="11906" w:h="16838"/>
          <w:pgMar w:top="1191" w:right="1418" w:bottom="964" w:left="1418" w:header="851" w:footer="850" w:gutter="0"/>
          <w:pgNumType w:fmt="decimal"/>
          <w:cols w:space="720" w:num="1"/>
          <w:titlePg/>
          <w:docGrid w:type="lines" w:linePitch="312" w:charSpace="0"/>
        </w:sectPr>
      </w:pPr>
    </w:p>
    <w:p w14:paraId="5EFA285D">
      <w:pPr>
        <w:pStyle w:val="5"/>
        <w:widowControl/>
        <w:numPr>
          <w:ilvl w:val="0"/>
          <w:numId w:val="0"/>
        </w:numPr>
        <w:adjustRightInd/>
        <w:spacing w:line="400" w:lineRule="exact"/>
        <w:ind w:left="851" w:firstLine="0"/>
        <w:jc w:val="center"/>
        <w:rPr>
          <w:rFonts w:hint="eastAsia" w:ascii="宋体" w:hAnsi="宋体" w:eastAsia="宋体" w:cs="宋体"/>
          <w:sz w:val="36"/>
          <w:szCs w:val="20"/>
          <w:lang w:val="en-US"/>
        </w:rPr>
      </w:pPr>
      <w:r>
        <w:rPr>
          <w:rFonts w:hint="eastAsia" w:ascii="宋体" w:hAnsi="宋体" w:eastAsia="宋体" w:cs="宋体"/>
          <w:sz w:val="36"/>
          <w:szCs w:val="20"/>
          <w:lang w:eastAsia="zh-CN"/>
        </w:rPr>
        <w:t>第一部分 合同协议书</w:t>
      </w:r>
    </w:p>
    <w:p w14:paraId="0B855154">
      <w:pPr>
        <w:keepNext w:val="0"/>
        <w:keepLines w:val="0"/>
        <w:widowControl w:val="0"/>
        <w:suppressLineNumbers w:val="0"/>
        <w:spacing w:before="0" w:beforeAutospacing="0" w:after="0" w:afterAutospacing="0" w:line="400" w:lineRule="exact"/>
        <w:ind w:left="0" w:right="0"/>
        <w:jc w:val="both"/>
        <w:rPr>
          <w:lang w:val="en-US"/>
        </w:rPr>
      </w:pPr>
    </w:p>
    <w:p w14:paraId="32FC975E">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bCs/>
          <w:color w:val="FF0000"/>
          <w:sz w:val="21"/>
          <w:szCs w:val="21"/>
          <w:u w:val="single"/>
          <w:lang w:val="en-US"/>
        </w:rPr>
      </w:pPr>
      <w:r>
        <w:rPr>
          <w:rFonts w:hint="eastAsia" w:ascii="宋体" w:hAnsi="宋体" w:eastAsia="宋体" w:cs="宋体"/>
          <w:bCs/>
          <w:color w:val="000000"/>
          <w:kern w:val="2"/>
          <w:sz w:val="21"/>
          <w:szCs w:val="21"/>
          <w:lang w:val="en-US" w:eastAsia="zh-CN" w:bidi="ar"/>
        </w:rPr>
        <w:t>发包人（全称）：</w:t>
      </w:r>
      <w:r>
        <w:rPr>
          <w:rFonts w:hint="eastAsia" w:ascii="宋体" w:hAnsi="宋体" w:eastAsia="宋体" w:cs="宋体"/>
          <w:bCs/>
          <w:color w:val="000000"/>
          <w:kern w:val="2"/>
          <w:sz w:val="21"/>
          <w:szCs w:val="21"/>
          <w:u w:val="single"/>
          <w:lang w:val="en-US" w:eastAsia="zh-CN" w:bidi="ar"/>
        </w:rPr>
        <w:t xml:space="preserve">                    </w:t>
      </w:r>
    </w:p>
    <w:p w14:paraId="7BB743FF">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bCs/>
          <w:color w:val="FF0000"/>
          <w:sz w:val="21"/>
          <w:szCs w:val="21"/>
          <w:u w:val="single"/>
          <w:lang w:val="en-US"/>
        </w:rPr>
      </w:pPr>
      <w:r>
        <w:rPr>
          <w:rFonts w:hint="eastAsia" w:ascii="宋体" w:hAnsi="宋体" w:eastAsia="宋体" w:cs="宋体"/>
          <w:bCs/>
          <w:color w:val="000000"/>
          <w:kern w:val="2"/>
          <w:sz w:val="21"/>
          <w:szCs w:val="21"/>
          <w:lang w:val="en-US" w:eastAsia="zh-CN" w:bidi="ar"/>
        </w:rPr>
        <w:t>承包人（全称）：</w:t>
      </w:r>
      <w:r>
        <w:rPr>
          <w:rFonts w:hint="eastAsia" w:ascii="宋体" w:hAnsi="宋体" w:eastAsia="宋体" w:cs="宋体"/>
          <w:bCs/>
          <w:color w:val="000000"/>
          <w:kern w:val="2"/>
          <w:sz w:val="21"/>
          <w:szCs w:val="21"/>
          <w:u w:val="single"/>
          <w:lang w:val="en-US" w:eastAsia="zh-CN" w:bidi="ar"/>
        </w:rPr>
        <w:t xml:space="preserve">                    </w:t>
      </w:r>
    </w:p>
    <w:p w14:paraId="25A39987">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bCs/>
          <w:sz w:val="21"/>
          <w:szCs w:val="21"/>
          <w:lang w:val="en-US"/>
        </w:rPr>
      </w:pPr>
      <w:r>
        <w:rPr>
          <w:rFonts w:hint="eastAsia" w:ascii="宋体" w:hAnsi="宋体" w:eastAsia="宋体" w:cs="宋体"/>
          <w:bCs/>
          <w:color w:val="000000"/>
          <w:kern w:val="2"/>
          <w:sz w:val="21"/>
          <w:szCs w:val="21"/>
          <w:lang w:val="en-US" w:eastAsia="zh-CN" w:bidi="ar"/>
        </w:rPr>
        <w:t>根据《中华人民共和国民法典》、《中华人民共和国建筑法》及有关法律规定，遵循平等、自愿、公平和诚实信用的原则，双方就</w:t>
      </w:r>
      <w:r>
        <w:rPr>
          <w:rFonts w:hint="eastAsia" w:ascii="宋体" w:hAnsi="宋体" w:eastAsia="宋体" w:cs="宋体"/>
          <w:bCs/>
          <w:color w:val="000000"/>
          <w:kern w:val="2"/>
          <w:sz w:val="21"/>
          <w:szCs w:val="21"/>
          <w:u w:val="single"/>
          <w:lang w:val="en-US" w:eastAsia="zh-CN" w:bidi="ar"/>
        </w:rPr>
        <w:t xml:space="preserve">                </w:t>
      </w:r>
      <w:r>
        <w:rPr>
          <w:rFonts w:hint="eastAsia" w:ascii="宋体" w:hAnsi="宋体" w:eastAsia="宋体" w:cs="宋体"/>
          <w:bCs/>
          <w:color w:val="000000"/>
          <w:kern w:val="2"/>
          <w:sz w:val="21"/>
          <w:szCs w:val="21"/>
          <w:lang w:val="en-US" w:eastAsia="zh-CN" w:bidi="ar"/>
        </w:rPr>
        <w:t xml:space="preserve">施工及有关事项协商一致，共同达成如下协议： </w:t>
      </w:r>
      <w:bookmarkStart w:id="219" w:name="_Toc351203481"/>
    </w:p>
    <w:p w14:paraId="14E4E384">
      <w:pPr>
        <w:pStyle w:val="6"/>
        <w:widowControl/>
        <w:numPr>
          <w:ilvl w:val="0"/>
          <w:numId w:val="0"/>
        </w:numPr>
        <w:tabs>
          <w:tab w:val="left" w:pos="2155"/>
        </w:tabs>
        <w:spacing w:before="0" w:beforeAutospacing="0" w:after="0" w:afterAutospacing="0" w:line="360" w:lineRule="auto"/>
        <w:ind w:right="0"/>
        <w:rPr>
          <w:rFonts w:hint="eastAsia" w:ascii="宋体" w:hAnsi="宋体" w:eastAsia="宋体" w:cs="宋体"/>
          <w:b/>
          <w:bCs w:val="0"/>
          <w:sz w:val="21"/>
          <w:szCs w:val="21"/>
          <w:lang w:val="en-US"/>
        </w:rPr>
      </w:pPr>
      <w:r>
        <w:rPr>
          <w:rFonts w:hint="eastAsia" w:ascii="宋体" w:hAnsi="宋体" w:eastAsia="宋体" w:cs="宋体"/>
          <w:b/>
          <w:bCs w:val="0"/>
          <w:sz w:val="21"/>
          <w:szCs w:val="21"/>
          <w:lang w:eastAsia="zh-CN"/>
        </w:rPr>
        <w:t>一、工程概况</w:t>
      </w:r>
      <w:bookmarkEnd w:id="219"/>
    </w:p>
    <w:p w14:paraId="67F29C8C">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bCs/>
          <w:color w:val="FF0000"/>
          <w:sz w:val="21"/>
          <w:szCs w:val="21"/>
          <w:u w:val="single"/>
          <w:lang w:val="en-US"/>
        </w:rPr>
      </w:pPr>
      <w:r>
        <w:rPr>
          <w:rFonts w:hint="eastAsia" w:ascii="宋体" w:hAnsi="宋体" w:eastAsia="宋体" w:cs="宋体"/>
          <w:bCs/>
          <w:color w:val="000000"/>
          <w:kern w:val="2"/>
          <w:sz w:val="21"/>
          <w:szCs w:val="21"/>
          <w:lang w:val="en-US" w:eastAsia="zh-CN" w:bidi="ar"/>
        </w:rPr>
        <w:t>1.工程名称：</w:t>
      </w:r>
      <w:r>
        <w:rPr>
          <w:rFonts w:hint="eastAsia" w:ascii="宋体" w:hAnsi="宋体" w:eastAsia="宋体" w:cs="宋体"/>
          <w:bCs/>
          <w:color w:val="000000"/>
          <w:kern w:val="2"/>
          <w:sz w:val="21"/>
          <w:szCs w:val="21"/>
          <w:u w:val="single"/>
          <w:lang w:val="en-US" w:eastAsia="zh-CN" w:bidi="ar"/>
        </w:rPr>
        <w:t xml:space="preserve">                                </w:t>
      </w:r>
    </w:p>
    <w:p w14:paraId="33584D7D">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bCs/>
          <w:color w:val="FF0000"/>
          <w:sz w:val="21"/>
          <w:szCs w:val="21"/>
          <w:lang w:val="en-US"/>
        </w:rPr>
      </w:pPr>
      <w:r>
        <w:rPr>
          <w:rFonts w:hint="eastAsia" w:ascii="宋体" w:hAnsi="宋体" w:eastAsia="宋体" w:cs="宋体"/>
          <w:bCs/>
          <w:color w:val="000000"/>
          <w:kern w:val="2"/>
          <w:sz w:val="21"/>
          <w:szCs w:val="21"/>
          <w:lang w:val="en-US" w:eastAsia="zh-CN" w:bidi="ar"/>
        </w:rPr>
        <w:t>2.工程地点：</w:t>
      </w:r>
      <w:r>
        <w:rPr>
          <w:rFonts w:hint="eastAsia" w:ascii="宋体" w:hAnsi="宋体" w:eastAsia="宋体" w:cs="宋体"/>
          <w:bCs/>
          <w:color w:val="000000"/>
          <w:kern w:val="2"/>
          <w:sz w:val="21"/>
          <w:szCs w:val="21"/>
          <w:u w:val="single"/>
          <w:lang w:val="en-US" w:eastAsia="zh-CN" w:bidi="ar"/>
        </w:rPr>
        <w:t xml:space="preserve">                                </w:t>
      </w:r>
    </w:p>
    <w:p w14:paraId="52F05612">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bCs/>
          <w:color w:val="FF0000"/>
          <w:sz w:val="21"/>
          <w:szCs w:val="21"/>
          <w:lang w:val="en-US"/>
        </w:rPr>
      </w:pPr>
      <w:r>
        <w:rPr>
          <w:rFonts w:hint="eastAsia" w:ascii="宋体" w:hAnsi="宋体" w:eastAsia="宋体" w:cs="宋体"/>
          <w:bCs/>
          <w:color w:val="000000"/>
          <w:kern w:val="2"/>
          <w:sz w:val="21"/>
          <w:szCs w:val="21"/>
          <w:lang w:val="en-US" w:eastAsia="zh-CN" w:bidi="ar"/>
        </w:rPr>
        <w:t>3.资金来源：</w:t>
      </w:r>
      <w:r>
        <w:rPr>
          <w:rFonts w:hint="eastAsia" w:ascii="宋体" w:hAnsi="宋体" w:eastAsia="宋体" w:cs="宋体"/>
          <w:bCs/>
          <w:color w:val="000000"/>
          <w:kern w:val="2"/>
          <w:sz w:val="21"/>
          <w:szCs w:val="21"/>
          <w:u w:val="single"/>
          <w:lang w:val="en-US" w:eastAsia="zh-CN" w:bidi="ar"/>
        </w:rPr>
        <w:t xml:space="preserve">                                </w:t>
      </w:r>
    </w:p>
    <w:p w14:paraId="6F983C19">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bCs/>
          <w:color w:val="FF0000"/>
          <w:sz w:val="21"/>
          <w:szCs w:val="21"/>
          <w:lang w:val="en-US"/>
        </w:rPr>
      </w:pPr>
      <w:r>
        <w:rPr>
          <w:rFonts w:hint="eastAsia" w:ascii="宋体" w:hAnsi="宋体" w:eastAsia="宋体" w:cs="宋体"/>
          <w:bCs/>
          <w:color w:val="000000"/>
          <w:kern w:val="2"/>
          <w:sz w:val="21"/>
          <w:szCs w:val="21"/>
          <w:lang w:val="en-US" w:eastAsia="zh-CN" w:bidi="ar"/>
        </w:rPr>
        <w:t>4.工程内容：</w:t>
      </w:r>
      <w:r>
        <w:rPr>
          <w:rFonts w:hint="eastAsia" w:ascii="宋体" w:hAnsi="宋体" w:eastAsia="宋体" w:cs="宋体"/>
          <w:bCs/>
          <w:color w:val="000000"/>
          <w:kern w:val="2"/>
          <w:sz w:val="21"/>
          <w:szCs w:val="21"/>
          <w:u w:val="single"/>
          <w:lang w:val="en-US" w:eastAsia="zh-CN" w:bidi="ar"/>
        </w:rPr>
        <w:t xml:space="preserve">                                </w:t>
      </w:r>
      <w:r>
        <w:rPr>
          <w:rFonts w:hint="eastAsia" w:ascii="宋体" w:hAnsi="宋体" w:eastAsia="宋体" w:cs="宋体"/>
          <w:bCs/>
          <w:color w:val="000000"/>
          <w:kern w:val="2"/>
          <w:sz w:val="21"/>
          <w:szCs w:val="21"/>
          <w:lang w:val="en-US" w:eastAsia="zh-CN" w:bidi="ar"/>
        </w:rPr>
        <w:t xml:space="preserve"> 。</w:t>
      </w:r>
    </w:p>
    <w:p w14:paraId="0B368178">
      <w:pPr>
        <w:pStyle w:val="6"/>
        <w:widowControl/>
        <w:numPr>
          <w:ilvl w:val="0"/>
          <w:numId w:val="0"/>
        </w:numPr>
        <w:tabs>
          <w:tab w:val="left" w:pos="2155"/>
        </w:tabs>
        <w:spacing w:before="0" w:beforeAutospacing="0" w:after="0" w:afterAutospacing="0" w:line="360" w:lineRule="auto"/>
        <w:ind w:right="0"/>
        <w:rPr>
          <w:rFonts w:hint="eastAsia" w:ascii="宋体" w:hAnsi="宋体" w:eastAsia="宋体" w:cs="宋体"/>
          <w:b/>
          <w:bCs w:val="0"/>
          <w:color w:val="000000"/>
          <w:sz w:val="21"/>
          <w:szCs w:val="21"/>
          <w:lang w:val="en-US"/>
        </w:rPr>
      </w:pPr>
      <w:bookmarkStart w:id="220" w:name="_Toc351203482"/>
      <w:r>
        <w:rPr>
          <w:rFonts w:hint="eastAsia" w:ascii="宋体" w:hAnsi="宋体" w:eastAsia="宋体" w:cs="宋体"/>
          <w:b/>
          <w:bCs w:val="0"/>
          <w:color w:val="000000"/>
          <w:sz w:val="21"/>
          <w:szCs w:val="21"/>
          <w:lang w:eastAsia="zh-CN"/>
        </w:rPr>
        <w:t>二、合同工期</w:t>
      </w:r>
      <w:bookmarkEnd w:id="220"/>
    </w:p>
    <w:p w14:paraId="4531CE2E">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bCs/>
          <w:color w:val="FF0000"/>
          <w:sz w:val="21"/>
          <w:szCs w:val="21"/>
          <w:highlight w:val="none"/>
          <w:lang w:val="en-US"/>
        </w:rPr>
      </w:pPr>
      <w:r>
        <w:rPr>
          <w:rFonts w:hint="eastAsia" w:ascii="宋体" w:hAnsi="宋体" w:eastAsia="宋体" w:cs="宋体"/>
          <w:bCs/>
          <w:color w:val="000000"/>
          <w:kern w:val="2"/>
          <w:sz w:val="21"/>
          <w:szCs w:val="21"/>
          <w:lang w:val="en-US" w:eastAsia="zh-CN" w:bidi="ar"/>
        </w:rPr>
        <w:t>计划开工日期：</w:t>
      </w:r>
      <w:r>
        <w:rPr>
          <w:rFonts w:hint="eastAsia" w:ascii="宋体" w:hAnsi="宋体" w:eastAsia="宋体" w:cs="宋体"/>
          <w:bCs/>
          <w:color w:val="000000"/>
          <w:kern w:val="2"/>
          <w:sz w:val="21"/>
          <w:szCs w:val="21"/>
          <w:u w:val="single"/>
          <w:lang w:val="en-US" w:eastAsia="zh-CN" w:bidi="ar"/>
        </w:rPr>
        <w:t xml:space="preserve">    </w:t>
      </w:r>
      <w:r>
        <w:rPr>
          <w:rFonts w:hint="eastAsia" w:ascii="宋体" w:hAnsi="宋体" w:eastAsia="宋体" w:cs="宋体"/>
          <w:bCs/>
          <w:color w:val="000000"/>
          <w:kern w:val="2"/>
          <w:sz w:val="21"/>
          <w:szCs w:val="21"/>
          <w:lang w:val="en-US" w:eastAsia="zh-CN" w:bidi="ar"/>
        </w:rPr>
        <w:t>年</w:t>
      </w:r>
      <w:r>
        <w:rPr>
          <w:rFonts w:hint="eastAsia" w:ascii="宋体" w:hAnsi="宋体" w:eastAsia="宋体" w:cs="宋体"/>
          <w:bCs/>
          <w:color w:val="000000"/>
          <w:kern w:val="2"/>
          <w:sz w:val="21"/>
          <w:szCs w:val="21"/>
          <w:highlight w:val="none"/>
          <w:u w:val="single"/>
          <w:lang w:val="en-US" w:eastAsia="zh-CN" w:bidi="ar"/>
        </w:rPr>
        <w:t xml:space="preserve">    </w:t>
      </w:r>
      <w:r>
        <w:rPr>
          <w:rFonts w:hint="eastAsia" w:ascii="宋体" w:hAnsi="宋体" w:eastAsia="宋体" w:cs="宋体"/>
          <w:bCs/>
          <w:color w:val="000000"/>
          <w:kern w:val="2"/>
          <w:sz w:val="21"/>
          <w:szCs w:val="21"/>
          <w:highlight w:val="none"/>
          <w:lang w:val="en-US" w:eastAsia="zh-CN" w:bidi="ar"/>
        </w:rPr>
        <w:t>月</w:t>
      </w:r>
      <w:r>
        <w:rPr>
          <w:rFonts w:hint="eastAsia" w:ascii="宋体" w:hAnsi="宋体" w:eastAsia="宋体" w:cs="宋体"/>
          <w:bCs/>
          <w:color w:val="000000"/>
          <w:kern w:val="2"/>
          <w:sz w:val="21"/>
          <w:szCs w:val="21"/>
          <w:highlight w:val="none"/>
          <w:u w:val="single"/>
          <w:lang w:val="en-US" w:eastAsia="zh-CN" w:bidi="ar"/>
        </w:rPr>
        <w:t xml:space="preserve">     </w:t>
      </w:r>
      <w:r>
        <w:rPr>
          <w:rFonts w:hint="eastAsia" w:ascii="宋体" w:hAnsi="宋体" w:eastAsia="宋体" w:cs="宋体"/>
          <w:bCs/>
          <w:color w:val="000000"/>
          <w:kern w:val="2"/>
          <w:sz w:val="21"/>
          <w:szCs w:val="21"/>
          <w:highlight w:val="none"/>
          <w:lang w:val="en-US" w:eastAsia="zh-CN" w:bidi="ar"/>
        </w:rPr>
        <w:t>日。（具体以实际开工令为准）</w:t>
      </w:r>
    </w:p>
    <w:p w14:paraId="795DBF8C">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bCs/>
          <w:color w:val="FF0000"/>
          <w:sz w:val="21"/>
          <w:szCs w:val="21"/>
          <w:highlight w:val="none"/>
          <w:lang w:val="en-US"/>
        </w:rPr>
      </w:pPr>
      <w:r>
        <w:rPr>
          <w:rFonts w:hint="eastAsia" w:ascii="宋体" w:hAnsi="宋体" w:eastAsia="宋体" w:cs="宋体"/>
          <w:bCs/>
          <w:color w:val="000000"/>
          <w:kern w:val="2"/>
          <w:sz w:val="21"/>
          <w:szCs w:val="21"/>
          <w:highlight w:val="none"/>
          <w:lang w:val="en-US" w:eastAsia="zh-CN" w:bidi="ar"/>
        </w:rPr>
        <w:t>计划竣工日期：</w:t>
      </w:r>
      <w:r>
        <w:rPr>
          <w:rFonts w:hint="eastAsia" w:ascii="宋体" w:hAnsi="宋体" w:eastAsia="宋体" w:cs="宋体"/>
          <w:bCs/>
          <w:color w:val="000000"/>
          <w:kern w:val="2"/>
          <w:sz w:val="21"/>
          <w:szCs w:val="21"/>
          <w:highlight w:val="none"/>
          <w:u w:val="single"/>
          <w:lang w:val="en-US" w:eastAsia="zh-CN" w:bidi="ar"/>
        </w:rPr>
        <w:t xml:space="preserve">    </w:t>
      </w:r>
      <w:r>
        <w:rPr>
          <w:rFonts w:hint="eastAsia" w:ascii="宋体" w:hAnsi="宋体" w:eastAsia="宋体" w:cs="宋体"/>
          <w:bCs/>
          <w:color w:val="000000"/>
          <w:kern w:val="2"/>
          <w:sz w:val="21"/>
          <w:szCs w:val="21"/>
          <w:highlight w:val="none"/>
          <w:lang w:val="en-US" w:eastAsia="zh-CN" w:bidi="ar"/>
        </w:rPr>
        <w:t>年</w:t>
      </w:r>
      <w:r>
        <w:rPr>
          <w:rFonts w:hint="eastAsia" w:ascii="宋体" w:hAnsi="宋体" w:eastAsia="宋体" w:cs="宋体"/>
          <w:bCs/>
          <w:color w:val="000000"/>
          <w:kern w:val="2"/>
          <w:sz w:val="21"/>
          <w:szCs w:val="21"/>
          <w:highlight w:val="none"/>
          <w:u w:val="single"/>
          <w:lang w:val="en-US" w:eastAsia="zh-CN" w:bidi="ar"/>
        </w:rPr>
        <w:t xml:space="preserve">     </w:t>
      </w:r>
      <w:r>
        <w:rPr>
          <w:rFonts w:hint="eastAsia" w:ascii="宋体" w:hAnsi="宋体" w:eastAsia="宋体" w:cs="宋体"/>
          <w:bCs/>
          <w:color w:val="000000"/>
          <w:kern w:val="2"/>
          <w:sz w:val="21"/>
          <w:szCs w:val="21"/>
          <w:highlight w:val="none"/>
          <w:lang w:val="en-US" w:eastAsia="zh-CN" w:bidi="ar"/>
        </w:rPr>
        <w:t>月</w:t>
      </w:r>
      <w:r>
        <w:rPr>
          <w:rFonts w:hint="eastAsia" w:ascii="宋体" w:hAnsi="宋体" w:eastAsia="宋体" w:cs="宋体"/>
          <w:bCs/>
          <w:color w:val="000000"/>
          <w:kern w:val="2"/>
          <w:sz w:val="21"/>
          <w:szCs w:val="21"/>
          <w:highlight w:val="none"/>
          <w:u w:val="single"/>
          <w:lang w:val="en-US" w:eastAsia="zh-CN" w:bidi="ar"/>
        </w:rPr>
        <w:t xml:space="preserve">    </w:t>
      </w:r>
      <w:r>
        <w:rPr>
          <w:rFonts w:hint="eastAsia" w:ascii="宋体" w:hAnsi="宋体" w:eastAsia="宋体" w:cs="宋体"/>
          <w:bCs/>
          <w:color w:val="000000"/>
          <w:kern w:val="2"/>
          <w:sz w:val="21"/>
          <w:szCs w:val="21"/>
          <w:highlight w:val="none"/>
          <w:lang w:val="en-US" w:eastAsia="zh-CN" w:bidi="ar"/>
        </w:rPr>
        <w:t>日。</w:t>
      </w:r>
    </w:p>
    <w:p w14:paraId="66941A27">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bCs/>
          <w:sz w:val="21"/>
          <w:szCs w:val="21"/>
          <w:lang w:val="en-US"/>
        </w:rPr>
      </w:pPr>
      <w:r>
        <w:rPr>
          <w:rFonts w:hint="eastAsia" w:ascii="宋体" w:hAnsi="宋体" w:eastAsia="宋体" w:cs="宋体"/>
          <w:bCs/>
          <w:color w:val="000000"/>
          <w:kern w:val="2"/>
          <w:sz w:val="21"/>
          <w:szCs w:val="21"/>
          <w:lang w:val="en-US" w:eastAsia="zh-CN" w:bidi="ar"/>
        </w:rPr>
        <w:t>工期总日历天数：</w:t>
      </w:r>
      <w:r>
        <w:rPr>
          <w:rFonts w:hint="eastAsia" w:ascii="宋体" w:hAnsi="宋体" w:eastAsia="宋体" w:cs="宋体"/>
          <w:bCs/>
          <w:color w:val="000000"/>
          <w:kern w:val="2"/>
          <w:sz w:val="21"/>
          <w:szCs w:val="21"/>
          <w:u w:val="single"/>
          <w:lang w:val="en-US" w:eastAsia="zh-CN" w:bidi="ar"/>
        </w:rPr>
        <w:t xml:space="preserve">     </w:t>
      </w:r>
      <w:r>
        <w:rPr>
          <w:rFonts w:hint="eastAsia" w:ascii="宋体" w:hAnsi="宋体" w:eastAsia="宋体" w:cs="宋体"/>
          <w:bCs/>
          <w:color w:val="000000"/>
          <w:kern w:val="2"/>
          <w:sz w:val="21"/>
          <w:szCs w:val="21"/>
          <w:lang w:val="en-US" w:eastAsia="zh-CN" w:bidi="ar"/>
        </w:rPr>
        <w:t>天。因发包人原因导致开工令迟延的，竣工日期相应顺延，承包人不得主张任何费用补偿。承包人应在收到开工令后24小时内提交详细的施工进度计划表，工期总日历天数</w:t>
      </w:r>
      <w:r>
        <w:rPr>
          <w:rFonts w:hint="eastAsia" w:ascii="宋体" w:hAnsi="宋体" w:eastAsia="宋体" w:cs="宋体"/>
          <w:bCs/>
          <w:color w:val="000000"/>
          <w:kern w:val="2"/>
          <w:sz w:val="21"/>
          <w:szCs w:val="21"/>
          <w:u w:val="single"/>
          <w:lang w:val="en-US" w:eastAsia="zh-CN" w:bidi="ar"/>
        </w:rPr>
        <w:t xml:space="preserve">     </w:t>
      </w:r>
      <w:r>
        <w:rPr>
          <w:rFonts w:hint="eastAsia" w:ascii="宋体" w:hAnsi="宋体" w:eastAsia="宋体" w:cs="宋体"/>
          <w:bCs/>
          <w:color w:val="000000"/>
          <w:kern w:val="2"/>
          <w:sz w:val="21"/>
          <w:szCs w:val="21"/>
          <w:lang w:val="en-US" w:eastAsia="zh-CN" w:bidi="ar"/>
        </w:rPr>
        <w:t>天自实际开工日起连续计算。</w:t>
      </w:r>
    </w:p>
    <w:p w14:paraId="32609087">
      <w:pPr>
        <w:pStyle w:val="6"/>
        <w:widowControl/>
        <w:numPr>
          <w:ilvl w:val="0"/>
          <w:numId w:val="0"/>
        </w:numPr>
        <w:tabs>
          <w:tab w:val="left" w:pos="2155"/>
        </w:tabs>
        <w:spacing w:before="0" w:beforeAutospacing="0" w:after="0" w:afterAutospacing="0" w:line="360" w:lineRule="auto"/>
        <w:ind w:right="0"/>
        <w:rPr>
          <w:rFonts w:hint="eastAsia" w:ascii="宋体" w:hAnsi="宋体" w:eastAsia="宋体" w:cs="宋体"/>
          <w:b/>
          <w:bCs w:val="0"/>
          <w:sz w:val="21"/>
          <w:szCs w:val="21"/>
          <w:lang w:val="en-US"/>
        </w:rPr>
      </w:pPr>
      <w:bookmarkStart w:id="221" w:name="_Toc351203483"/>
      <w:r>
        <w:rPr>
          <w:rFonts w:hint="eastAsia" w:ascii="宋体" w:hAnsi="宋体" w:eastAsia="宋体" w:cs="宋体"/>
          <w:b/>
          <w:bCs w:val="0"/>
          <w:sz w:val="21"/>
          <w:szCs w:val="21"/>
          <w:lang w:eastAsia="zh-CN"/>
        </w:rPr>
        <w:t>三、质量标准</w:t>
      </w:r>
      <w:bookmarkEnd w:id="221"/>
    </w:p>
    <w:p w14:paraId="5FB5F019">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bCs/>
          <w:sz w:val="21"/>
          <w:szCs w:val="21"/>
          <w:lang w:val="en-US"/>
        </w:rPr>
      </w:pPr>
      <w:r>
        <w:rPr>
          <w:rFonts w:hint="eastAsia" w:ascii="宋体" w:hAnsi="宋体" w:eastAsia="宋体" w:cs="宋体"/>
          <w:bCs/>
          <w:color w:val="000000"/>
          <w:kern w:val="2"/>
          <w:sz w:val="21"/>
          <w:szCs w:val="21"/>
          <w:lang w:val="en-US" w:eastAsia="zh-CN" w:bidi="ar"/>
        </w:rPr>
        <w:t>工程质量符合国家施工验收规范</w:t>
      </w:r>
      <w:r>
        <w:rPr>
          <w:rFonts w:hint="eastAsia" w:ascii="宋体" w:hAnsi="宋体" w:eastAsia="宋体" w:cs="宋体"/>
          <w:bCs/>
          <w:color w:val="000000"/>
          <w:kern w:val="2"/>
          <w:sz w:val="21"/>
          <w:szCs w:val="21"/>
          <w:u w:val="single"/>
          <w:lang w:val="en-US" w:eastAsia="zh-CN" w:bidi="ar"/>
        </w:rPr>
        <w:t xml:space="preserve">  合格  </w:t>
      </w:r>
      <w:r>
        <w:rPr>
          <w:rFonts w:hint="eastAsia" w:ascii="宋体" w:hAnsi="宋体" w:eastAsia="宋体" w:cs="宋体"/>
          <w:bCs/>
          <w:color w:val="000000"/>
          <w:kern w:val="2"/>
          <w:sz w:val="21"/>
          <w:szCs w:val="21"/>
          <w:lang w:val="en-US" w:eastAsia="zh-CN" w:bidi="ar"/>
        </w:rPr>
        <w:t>标准。</w:t>
      </w:r>
      <w:bookmarkStart w:id="222" w:name="_Toc351203484"/>
      <w:r>
        <w:rPr>
          <w:rFonts w:hint="eastAsia" w:ascii="宋体" w:hAnsi="宋体" w:eastAsia="宋体" w:cs="宋体"/>
          <w:bCs/>
          <w:color w:val="000000"/>
          <w:kern w:val="2"/>
          <w:sz w:val="21"/>
          <w:szCs w:val="21"/>
          <w:lang w:val="en-US" w:eastAsia="zh-CN" w:bidi="ar"/>
        </w:rPr>
        <w:t>防水工程有专项验收规范《地下防水工程质量验收规范》GB50208-2011</w:t>
      </w:r>
    </w:p>
    <w:p w14:paraId="1E96FD44">
      <w:pPr>
        <w:pStyle w:val="6"/>
        <w:widowControl/>
        <w:numPr>
          <w:ilvl w:val="0"/>
          <w:numId w:val="0"/>
        </w:numPr>
        <w:tabs>
          <w:tab w:val="left" w:pos="2155"/>
        </w:tabs>
        <w:spacing w:before="0" w:beforeAutospacing="0" w:after="0" w:afterAutospacing="0" w:line="360" w:lineRule="auto"/>
        <w:ind w:right="0"/>
        <w:rPr>
          <w:rFonts w:hint="eastAsia" w:ascii="宋体" w:hAnsi="宋体" w:eastAsia="宋体" w:cs="宋体"/>
          <w:bCs/>
          <w:sz w:val="21"/>
          <w:szCs w:val="21"/>
          <w:lang w:val="en-US"/>
        </w:rPr>
      </w:pPr>
      <w:r>
        <w:rPr>
          <w:rFonts w:hint="eastAsia" w:ascii="宋体" w:hAnsi="宋体" w:eastAsia="宋体" w:cs="宋体"/>
          <w:b/>
          <w:bCs w:val="0"/>
          <w:sz w:val="21"/>
          <w:szCs w:val="21"/>
          <w:lang w:eastAsia="zh-CN"/>
        </w:rPr>
        <w:t>四、签约合同价与合同价格形式</w:t>
      </w:r>
      <w:bookmarkEnd w:id="222"/>
      <w:r>
        <w:rPr>
          <w:rFonts w:hint="eastAsia" w:ascii="宋体" w:hAnsi="宋体" w:eastAsia="宋体" w:cs="宋体"/>
          <w:bCs/>
          <w:sz w:val="21"/>
          <w:szCs w:val="21"/>
          <w:lang w:val="en-US"/>
        </w:rPr>
        <w:tab/>
      </w:r>
    </w:p>
    <w:p w14:paraId="470472C5">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bCs/>
          <w:color w:val="FF0000"/>
          <w:sz w:val="21"/>
          <w:szCs w:val="21"/>
          <w:lang w:val="en-US"/>
        </w:rPr>
      </w:pPr>
      <w:r>
        <w:rPr>
          <w:rFonts w:hint="eastAsia" w:ascii="宋体" w:hAnsi="宋体" w:eastAsia="宋体" w:cs="宋体"/>
          <w:bCs/>
          <w:color w:val="000000"/>
          <w:kern w:val="2"/>
          <w:sz w:val="21"/>
          <w:szCs w:val="21"/>
          <w:lang w:val="en-US" w:eastAsia="zh-CN" w:bidi="ar"/>
        </w:rPr>
        <w:t>1.签约合同价为：</w:t>
      </w:r>
    </w:p>
    <w:p w14:paraId="1E19FA82">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bCs/>
          <w:color w:val="FF0000"/>
          <w:sz w:val="21"/>
          <w:szCs w:val="21"/>
          <w:lang w:val="en-US"/>
        </w:rPr>
      </w:pPr>
      <w:r>
        <w:rPr>
          <w:rFonts w:hint="eastAsia" w:ascii="宋体" w:hAnsi="宋体" w:eastAsia="宋体" w:cs="宋体"/>
          <w:bCs/>
          <w:color w:val="000000"/>
          <w:kern w:val="2"/>
          <w:sz w:val="21"/>
          <w:szCs w:val="21"/>
          <w:lang w:val="en-US" w:eastAsia="zh-CN" w:bidi="ar"/>
        </w:rPr>
        <w:t>人民币（大写）</w:t>
      </w:r>
      <w:r>
        <w:rPr>
          <w:rFonts w:hint="eastAsia" w:ascii="宋体" w:hAnsi="宋体" w:eastAsia="宋体" w:cs="宋体"/>
          <w:bCs/>
          <w:color w:val="000000"/>
          <w:kern w:val="2"/>
          <w:sz w:val="21"/>
          <w:szCs w:val="21"/>
          <w:u w:val="single"/>
          <w:lang w:val="en-US" w:eastAsia="zh-CN" w:bidi="ar"/>
        </w:rPr>
        <w:t xml:space="preserve">         </w:t>
      </w:r>
      <w:r>
        <w:rPr>
          <w:rFonts w:hint="eastAsia" w:ascii="宋体" w:hAnsi="宋体" w:eastAsia="宋体" w:cs="宋体"/>
          <w:bCs/>
          <w:color w:val="000000"/>
          <w:kern w:val="2"/>
          <w:sz w:val="21"/>
          <w:szCs w:val="21"/>
          <w:lang w:val="en-US" w:eastAsia="zh-CN" w:bidi="ar"/>
        </w:rPr>
        <w:t>(¥</w:t>
      </w:r>
      <w:r>
        <w:rPr>
          <w:rFonts w:hint="eastAsia" w:ascii="宋体" w:hAnsi="宋体" w:eastAsia="宋体" w:cs="宋体"/>
          <w:bCs/>
          <w:color w:val="000000"/>
          <w:spacing w:val="20"/>
          <w:kern w:val="2"/>
          <w:sz w:val="21"/>
          <w:szCs w:val="21"/>
          <w:u w:val="single"/>
          <w:lang w:val="en-US" w:eastAsia="zh-CN" w:bidi="ar"/>
        </w:rPr>
        <w:t xml:space="preserve">      </w:t>
      </w:r>
      <w:r>
        <w:rPr>
          <w:rFonts w:hint="eastAsia" w:ascii="宋体" w:hAnsi="宋体" w:eastAsia="宋体" w:cs="宋体"/>
          <w:bCs/>
          <w:color w:val="000000"/>
          <w:kern w:val="2"/>
          <w:sz w:val="21"/>
          <w:szCs w:val="21"/>
          <w:lang w:val="en-US" w:eastAsia="zh-CN" w:bidi="ar"/>
        </w:rPr>
        <w:t>)；</w:t>
      </w:r>
    </w:p>
    <w:p w14:paraId="6A8FD020">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bCs/>
          <w:color w:val="FF0000"/>
          <w:sz w:val="21"/>
          <w:szCs w:val="21"/>
          <w:lang w:val="en-US"/>
        </w:rPr>
      </w:pPr>
      <w:r>
        <w:rPr>
          <w:rFonts w:hint="eastAsia" w:ascii="宋体" w:hAnsi="宋体" w:eastAsia="宋体" w:cs="宋体"/>
          <w:bCs/>
          <w:color w:val="000000"/>
          <w:kern w:val="2"/>
          <w:sz w:val="21"/>
          <w:szCs w:val="21"/>
          <w:lang w:val="en-US" w:eastAsia="zh-CN" w:bidi="ar"/>
        </w:rPr>
        <w:t>2.合同价格形式：</w:t>
      </w:r>
      <w:r>
        <w:rPr>
          <w:rFonts w:hint="eastAsia" w:ascii="宋体" w:hAnsi="宋体" w:eastAsia="宋体" w:cs="宋体"/>
          <w:bCs/>
          <w:color w:val="000000"/>
          <w:kern w:val="2"/>
          <w:sz w:val="21"/>
          <w:szCs w:val="21"/>
          <w:u w:val="single"/>
          <w:lang w:val="en-US" w:eastAsia="zh-CN" w:bidi="ar"/>
        </w:rPr>
        <w:t xml:space="preserve">  </w:t>
      </w:r>
      <w:r>
        <w:rPr>
          <w:rFonts w:hint="eastAsia" w:ascii="宋体" w:hAnsi="宋体" w:eastAsia="宋体" w:cs="宋体"/>
          <w:color w:val="auto"/>
          <w:sz w:val="21"/>
          <w:szCs w:val="21"/>
          <w:highlight w:val="none"/>
          <w:u w:val="single"/>
          <w:lang w:val="en-US" w:eastAsia="zh-CN"/>
        </w:rPr>
        <w:t>固定综合单价合同</w:t>
      </w:r>
      <w:r>
        <w:rPr>
          <w:rFonts w:hint="eastAsia" w:ascii="宋体" w:hAnsi="宋体" w:eastAsia="宋体" w:cs="宋体"/>
          <w:bCs/>
          <w:color w:val="000000"/>
          <w:kern w:val="2"/>
          <w:sz w:val="21"/>
          <w:szCs w:val="21"/>
          <w:u w:val="single"/>
          <w:lang w:val="en-US" w:eastAsia="zh-CN" w:bidi="ar"/>
        </w:rPr>
        <w:t xml:space="preserve">  </w:t>
      </w:r>
      <w:r>
        <w:rPr>
          <w:rFonts w:hint="eastAsia" w:ascii="宋体" w:hAnsi="宋体" w:eastAsia="宋体" w:cs="宋体"/>
          <w:bCs/>
          <w:color w:val="000000"/>
          <w:kern w:val="2"/>
          <w:sz w:val="21"/>
          <w:szCs w:val="21"/>
          <w:lang w:val="en-US" w:eastAsia="zh-CN" w:bidi="ar"/>
        </w:rPr>
        <w:t>。</w:t>
      </w:r>
      <w:bookmarkStart w:id="223" w:name="_Toc351203485"/>
    </w:p>
    <w:p w14:paraId="5E8AAC12">
      <w:pPr>
        <w:pStyle w:val="6"/>
        <w:widowControl/>
        <w:numPr>
          <w:ilvl w:val="0"/>
          <w:numId w:val="0"/>
        </w:numPr>
        <w:tabs>
          <w:tab w:val="left" w:pos="2155"/>
        </w:tabs>
        <w:spacing w:before="0" w:beforeAutospacing="0" w:after="0" w:afterAutospacing="0" w:line="360" w:lineRule="auto"/>
        <w:ind w:right="0"/>
        <w:rPr>
          <w:rFonts w:hint="eastAsia" w:ascii="宋体" w:hAnsi="宋体" w:eastAsia="宋体" w:cs="宋体"/>
          <w:b/>
          <w:bCs w:val="0"/>
          <w:sz w:val="21"/>
          <w:szCs w:val="21"/>
          <w:lang w:val="en-US"/>
        </w:rPr>
      </w:pPr>
      <w:r>
        <w:rPr>
          <w:rFonts w:hint="eastAsia" w:ascii="宋体" w:hAnsi="宋体" w:eastAsia="宋体" w:cs="宋体"/>
          <w:b/>
          <w:bCs w:val="0"/>
          <w:sz w:val="21"/>
          <w:szCs w:val="21"/>
          <w:lang w:eastAsia="zh-CN"/>
        </w:rPr>
        <w:t>五、</w:t>
      </w:r>
      <w:bookmarkEnd w:id="223"/>
      <w:r>
        <w:rPr>
          <w:rFonts w:hint="eastAsia" w:ascii="宋体" w:hAnsi="宋体" w:eastAsia="宋体" w:cs="宋体"/>
          <w:b/>
          <w:bCs w:val="0"/>
          <w:sz w:val="21"/>
          <w:szCs w:val="21"/>
          <w:lang w:eastAsia="zh-CN"/>
        </w:rPr>
        <w:t>项目经理</w:t>
      </w:r>
    </w:p>
    <w:p w14:paraId="132938BA">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b/>
          <w:bCs w:val="0"/>
          <w:sz w:val="21"/>
          <w:szCs w:val="21"/>
          <w:lang w:val="en-US"/>
        </w:rPr>
      </w:pPr>
      <w:r>
        <w:rPr>
          <w:rFonts w:hint="eastAsia" w:ascii="宋体" w:hAnsi="宋体" w:eastAsia="宋体" w:cs="宋体"/>
          <w:bCs/>
          <w:color w:val="000000"/>
          <w:kern w:val="2"/>
          <w:sz w:val="21"/>
          <w:szCs w:val="21"/>
          <w:lang w:val="en-US" w:eastAsia="zh-CN" w:bidi="ar"/>
        </w:rPr>
        <w:t>承包人项目经理：</w:t>
      </w:r>
      <w:r>
        <w:rPr>
          <w:rFonts w:hint="eastAsia" w:ascii="宋体" w:hAnsi="宋体" w:eastAsia="宋体" w:cs="宋体"/>
          <w:bCs/>
          <w:color w:val="000000"/>
          <w:kern w:val="2"/>
          <w:sz w:val="21"/>
          <w:szCs w:val="21"/>
          <w:u w:val="single"/>
          <w:lang w:val="en-US" w:eastAsia="zh-CN" w:bidi="ar"/>
        </w:rPr>
        <w:t xml:space="preserve">              </w:t>
      </w:r>
      <w:r>
        <w:rPr>
          <w:rFonts w:hint="eastAsia" w:ascii="宋体" w:hAnsi="宋体" w:eastAsia="宋体" w:cs="宋体"/>
          <w:bCs/>
          <w:color w:val="000000"/>
          <w:kern w:val="2"/>
          <w:sz w:val="21"/>
          <w:szCs w:val="21"/>
          <w:lang w:val="en-US" w:eastAsia="zh-CN" w:bidi="ar"/>
        </w:rPr>
        <w:t>未经发包人书</w:t>
      </w:r>
      <w:r>
        <w:rPr>
          <w:rFonts w:hint="eastAsia" w:ascii="宋体" w:hAnsi="宋体" w:eastAsia="宋体" w:cs="宋体"/>
          <w:color w:val="000000"/>
          <w:kern w:val="2"/>
          <w:sz w:val="21"/>
          <w:szCs w:val="21"/>
          <w:lang w:val="en-US" w:eastAsia="zh-CN" w:bidi="ar"/>
        </w:rPr>
        <w:t>面同意不得更换项目经理，确需更换的应提前7日提交同等或更高资质的替代人选供发包人审核。项目经理每月驻场时间不得少于</w:t>
      </w:r>
      <w:r>
        <w:rPr>
          <w:rFonts w:hint="eastAsia" w:ascii="宋体" w:hAnsi="宋体" w:cs="宋体"/>
          <w:color w:val="000000"/>
          <w:kern w:val="2"/>
          <w:sz w:val="21"/>
          <w:szCs w:val="21"/>
          <w:highlight w:val="none"/>
          <w:lang w:val="en-US" w:eastAsia="zh-CN" w:bidi="ar"/>
        </w:rPr>
        <w:t>24天</w:t>
      </w:r>
      <w:r>
        <w:rPr>
          <w:rFonts w:hint="eastAsia" w:ascii="宋体" w:hAnsi="宋体" w:eastAsia="宋体" w:cs="宋体"/>
          <w:color w:val="000000"/>
          <w:kern w:val="2"/>
          <w:sz w:val="21"/>
          <w:szCs w:val="21"/>
          <w:lang w:val="en-US" w:eastAsia="zh-CN" w:bidi="ar"/>
        </w:rPr>
        <w:t>，每日考勤记录经监理单位确认后作为付款依据。</w:t>
      </w:r>
      <w:bookmarkStart w:id="224" w:name="_Toc351203486"/>
    </w:p>
    <w:p w14:paraId="5EAFA6B8">
      <w:pPr>
        <w:pStyle w:val="6"/>
        <w:widowControl/>
        <w:numPr>
          <w:ilvl w:val="0"/>
          <w:numId w:val="0"/>
        </w:numPr>
        <w:tabs>
          <w:tab w:val="left" w:pos="2155"/>
        </w:tabs>
        <w:spacing w:before="0" w:beforeAutospacing="0" w:after="0" w:afterAutospacing="0" w:line="360" w:lineRule="auto"/>
        <w:ind w:right="0"/>
        <w:rPr>
          <w:rFonts w:hint="eastAsia" w:ascii="宋体" w:hAnsi="宋体" w:eastAsia="宋体" w:cs="宋体"/>
          <w:bCs/>
          <w:sz w:val="21"/>
          <w:szCs w:val="21"/>
          <w:lang w:val="en-US"/>
        </w:rPr>
      </w:pPr>
      <w:r>
        <w:rPr>
          <w:rFonts w:hint="eastAsia" w:ascii="宋体" w:hAnsi="宋体" w:eastAsia="宋体" w:cs="宋体"/>
          <w:b/>
          <w:bCs w:val="0"/>
          <w:sz w:val="21"/>
          <w:szCs w:val="21"/>
          <w:lang w:eastAsia="zh-CN"/>
        </w:rPr>
        <w:t>六、合同文件构成</w:t>
      </w:r>
      <w:bookmarkEnd w:id="224"/>
    </w:p>
    <w:p w14:paraId="7944266A">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bCs/>
          <w:sz w:val="21"/>
          <w:szCs w:val="21"/>
          <w:lang w:val="en-US"/>
        </w:rPr>
      </w:pPr>
      <w:r>
        <w:rPr>
          <w:rFonts w:hint="eastAsia" w:ascii="宋体" w:hAnsi="宋体" w:eastAsia="宋体" w:cs="宋体"/>
          <w:bCs/>
          <w:color w:val="000000"/>
          <w:kern w:val="2"/>
          <w:sz w:val="21"/>
          <w:szCs w:val="21"/>
          <w:lang w:val="en-US" w:eastAsia="zh-CN" w:bidi="ar"/>
        </w:rPr>
        <w:t>1.本协议书与下列文件一起构成合同文件：</w:t>
      </w:r>
    </w:p>
    <w:p w14:paraId="3F424AC4">
      <w:pPr>
        <w:keepNext w:val="0"/>
        <w:keepLines w:val="0"/>
        <w:widowControl w:val="0"/>
        <w:suppressLineNumbers w:val="0"/>
        <w:spacing w:before="0" w:beforeAutospacing="0" w:after="0" w:afterAutospacing="0" w:line="360" w:lineRule="auto"/>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（1）成交通知书（如果有）；</w:t>
      </w:r>
    </w:p>
    <w:p w14:paraId="10659DFF">
      <w:pPr>
        <w:keepNext w:val="0"/>
        <w:keepLines w:val="0"/>
        <w:widowControl w:val="0"/>
        <w:suppressLineNumbers w:val="0"/>
        <w:spacing w:before="0" w:beforeAutospacing="0" w:after="0" w:afterAutospacing="0" w:line="360" w:lineRule="auto"/>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（2）</w:t>
      </w:r>
      <w:r>
        <w:rPr>
          <w:rFonts w:hint="eastAsia" w:ascii="宋体" w:hAnsi="宋体" w:cs="宋体"/>
          <w:color w:val="000000"/>
          <w:kern w:val="2"/>
          <w:sz w:val="21"/>
          <w:szCs w:val="21"/>
          <w:lang w:val="en-US" w:eastAsia="zh-CN" w:bidi="ar"/>
        </w:rPr>
        <w:t>磋商</w:t>
      </w:r>
      <w:r>
        <w:rPr>
          <w:rFonts w:hint="eastAsia" w:ascii="宋体" w:hAnsi="宋体" w:eastAsia="宋体" w:cs="宋体"/>
          <w:color w:val="000000"/>
          <w:kern w:val="2"/>
          <w:sz w:val="21"/>
          <w:szCs w:val="21"/>
          <w:lang w:val="en-US" w:eastAsia="zh-CN" w:bidi="ar"/>
        </w:rPr>
        <w:t xml:space="preserve">函及其附录（如有）； </w:t>
      </w:r>
    </w:p>
    <w:p w14:paraId="1E75039F">
      <w:pPr>
        <w:keepNext w:val="0"/>
        <w:keepLines w:val="0"/>
        <w:widowControl w:val="0"/>
        <w:suppressLineNumbers w:val="0"/>
        <w:spacing w:before="0" w:beforeAutospacing="0" w:after="0" w:afterAutospacing="0" w:line="360" w:lineRule="auto"/>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（3）专用合同条款及其附件；</w:t>
      </w:r>
    </w:p>
    <w:p w14:paraId="1DFB58F3">
      <w:pPr>
        <w:keepNext w:val="0"/>
        <w:keepLines w:val="0"/>
        <w:widowControl w:val="0"/>
        <w:suppressLineNumbers w:val="0"/>
        <w:spacing w:before="0" w:beforeAutospacing="0" w:after="0" w:afterAutospacing="0" w:line="360" w:lineRule="auto"/>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（4）通用合同条款；</w:t>
      </w:r>
    </w:p>
    <w:p w14:paraId="1B85A66B">
      <w:pPr>
        <w:keepNext w:val="0"/>
        <w:keepLines w:val="0"/>
        <w:widowControl w:val="0"/>
        <w:suppressLineNumbers w:val="0"/>
        <w:spacing w:before="0" w:beforeAutospacing="0" w:after="0" w:afterAutospacing="0" w:line="360" w:lineRule="auto"/>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（5）技术标准和要求；</w:t>
      </w:r>
    </w:p>
    <w:p w14:paraId="2F962B06">
      <w:pPr>
        <w:keepNext w:val="0"/>
        <w:keepLines w:val="0"/>
        <w:widowControl w:val="0"/>
        <w:suppressLineNumbers w:val="0"/>
        <w:spacing w:before="0" w:beforeAutospacing="0" w:after="0" w:afterAutospacing="0" w:line="360" w:lineRule="auto"/>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 xml:space="preserve">（6）已标价工程量清单或预算书； </w:t>
      </w:r>
    </w:p>
    <w:p w14:paraId="67607BDA">
      <w:pPr>
        <w:keepNext w:val="0"/>
        <w:keepLines w:val="0"/>
        <w:widowControl w:val="0"/>
        <w:suppressLineNumbers w:val="0"/>
        <w:spacing w:before="0" w:beforeAutospacing="0" w:after="0" w:afterAutospacing="0" w:line="360" w:lineRule="auto"/>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（7）图纸（如有）；</w:t>
      </w:r>
    </w:p>
    <w:p w14:paraId="2FE26224">
      <w:pPr>
        <w:keepNext w:val="0"/>
        <w:keepLines w:val="0"/>
        <w:widowControl w:val="0"/>
        <w:suppressLineNumbers w:val="0"/>
        <w:spacing w:before="0" w:beforeAutospacing="0" w:after="0" w:afterAutospacing="0" w:line="360" w:lineRule="auto"/>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（8）其他合同文件。</w:t>
      </w:r>
    </w:p>
    <w:p w14:paraId="2DB6DEA7">
      <w:pPr>
        <w:keepNext w:val="0"/>
        <w:keepLines w:val="0"/>
        <w:widowControl w:val="0"/>
        <w:suppressLineNumbers w:val="0"/>
        <w:spacing w:before="0" w:beforeAutospacing="0" w:after="0" w:afterAutospacing="0" w:line="360" w:lineRule="auto"/>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在合同订立及履行过程中形成的与合同有关的文件均构成合同文件组成部分。</w:t>
      </w:r>
    </w:p>
    <w:p w14:paraId="60B8CF2E">
      <w:pPr>
        <w:keepNext w:val="0"/>
        <w:keepLines w:val="0"/>
        <w:widowControl w:val="0"/>
        <w:suppressLineNumbers w:val="0"/>
        <w:spacing w:before="0" w:beforeAutospacing="0" w:after="0" w:afterAutospacing="0" w:line="360" w:lineRule="auto"/>
        <w:ind w:left="0" w:right="0" w:firstLine="420" w:firstLineChars="200"/>
        <w:jc w:val="left"/>
        <w:rPr>
          <w:rFonts w:hint="eastAsia" w:ascii="宋体" w:hAnsi="宋体" w:eastAsia="宋体" w:cs="宋体"/>
          <w:bCs/>
          <w:sz w:val="21"/>
          <w:szCs w:val="21"/>
          <w:lang w:val="en-US"/>
        </w:rPr>
      </w:pPr>
      <w:bookmarkStart w:id="225" w:name="_Toc351203487"/>
      <w:r>
        <w:rPr>
          <w:rFonts w:hint="eastAsia" w:ascii="宋体" w:hAnsi="宋体" w:eastAsia="宋体" w:cs="宋体"/>
          <w:bCs/>
          <w:color w:val="000000"/>
          <w:kern w:val="2"/>
          <w:sz w:val="21"/>
          <w:szCs w:val="21"/>
          <w:lang w:val="en-US" w:eastAsia="zh-CN" w:bidi="ar"/>
        </w:rPr>
        <w:t>上述各项合同文件包括合同当事人就该项合同文件所作出的补充和修改，属于同一类内容的文件，应以最新签署的为准。专用合同条款及其附件须经合同当事人签字或盖章。</w:t>
      </w:r>
    </w:p>
    <w:p w14:paraId="35CF3154">
      <w:pPr>
        <w:keepNext w:val="0"/>
        <w:keepLines w:val="0"/>
        <w:widowControl w:val="0"/>
        <w:suppressLineNumbers w:val="0"/>
        <w:autoSpaceDE w:val="0"/>
        <w:autoSpaceDN w:val="0"/>
        <w:adjustRightInd w:val="0"/>
        <w:spacing w:before="0" w:beforeAutospacing="0" w:after="0" w:afterAutospacing="0" w:line="360" w:lineRule="auto"/>
        <w:ind w:right="0"/>
        <w:jc w:val="left"/>
        <w:rPr>
          <w:rFonts w:hint="eastAsia" w:ascii="宋体" w:hAnsi="宋体" w:eastAsia="宋体" w:cs="宋体"/>
          <w:sz w:val="21"/>
          <w:szCs w:val="21"/>
          <w:lang w:val="en-US"/>
        </w:rPr>
      </w:pPr>
      <w:r>
        <w:rPr>
          <w:rFonts w:hint="eastAsia" w:ascii="宋体" w:hAnsi="宋体" w:eastAsia="宋体" w:cs="宋体"/>
          <w:b/>
          <w:bCs w:val="0"/>
          <w:color w:val="000000"/>
          <w:kern w:val="2"/>
          <w:sz w:val="21"/>
          <w:szCs w:val="21"/>
          <w:lang w:val="en-US" w:eastAsia="zh-CN" w:bidi="ar"/>
        </w:rPr>
        <w:t>七、承诺</w:t>
      </w:r>
      <w:bookmarkEnd w:id="225"/>
    </w:p>
    <w:p w14:paraId="25207684">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bCs/>
          <w:sz w:val="21"/>
          <w:szCs w:val="21"/>
          <w:lang w:val="en-US"/>
        </w:rPr>
      </w:pPr>
      <w:r>
        <w:rPr>
          <w:rFonts w:hint="eastAsia" w:ascii="宋体" w:hAnsi="宋体" w:eastAsia="宋体" w:cs="宋体"/>
          <w:bCs/>
          <w:color w:val="000000"/>
          <w:kern w:val="2"/>
          <w:sz w:val="21"/>
          <w:szCs w:val="21"/>
          <w:lang w:val="en-US" w:eastAsia="zh-CN" w:bidi="ar"/>
        </w:rPr>
        <w:t>1.发包人承诺按照法律规定履行项目审批手续、筹集工程建设资金并按照合同约定的期限和方式支付合同价款。</w:t>
      </w:r>
    </w:p>
    <w:p w14:paraId="7A28DD29">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bCs/>
          <w:sz w:val="21"/>
          <w:szCs w:val="21"/>
          <w:lang w:val="en-US"/>
        </w:rPr>
      </w:pPr>
      <w:r>
        <w:rPr>
          <w:rFonts w:hint="eastAsia" w:ascii="宋体" w:hAnsi="宋体" w:eastAsia="宋体" w:cs="宋体"/>
          <w:bCs/>
          <w:color w:val="000000"/>
          <w:kern w:val="2"/>
          <w:sz w:val="21"/>
          <w:szCs w:val="21"/>
          <w:lang w:val="en-US" w:eastAsia="zh-CN" w:bidi="ar"/>
        </w:rPr>
        <w:t>2.承包人承诺按照法律规定及合同约定组织完成工程施工，确保工程质量和安全，不进行转包及违法分包，并在缺陷责任期及保修期内承担相应的工程维修责任。</w:t>
      </w:r>
    </w:p>
    <w:p w14:paraId="21584772">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b/>
          <w:bCs w:val="0"/>
          <w:sz w:val="21"/>
          <w:szCs w:val="21"/>
          <w:lang w:val="en-US"/>
        </w:rPr>
      </w:pPr>
      <w:r>
        <w:rPr>
          <w:rFonts w:hint="eastAsia" w:ascii="宋体" w:hAnsi="宋体" w:eastAsia="宋体" w:cs="宋体"/>
          <w:bCs/>
          <w:color w:val="000000"/>
          <w:kern w:val="2"/>
          <w:sz w:val="21"/>
          <w:szCs w:val="21"/>
          <w:lang w:val="en-US" w:eastAsia="zh-CN" w:bidi="ar"/>
        </w:rPr>
        <w:t>3.发包人和承包人通过招投标形式签订合同的，双方理解并承诺不再就同一工程另行签订与合同实质性内容相背离的协议。</w:t>
      </w:r>
      <w:bookmarkStart w:id="226" w:name="_Toc351203488"/>
    </w:p>
    <w:p w14:paraId="7B514905">
      <w:pPr>
        <w:keepNext w:val="0"/>
        <w:keepLines w:val="0"/>
        <w:widowControl w:val="0"/>
        <w:suppressLineNumbers w:val="0"/>
        <w:spacing w:before="0" w:beforeAutospacing="0" w:after="0" w:afterAutospacing="0" w:line="360" w:lineRule="auto"/>
        <w:ind w:right="0"/>
        <w:jc w:val="both"/>
        <w:rPr>
          <w:rFonts w:hint="eastAsia" w:ascii="宋体" w:hAnsi="宋体" w:eastAsia="宋体" w:cs="宋体"/>
          <w:bCs/>
          <w:sz w:val="21"/>
          <w:szCs w:val="21"/>
          <w:lang w:val="en-US"/>
        </w:rPr>
      </w:pPr>
      <w:r>
        <w:rPr>
          <w:rFonts w:hint="eastAsia" w:ascii="宋体" w:hAnsi="宋体" w:eastAsia="宋体" w:cs="宋体"/>
          <w:b/>
          <w:bCs w:val="0"/>
          <w:color w:val="000000"/>
          <w:kern w:val="2"/>
          <w:sz w:val="21"/>
          <w:szCs w:val="21"/>
          <w:lang w:val="en-US" w:eastAsia="zh-CN" w:bidi="ar"/>
        </w:rPr>
        <w:t>八、词语含义</w:t>
      </w:r>
      <w:bookmarkEnd w:id="226"/>
    </w:p>
    <w:p w14:paraId="73F9104A">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bCs/>
          <w:sz w:val="21"/>
          <w:szCs w:val="21"/>
          <w:lang w:val="en-US"/>
        </w:rPr>
      </w:pPr>
      <w:r>
        <w:rPr>
          <w:rFonts w:hint="eastAsia" w:ascii="宋体" w:hAnsi="宋体" w:eastAsia="宋体" w:cs="宋体"/>
          <w:bCs/>
          <w:color w:val="000000"/>
          <w:kern w:val="2"/>
          <w:sz w:val="21"/>
          <w:szCs w:val="21"/>
          <w:lang w:val="en-US" w:eastAsia="zh-CN" w:bidi="ar"/>
        </w:rPr>
        <w:t>本协议书中词语含义与第二部分通用合同条款中赋予的含义相同。</w:t>
      </w:r>
    </w:p>
    <w:p w14:paraId="2E409F4E">
      <w:pPr>
        <w:pStyle w:val="6"/>
        <w:widowControl/>
        <w:numPr>
          <w:ilvl w:val="0"/>
          <w:numId w:val="0"/>
        </w:numPr>
        <w:tabs>
          <w:tab w:val="left" w:pos="420"/>
        </w:tabs>
        <w:spacing w:before="0" w:beforeAutospacing="0" w:after="0" w:afterAutospacing="0" w:line="360" w:lineRule="auto"/>
        <w:ind w:right="0"/>
        <w:rPr>
          <w:rFonts w:hint="eastAsia" w:ascii="宋体" w:hAnsi="宋体" w:eastAsia="宋体" w:cs="宋体"/>
          <w:bCs/>
          <w:sz w:val="21"/>
          <w:szCs w:val="21"/>
          <w:lang w:val="en-US"/>
        </w:rPr>
      </w:pPr>
      <w:bookmarkStart w:id="227" w:name="_Toc351203489"/>
      <w:r>
        <w:rPr>
          <w:rFonts w:hint="eastAsia" w:ascii="宋体" w:hAnsi="宋体" w:eastAsia="宋体" w:cs="宋体"/>
          <w:b/>
          <w:bCs w:val="0"/>
          <w:sz w:val="21"/>
          <w:szCs w:val="21"/>
          <w:lang w:eastAsia="zh-CN"/>
        </w:rPr>
        <w:t>九、签订时间</w:t>
      </w:r>
      <w:bookmarkEnd w:id="227"/>
    </w:p>
    <w:p w14:paraId="72550166">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bCs/>
          <w:sz w:val="21"/>
          <w:szCs w:val="21"/>
          <w:lang w:val="en-US"/>
        </w:rPr>
      </w:pPr>
      <w:r>
        <w:rPr>
          <w:rFonts w:hint="eastAsia" w:ascii="宋体" w:hAnsi="宋体" w:eastAsia="宋体" w:cs="宋体"/>
          <w:bCs/>
          <w:color w:val="000000"/>
          <w:kern w:val="2"/>
          <w:sz w:val="21"/>
          <w:szCs w:val="21"/>
          <w:lang w:val="en-US" w:eastAsia="zh-CN" w:bidi="ar"/>
        </w:rPr>
        <w:t>本合同</w:t>
      </w:r>
      <w:r>
        <w:rPr>
          <w:rFonts w:hint="eastAsia" w:ascii="宋体" w:hAnsi="宋体" w:eastAsia="宋体" w:cs="宋体"/>
          <w:bCs/>
          <w:color w:val="000000"/>
          <w:kern w:val="2"/>
          <w:sz w:val="21"/>
          <w:szCs w:val="21"/>
          <w:highlight w:val="none"/>
          <w:lang w:val="en-US" w:eastAsia="zh-CN" w:bidi="ar"/>
        </w:rPr>
        <w:t>于</w:t>
      </w:r>
      <w:r>
        <w:rPr>
          <w:rFonts w:hint="eastAsia" w:ascii="宋体" w:hAnsi="宋体" w:eastAsia="宋体" w:cs="宋体"/>
          <w:bCs/>
          <w:color w:val="000000"/>
          <w:kern w:val="2"/>
          <w:sz w:val="21"/>
          <w:szCs w:val="21"/>
          <w:highlight w:val="none"/>
          <w:u w:val="single"/>
          <w:lang w:val="en-US" w:eastAsia="zh-CN" w:bidi="ar"/>
        </w:rPr>
        <w:t xml:space="preserve">       </w:t>
      </w:r>
      <w:r>
        <w:rPr>
          <w:rFonts w:hint="eastAsia" w:ascii="宋体" w:hAnsi="宋体" w:eastAsia="宋体" w:cs="宋体"/>
          <w:bCs/>
          <w:color w:val="000000"/>
          <w:kern w:val="2"/>
          <w:sz w:val="21"/>
          <w:szCs w:val="21"/>
          <w:highlight w:val="none"/>
          <w:lang w:val="en-US" w:eastAsia="zh-CN" w:bidi="ar"/>
        </w:rPr>
        <w:t>年</w:t>
      </w:r>
      <w:r>
        <w:rPr>
          <w:rFonts w:hint="eastAsia" w:ascii="宋体" w:hAnsi="宋体" w:eastAsia="宋体" w:cs="宋体"/>
          <w:bCs/>
          <w:color w:val="000000"/>
          <w:kern w:val="2"/>
          <w:sz w:val="21"/>
          <w:szCs w:val="21"/>
          <w:highlight w:val="none"/>
          <w:u w:val="single"/>
          <w:lang w:val="en-US" w:eastAsia="zh-CN" w:bidi="ar"/>
        </w:rPr>
        <w:t xml:space="preserve">      </w:t>
      </w:r>
      <w:r>
        <w:rPr>
          <w:rFonts w:hint="eastAsia" w:ascii="宋体" w:hAnsi="宋体" w:eastAsia="宋体" w:cs="宋体"/>
          <w:bCs/>
          <w:color w:val="000000"/>
          <w:kern w:val="2"/>
          <w:sz w:val="21"/>
          <w:szCs w:val="21"/>
          <w:highlight w:val="none"/>
          <w:lang w:val="en-US" w:eastAsia="zh-CN" w:bidi="ar"/>
        </w:rPr>
        <w:t>月</w:t>
      </w:r>
      <w:r>
        <w:rPr>
          <w:rFonts w:hint="eastAsia" w:ascii="宋体" w:hAnsi="宋体" w:eastAsia="宋体" w:cs="宋体"/>
          <w:bCs/>
          <w:color w:val="000000"/>
          <w:kern w:val="2"/>
          <w:sz w:val="21"/>
          <w:szCs w:val="21"/>
          <w:highlight w:val="none"/>
          <w:u w:val="single"/>
          <w:lang w:val="en-US" w:eastAsia="zh-CN" w:bidi="ar"/>
        </w:rPr>
        <w:t xml:space="preserve">       </w:t>
      </w:r>
      <w:r>
        <w:rPr>
          <w:rFonts w:hint="eastAsia" w:ascii="宋体" w:hAnsi="宋体" w:eastAsia="宋体" w:cs="宋体"/>
          <w:bCs/>
          <w:color w:val="000000"/>
          <w:kern w:val="2"/>
          <w:sz w:val="21"/>
          <w:szCs w:val="21"/>
          <w:highlight w:val="none"/>
          <w:lang w:val="en-US" w:eastAsia="zh-CN" w:bidi="ar"/>
        </w:rPr>
        <w:t>日签</w:t>
      </w:r>
      <w:r>
        <w:rPr>
          <w:rFonts w:hint="eastAsia" w:ascii="宋体" w:hAnsi="宋体" w:eastAsia="宋体" w:cs="宋体"/>
          <w:bCs/>
          <w:color w:val="000000"/>
          <w:kern w:val="2"/>
          <w:sz w:val="21"/>
          <w:szCs w:val="21"/>
          <w:lang w:val="en-US" w:eastAsia="zh-CN" w:bidi="ar"/>
        </w:rPr>
        <w:t>订。</w:t>
      </w:r>
      <w:bookmarkStart w:id="228" w:name="_Toc351203490"/>
    </w:p>
    <w:p w14:paraId="6E573E57">
      <w:pPr>
        <w:pStyle w:val="6"/>
        <w:widowControl/>
        <w:numPr>
          <w:ilvl w:val="0"/>
          <w:numId w:val="0"/>
        </w:numPr>
        <w:tabs>
          <w:tab w:val="left" w:pos="2155"/>
        </w:tabs>
        <w:spacing w:before="0" w:beforeAutospacing="0" w:after="0" w:afterAutospacing="0" w:line="360" w:lineRule="auto"/>
        <w:ind w:right="0"/>
        <w:rPr>
          <w:rFonts w:hint="eastAsia" w:ascii="宋体" w:hAnsi="宋体" w:eastAsia="宋体" w:cs="宋体"/>
          <w:bCs/>
          <w:sz w:val="21"/>
          <w:szCs w:val="21"/>
          <w:lang w:val="en-US"/>
        </w:rPr>
      </w:pPr>
      <w:r>
        <w:rPr>
          <w:rFonts w:hint="eastAsia" w:ascii="宋体" w:hAnsi="宋体" w:eastAsia="宋体" w:cs="宋体"/>
          <w:b/>
          <w:bCs w:val="0"/>
          <w:sz w:val="21"/>
          <w:szCs w:val="21"/>
          <w:lang w:eastAsia="zh-CN"/>
        </w:rPr>
        <w:t>十、签订地点</w:t>
      </w:r>
      <w:bookmarkEnd w:id="228"/>
    </w:p>
    <w:p w14:paraId="6B70C567">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bCs/>
          <w:sz w:val="21"/>
          <w:szCs w:val="21"/>
          <w:lang w:val="en-US"/>
        </w:rPr>
      </w:pPr>
      <w:r>
        <w:rPr>
          <w:rFonts w:hint="eastAsia" w:ascii="宋体" w:hAnsi="宋体" w:eastAsia="宋体" w:cs="宋体"/>
          <w:bCs/>
          <w:color w:val="000000"/>
          <w:kern w:val="2"/>
          <w:sz w:val="21"/>
          <w:szCs w:val="21"/>
          <w:lang w:val="en-US" w:eastAsia="zh-CN" w:bidi="ar"/>
        </w:rPr>
        <w:t>本合同在</w:t>
      </w:r>
      <w:r>
        <w:rPr>
          <w:rFonts w:hint="eastAsia" w:ascii="宋体" w:hAnsi="宋体" w:eastAsia="宋体" w:cs="宋体"/>
          <w:bCs/>
          <w:color w:val="000000"/>
          <w:kern w:val="2"/>
          <w:sz w:val="21"/>
          <w:szCs w:val="21"/>
          <w:u w:val="single"/>
          <w:lang w:val="en-US" w:eastAsia="zh-CN" w:bidi="ar"/>
        </w:rPr>
        <w:t xml:space="preserve">          </w:t>
      </w:r>
      <w:r>
        <w:rPr>
          <w:rFonts w:hint="eastAsia" w:ascii="宋体" w:hAnsi="宋体" w:eastAsia="宋体" w:cs="宋体"/>
          <w:bCs/>
          <w:color w:val="000000"/>
          <w:kern w:val="2"/>
          <w:sz w:val="21"/>
          <w:szCs w:val="21"/>
          <w:lang w:val="en-US" w:eastAsia="zh-CN" w:bidi="ar"/>
        </w:rPr>
        <w:t>签订。</w:t>
      </w:r>
    </w:p>
    <w:p w14:paraId="65946978">
      <w:pPr>
        <w:pStyle w:val="6"/>
        <w:widowControl/>
        <w:numPr>
          <w:ilvl w:val="0"/>
          <w:numId w:val="0"/>
        </w:numPr>
        <w:tabs>
          <w:tab w:val="left" w:pos="2155"/>
        </w:tabs>
        <w:spacing w:before="0" w:beforeAutospacing="0" w:after="0" w:afterAutospacing="0" w:line="360" w:lineRule="auto"/>
        <w:ind w:right="0"/>
        <w:rPr>
          <w:rFonts w:hint="eastAsia" w:ascii="宋体" w:hAnsi="宋体" w:eastAsia="宋体" w:cs="宋体"/>
          <w:bCs/>
          <w:sz w:val="21"/>
          <w:szCs w:val="21"/>
          <w:lang w:val="en-US"/>
        </w:rPr>
      </w:pPr>
      <w:bookmarkStart w:id="229" w:name="_Toc351203491"/>
      <w:r>
        <w:rPr>
          <w:rFonts w:hint="eastAsia" w:ascii="宋体" w:hAnsi="宋体" w:eastAsia="宋体" w:cs="宋体"/>
          <w:b/>
          <w:bCs w:val="0"/>
          <w:sz w:val="21"/>
          <w:szCs w:val="21"/>
          <w:lang w:eastAsia="zh-CN"/>
        </w:rPr>
        <w:t>十一、补充协议</w:t>
      </w:r>
      <w:bookmarkEnd w:id="229"/>
    </w:p>
    <w:p w14:paraId="043AB2CD">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合同未尽事宜，合同当事人另行签订补充协议，补充协议是合同的组成部分。</w:t>
      </w:r>
      <w:bookmarkStart w:id="230" w:name="_Toc351203492"/>
    </w:p>
    <w:p w14:paraId="6BC25539">
      <w:pPr>
        <w:keepNext w:val="0"/>
        <w:keepLines w:val="0"/>
        <w:widowControl w:val="0"/>
        <w:suppressLineNumbers w:val="0"/>
        <w:spacing w:before="0" w:beforeAutospacing="0" w:after="0" w:afterAutospacing="0" w:line="360" w:lineRule="auto"/>
        <w:ind w:right="0"/>
        <w:jc w:val="both"/>
        <w:rPr>
          <w:rFonts w:hint="eastAsia" w:ascii="宋体" w:hAnsi="宋体" w:eastAsia="宋体" w:cs="宋体"/>
          <w:bCs/>
          <w:sz w:val="21"/>
          <w:szCs w:val="21"/>
          <w:lang w:val="en-US"/>
        </w:rPr>
      </w:pPr>
      <w:r>
        <w:rPr>
          <w:rFonts w:hint="eastAsia" w:ascii="宋体" w:hAnsi="宋体" w:eastAsia="宋体" w:cs="宋体"/>
          <w:b/>
          <w:bCs w:val="0"/>
          <w:color w:val="000000"/>
          <w:kern w:val="2"/>
          <w:sz w:val="21"/>
          <w:szCs w:val="21"/>
          <w:lang w:val="en-US" w:eastAsia="zh-CN" w:bidi="ar"/>
        </w:rPr>
        <w:t>十二、合同生效</w:t>
      </w:r>
      <w:bookmarkEnd w:id="230"/>
    </w:p>
    <w:p w14:paraId="3DD9CF55">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bCs/>
          <w:sz w:val="21"/>
          <w:szCs w:val="21"/>
          <w:lang w:val="en-US"/>
        </w:rPr>
      </w:pPr>
      <w:r>
        <w:rPr>
          <w:rFonts w:hint="eastAsia" w:ascii="宋体" w:hAnsi="宋体" w:eastAsia="宋体" w:cs="宋体"/>
          <w:bCs/>
          <w:color w:val="000000"/>
          <w:kern w:val="2"/>
          <w:sz w:val="21"/>
          <w:szCs w:val="21"/>
          <w:lang w:val="en-US" w:eastAsia="zh-CN" w:bidi="ar"/>
        </w:rPr>
        <w:t>本合同自</w:t>
      </w:r>
      <w:r>
        <w:rPr>
          <w:rFonts w:hint="eastAsia" w:ascii="宋体" w:hAnsi="宋体" w:eastAsia="宋体" w:cs="宋体"/>
          <w:b/>
          <w:bCs w:val="0"/>
          <w:color w:val="000000"/>
          <w:kern w:val="2"/>
          <w:sz w:val="21"/>
          <w:szCs w:val="21"/>
          <w:u w:val="single"/>
          <w:lang w:val="en-US" w:eastAsia="zh-CN" w:bidi="ar"/>
        </w:rPr>
        <w:t xml:space="preserve">  </w:t>
      </w:r>
      <w:r>
        <w:rPr>
          <w:rFonts w:hint="eastAsia" w:ascii="宋体" w:hAnsi="宋体" w:eastAsia="宋体" w:cs="宋体"/>
          <w:bCs/>
          <w:color w:val="000000"/>
          <w:kern w:val="2"/>
          <w:sz w:val="21"/>
          <w:szCs w:val="21"/>
          <w:u w:val="single"/>
          <w:lang w:val="en-US" w:eastAsia="zh-CN" w:bidi="ar"/>
        </w:rPr>
        <w:t>双方法定代表人或其授权代理人签字并加盖单位公章后</w:t>
      </w:r>
      <w:r>
        <w:rPr>
          <w:rFonts w:hint="eastAsia" w:ascii="宋体" w:hAnsi="宋体" w:eastAsia="宋体" w:cs="宋体"/>
          <w:b/>
          <w:bCs w:val="0"/>
          <w:color w:val="000000"/>
          <w:kern w:val="2"/>
          <w:sz w:val="21"/>
          <w:szCs w:val="21"/>
          <w:u w:val="single"/>
          <w:lang w:val="en-US" w:eastAsia="zh-CN" w:bidi="ar"/>
        </w:rPr>
        <w:t xml:space="preserve">  </w:t>
      </w:r>
      <w:r>
        <w:rPr>
          <w:rFonts w:hint="eastAsia" w:ascii="宋体" w:hAnsi="宋体" w:eastAsia="宋体" w:cs="宋体"/>
          <w:bCs/>
          <w:color w:val="000000"/>
          <w:kern w:val="2"/>
          <w:sz w:val="21"/>
          <w:szCs w:val="21"/>
          <w:lang w:val="en-US" w:eastAsia="zh-CN" w:bidi="ar"/>
        </w:rPr>
        <w:t>生效。</w:t>
      </w:r>
      <w:bookmarkStart w:id="231" w:name="_Toc351203493"/>
    </w:p>
    <w:p w14:paraId="2E64F0A3">
      <w:pPr>
        <w:pStyle w:val="6"/>
        <w:widowControl/>
        <w:numPr>
          <w:ilvl w:val="0"/>
          <w:numId w:val="0"/>
        </w:numPr>
        <w:tabs>
          <w:tab w:val="left" w:pos="420"/>
        </w:tabs>
        <w:spacing w:before="0" w:beforeAutospacing="0" w:after="0" w:afterAutospacing="0" w:line="360" w:lineRule="auto"/>
        <w:ind w:right="0"/>
        <w:rPr>
          <w:rFonts w:hint="eastAsia" w:ascii="宋体" w:hAnsi="宋体" w:eastAsia="宋体" w:cs="宋体"/>
          <w:bCs/>
          <w:sz w:val="21"/>
          <w:szCs w:val="21"/>
          <w:lang w:val="en-US"/>
        </w:rPr>
      </w:pPr>
      <w:r>
        <w:rPr>
          <w:rFonts w:hint="eastAsia" w:ascii="宋体" w:hAnsi="宋体" w:eastAsia="宋体" w:cs="宋体"/>
          <w:b/>
          <w:bCs w:val="0"/>
          <w:sz w:val="21"/>
          <w:szCs w:val="21"/>
          <w:lang w:eastAsia="zh-CN"/>
        </w:rPr>
        <w:t>十三、合同份数</w:t>
      </w:r>
      <w:bookmarkEnd w:id="231"/>
    </w:p>
    <w:p w14:paraId="349A97D5">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本合同一式</w:t>
      </w:r>
      <w:r>
        <w:rPr>
          <w:rFonts w:hint="eastAsia" w:ascii="宋体" w:hAnsi="宋体" w:eastAsia="宋体" w:cs="宋体"/>
          <w:color w:val="000000"/>
          <w:kern w:val="2"/>
          <w:sz w:val="21"/>
          <w:szCs w:val="21"/>
          <w:u w:val="single"/>
          <w:lang w:val="en-US" w:eastAsia="zh-CN" w:bidi="ar"/>
        </w:rPr>
        <w:t xml:space="preserve">  肆  </w:t>
      </w:r>
      <w:r>
        <w:rPr>
          <w:rFonts w:hint="eastAsia" w:ascii="宋体" w:hAnsi="宋体" w:eastAsia="宋体" w:cs="宋体"/>
          <w:color w:val="000000"/>
          <w:kern w:val="2"/>
          <w:sz w:val="21"/>
          <w:szCs w:val="21"/>
          <w:lang w:val="en-US" w:eastAsia="zh-CN" w:bidi="ar"/>
        </w:rPr>
        <w:t>份，均具有同等法律效力，发包人执</w:t>
      </w:r>
      <w:r>
        <w:rPr>
          <w:rFonts w:hint="eastAsia" w:ascii="宋体" w:hAnsi="宋体" w:eastAsia="宋体" w:cs="宋体"/>
          <w:color w:val="000000"/>
          <w:kern w:val="2"/>
          <w:sz w:val="21"/>
          <w:szCs w:val="21"/>
          <w:u w:val="single"/>
          <w:lang w:val="en-US" w:eastAsia="zh-CN" w:bidi="ar"/>
        </w:rPr>
        <w:t xml:space="preserve"> 叁  </w:t>
      </w:r>
      <w:r>
        <w:rPr>
          <w:rFonts w:hint="eastAsia" w:ascii="宋体" w:hAnsi="宋体" w:eastAsia="宋体" w:cs="宋体"/>
          <w:color w:val="000000"/>
          <w:kern w:val="2"/>
          <w:sz w:val="21"/>
          <w:szCs w:val="21"/>
          <w:lang w:val="en-US" w:eastAsia="zh-CN" w:bidi="ar"/>
        </w:rPr>
        <w:t>份，承包人执</w:t>
      </w:r>
      <w:r>
        <w:rPr>
          <w:rFonts w:hint="eastAsia" w:ascii="宋体" w:hAnsi="宋体" w:eastAsia="宋体" w:cs="宋体"/>
          <w:color w:val="000000"/>
          <w:kern w:val="2"/>
          <w:sz w:val="21"/>
          <w:szCs w:val="21"/>
          <w:u w:val="single"/>
          <w:lang w:val="en-US" w:eastAsia="zh-CN" w:bidi="ar"/>
        </w:rPr>
        <w:t xml:space="preserve">  壹  </w:t>
      </w:r>
      <w:r>
        <w:rPr>
          <w:rFonts w:hint="eastAsia" w:ascii="宋体" w:hAnsi="宋体" w:eastAsia="宋体" w:cs="宋体"/>
          <w:color w:val="000000"/>
          <w:kern w:val="2"/>
          <w:sz w:val="21"/>
          <w:szCs w:val="21"/>
          <w:lang w:val="en-US" w:eastAsia="zh-CN" w:bidi="ar"/>
        </w:rPr>
        <w:t>份，监督部门</w:t>
      </w:r>
      <w:r>
        <w:rPr>
          <w:rFonts w:hint="eastAsia" w:ascii="宋体" w:hAnsi="宋体" w:eastAsia="宋体" w:cs="宋体"/>
          <w:color w:val="000000"/>
          <w:kern w:val="2"/>
          <w:sz w:val="21"/>
          <w:szCs w:val="21"/>
          <w:u w:val="single"/>
          <w:lang w:val="en-US" w:eastAsia="zh-CN" w:bidi="ar"/>
        </w:rPr>
        <w:t xml:space="preserve">  /  </w:t>
      </w:r>
      <w:r>
        <w:rPr>
          <w:rFonts w:hint="eastAsia" w:ascii="宋体" w:hAnsi="宋体" w:eastAsia="宋体" w:cs="宋体"/>
          <w:color w:val="000000"/>
          <w:kern w:val="2"/>
          <w:sz w:val="21"/>
          <w:szCs w:val="21"/>
          <w:lang w:val="en-US" w:eastAsia="zh-CN" w:bidi="ar"/>
        </w:rPr>
        <w:t>份。</w:t>
      </w:r>
    </w:p>
    <w:p w14:paraId="4AB35969">
      <w:pPr>
        <w:keepNext w:val="0"/>
        <w:keepLines w:val="0"/>
        <w:widowControl w:val="0"/>
        <w:suppressLineNumbers w:val="0"/>
        <w:spacing w:before="0" w:beforeAutospacing="0" w:after="0" w:afterAutospacing="0" w:line="400" w:lineRule="exact"/>
        <w:ind w:right="0"/>
        <w:jc w:val="both"/>
        <w:rPr>
          <w:rFonts w:hint="eastAsia" w:ascii="宋体" w:hAnsi="宋体" w:eastAsia="宋体" w:cs="宋体"/>
          <w:sz w:val="21"/>
          <w:szCs w:val="21"/>
          <w:lang w:val="en-US"/>
        </w:rPr>
      </w:pPr>
      <w:bookmarkStart w:id="232" w:name="_Toc351203494"/>
    </w:p>
    <w:p w14:paraId="758A7416">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p>
    <w:p w14:paraId="2967DD26">
      <w:pPr>
        <w:keepNext w:val="0"/>
        <w:keepLines w:val="0"/>
        <w:widowControl w:val="0"/>
        <w:suppressLineNumbers w:val="0"/>
        <w:spacing w:before="0" w:beforeAutospacing="0" w:after="0" w:afterAutospacing="0" w:line="480" w:lineRule="exact"/>
        <w:ind w:left="0" w:right="0"/>
        <w:jc w:val="both"/>
        <w:rPr>
          <w:rFonts w:hint="eastAsia" w:ascii="宋体" w:hAnsi="宋体" w:eastAsia="宋体" w:cs="宋体"/>
          <w:sz w:val="21"/>
          <w:szCs w:val="21"/>
          <w:u w:val="single"/>
          <w:lang w:val="en-US"/>
        </w:rPr>
      </w:pPr>
      <w:r>
        <w:rPr>
          <w:rFonts w:hint="eastAsia" w:ascii="宋体" w:hAnsi="宋体" w:eastAsia="宋体" w:cs="宋体"/>
          <w:color w:val="000000"/>
          <w:kern w:val="2"/>
          <w:sz w:val="21"/>
          <w:szCs w:val="21"/>
          <w:lang w:val="en-US" w:eastAsia="zh-CN" w:bidi="ar"/>
        </w:rPr>
        <w:t>发包人：</w:t>
      </w:r>
      <w:r>
        <w:rPr>
          <w:rFonts w:hint="eastAsia" w:ascii="宋体" w:hAnsi="宋体" w:eastAsia="宋体" w:cs="宋体"/>
          <w:color w:val="000000"/>
          <w:kern w:val="2"/>
          <w:sz w:val="21"/>
          <w:szCs w:val="21"/>
          <w:u w:val="single"/>
          <w:lang w:val="en-US" w:eastAsia="zh-CN" w:bidi="ar"/>
        </w:rPr>
        <w:t xml:space="preserve">                       </w:t>
      </w:r>
      <w:r>
        <w:rPr>
          <w:rFonts w:hint="eastAsia" w:ascii="宋体" w:hAnsi="宋体" w:eastAsia="宋体" w:cs="宋体"/>
          <w:color w:val="000000"/>
          <w:kern w:val="2"/>
          <w:sz w:val="21"/>
          <w:szCs w:val="21"/>
          <w:lang w:val="en-US" w:eastAsia="zh-CN" w:bidi="ar"/>
        </w:rPr>
        <w:t xml:space="preserve">          承包人：</w:t>
      </w:r>
      <w:r>
        <w:rPr>
          <w:rFonts w:hint="eastAsia" w:ascii="宋体" w:hAnsi="宋体" w:eastAsia="宋体" w:cs="宋体"/>
          <w:color w:val="000000"/>
          <w:kern w:val="2"/>
          <w:sz w:val="21"/>
          <w:szCs w:val="21"/>
          <w:u w:val="single"/>
          <w:lang w:val="en-US" w:eastAsia="zh-CN" w:bidi="ar"/>
        </w:rPr>
        <w:t xml:space="preserve">                        </w:t>
      </w:r>
    </w:p>
    <w:p w14:paraId="43BB3649">
      <w:pPr>
        <w:keepNext w:val="0"/>
        <w:keepLines w:val="0"/>
        <w:widowControl w:val="0"/>
        <w:suppressLineNumbers w:val="0"/>
        <w:spacing w:before="0" w:beforeAutospacing="0" w:after="0" w:afterAutospacing="0" w:line="480" w:lineRule="exact"/>
        <w:ind w:left="0" w:right="0"/>
        <w:jc w:val="both"/>
        <w:rPr>
          <w:rFonts w:hint="eastAsia" w:ascii="宋体" w:hAnsi="宋体" w:eastAsia="宋体" w:cs="宋体"/>
          <w:sz w:val="21"/>
          <w:szCs w:val="21"/>
          <w:u w:val="single"/>
          <w:lang w:val="en-US"/>
        </w:rPr>
      </w:pPr>
      <w:r>
        <w:rPr>
          <w:rFonts w:hint="eastAsia" w:ascii="宋体" w:hAnsi="宋体" w:eastAsia="宋体" w:cs="宋体"/>
          <w:color w:val="000000"/>
          <w:kern w:val="2"/>
          <w:sz w:val="21"/>
          <w:szCs w:val="21"/>
          <w:lang w:val="en-US" w:eastAsia="zh-CN" w:bidi="ar"/>
        </w:rPr>
        <w:t xml:space="preserve"> (公章)                                   (公章)</w:t>
      </w:r>
    </w:p>
    <w:p w14:paraId="45BE6D14">
      <w:pPr>
        <w:keepNext w:val="0"/>
        <w:keepLines w:val="0"/>
        <w:widowControl w:val="0"/>
        <w:suppressLineNumbers w:val="0"/>
        <w:spacing w:before="0" w:beforeAutospacing="0" w:after="0" w:afterAutospacing="0" w:line="480" w:lineRule="auto"/>
        <w:ind w:left="0" w:right="0"/>
        <w:jc w:val="both"/>
        <w:rPr>
          <w:rFonts w:hint="eastAsia" w:ascii="宋体" w:hAnsi="宋体" w:eastAsia="宋体" w:cs="宋体"/>
          <w:sz w:val="21"/>
          <w:szCs w:val="21"/>
          <w:u w:val="single"/>
          <w:lang w:val="en-US"/>
        </w:rPr>
      </w:pPr>
      <w:r>
        <w:rPr>
          <w:rFonts w:hint="eastAsia" w:ascii="宋体" w:hAnsi="宋体" w:eastAsia="宋体" w:cs="宋体"/>
          <w:color w:val="000000"/>
          <w:kern w:val="2"/>
          <w:sz w:val="21"/>
          <w:szCs w:val="21"/>
          <w:lang w:val="en-US" w:eastAsia="zh-CN" w:bidi="ar"/>
        </w:rPr>
        <w:t>法定代表人（签字）：</w:t>
      </w:r>
      <w:r>
        <w:rPr>
          <w:rFonts w:hint="eastAsia" w:ascii="宋体" w:hAnsi="宋体" w:eastAsia="宋体" w:cs="宋体"/>
          <w:color w:val="000000"/>
          <w:kern w:val="2"/>
          <w:sz w:val="21"/>
          <w:szCs w:val="21"/>
          <w:u w:val="single"/>
          <w:lang w:val="en-US" w:eastAsia="zh-CN" w:bidi="ar"/>
        </w:rPr>
        <w:t xml:space="preserve">            </w:t>
      </w:r>
      <w:r>
        <w:rPr>
          <w:rFonts w:hint="eastAsia" w:ascii="宋体" w:hAnsi="宋体" w:eastAsia="宋体" w:cs="宋体"/>
          <w:color w:val="000000"/>
          <w:kern w:val="2"/>
          <w:sz w:val="21"/>
          <w:szCs w:val="21"/>
          <w:lang w:val="en-US" w:eastAsia="zh-CN" w:bidi="ar"/>
        </w:rPr>
        <w:t xml:space="preserve">         法定代表人（签字）：</w:t>
      </w:r>
      <w:r>
        <w:rPr>
          <w:rFonts w:hint="eastAsia" w:ascii="宋体" w:hAnsi="宋体" w:eastAsia="宋体" w:cs="宋体"/>
          <w:color w:val="000000"/>
          <w:kern w:val="2"/>
          <w:sz w:val="21"/>
          <w:szCs w:val="21"/>
          <w:u w:val="single"/>
          <w:lang w:val="en-US" w:eastAsia="zh-CN" w:bidi="ar"/>
        </w:rPr>
        <w:t xml:space="preserve">           </w:t>
      </w:r>
    </w:p>
    <w:p w14:paraId="16635E80">
      <w:pPr>
        <w:keepNext w:val="0"/>
        <w:keepLines w:val="0"/>
        <w:widowControl w:val="0"/>
        <w:suppressLineNumbers w:val="0"/>
        <w:spacing w:before="0" w:beforeAutospacing="0" w:after="0" w:afterAutospacing="0" w:line="480" w:lineRule="auto"/>
        <w:ind w:left="0" w:right="0"/>
        <w:jc w:val="both"/>
        <w:rPr>
          <w:rFonts w:hint="eastAsia" w:ascii="宋体" w:hAnsi="宋体" w:eastAsia="宋体" w:cs="宋体"/>
          <w:sz w:val="21"/>
          <w:szCs w:val="21"/>
          <w:u w:val="single"/>
          <w:lang w:val="en-US"/>
        </w:rPr>
      </w:pPr>
      <w:r>
        <w:rPr>
          <w:rFonts w:hint="eastAsia" w:ascii="宋体" w:hAnsi="宋体" w:eastAsia="宋体" w:cs="宋体"/>
          <w:color w:val="000000"/>
          <w:kern w:val="2"/>
          <w:sz w:val="21"/>
          <w:szCs w:val="21"/>
          <w:lang w:val="en-US" w:eastAsia="zh-CN" w:bidi="ar"/>
        </w:rPr>
        <w:t>委托代理人（签字）：</w:t>
      </w:r>
      <w:r>
        <w:rPr>
          <w:rFonts w:hint="eastAsia" w:ascii="宋体" w:hAnsi="宋体" w:eastAsia="宋体" w:cs="宋体"/>
          <w:color w:val="000000"/>
          <w:kern w:val="2"/>
          <w:sz w:val="21"/>
          <w:szCs w:val="21"/>
          <w:u w:val="single"/>
          <w:lang w:val="en-US" w:eastAsia="zh-CN" w:bidi="ar"/>
        </w:rPr>
        <w:t xml:space="preserve">            </w:t>
      </w:r>
      <w:r>
        <w:rPr>
          <w:rFonts w:hint="eastAsia" w:ascii="宋体" w:hAnsi="宋体" w:eastAsia="宋体" w:cs="宋体"/>
          <w:color w:val="000000"/>
          <w:kern w:val="2"/>
          <w:sz w:val="21"/>
          <w:szCs w:val="21"/>
          <w:lang w:val="en-US" w:eastAsia="zh-CN" w:bidi="ar"/>
        </w:rPr>
        <w:t xml:space="preserve">         委托代理人（签字）：</w:t>
      </w:r>
      <w:r>
        <w:rPr>
          <w:rFonts w:hint="eastAsia" w:ascii="宋体" w:hAnsi="宋体" w:eastAsia="宋体" w:cs="宋体"/>
          <w:color w:val="000000"/>
          <w:kern w:val="2"/>
          <w:sz w:val="21"/>
          <w:szCs w:val="21"/>
          <w:u w:val="single"/>
          <w:lang w:val="en-US" w:eastAsia="zh-CN" w:bidi="ar"/>
        </w:rPr>
        <w:t xml:space="preserve">           </w:t>
      </w:r>
    </w:p>
    <w:p w14:paraId="709239A6">
      <w:pPr>
        <w:keepNext w:val="0"/>
        <w:keepLines w:val="0"/>
        <w:widowControl w:val="0"/>
        <w:suppressLineNumbers w:val="0"/>
        <w:tabs>
          <w:tab w:val="left" w:pos="4410"/>
        </w:tabs>
        <w:snapToGrid w:val="0"/>
        <w:spacing w:before="0" w:beforeAutospacing="0" w:after="0" w:afterAutospacing="0" w:line="480" w:lineRule="exact"/>
        <w:ind w:left="0" w:right="0"/>
        <w:jc w:val="both"/>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统一社会信用代码：</w:t>
      </w:r>
      <w:r>
        <w:rPr>
          <w:rFonts w:hint="eastAsia" w:ascii="宋体" w:hAnsi="宋体" w:eastAsia="宋体" w:cs="宋体"/>
          <w:color w:val="000000"/>
          <w:kern w:val="2"/>
          <w:sz w:val="21"/>
          <w:szCs w:val="21"/>
          <w:u w:val="single"/>
          <w:lang w:val="en-US" w:eastAsia="zh-CN" w:bidi="ar"/>
        </w:rPr>
        <w:t xml:space="preserve">                </w:t>
      </w:r>
      <w:r>
        <w:rPr>
          <w:rFonts w:hint="eastAsia" w:ascii="宋体" w:hAnsi="宋体" w:eastAsia="宋体" w:cs="宋体"/>
          <w:color w:val="000000"/>
          <w:kern w:val="2"/>
          <w:sz w:val="21"/>
          <w:szCs w:val="21"/>
          <w:lang w:val="en-US" w:eastAsia="zh-CN" w:bidi="ar"/>
        </w:rPr>
        <w:t xml:space="preserve">       统一社会信用代码：</w:t>
      </w:r>
      <w:r>
        <w:rPr>
          <w:rFonts w:hint="eastAsia" w:ascii="宋体" w:hAnsi="宋体" w:eastAsia="宋体" w:cs="宋体"/>
          <w:color w:val="000000"/>
          <w:kern w:val="2"/>
          <w:sz w:val="21"/>
          <w:szCs w:val="21"/>
          <w:u w:val="single"/>
          <w:lang w:val="en-US" w:eastAsia="zh-CN" w:bidi="ar"/>
        </w:rPr>
        <w:t xml:space="preserve">              </w:t>
      </w:r>
      <w:r>
        <w:rPr>
          <w:rFonts w:hint="eastAsia" w:ascii="宋体" w:hAnsi="宋体" w:eastAsia="宋体" w:cs="宋体"/>
          <w:color w:val="000000"/>
          <w:kern w:val="2"/>
          <w:sz w:val="21"/>
          <w:szCs w:val="21"/>
          <w:lang w:val="en-US" w:eastAsia="zh-CN" w:bidi="ar"/>
        </w:rPr>
        <w:t xml:space="preserve"> </w:t>
      </w:r>
    </w:p>
    <w:p w14:paraId="76627981">
      <w:pPr>
        <w:keepNext w:val="0"/>
        <w:keepLines w:val="0"/>
        <w:widowControl w:val="0"/>
        <w:suppressLineNumbers w:val="0"/>
        <w:snapToGrid w:val="0"/>
        <w:spacing w:before="0" w:beforeAutospacing="0" w:after="0" w:afterAutospacing="0" w:line="480" w:lineRule="exact"/>
        <w:ind w:left="0" w:right="0"/>
        <w:jc w:val="both"/>
        <w:rPr>
          <w:rFonts w:hint="eastAsia" w:ascii="宋体" w:hAnsi="宋体" w:eastAsia="宋体" w:cs="宋体"/>
          <w:sz w:val="21"/>
          <w:szCs w:val="21"/>
          <w:u w:val="single"/>
          <w:lang w:val="en-US"/>
        </w:rPr>
      </w:pPr>
      <w:r>
        <w:rPr>
          <w:rFonts w:hint="eastAsia" w:ascii="宋体" w:hAnsi="宋体" w:eastAsia="宋体" w:cs="宋体"/>
          <w:color w:val="000000"/>
          <w:kern w:val="2"/>
          <w:sz w:val="21"/>
          <w:szCs w:val="21"/>
          <w:lang w:val="en-US" w:eastAsia="zh-CN" w:bidi="ar"/>
        </w:rPr>
        <w:t>地 址：</w:t>
      </w:r>
      <w:r>
        <w:rPr>
          <w:rFonts w:hint="eastAsia" w:ascii="宋体" w:hAnsi="宋体" w:eastAsia="宋体" w:cs="宋体"/>
          <w:color w:val="000000"/>
          <w:kern w:val="2"/>
          <w:sz w:val="21"/>
          <w:szCs w:val="21"/>
          <w:u w:val="single"/>
          <w:lang w:val="en-US" w:eastAsia="zh-CN" w:bidi="ar"/>
        </w:rPr>
        <w:t xml:space="preserve">                           </w:t>
      </w:r>
      <w:r>
        <w:rPr>
          <w:rFonts w:hint="eastAsia" w:ascii="宋体" w:hAnsi="宋体" w:eastAsia="宋体" w:cs="宋体"/>
          <w:color w:val="000000"/>
          <w:kern w:val="2"/>
          <w:sz w:val="21"/>
          <w:szCs w:val="21"/>
          <w:lang w:val="en-US" w:eastAsia="zh-CN" w:bidi="ar"/>
        </w:rPr>
        <w:t xml:space="preserve">       地 址：</w:t>
      </w:r>
      <w:r>
        <w:rPr>
          <w:rFonts w:hint="eastAsia" w:ascii="宋体" w:hAnsi="宋体" w:eastAsia="宋体" w:cs="宋体"/>
          <w:color w:val="000000"/>
          <w:kern w:val="2"/>
          <w:sz w:val="21"/>
          <w:szCs w:val="21"/>
          <w:u w:val="single"/>
          <w:lang w:val="en-US" w:eastAsia="zh-CN" w:bidi="ar"/>
        </w:rPr>
        <w:t xml:space="preserve">                        </w:t>
      </w:r>
    </w:p>
    <w:p w14:paraId="6E5BE8B4">
      <w:pPr>
        <w:keepNext w:val="0"/>
        <w:keepLines w:val="0"/>
        <w:widowControl w:val="0"/>
        <w:suppressLineNumbers w:val="0"/>
        <w:snapToGrid w:val="0"/>
        <w:spacing w:before="0" w:beforeAutospacing="0" w:after="0" w:afterAutospacing="0" w:line="480" w:lineRule="exact"/>
        <w:ind w:left="0" w:right="0"/>
        <w:jc w:val="both"/>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邮政编码：</w:t>
      </w:r>
      <w:r>
        <w:rPr>
          <w:rFonts w:hint="eastAsia" w:ascii="宋体" w:hAnsi="宋体" w:eastAsia="宋体" w:cs="宋体"/>
          <w:color w:val="000000"/>
          <w:kern w:val="2"/>
          <w:sz w:val="21"/>
          <w:szCs w:val="21"/>
          <w:u w:val="single"/>
          <w:lang w:val="en-US" w:eastAsia="zh-CN" w:bidi="ar"/>
        </w:rPr>
        <w:t xml:space="preserve">                        </w:t>
      </w:r>
      <w:r>
        <w:rPr>
          <w:rFonts w:hint="eastAsia" w:ascii="宋体" w:hAnsi="宋体" w:eastAsia="宋体" w:cs="宋体"/>
          <w:color w:val="000000"/>
          <w:kern w:val="2"/>
          <w:sz w:val="21"/>
          <w:szCs w:val="21"/>
          <w:lang w:val="en-US" w:eastAsia="zh-CN" w:bidi="ar"/>
        </w:rPr>
        <w:t xml:space="preserve">       邮政编码：</w:t>
      </w:r>
      <w:r>
        <w:rPr>
          <w:rFonts w:hint="eastAsia" w:ascii="宋体" w:hAnsi="宋体" w:eastAsia="宋体" w:cs="宋体"/>
          <w:color w:val="000000"/>
          <w:kern w:val="2"/>
          <w:sz w:val="21"/>
          <w:szCs w:val="21"/>
          <w:u w:val="single"/>
          <w:lang w:val="en-US" w:eastAsia="zh-CN" w:bidi="ar"/>
        </w:rPr>
        <w:t xml:space="preserve">                   </w:t>
      </w:r>
    </w:p>
    <w:p w14:paraId="53B7BD2C">
      <w:pPr>
        <w:keepNext w:val="0"/>
        <w:keepLines w:val="0"/>
        <w:widowControl w:val="0"/>
        <w:suppressLineNumbers w:val="0"/>
        <w:snapToGrid w:val="0"/>
        <w:spacing w:before="0" w:beforeAutospacing="0" w:after="0" w:afterAutospacing="0" w:line="480" w:lineRule="exact"/>
        <w:ind w:left="0" w:right="0"/>
        <w:jc w:val="both"/>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电  话：</w:t>
      </w:r>
      <w:r>
        <w:rPr>
          <w:rFonts w:hint="eastAsia" w:ascii="宋体" w:hAnsi="宋体" w:eastAsia="宋体" w:cs="宋体"/>
          <w:color w:val="000000"/>
          <w:kern w:val="2"/>
          <w:sz w:val="21"/>
          <w:szCs w:val="21"/>
          <w:u w:val="single"/>
          <w:lang w:val="en-US" w:eastAsia="zh-CN" w:bidi="ar"/>
        </w:rPr>
        <w:t xml:space="preserve">                          </w:t>
      </w:r>
      <w:r>
        <w:rPr>
          <w:rFonts w:hint="eastAsia" w:ascii="宋体" w:hAnsi="宋体" w:eastAsia="宋体" w:cs="宋体"/>
          <w:color w:val="000000"/>
          <w:kern w:val="2"/>
          <w:sz w:val="21"/>
          <w:szCs w:val="21"/>
          <w:lang w:val="en-US" w:eastAsia="zh-CN" w:bidi="ar"/>
        </w:rPr>
        <w:t xml:space="preserve">       电  话：</w:t>
      </w:r>
      <w:r>
        <w:rPr>
          <w:rFonts w:hint="eastAsia" w:ascii="宋体" w:hAnsi="宋体" w:eastAsia="宋体" w:cs="宋体"/>
          <w:color w:val="000000"/>
          <w:kern w:val="2"/>
          <w:sz w:val="21"/>
          <w:szCs w:val="21"/>
          <w:u w:val="single"/>
          <w:lang w:val="en-US" w:eastAsia="zh-CN" w:bidi="ar"/>
        </w:rPr>
        <w:t xml:space="preserve">                       </w:t>
      </w:r>
    </w:p>
    <w:p w14:paraId="45881F5D">
      <w:pPr>
        <w:keepNext w:val="0"/>
        <w:keepLines w:val="0"/>
        <w:widowControl w:val="0"/>
        <w:suppressLineNumbers w:val="0"/>
        <w:snapToGrid w:val="0"/>
        <w:spacing w:before="0" w:beforeAutospacing="0" w:after="0" w:afterAutospacing="0" w:line="480" w:lineRule="exact"/>
        <w:ind w:left="0" w:right="0"/>
        <w:jc w:val="both"/>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传  真：</w:t>
      </w:r>
      <w:r>
        <w:rPr>
          <w:rFonts w:hint="eastAsia" w:ascii="宋体" w:hAnsi="宋体" w:eastAsia="宋体" w:cs="宋体"/>
          <w:color w:val="000000"/>
          <w:kern w:val="2"/>
          <w:sz w:val="21"/>
          <w:szCs w:val="21"/>
          <w:u w:val="single"/>
          <w:lang w:val="en-US" w:eastAsia="zh-CN" w:bidi="ar"/>
        </w:rPr>
        <w:t xml:space="preserve">                          </w:t>
      </w:r>
      <w:r>
        <w:rPr>
          <w:rFonts w:hint="eastAsia" w:ascii="宋体" w:hAnsi="宋体" w:eastAsia="宋体" w:cs="宋体"/>
          <w:color w:val="000000"/>
          <w:kern w:val="2"/>
          <w:sz w:val="21"/>
          <w:szCs w:val="21"/>
          <w:lang w:val="en-US" w:eastAsia="zh-CN" w:bidi="ar"/>
        </w:rPr>
        <w:t xml:space="preserve">       传  真：</w:t>
      </w:r>
      <w:r>
        <w:rPr>
          <w:rFonts w:hint="eastAsia" w:ascii="宋体" w:hAnsi="宋体" w:eastAsia="宋体" w:cs="宋体"/>
          <w:color w:val="000000"/>
          <w:kern w:val="2"/>
          <w:sz w:val="21"/>
          <w:szCs w:val="21"/>
          <w:u w:val="single"/>
          <w:lang w:val="en-US" w:eastAsia="zh-CN" w:bidi="ar"/>
        </w:rPr>
        <w:t xml:space="preserve">                        </w:t>
      </w:r>
    </w:p>
    <w:p w14:paraId="2FCC08F0">
      <w:pPr>
        <w:keepNext w:val="0"/>
        <w:keepLines w:val="0"/>
        <w:widowControl w:val="0"/>
        <w:suppressLineNumbers w:val="0"/>
        <w:snapToGrid w:val="0"/>
        <w:spacing w:before="0" w:beforeAutospacing="0" w:after="0" w:afterAutospacing="0" w:line="480" w:lineRule="exact"/>
        <w:ind w:left="0" w:right="0"/>
        <w:jc w:val="both"/>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电子信箱：</w:t>
      </w:r>
      <w:r>
        <w:rPr>
          <w:rFonts w:hint="eastAsia" w:ascii="宋体" w:hAnsi="宋体" w:eastAsia="宋体" w:cs="宋体"/>
          <w:color w:val="000000"/>
          <w:kern w:val="2"/>
          <w:sz w:val="21"/>
          <w:szCs w:val="21"/>
          <w:u w:val="single"/>
          <w:lang w:val="en-US" w:eastAsia="zh-CN" w:bidi="ar"/>
        </w:rPr>
        <w:t xml:space="preserve">                        </w:t>
      </w:r>
      <w:r>
        <w:rPr>
          <w:rFonts w:hint="eastAsia" w:ascii="宋体" w:hAnsi="宋体" w:eastAsia="宋体" w:cs="宋体"/>
          <w:color w:val="000000"/>
          <w:kern w:val="2"/>
          <w:sz w:val="21"/>
          <w:szCs w:val="21"/>
          <w:lang w:val="en-US" w:eastAsia="zh-CN" w:bidi="ar"/>
        </w:rPr>
        <w:t xml:space="preserve">       电子信箱：</w:t>
      </w:r>
      <w:r>
        <w:rPr>
          <w:rFonts w:hint="eastAsia" w:ascii="宋体" w:hAnsi="宋体" w:eastAsia="宋体" w:cs="宋体"/>
          <w:color w:val="000000"/>
          <w:kern w:val="2"/>
          <w:sz w:val="21"/>
          <w:szCs w:val="21"/>
          <w:u w:val="single"/>
          <w:lang w:val="en-US" w:eastAsia="zh-CN" w:bidi="ar"/>
        </w:rPr>
        <w:t xml:space="preserve">                      </w:t>
      </w:r>
    </w:p>
    <w:p w14:paraId="68CAE193">
      <w:pPr>
        <w:keepNext w:val="0"/>
        <w:keepLines w:val="0"/>
        <w:widowControl w:val="0"/>
        <w:suppressLineNumbers w:val="0"/>
        <w:snapToGrid w:val="0"/>
        <w:spacing w:before="0" w:beforeAutospacing="0" w:after="0" w:afterAutospacing="0" w:line="480" w:lineRule="exact"/>
        <w:ind w:left="6000" w:right="0" w:hanging="5250" w:hangingChars="2500"/>
        <w:jc w:val="left"/>
        <w:rPr>
          <w:rFonts w:hint="eastAsia" w:ascii="宋体" w:hAnsi="宋体" w:eastAsia="宋体" w:cs="宋体"/>
          <w:color w:val="000000"/>
          <w:kern w:val="2"/>
          <w:sz w:val="21"/>
          <w:szCs w:val="21"/>
          <w:u w:val="single"/>
          <w:lang w:val="en-US" w:eastAsia="zh-CN" w:bidi="ar"/>
        </w:rPr>
      </w:pPr>
      <w:r>
        <w:rPr>
          <w:rFonts w:hint="eastAsia" w:ascii="宋体" w:hAnsi="宋体" w:eastAsia="宋体" w:cs="宋体"/>
          <w:color w:val="000000"/>
          <w:kern w:val="2"/>
          <w:sz w:val="21"/>
          <w:szCs w:val="21"/>
          <w:lang w:val="en-US" w:eastAsia="zh-CN" w:bidi="ar"/>
        </w:rPr>
        <w:t>开户名称：</w:t>
      </w:r>
      <w:r>
        <w:rPr>
          <w:rFonts w:hint="eastAsia" w:ascii="宋体" w:hAnsi="宋体" w:eastAsia="宋体" w:cs="宋体"/>
          <w:color w:val="000000"/>
          <w:kern w:val="2"/>
          <w:sz w:val="21"/>
          <w:szCs w:val="21"/>
          <w:u w:val="single"/>
          <w:lang w:val="en-US" w:eastAsia="zh-CN" w:bidi="ar"/>
        </w:rPr>
        <w:t xml:space="preserve">                        </w:t>
      </w:r>
      <w:r>
        <w:rPr>
          <w:rFonts w:hint="eastAsia" w:ascii="宋体" w:hAnsi="宋体" w:eastAsia="宋体" w:cs="宋体"/>
          <w:color w:val="000000"/>
          <w:kern w:val="2"/>
          <w:sz w:val="21"/>
          <w:szCs w:val="21"/>
          <w:u w:val="none"/>
          <w:lang w:val="en-US" w:eastAsia="zh-CN" w:bidi="ar"/>
        </w:rPr>
        <w:t xml:space="preserve">       </w:t>
      </w:r>
      <w:r>
        <w:rPr>
          <w:rFonts w:hint="eastAsia" w:ascii="宋体" w:hAnsi="宋体" w:eastAsia="宋体" w:cs="宋体"/>
          <w:color w:val="000000"/>
          <w:kern w:val="2"/>
          <w:sz w:val="21"/>
          <w:szCs w:val="21"/>
          <w:lang w:val="en-US" w:eastAsia="zh-CN" w:bidi="ar"/>
        </w:rPr>
        <w:t>开户名称：</w:t>
      </w:r>
      <w:r>
        <w:rPr>
          <w:rFonts w:hint="eastAsia" w:ascii="宋体" w:hAnsi="宋体" w:eastAsia="宋体" w:cs="宋体"/>
          <w:color w:val="000000"/>
          <w:kern w:val="2"/>
          <w:sz w:val="21"/>
          <w:szCs w:val="21"/>
          <w:u w:val="single"/>
          <w:lang w:val="en-US" w:eastAsia="zh-CN" w:bidi="ar"/>
        </w:rPr>
        <w:t xml:space="preserve">                      </w:t>
      </w:r>
    </w:p>
    <w:p w14:paraId="105BA1A9">
      <w:pPr>
        <w:keepNext w:val="0"/>
        <w:keepLines w:val="0"/>
        <w:widowControl w:val="0"/>
        <w:suppressLineNumbers w:val="0"/>
        <w:snapToGrid w:val="0"/>
        <w:spacing w:before="0" w:beforeAutospacing="0" w:after="0" w:afterAutospacing="0" w:line="480" w:lineRule="exact"/>
        <w:ind w:left="6000" w:right="0" w:hanging="5250" w:hangingChars="2500"/>
        <w:jc w:val="left"/>
        <w:rPr>
          <w:rFonts w:hint="eastAsia" w:ascii="宋体" w:hAnsi="宋体" w:eastAsia="宋体" w:cs="宋体"/>
          <w:sz w:val="21"/>
          <w:szCs w:val="21"/>
          <w:u w:val="single"/>
          <w:lang w:val="en-US"/>
        </w:rPr>
      </w:pPr>
      <w:r>
        <w:rPr>
          <w:rFonts w:hint="eastAsia" w:ascii="宋体" w:hAnsi="宋体" w:eastAsia="宋体" w:cs="宋体"/>
          <w:color w:val="000000"/>
          <w:kern w:val="2"/>
          <w:sz w:val="21"/>
          <w:szCs w:val="21"/>
          <w:lang w:val="en-US" w:eastAsia="zh-CN" w:bidi="ar"/>
        </w:rPr>
        <w:t>开户银行：</w:t>
      </w:r>
      <w:r>
        <w:rPr>
          <w:rFonts w:hint="eastAsia" w:ascii="宋体" w:hAnsi="宋体" w:eastAsia="宋体" w:cs="宋体"/>
          <w:color w:val="000000"/>
          <w:kern w:val="2"/>
          <w:sz w:val="21"/>
          <w:szCs w:val="21"/>
          <w:u w:val="single"/>
          <w:lang w:val="en-US" w:eastAsia="zh-CN" w:bidi="ar"/>
        </w:rPr>
        <w:t xml:space="preserve">                         </w:t>
      </w:r>
      <w:r>
        <w:rPr>
          <w:rFonts w:hint="eastAsia" w:ascii="宋体" w:hAnsi="宋体" w:eastAsia="宋体" w:cs="宋体"/>
          <w:color w:val="000000"/>
          <w:kern w:val="2"/>
          <w:sz w:val="21"/>
          <w:szCs w:val="21"/>
          <w:lang w:val="en-US" w:eastAsia="zh-CN" w:bidi="ar"/>
        </w:rPr>
        <w:t xml:space="preserve">      开户银行：</w:t>
      </w:r>
      <w:r>
        <w:rPr>
          <w:rFonts w:hint="eastAsia" w:ascii="宋体" w:hAnsi="宋体" w:eastAsia="宋体" w:cs="宋体"/>
          <w:color w:val="000000"/>
          <w:kern w:val="2"/>
          <w:sz w:val="21"/>
          <w:szCs w:val="21"/>
          <w:u w:val="single"/>
          <w:lang w:val="en-US" w:eastAsia="zh-CN" w:bidi="ar"/>
        </w:rPr>
        <w:t xml:space="preserve">                      </w:t>
      </w:r>
      <w:r>
        <w:rPr>
          <w:rFonts w:hint="eastAsia" w:ascii="宋体" w:hAnsi="宋体" w:eastAsia="宋体" w:cs="宋体"/>
          <w:color w:val="000000"/>
          <w:kern w:val="2"/>
          <w:sz w:val="21"/>
          <w:szCs w:val="21"/>
          <w:u w:val="none"/>
          <w:lang w:val="en-US" w:eastAsia="zh-CN" w:bidi="ar"/>
        </w:rPr>
        <w:t xml:space="preserve">                            </w:t>
      </w:r>
    </w:p>
    <w:p w14:paraId="346EBD93">
      <w:pPr>
        <w:keepNext w:val="0"/>
        <w:keepLines w:val="0"/>
        <w:widowControl w:val="0"/>
        <w:suppressLineNumbers w:val="0"/>
        <w:snapToGrid w:val="0"/>
        <w:spacing w:before="0" w:beforeAutospacing="0" w:after="0" w:afterAutospacing="0" w:line="480" w:lineRule="exact"/>
        <w:ind w:left="0" w:right="0"/>
        <w:jc w:val="both"/>
        <w:rPr>
          <w:rFonts w:hint="eastAsia" w:ascii="宋体" w:hAnsi="宋体" w:eastAsia="宋体" w:cs="宋体"/>
          <w:sz w:val="21"/>
          <w:szCs w:val="21"/>
          <w:u w:val="single"/>
          <w:lang w:val="en-US"/>
        </w:rPr>
      </w:pPr>
      <w:r>
        <w:rPr>
          <w:rFonts w:hint="eastAsia" w:ascii="宋体" w:hAnsi="宋体" w:eastAsia="宋体" w:cs="宋体"/>
          <w:color w:val="000000"/>
          <w:kern w:val="2"/>
          <w:sz w:val="21"/>
          <w:szCs w:val="21"/>
          <w:lang w:val="en-US" w:eastAsia="zh-CN" w:bidi="ar"/>
        </w:rPr>
        <w:t>账  号：</w:t>
      </w:r>
      <w:r>
        <w:rPr>
          <w:rFonts w:hint="eastAsia" w:ascii="宋体" w:hAnsi="宋体" w:eastAsia="宋体" w:cs="宋体"/>
          <w:color w:val="000000"/>
          <w:kern w:val="2"/>
          <w:sz w:val="21"/>
          <w:szCs w:val="21"/>
          <w:u w:val="single"/>
          <w:lang w:val="en-US" w:eastAsia="zh-CN" w:bidi="ar"/>
        </w:rPr>
        <w:t xml:space="preserve">                          </w:t>
      </w:r>
      <w:r>
        <w:rPr>
          <w:rFonts w:hint="eastAsia" w:ascii="宋体" w:hAnsi="宋体" w:eastAsia="宋体" w:cs="宋体"/>
          <w:color w:val="000000"/>
          <w:kern w:val="2"/>
          <w:sz w:val="21"/>
          <w:szCs w:val="21"/>
          <w:lang w:val="en-US" w:eastAsia="zh-CN" w:bidi="ar"/>
        </w:rPr>
        <w:t xml:space="preserve">       账  号：</w:t>
      </w:r>
      <w:r>
        <w:rPr>
          <w:rFonts w:hint="eastAsia" w:ascii="宋体" w:hAnsi="宋体" w:eastAsia="宋体" w:cs="宋体"/>
          <w:color w:val="000000"/>
          <w:kern w:val="2"/>
          <w:sz w:val="21"/>
          <w:szCs w:val="21"/>
          <w:u w:val="single"/>
          <w:lang w:val="en-US" w:eastAsia="zh-CN" w:bidi="ar"/>
        </w:rPr>
        <w:t xml:space="preserve">                        </w:t>
      </w:r>
    </w:p>
    <w:p w14:paraId="4197AE8B">
      <w:pPr>
        <w:pStyle w:val="5"/>
        <w:keepNext/>
        <w:keepLines/>
        <w:widowControl w:val="0"/>
        <w:numPr>
          <w:ilvl w:val="0"/>
          <w:numId w:val="0"/>
        </w:numPr>
        <w:suppressLineNumbers w:val="0"/>
        <w:adjustRightInd/>
        <w:spacing w:line="240" w:lineRule="auto"/>
        <w:ind w:left="420" w:leftChars="200" w:firstLine="0"/>
        <w:jc w:val="center"/>
        <w:rPr>
          <w:rFonts w:hint="eastAsia" w:ascii="宋体" w:hAnsi="宋体" w:eastAsia="宋体" w:cs="宋体"/>
          <w:b/>
          <w:bCs w:val="0"/>
          <w:sz w:val="21"/>
          <w:szCs w:val="21"/>
          <w:lang w:val="en-US" w:eastAsia="zh-CN" w:bidi="ar"/>
        </w:rPr>
      </w:pPr>
      <w:r>
        <w:rPr>
          <w:rFonts w:hint="eastAsia" w:ascii="宋体" w:hAnsi="宋体" w:eastAsia="宋体" w:cs="宋体"/>
          <w:b/>
          <w:bCs w:val="0"/>
          <w:sz w:val="21"/>
          <w:szCs w:val="21"/>
          <w:lang w:val="en-US" w:eastAsia="zh-CN" w:bidi="ar"/>
        </w:rPr>
        <w:br w:type="page"/>
      </w:r>
    </w:p>
    <w:p w14:paraId="0BF561C5">
      <w:pPr>
        <w:pStyle w:val="5"/>
        <w:keepNext/>
        <w:keepLines/>
        <w:widowControl w:val="0"/>
        <w:numPr>
          <w:ilvl w:val="0"/>
          <w:numId w:val="0"/>
        </w:numPr>
        <w:suppressLineNumbers w:val="0"/>
        <w:adjustRightInd/>
        <w:spacing w:line="240" w:lineRule="auto"/>
        <w:ind w:left="420" w:leftChars="200" w:firstLine="0"/>
        <w:jc w:val="center"/>
        <w:rPr>
          <w:rFonts w:hint="eastAsia" w:ascii="宋体" w:hAnsi="宋体" w:eastAsia="宋体" w:cs="宋体"/>
          <w:b/>
          <w:bCs w:val="0"/>
          <w:sz w:val="21"/>
          <w:szCs w:val="21"/>
          <w:lang w:val="en-US" w:eastAsia="zh-CN" w:bidi="ar"/>
        </w:rPr>
      </w:pPr>
    </w:p>
    <w:p w14:paraId="649E31BA">
      <w:pPr>
        <w:pStyle w:val="5"/>
        <w:keepNext/>
        <w:keepLines/>
        <w:widowControl w:val="0"/>
        <w:numPr>
          <w:ilvl w:val="0"/>
          <w:numId w:val="0"/>
        </w:numPr>
        <w:suppressLineNumbers w:val="0"/>
        <w:adjustRightInd/>
        <w:spacing w:line="240" w:lineRule="auto"/>
        <w:ind w:left="420" w:leftChars="200" w:firstLine="0"/>
        <w:jc w:val="center"/>
        <w:rPr>
          <w:rFonts w:hint="eastAsia" w:ascii="宋体" w:hAnsi="宋体" w:eastAsia="宋体" w:cs="宋体"/>
          <w:b/>
          <w:bCs w:val="0"/>
          <w:sz w:val="21"/>
          <w:szCs w:val="21"/>
          <w:lang w:val="en-US" w:eastAsia="zh-CN" w:bidi="ar"/>
        </w:rPr>
      </w:pPr>
    </w:p>
    <w:p w14:paraId="104084B5">
      <w:pPr>
        <w:pStyle w:val="5"/>
        <w:keepNext/>
        <w:keepLines/>
        <w:widowControl w:val="0"/>
        <w:numPr>
          <w:ilvl w:val="0"/>
          <w:numId w:val="0"/>
        </w:numPr>
        <w:suppressLineNumbers w:val="0"/>
        <w:adjustRightInd/>
        <w:spacing w:line="240" w:lineRule="auto"/>
        <w:ind w:left="420" w:leftChars="200" w:firstLine="0"/>
        <w:jc w:val="center"/>
        <w:rPr>
          <w:rFonts w:hint="eastAsia" w:ascii="宋体" w:hAnsi="宋体" w:eastAsia="宋体" w:cs="宋体"/>
          <w:sz w:val="24"/>
          <w:szCs w:val="24"/>
          <w:lang w:val="en-US"/>
        </w:rPr>
      </w:pPr>
      <w:r>
        <w:rPr>
          <w:rFonts w:hint="eastAsia" w:ascii="宋体" w:hAnsi="宋体" w:eastAsia="宋体" w:cs="宋体"/>
          <w:b/>
          <w:bCs w:val="0"/>
          <w:sz w:val="24"/>
          <w:szCs w:val="24"/>
          <w:lang w:eastAsia="zh-CN"/>
        </w:rPr>
        <w:t xml:space="preserve">第二部分 </w:t>
      </w:r>
      <w:bookmarkEnd w:id="232"/>
      <w:bookmarkStart w:id="233" w:name="_Toc337558727"/>
      <w:r>
        <w:rPr>
          <w:rFonts w:hint="eastAsia" w:ascii="宋体" w:hAnsi="宋体" w:eastAsia="宋体" w:cs="宋体"/>
          <w:b/>
          <w:bCs w:val="0"/>
          <w:sz w:val="24"/>
          <w:szCs w:val="24"/>
          <w:lang w:eastAsia="zh-CN"/>
        </w:rPr>
        <w:t>通用合同条款</w:t>
      </w:r>
    </w:p>
    <w:p w14:paraId="49F078F5">
      <w:pPr>
        <w:keepNext w:val="0"/>
        <w:keepLines w:val="0"/>
        <w:widowControl w:val="0"/>
        <w:suppressLineNumbers w:val="0"/>
        <w:spacing w:before="0" w:beforeAutospacing="0" w:after="0" w:afterAutospacing="0" w:line="400" w:lineRule="exact"/>
        <w:ind w:left="0" w:right="0" w:firstLine="480" w:firstLineChars="200"/>
        <w:jc w:val="both"/>
        <w:rPr>
          <w:rFonts w:hint="eastAsia" w:ascii="宋体" w:hAnsi="宋体" w:eastAsia="宋体" w:cs="宋体"/>
          <w:sz w:val="24"/>
          <w:szCs w:val="24"/>
          <w:lang w:val="en-US"/>
        </w:rPr>
      </w:pPr>
    </w:p>
    <w:p w14:paraId="3D9C42A5">
      <w:pPr>
        <w:keepNext w:val="0"/>
        <w:keepLines w:val="0"/>
        <w:widowControl w:val="0"/>
        <w:suppressLineNumbers w:val="0"/>
        <w:spacing w:before="0" w:beforeAutospacing="0" w:after="0" w:afterAutospacing="0" w:line="400" w:lineRule="exact"/>
        <w:ind w:left="0" w:right="0" w:firstLine="480" w:firstLineChars="200"/>
        <w:jc w:val="both"/>
        <w:rPr>
          <w:rFonts w:hint="eastAsia" w:ascii="宋体" w:hAnsi="宋体" w:eastAsia="宋体" w:cs="宋体"/>
          <w:sz w:val="24"/>
          <w:szCs w:val="24"/>
          <w:lang w:val="en-US"/>
        </w:rPr>
      </w:pPr>
    </w:p>
    <w:p w14:paraId="40E66EC2">
      <w:pPr>
        <w:keepNext w:val="0"/>
        <w:keepLines w:val="0"/>
        <w:widowControl w:val="0"/>
        <w:suppressLineNumbers w:val="0"/>
        <w:spacing w:before="0" w:beforeAutospacing="0" w:after="0" w:afterAutospacing="0" w:line="400" w:lineRule="exact"/>
        <w:ind w:left="0" w:right="0" w:firstLine="480" w:firstLineChars="200"/>
        <w:jc w:val="both"/>
        <w:rPr>
          <w:rFonts w:hint="eastAsia" w:ascii="宋体" w:hAnsi="宋体" w:eastAsia="宋体" w:cs="宋体"/>
          <w:sz w:val="24"/>
          <w:szCs w:val="24"/>
          <w:lang w:val="en-US"/>
        </w:rPr>
      </w:pPr>
    </w:p>
    <w:p w14:paraId="40F01843">
      <w:pPr>
        <w:keepNext w:val="0"/>
        <w:keepLines w:val="0"/>
        <w:widowControl w:val="0"/>
        <w:suppressLineNumbers w:val="0"/>
        <w:spacing w:before="0" w:beforeAutospacing="0" w:after="0" w:afterAutospacing="0" w:line="400" w:lineRule="exact"/>
        <w:ind w:left="0" w:right="0" w:firstLine="480" w:firstLineChars="200"/>
        <w:jc w:val="center"/>
        <w:rPr>
          <w:rFonts w:hint="eastAsia" w:ascii="宋体" w:hAnsi="宋体" w:eastAsia="宋体" w:cs="宋体"/>
          <w:b/>
          <w:bCs/>
          <w:sz w:val="24"/>
          <w:szCs w:val="24"/>
          <w:lang w:val="en-US"/>
        </w:rPr>
      </w:pPr>
      <w:r>
        <w:rPr>
          <w:rFonts w:hint="eastAsia" w:ascii="宋体" w:hAnsi="宋体" w:eastAsia="宋体" w:cs="宋体"/>
          <w:b/>
          <w:bCs/>
          <w:color w:val="000000"/>
          <w:kern w:val="2"/>
          <w:sz w:val="24"/>
          <w:szCs w:val="24"/>
          <w:lang w:val="en-US" w:eastAsia="zh-CN" w:bidi="ar"/>
        </w:rPr>
        <w:t>采用《建设工程施工合同（示范文本）》（GF—2017—0201）。</w:t>
      </w:r>
    </w:p>
    <w:bookmarkEnd w:id="233"/>
    <w:p w14:paraId="3E1F7F12">
      <w:pPr>
        <w:pStyle w:val="5"/>
        <w:widowControl/>
        <w:numPr>
          <w:ilvl w:val="0"/>
          <w:numId w:val="0"/>
        </w:numPr>
        <w:spacing w:line="400" w:lineRule="exact"/>
        <w:ind w:left="420" w:leftChars="200" w:firstLine="0"/>
        <w:rPr>
          <w:rFonts w:hint="eastAsia" w:ascii="宋体" w:hAnsi="宋体" w:eastAsia="宋体" w:cs="宋体"/>
          <w:sz w:val="21"/>
          <w:szCs w:val="21"/>
          <w:lang w:val="en-US"/>
        </w:rPr>
      </w:pPr>
      <w:bookmarkStart w:id="234" w:name="_Toc351203632"/>
    </w:p>
    <w:p w14:paraId="1073F082">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p>
    <w:p w14:paraId="3EB6E054">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p>
    <w:p w14:paraId="37EDE21A">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p>
    <w:p w14:paraId="74AB0C4E">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p>
    <w:p w14:paraId="5164C4DF">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p>
    <w:p w14:paraId="39E5B111">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p>
    <w:p w14:paraId="50E6A743">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p>
    <w:p w14:paraId="1B88FF15">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p>
    <w:p w14:paraId="1A9541AB">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p>
    <w:p w14:paraId="6A132218">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p>
    <w:p w14:paraId="37026A57">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p>
    <w:p w14:paraId="08106B2D">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p>
    <w:p w14:paraId="4557C169">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p>
    <w:p w14:paraId="4BCA297D">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p>
    <w:p w14:paraId="5CF9D608">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p>
    <w:p w14:paraId="1DD0EB45">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p>
    <w:p w14:paraId="3247AEDA">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p>
    <w:p w14:paraId="62A60A56">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p>
    <w:p w14:paraId="6ACAD957">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p>
    <w:p w14:paraId="40BCBBB4">
      <w:pPr>
        <w:keepNext w:val="0"/>
        <w:keepLines w:val="0"/>
        <w:widowControl w:val="0"/>
        <w:suppressLineNumbers w:val="0"/>
        <w:spacing w:before="0" w:beforeAutospacing="0" w:after="0" w:afterAutospacing="0" w:line="400" w:lineRule="exact"/>
        <w:ind w:left="0" w:right="0"/>
        <w:jc w:val="both"/>
        <w:rPr>
          <w:rFonts w:hint="eastAsia" w:ascii="宋体" w:hAnsi="宋体" w:eastAsia="宋体" w:cs="宋体"/>
          <w:sz w:val="21"/>
          <w:szCs w:val="21"/>
          <w:lang w:val="en-US"/>
        </w:rPr>
      </w:pPr>
    </w:p>
    <w:p w14:paraId="3382929E">
      <w:pPr>
        <w:pStyle w:val="24"/>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sz w:val="21"/>
          <w:szCs w:val="21"/>
          <w:lang w:val="en-US"/>
        </w:rPr>
      </w:pPr>
    </w:p>
    <w:p w14:paraId="4F53B328">
      <w:pPr>
        <w:pStyle w:val="24"/>
        <w:keepNext w:val="0"/>
        <w:keepLines w:val="0"/>
        <w:widowControl w:val="0"/>
        <w:suppressLineNumbers w:val="0"/>
        <w:spacing w:before="0" w:beforeAutospacing="0" w:after="120" w:afterAutospacing="0" w:line="560" w:lineRule="exact"/>
        <w:ind w:left="0" w:right="0" w:firstLine="420" w:firstLineChars="200"/>
        <w:jc w:val="both"/>
        <w:rPr>
          <w:rFonts w:hint="eastAsia" w:ascii="宋体" w:hAnsi="宋体" w:eastAsia="宋体" w:cs="宋体"/>
          <w:sz w:val="21"/>
          <w:szCs w:val="21"/>
          <w:lang w:val="en-US"/>
        </w:rPr>
      </w:pPr>
    </w:p>
    <w:p w14:paraId="4CF8605E">
      <w:pPr>
        <w:pStyle w:val="24"/>
        <w:keepNext w:val="0"/>
        <w:keepLines w:val="0"/>
        <w:widowControl w:val="0"/>
        <w:suppressLineNumbers w:val="0"/>
        <w:spacing w:before="240" w:beforeAutospacing="0" w:after="60" w:afterAutospacing="0"/>
        <w:ind w:left="0" w:right="0"/>
        <w:jc w:val="center"/>
        <w:outlineLvl w:val="0"/>
        <w:rPr>
          <w:rFonts w:hint="eastAsia" w:ascii="宋体" w:hAnsi="宋体" w:eastAsia="宋体" w:cs="宋体"/>
          <w:sz w:val="21"/>
          <w:szCs w:val="21"/>
          <w:lang w:val="en-US"/>
        </w:rPr>
      </w:pPr>
    </w:p>
    <w:p w14:paraId="5323E243">
      <w:pPr>
        <w:pStyle w:val="24"/>
        <w:keepNext w:val="0"/>
        <w:keepLines w:val="0"/>
        <w:widowControl w:val="0"/>
        <w:suppressLineNumbers w:val="0"/>
        <w:spacing w:before="0" w:beforeAutospacing="0" w:after="0" w:afterAutospacing="0" w:line="200" w:lineRule="exact"/>
        <w:ind w:left="0" w:right="0" w:firstLine="301"/>
        <w:jc w:val="both"/>
        <w:rPr>
          <w:rFonts w:hint="eastAsia" w:ascii="宋体" w:hAnsi="宋体" w:eastAsia="宋体" w:cs="宋体"/>
          <w:sz w:val="21"/>
          <w:szCs w:val="21"/>
          <w:lang w:val="en-US"/>
        </w:rPr>
      </w:pPr>
    </w:p>
    <w:p w14:paraId="568EDC38">
      <w:pPr>
        <w:keepNext w:val="0"/>
        <w:keepLines w:val="0"/>
        <w:widowControl w:val="0"/>
        <w:suppressLineNumbers w:val="0"/>
        <w:spacing w:before="0" w:beforeAutospacing="0" w:after="0" w:afterAutospacing="0"/>
        <w:ind w:left="0" w:right="0"/>
        <w:jc w:val="both"/>
        <w:rPr>
          <w:rFonts w:hint="eastAsia" w:ascii="宋体" w:hAnsi="宋体" w:eastAsia="宋体" w:cs="宋体"/>
          <w:sz w:val="21"/>
          <w:szCs w:val="21"/>
          <w:lang w:val="en-US"/>
        </w:rPr>
      </w:pPr>
    </w:p>
    <w:p w14:paraId="215DC23B">
      <w:pPr>
        <w:pStyle w:val="24"/>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sz w:val="21"/>
          <w:szCs w:val="21"/>
          <w:lang w:val="en-US"/>
        </w:rPr>
      </w:pPr>
    </w:p>
    <w:p w14:paraId="53A990B4">
      <w:pPr>
        <w:pStyle w:val="24"/>
        <w:keepNext w:val="0"/>
        <w:keepLines w:val="0"/>
        <w:widowControl w:val="0"/>
        <w:suppressLineNumbers w:val="0"/>
        <w:spacing w:before="0" w:beforeAutospacing="0" w:after="120" w:afterAutospacing="0" w:line="560" w:lineRule="exact"/>
        <w:ind w:left="0" w:right="0" w:firstLine="420" w:firstLineChars="200"/>
        <w:jc w:val="both"/>
        <w:rPr>
          <w:rFonts w:hint="eastAsia" w:ascii="宋体" w:hAnsi="宋体" w:eastAsia="宋体" w:cs="宋体"/>
          <w:sz w:val="21"/>
          <w:szCs w:val="21"/>
          <w:lang w:val="en-US"/>
        </w:rPr>
      </w:pPr>
    </w:p>
    <w:bookmarkEnd w:id="234"/>
    <w:p w14:paraId="78FCE0A9">
      <w:pPr>
        <w:pStyle w:val="5"/>
        <w:keepNext/>
        <w:keepLines/>
        <w:widowControl w:val="0"/>
        <w:numPr>
          <w:ilvl w:val="0"/>
          <w:numId w:val="0"/>
        </w:numPr>
        <w:suppressLineNumbers w:val="0"/>
        <w:adjustRightInd/>
        <w:spacing w:line="240" w:lineRule="auto"/>
        <w:ind w:left="420" w:leftChars="200" w:firstLine="0"/>
        <w:jc w:val="center"/>
        <w:rPr>
          <w:rFonts w:hint="eastAsia" w:ascii="宋体" w:hAnsi="宋体" w:eastAsia="宋体" w:cs="宋体"/>
          <w:sz w:val="21"/>
          <w:szCs w:val="21"/>
          <w:lang w:eastAsia="zh-CN"/>
        </w:rPr>
      </w:pPr>
    </w:p>
    <w:p w14:paraId="2C8700BA">
      <w:pPr>
        <w:pStyle w:val="5"/>
        <w:keepNext/>
        <w:keepLines/>
        <w:widowControl w:val="0"/>
        <w:numPr>
          <w:ilvl w:val="0"/>
          <w:numId w:val="0"/>
        </w:numPr>
        <w:suppressLineNumbers w:val="0"/>
        <w:adjustRightInd/>
        <w:spacing w:line="240" w:lineRule="auto"/>
        <w:ind w:left="420" w:leftChars="200" w:firstLine="0"/>
        <w:jc w:val="center"/>
        <w:rPr>
          <w:rFonts w:hint="eastAsia" w:ascii="宋体" w:hAnsi="宋体" w:eastAsia="宋体" w:cs="宋体"/>
          <w:sz w:val="24"/>
          <w:szCs w:val="24"/>
          <w:lang w:val="en-US"/>
        </w:rPr>
      </w:pPr>
      <w:r>
        <w:rPr>
          <w:rFonts w:hint="eastAsia" w:ascii="宋体" w:hAnsi="宋体" w:eastAsia="宋体" w:cs="宋体"/>
          <w:sz w:val="24"/>
          <w:szCs w:val="24"/>
          <w:lang w:eastAsia="zh-CN"/>
        </w:rPr>
        <w:t>第三部分 专用合同条款</w:t>
      </w:r>
    </w:p>
    <w:p w14:paraId="20281329">
      <w:pPr>
        <w:pStyle w:val="6"/>
        <w:widowControl/>
        <w:numPr>
          <w:ilvl w:val="0"/>
          <w:numId w:val="0"/>
        </w:numPr>
        <w:tabs>
          <w:tab w:val="left" w:pos="2155"/>
        </w:tabs>
        <w:spacing w:before="0" w:beforeAutospacing="0" w:after="0" w:afterAutospacing="0" w:line="400" w:lineRule="exact"/>
        <w:ind w:left="420" w:leftChars="200" w:right="0" w:firstLine="0"/>
        <w:rPr>
          <w:rFonts w:hint="eastAsia" w:ascii="宋体" w:hAnsi="宋体" w:eastAsia="宋体" w:cs="宋体"/>
          <w:b/>
          <w:bCs w:val="0"/>
          <w:sz w:val="21"/>
          <w:szCs w:val="21"/>
          <w:lang w:val="en-US"/>
        </w:rPr>
      </w:pPr>
      <w:bookmarkStart w:id="235" w:name="_Toc351203633"/>
    </w:p>
    <w:p w14:paraId="321D50CF">
      <w:pPr>
        <w:pStyle w:val="6"/>
        <w:widowControl/>
        <w:numPr>
          <w:ilvl w:val="0"/>
          <w:numId w:val="0"/>
        </w:numPr>
        <w:tabs>
          <w:tab w:val="left" w:pos="2155"/>
        </w:tabs>
        <w:spacing w:before="0" w:beforeAutospacing="0" w:after="0" w:afterAutospacing="0" w:line="400" w:lineRule="exact"/>
        <w:ind w:right="0"/>
        <w:rPr>
          <w:rFonts w:hint="eastAsia" w:ascii="宋体" w:hAnsi="宋体" w:eastAsia="宋体" w:cs="宋体"/>
          <w:b/>
          <w:bCs w:val="0"/>
          <w:sz w:val="21"/>
          <w:szCs w:val="21"/>
          <w:lang w:val="en-US"/>
        </w:rPr>
      </w:pPr>
      <w:r>
        <w:rPr>
          <w:rFonts w:hint="eastAsia" w:ascii="宋体" w:hAnsi="宋体" w:eastAsia="宋体" w:cs="宋体"/>
          <w:b/>
          <w:bCs w:val="0"/>
          <w:sz w:val="21"/>
          <w:szCs w:val="21"/>
          <w:lang w:val="en-US"/>
        </w:rPr>
        <w:t>1</w:t>
      </w:r>
      <w:bookmarkStart w:id="236" w:name="_Toc296503156"/>
      <w:bookmarkStart w:id="237" w:name="_Toc297048342"/>
      <w:bookmarkStart w:id="238" w:name="_Toc292559361"/>
      <w:bookmarkStart w:id="239" w:name="_Toc292559866"/>
      <w:bookmarkStart w:id="240" w:name="_Toc296944495"/>
      <w:bookmarkStart w:id="241" w:name="_Toc296890984"/>
      <w:bookmarkStart w:id="242" w:name="_Toc296891196"/>
      <w:bookmarkStart w:id="243" w:name="_Toc296347155"/>
      <w:bookmarkStart w:id="244" w:name="_Toc296346657"/>
      <w:bookmarkStart w:id="245" w:name="_Toc297120456"/>
      <w:r>
        <w:rPr>
          <w:rFonts w:hint="eastAsia" w:ascii="宋体" w:hAnsi="宋体" w:eastAsia="宋体" w:cs="宋体"/>
          <w:b/>
          <w:bCs w:val="0"/>
          <w:sz w:val="21"/>
          <w:szCs w:val="21"/>
          <w:lang w:val="en-US"/>
        </w:rPr>
        <w:t xml:space="preserve">. </w:t>
      </w:r>
      <w:r>
        <w:rPr>
          <w:rFonts w:hint="eastAsia" w:ascii="宋体" w:hAnsi="宋体" w:eastAsia="宋体" w:cs="宋体"/>
          <w:b/>
          <w:bCs w:val="0"/>
          <w:sz w:val="21"/>
          <w:szCs w:val="21"/>
          <w:lang w:eastAsia="zh-CN"/>
        </w:rPr>
        <w:t>一般约定</w:t>
      </w:r>
      <w:bookmarkEnd w:id="235"/>
    </w:p>
    <w:bookmarkEnd w:id="236"/>
    <w:bookmarkEnd w:id="237"/>
    <w:bookmarkEnd w:id="238"/>
    <w:bookmarkEnd w:id="239"/>
    <w:bookmarkEnd w:id="240"/>
    <w:bookmarkEnd w:id="241"/>
    <w:bookmarkEnd w:id="242"/>
    <w:bookmarkEnd w:id="243"/>
    <w:bookmarkEnd w:id="244"/>
    <w:bookmarkEnd w:id="245"/>
    <w:p w14:paraId="028ED071">
      <w:pPr>
        <w:keepNext w:val="0"/>
        <w:keepLines w:val="0"/>
        <w:widowControl w:val="0"/>
        <w:suppressLineNumbers w:val="0"/>
        <w:spacing w:before="0" w:beforeAutospacing="0" w:after="0" w:afterAutospacing="0" w:line="400" w:lineRule="exact"/>
        <w:ind w:right="0"/>
        <w:jc w:val="both"/>
        <w:rPr>
          <w:rFonts w:hint="eastAsia" w:ascii="宋体" w:hAnsi="宋体" w:eastAsia="宋体" w:cs="宋体"/>
          <w:b/>
          <w:bCs/>
          <w:sz w:val="21"/>
          <w:szCs w:val="21"/>
          <w:lang w:val="en-US"/>
        </w:rPr>
      </w:pPr>
      <w:r>
        <w:rPr>
          <w:rFonts w:hint="eastAsia" w:ascii="宋体" w:hAnsi="宋体" w:eastAsia="宋体" w:cs="宋体"/>
          <w:b/>
          <w:bCs/>
          <w:color w:val="000000"/>
          <w:kern w:val="2"/>
          <w:sz w:val="21"/>
          <w:szCs w:val="21"/>
          <w:lang w:val="en-US" w:eastAsia="zh-CN" w:bidi="ar"/>
        </w:rPr>
        <w:t>1.1词语定义</w:t>
      </w:r>
    </w:p>
    <w:p w14:paraId="3212D26D">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1.1.1合同</w:t>
      </w:r>
    </w:p>
    <w:p w14:paraId="1E3A4DFC">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u w:val="single"/>
          <w:lang w:val="en-US"/>
        </w:rPr>
      </w:pPr>
      <w:r>
        <w:rPr>
          <w:rFonts w:hint="eastAsia" w:ascii="宋体" w:hAnsi="宋体" w:eastAsia="宋体" w:cs="宋体"/>
          <w:color w:val="000000"/>
          <w:kern w:val="2"/>
          <w:sz w:val="21"/>
          <w:szCs w:val="21"/>
          <w:lang w:val="en-US" w:eastAsia="zh-CN" w:bidi="ar"/>
        </w:rPr>
        <w:t>其他合同文件包括：</w:t>
      </w:r>
      <w:r>
        <w:rPr>
          <w:rFonts w:hint="eastAsia" w:ascii="宋体" w:hAnsi="宋体" w:eastAsia="宋体" w:cs="宋体"/>
          <w:color w:val="000000"/>
          <w:kern w:val="2"/>
          <w:sz w:val="21"/>
          <w:szCs w:val="21"/>
          <w:u w:val="single"/>
          <w:lang w:val="en-US" w:eastAsia="zh-CN" w:bidi="ar"/>
        </w:rPr>
        <w:t xml:space="preserve"> 经双方法定代表人或授权代表签字确认并加盖公章的其他有关本工程的洽商、变更等书面协议 </w:t>
      </w:r>
      <w:r>
        <w:rPr>
          <w:rFonts w:hint="eastAsia" w:ascii="宋体" w:hAnsi="宋体" w:eastAsia="宋体" w:cs="宋体"/>
          <w:color w:val="000000"/>
          <w:kern w:val="2"/>
          <w:sz w:val="21"/>
          <w:szCs w:val="21"/>
          <w:lang w:val="en-US" w:eastAsia="zh-CN" w:bidi="ar"/>
        </w:rPr>
        <w:t>。</w:t>
      </w:r>
    </w:p>
    <w:p w14:paraId="475565D9">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color w:val="000000"/>
          <w:kern w:val="2"/>
          <w:sz w:val="21"/>
          <w:szCs w:val="21"/>
          <w:lang w:val="en-US" w:eastAsia="zh-CN" w:bidi="ar"/>
        </w:rPr>
      </w:pPr>
      <w:r>
        <w:rPr>
          <w:rFonts w:hint="eastAsia" w:ascii="宋体" w:hAnsi="宋体" w:eastAsia="宋体" w:cs="宋体"/>
          <w:color w:val="000000"/>
          <w:kern w:val="2"/>
          <w:sz w:val="21"/>
          <w:szCs w:val="21"/>
          <w:lang w:val="en-US" w:eastAsia="zh-CN" w:bidi="ar"/>
        </w:rPr>
        <w:t>1.1.2 合同当事人及其他相关方：</w:t>
      </w:r>
      <w:r>
        <w:rPr>
          <w:rFonts w:hint="eastAsia" w:ascii="宋体" w:hAnsi="宋体" w:eastAsia="宋体" w:cs="宋体"/>
          <w:color w:val="000000"/>
          <w:kern w:val="2"/>
          <w:sz w:val="21"/>
          <w:szCs w:val="21"/>
          <w:u w:val="single"/>
          <w:lang w:val="en-US" w:eastAsia="zh-CN" w:bidi="ar"/>
        </w:rPr>
        <w:t xml:space="preserve">    /     </w:t>
      </w:r>
      <w:r>
        <w:rPr>
          <w:rFonts w:hint="eastAsia" w:ascii="宋体" w:hAnsi="宋体" w:eastAsia="宋体" w:cs="宋体"/>
          <w:color w:val="000000"/>
          <w:kern w:val="2"/>
          <w:sz w:val="21"/>
          <w:szCs w:val="21"/>
          <w:u w:val="none"/>
          <w:lang w:val="en-US" w:eastAsia="zh-CN" w:bidi="ar"/>
        </w:rPr>
        <w:t>。</w:t>
      </w:r>
    </w:p>
    <w:p w14:paraId="66D29B9B">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1.1.3工程和设备</w:t>
      </w:r>
    </w:p>
    <w:p w14:paraId="10861EC1">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u w:val="single"/>
          <w:lang w:val="en-US"/>
        </w:rPr>
      </w:pPr>
      <w:r>
        <w:rPr>
          <w:rFonts w:hint="eastAsia" w:ascii="宋体" w:hAnsi="宋体" w:eastAsia="宋体" w:cs="宋体"/>
          <w:color w:val="000000"/>
          <w:kern w:val="2"/>
          <w:sz w:val="21"/>
          <w:szCs w:val="21"/>
          <w:lang w:val="en-US" w:eastAsia="zh-CN" w:bidi="ar"/>
        </w:rPr>
        <w:t>1.1.3.1作为施工现场组成部分的其他场所包括：</w:t>
      </w:r>
      <w:r>
        <w:rPr>
          <w:rFonts w:hint="eastAsia" w:ascii="宋体" w:hAnsi="宋体" w:eastAsia="宋体" w:cs="宋体"/>
          <w:color w:val="000000"/>
          <w:kern w:val="2"/>
          <w:sz w:val="21"/>
          <w:szCs w:val="21"/>
          <w:u w:val="single"/>
          <w:lang w:val="en-US" w:eastAsia="zh-CN" w:bidi="ar"/>
        </w:rPr>
        <w:t xml:space="preserve"> 符合通用条款规定的发包方提供的施工场地。</w:t>
      </w:r>
    </w:p>
    <w:p w14:paraId="27BA40AA">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1.1.3.2永久占地包括：</w:t>
      </w:r>
      <w:r>
        <w:rPr>
          <w:rFonts w:hint="eastAsia" w:ascii="宋体" w:hAnsi="宋体" w:eastAsia="宋体" w:cs="宋体"/>
          <w:color w:val="000000"/>
          <w:kern w:val="2"/>
          <w:sz w:val="21"/>
          <w:szCs w:val="21"/>
          <w:u w:val="single"/>
          <w:lang w:val="en-US" w:eastAsia="zh-CN" w:bidi="ar"/>
        </w:rPr>
        <w:t xml:space="preserve">  依据设计图纸确定　</w:t>
      </w:r>
      <w:r>
        <w:rPr>
          <w:rFonts w:hint="eastAsia" w:ascii="宋体" w:hAnsi="宋体" w:eastAsia="宋体" w:cs="宋体"/>
          <w:color w:val="000000"/>
          <w:kern w:val="2"/>
          <w:sz w:val="21"/>
          <w:szCs w:val="21"/>
          <w:lang w:val="en-US" w:eastAsia="zh-CN" w:bidi="ar"/>
        </w:rPr>
        <w:t>。</w:t>
      </w:r>
    </w:p>
    <w:p w14:paraId="279E717D">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1.1.3.3临时占地包括：</w:t>
      </w:r>
      <w:r>
        <w:rPr>
          <w:rFonts w:hint="eastAsia" w:ascii="宋体" w:hAnsi="宋体" w:eastAsia="宋体" w:cs="宋体"/>
          <w:color w:val="000000"/>
          <w:kern w:val="2"/>
          <w:sz w:val="21"/>
          <w:szCs w:val="21"/>
          <w:u w:val="single"/>
          <w:lang w:val="en-US" w:eastAsia="zh-CN" w:bidi="ar"/>
        </w:rPr>
        <w:t xml:space="preserve">  双方在合同履行过程中确定</w:t>
      </w:r>
      <w:r>
        <w:rPr>
          <w:rFonts w:hint="eastAsia" w:ascii="宋体" w:hAnsi="宋体" w:eastAsia="宋体" w:cs="宋体"/>
          <w:color w:val="000000"/>
          <w:kern w:val="2"/>
          <w:sz w:val="21"/>
          <w:szCs w:val="21"/>
          <w:lang w:val="en-US" w:eastAsia="zh-CN" w:bidi="ar"/>
        </w:rPr>
        <w:t>。</w:t>
      </w:r>
    </w:p>
    <w:p w14:paraId="271401DF">
      <w:pPr>
        <w:keepNext w:val="0"/>
        <w:keepLines w:val="0"/>
        <w:widowControl w:val="0"/>
        <w:suppressLineNumbers w:val="0"/>
        <w:spacing w:before="0" w:beforeAutospacing="0" w:after="0" w:afterAutospacing="0" w:line="400" w:lineRule="exact"/>
        <w:ind w:right="0"/>
        <w:jc w:val="both"/>
        <w:rPr>
          <w:rFonts w:hint="eastAsia" w:ascii="宋体" w:hAnsi="宋体" w:eastAsia="宋体" w:cs="宋体"/>
          <w:b/>
          <w:bCs/>
          <w:sz w:val="21"/>
          <w:szCs w:val="21"/>
          <w:lang w:val="en-US"/>
        </w:rPr>
      </w:pPr>
      <w:r>
        <w:rPr>
          <w:rFonts w:hint="eastAsia" w:ascii="宋体" w:hAnsi="宋体" w:eastAsia="宋体" w:cs="宋体"/>
          <w:b/>
          <w:bCs/>
          <w:color w:val="000000"/>
          <w:kern w:val="2"/>
          <w:sz w:val="21"/>
          <w:szCs w:val="21"/>
          <w:lang w:val="en-US" w:eastAsia="zh-CN" w:bidi="ar"/>
        </w:rPr>
        <w:t xml:space="preserve">1.2法律 </w:t>
      </w:r>
      <w:bookmarkStart w:id="246" w:name="_Toc351203634"/>
    </w:p>
    <w:p w14:paraId="5614286F">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适用于合同的其他规范性文件：</w:t>
      </w:r>
      <w:r>
        <w:rPr>
          <w:rFonts w:hint="eastAsia" w:ascii="宋体" w:hAnsi="宋体" w:eastAsia="宋体" w:cs="宋体"/>
          <w:color w:val="000000"/>
          <w:kern w:val="2"/>
          <w:sz w:val="21"/>
          <w:szCs w:val="21"/>
          <w:u w:val="single"/>
          <w:lang w:val="en-US" w:eastAsia="zh-CN" w:bidi="ar"/>
        </w:rPr>
        <w:t xml:space="preserve">本合同适用中华人民共和国现行法律、行政法规及工程项目所在地有关法规和规章 </w:t>
      </w:r>
      <w:r>
        <w:rPr>
          <w:rFonts w:hint="eastAsia" w:ascii="宋体" w:hAnsi="宋体" w:eastAsia="宋体" w:cs="宋体"/>
          <w:color w:val="000000"/>
          <w:kern w:val="2"/>
          <w:sz w:val="21"/>
          <w:szCs w:val="21"/>
          <w:lang w:val="en-US" w:eastAsia="zh-CN" w:bidi="ar"/>
        </w:rPr>
        <w:t>。</w:t>
      </w:r>
    </w:p>
    <w:p w14:paraId="4759E6B4">
      <w:pPr>
        <w:pStyle w:val="5"/>
        <w:keepNext/>
        <w:keepLines/>
        <w:widowControl w:val="0"/>
        <w:numPr>
          <w:ilvl w:val="0"/>
          <w:numId w:val="0"/>
        </w:numPr>
        <w:suppressLineNumbers w:val="0"/>
        <w:adjustRightInd/>
        <w:snapToGrid w:val="0"/>
        <w:spacing w:line="400" w:lineRule="exact"/>
        <w:textAlignment w:val="baseline"/>
        <w:rPr>
          <w:rFonts w:hint="eastAsia" w:ascii="宋体" w:hAnsi="宋体" w:eastAsia="宋体" w:cs="宋体"/>
          <w:bCs/>
          <w:sz w:val="21"/>
          <w:szCs w:val="21"/>
          <w:vertAlign w:val="baseline"/>
          <w:lang w:val="en-US"/>
        </w:rPr>
      </w:pPr>
      <w:bookmarkStart w:id="247" w:name="_Toc24898"/>
      <w:bookmarkStart w:id="248" w:name="_Toc389065261"/>
      <w:bookmarkStart w:id="249" w:name="_Toc407135197"/>
      <w:bookmarkStart w:id="250" w:name="_Toc373478342"/>
      <w:bookmarkStart w:id="251" w:name="_Toc373227695"/>
      <w:r>
        <w:rPr>
          <w:rFonts w:hint="eastAsia" w:ascii="宋体" w:hAnsi="宋体" w:eastAsia="宋体" w:cs="宋体"/>
          <w:bCs/>
          <w:sz w:val="21"/>
          <w:szCs w:val="21"/>
          <w:vertAlign w:val="baseline"/>
          <w:lang w:val="en-US"/>
        </w:rPr>
        <w:t>1.3</w:t>
      </w:r>
      <w:r>
        <w:rPr>
          <w:rFonts w:hint="eastAsia" w:ascii="宋体" w:hAnsi="宋体" w:eastAsia="宋体" w:cs="宋体"/>
          <w:bCs/>
          <w:sz w:val="21"/>
          <w:szCs w:val="21"/>
          <w:vertAlign w:val="baseline"/>
          <w:lang w:eastAsia="zh-CN"/>
        </w:rPr>
        <w:t>标准和规范</w:t>
      </w:r>
      <w:bookmarkEnd w:id="247"/>
      <w:bookmarkEnd w:id="248"/>
      <w:bookmarkEnd w:id="249"/>
      <w:bookmarkEnd w:id="250"/>
      <w:bookmarkEnd w:id="251"/>
    </w:p>
    <w:p w14:paraId="4D4177B0">
      <w:pPr>
        <w:keepNext w:val="0"/>
        <w:keepLines w:val="0"/>
        <w:widowControl w:val="0"/>
        <w:suppressLineNumbers w:val="0"/>
        <w:snapToGrid w:val="0"/>
        <w:spacing w:before="0" w:beforeAutospacing="0" w:after="0" w:afterAutospacing="0" w:line="400" w:lineRule="exact"/>
        <w:ind w:left="0" w:right="0" w:firstLine="420" w:firstLineChars="200"/>
        <w:jc w:val="both"/>
        <w:textAlignment w:val="baseline"/>
        <w:rPr>
          <w:rFonts w:hint="eastAsia" w:ascii="宋体" w:hAnsi="宋体" w:eastAsia="宋体" w:cs="宋体"/>
          <w:sz w:val="21"/>
          <w:szCs w:val="21"/>
          <w:vertAlign w:val="baseline"/>
          <w:lang w:val="en-US"/>
        </w:rPr>
      </w:pPr>
      <w:r>
        <w:rPr>
          <w:rFonts w:hint="eastAsia" w:ascii="宋体" w:hAnsi="宋体" w:eastAsia="宋体" w:cs="宋体"/>
          <w:color w:val="000000"/>
          <w:kern w:val="2"/>
          <w:sz w:val="21"/>
          <w:szCs w:val="21"/>
          <w:vertAlign w:val="baseline"/>
          <w:lang w:val="en-US" w:eastAsia="zh-CN" w:bidi="ar"/>
        </w:rPr>
        <w:t>1.3.1 适用于工程的标准规范包括：</w:t>
      </w:r>
      <w:r>
        <w:rPr>
          <w:rFonts w:hint="eastAsia" w:ascii="宋体" w:hAnsi="宋体" w:eastAsia="宋体" w:cs="宋体"/>
          <w:color w:val="000000"/>
          <w:kern w:val="2"/>
          <w:sz w:val="21"/>
          <w:szCs w:val="21"/>
          <w:u w:val="single"/>
          <w:vertAlign w:val="baseline"/>
          <w:lang w:val="en-US" w:eastAsia="zh-CN" w:bidi="ar"/>
        </w:rPr>
        <w:t>合同签订时现行有效的《建设工程质量管理条例》、《建筑工程施工质量验收规范》、《市政工程施工及验收规范》等国家及广西壮族自治区、玉林市颁布的强制性标准规范，若施工期间标准规范更新导致成本增加的，由承包人承担。</w:t>
      </w:r>
    </w:p>
    <w:p w14:paraId="0DEE3D19">
      <w:pPr>
        <w:keepNext w:val="0"/>
        <w:keepLines w:val="0"/>
        <w:widowControl w:val="0"/>
        <w:suppressLineNumbers w:val="0"/>
        <w:snapToGrid w:val="0"/>
        <w:spacing w:before="0" w:beforeAutospacing="0" w:after="0" w:afterAutospacing="0" w:line="400" w:lineRule="exact"/>
        <w:ind w:left="0" w:right="0" w:firstLine="420" w:firstLineChars="200"/>
        <w:jc w:val="both"/>
        <w:textAlignment w:val="baseline"/>
        <w:rPr>
          <w:rFonts w:hint="eastAsia" w:ascii="宋体" w:hAnsi="宋体" w:eastAsia="宋体" w:cs="宋体"/>
          <w:kern w:val="0"/>
          <w:sz w:val="21"/>
          <w:szCs w:val="21"/>
          <w:vertAlign w:val="baseline"/>
          <w:lang w:val="en-US"/>
        </w:rPr>
      </w:pPr>
      <w:r>
        <w:rPr>
          <w:rFonts w:hint="eastAsia" w:ascii="宋体" w:hAnsi="宋体" w:eastAsia="宋体" w:cs="宋体"/>
          <w:color w:val="000000"/>
          <w:kern w:val="0"/>
          <w:sz w:val="21"/>
          <w:szCs w:val="21"/>
          <w:vertAlign w:val="baseline"/>
          <w:lang w:val="en-US" w:eastAsia="zh-CN" w:bidi="ar"/>
        </w:rPr>
        <w:t>1.3.2 发包人提供国外标准、规范的名称：</w:t>
      </w:r>
      <w:r>
        <w:rPr>
          <w:rFonts w:hint="eastAsia" w:ascii="宋体" w:hAnsi="宋体" w:eastAsia="宋体" w:cs="宋体"/>
          <w:color w:val="000000"/>
          <w:kern w:val="2"/>
          <w:sz w:val="21"/>
          <w:szCs w:val="21"/>
          <w:u w:val="single" w:color="000000"/>
          <w:vertAlign w:val="baseline"/>
          <w:lang w:val="en-US" w:eastAsia="zh-CN" w:bidi="ar"/>
        </w:rPr>
        <w:t xml:space="preserve">   </w:t>
      </w:r>
      <w:r>
        <w:rPr>
          <w:rFonts w:hint="eastAsia" w:ascii="宋体" w:hAnsi="宋体" w:eastAsia="宋体" w:cs="宋体"/>
          <w:color w:val="000000"/>
          <w:kern w:val="2"/>
          <w:sz w:val="21"/>
          <w:szCs w:val="21"/>
          <w:u w:val="single"/>
          <w:vertAlign w:val="baseline"/>
          <w:lang w:val="en-US" w:eastAsia="zh-CN" w:bidi="ar"/>
        </w:rPr>
        <w:t xml:space="preserve">/              </w:t>
      </w:r>
      <w:r>
        <w:rPr>
          <w:rFonts w:hint="eastAsia" w:ascii="宋体" w:hAnsi="宋体" w:eastAsia="宋体" w:cs="宋体"/>
          <w:color w:val="000000"/>
          <w:kern w:val="2"/>
          <w:sz w:val="21"/>
          <w:szCs w:val="21"/>
          <w:vertAlign w:val="baseline"/>
          <w:lang w:val="en-US" w:eastAsia="zh-CN" w:bidi="ar"/>
        </w:rPr>
        <w:t>；</w:t>
      </w:r>
    </w:p>
    <w:p w14:paraId="4E141F90">
      <w:pPr>
        <w:keepNext w:val="0"/>
        <w:keepLines w:val="0"/>
        <w:widowControl w:val="0"/>
        <w:suppressLineNumbers w:val="0"/>
        <w:snapToGrid w:val="0"/>
        <w:spacing w:before="0" w:beforeAutospacing="0" w:after="0" w:afterAutospacing="0" w:line="400" w:lineRule="exact"/>
        <w:ind w:left="0" w:right="0" w:firstLine="420" w:firstLineChars="200"/>
        <w:jc w:val="both"/>
        <w:textAlignment w:val="baseline"/>
        <w:rPr>
          <w:rFonts w:hint="eastAsia" w:ascii="宋体" w:hAnsi="宋体" w:eastAsia="宋体" w:cs="宋体"/>
          <w:kern w:val="0"/>
          <w:sz w:val="21"/>
          <w:szCs w:val="21"/>
          <w:vertAlign w:val="baseline"/>
          <w:lang w:val="en-US"/>
        </w:rPr>
      </w:pPr>
      <w:r>
        <w:rPr>
          <w:rFonts w:hint="eastAsia" w:ascii="宋体" w:hAnsi="宋体" w:eastAsia="宋体" w:cs="宋体"/>
          <w:color w:val="000000"/>
          <w:kern w:val="0"/>
          <w:sz w:val="21"/>
          <w:szCs w:val="21"/>
          <w:vertAlign w:val="baseline"/>
          <w:lang w:val="en-US" w:eastAsia="zh-CN" w:bidi="ar"/>
        </w:rPr>
        <w:t>发包人提供国外标准、规范的份数：</w:t>
      </w:r>
      <w:r>
        <w:rPr>
          <w:rFonts w:hint="eastAsia" w:ascii="宋体" w:hAnsi="宋体" w:eastAsia="宋体" w:cs="宋体"/>
          <w:color w:val="000000"/>
          <w:kern w:val="0"/>
          <w:sz w:val="21"/>
          <w:szCs w:val="21"/>
          <w:u w:val="single" w:color="000000"/>
          <w:vertAlign w:val="baseline"/>
          <w:lang w:val="en-US" w:eastAsia="zh-CN" w:bidi="ar"/>
        </w:rPr>
        <w:t xml:space="preserve">         </w:t>
      </w:r>
      <w:r>
        <w:rPr>
          <w:rFonts w:hint="eastAsia" w:ascii="宋体" w:hAnsi="宋体" w:eastAsia="宋体" w:cs="宋体"/>
          <w:color w:val="000000"/>
          <w:kern w:val="2"/>
          <w:sz w:val="21"/>
          <w:szCs w:val="21"/>
          <w:u w:val="single"/>
          <w:vertAlign w:val="baseline"/>
          <w:lang w:val="en-US" w:eastAsia="zh-CN" w:bidi="ar"/>
        </w:rPr>
        <w:t>/</w:t>
      </w:r>
      <w:r>
        <w:rPr>
          <w:rFonts w:hint="eastAsia" w:ascii="宋体" w:hAnsi="宋体" w:eastAsia="宋体" w:cs="宋体"/>
          <w:color w:val="000000"/>
          <w:kern w:val="0"/>
          <w:sz w:val="21"/>
          <w:szCs w:val="21"/>
          <w:u w:val="single" w:color="000000"/>
          <w:vertAlign w:val="baseline"/>
          <w:lang w:val="en-US" w:eastAsia="zh-CN" w:bidi="ar"/>
        </w:rPr>
        <w:t xml:space="preserve"> </w:t>
      </w:r>
      <w:r>
        <w:rPr>
          <w:rFonts w:hint="eastAsia" w:ascii="宋体" w:hAnsi="宋体" w:eastAsia="宋体" w:cs="宋体"/>
          <w:color w:val="000000"/>
          <w:kern w:val="2"/>
          <w:sz w:val="21"/>
          <w:szCs w:val="21"/>
          <w:u w:val="single"/>
          <w:vertAlign w:val="baseline"/>
          <w:lang w:val="en-US" w:eastAsia="zh-CN" w:bidi="ar"/>
        </w:rPr>
        <w:t xml:space="preserve"> </w:t>
      </w:r>
      <w:r>
        <w:rPr>
          <w:rFonts w:hint="eastAsia" w:ascii="宋体" w:hAnsi="宋体" w:eastAsia="宋体" w:cs="宋体"/>
          <w:color w:val="000000"/>
          <w:kern w:val="0"/>
          <w:sz w:val="21"/>
          <w:szCs w:val="21"/>
          <w:u w:val="single" w:color="000000"/>
          <w:vertAlign w:val="baseline"/>
          <w:lang w:val="en-US" w:eastAsia="zh-CN" w:bidi="ar"/>
        </w:rPr>
        <w:t xml:space="preserve">            </w:t>
      </w:r>
      <w:r>
        <w:rPr>
          <w:rFonts w:hint="eastAsia" w:ascii="宋体" w:hAnsi="宋体" w:eastAsia="宋体" w:cs="宋体"/>
          <w:color w:val="000000"/>
          <w:kern w:val="0"/>
          <w:sz w:val="21"/>
          <w:szCs w:val="21"/>
          <w:vertAlign w:val="baseline"/>
          <w:lang w:val="en-US" w:eastAsia="zh-CN" w:bidi="ar"/>
        </w:rPr>
        <w:t>；</w:t>
      </w:r>
    </w:p>
    <w:p w14:paraId="798993D7">
      <w:pPr>
        <w:keepNext w:val="0"/>
        <w:keepLines w:val="0"/>
        <w:widowControl w:val="0"/>
        <w:suppressLineNumbers w:val="0"/>
        <w:snapToGrid w:val="0"/>
        <w:spacing w:before="0" w:beforeAutospacing="0" w:after="0" w:afterAutospacing="0" w:line="400" w:lineRule="exact"/>
        <w:ind w:left="0" w:right="0" w:firstLine="420" w:firstLineChars="200"/>
        <w:jc w:val="both"/>
        <w:textAlignment w:val="baseline"/>
        <w:rPr>
          <w:rFonts w:hint="eastAsia" w:ascii="宋体" w:hAnsi="宋体" w:eastAsia="宋体" w:cs="宋体"/>
          <w:sz w:val="21"/>
          <w:szCs w:val="21"/>
          <w:vertAlign w:val="baseline"/>
          <w:lang w:val="en-US"/>
        </w:rPr>
      </w:pPr>
      <w:r>
        <w:rPr>
          <w:rFonts w:hint="eastAsia" w:ascii="宋体" w:hAnsi="宋体" w:eastAsia="宋体" w:cs="宋体"/>
          <w:color w:val="000000"/>
          <w:kern w:val="0"/>
          <w:sz w:val="21"/>
          <w:szCs w:val="21"/>
          <w:vertAlign w:val="baseline"/>
          <w:lang w:val="en-US" w:eastAsia="zh-CN" w:bidi="ar"/>
        </w:rPr>
        <w:t>发包人提供国外标准、规范的名称：</w:t>
      </w:r>
      <w:r>
        <w:rPr>
          <w:rFonts w:hint="eastAsia" w:ascii="宋体" w:hAnsi="宋体" w:eastAsia="宋体" w:cs="宋体"/>
          <w:color w:val="000000"/>
          <w:kern w:val="0"/>
          <w:sz w:val="21"/>
          <w:szCs w:val="21"/>
          <w:u w:val="single" w:color="000000"/>
          <w:vertAlign w:val="baseline"/>
          <w:lang w:val="en-US" w:eastAsia="zh-CN" w:bidi="ar"/>
        </w:rPr>
        <w:t xml:space="preserve">         </w:t>
      </w:r>
      <w:r>
        <w:rPr>
          <w:rFonts w:hint="eastAsia" w:ascii="宋体" w:hAnsi="宋体" w:eastAsia="宋体" w:cs="宋体"/>
          <w:color w:val="000000"/>
          <w:kern w:val="2"/>
          <w:sz w:val="21"/>
          <w:szCs w:val="21"/>
          <w:u w:val="single"/>
          <w:vertAlign w:val="baseline"/>
          <w:lang w:val="en-US" w:eastAsia="zh-CN" w:bidi="ar"/>
        </w:rPr>
        <w:t>/</w:t>
      </w:r>
      <w:r>
        <w:rPr>
          <w:rFonts w:hint="eastAsia" w:ascii="宋体" w:hAnsi="宋体" w:eastAsia="宋体" w:cs="宋体"/>
          <w:color w:val="000000"/>
          <w:kern w:val="0"/>
          <w:sz w:val="21"/>
          <w:szCs w:val="21"/>
          <w:u w:val="single" w:color="000000"/>
          <w:vertAlign w:val="baseline"/>
          <w:lang w:val="en-US" w:eastAsia="zh-CN" w:bidi="ar"/>
        </w:rPr>
        <w:t xml:space="preserve">              </w:t>
      </w:r>
      <w:r>
        <w:rPr>
          <w:rFonts w:hint="eastAsia" w:ascii="宋体" w:hAnsi="宋体" w:eastAsia="宋体" w:cs="宋体"/>
          <w:color w:val="000000"/>
          <w:kern w:val="0"/>
          <w:sz w:val="21"/>
          <w:szCs w:val="21"/>
          <w:vertAlign w:val="baseline"/>
          <w:lang w:val="en-US" w:eastAsia="zh-CN" w:bidi="ar"/>
        </w:rPr>
        <w:t>。</w:t>
      </w:r>
    </w:p>
    <w:p w14:paraId="3187991C">
      <w:pPr>
        <w:keepNext w:val="0"/>
        <w:keepLines w:val="0"/>
        <w:widowControl w:val="0"/>
        <w:suppressLineNumbers w:val="0"/>
        <w:snapToGrid w:val="0"/>
        <w:spacing w:before="0" w:beforeAutospacing="0" w:after="0" w:afterAutospacing="0" w:line="400" w:lineRule="exact"/>
        <w:ind w:left="0" w:right="0" w:firstLine="420" w:firstLineChars="200"/>
        <w:jc w:val="both"/>
        <w:textAlignment w:val="baseline"/>
        <w:rPr>
          <w:rFonts w:hint="eastAsia" w:ascii="宋体" w:hAnsi="宋体" w:eastAsia="宋体" w:cs="宋体"/>
          <w:sz w:val="21"/>
          <w:szCs w:val="21"/>
          <w:vertAlign w:val="baseline"/>
          <w:lang w:val="en-US"/>
        </w:rPr>
      </w:pPr>
      <w:r>
        <w:rPr>
          <w:rFonts w:hint="eastAsia" w:ascii="宋体" w:hAnsi="宋体" w:eastAsia="宋体" w:cs="宋体"/>
          <w:color w:val="000000"/>
          <w:kern w:val="2"/>
          <w:sz w:val="21"/>
          <w:szCs w:val="21"/>
          <w:vertAlign w:val="baseline"/>
          <w:lang w:val="en-US" w:eastAsia="zh-CN" w:bidi="ar"/>
        </w:rPr>
        <w:t>1.3.3 发包人对工程的技术标准和功能要求的特殊要求：</w:t>
      </w:r>
      <w:r>
        <w:rPr>
          <w:rFonts w:hint="eastAsia" w:ascii="宋体" w:hAnsi="宋体" w:eastAsia="宋体" w:cs="宋体"/>
          <w:color w:val="000000"/>
          <w:kern w:val="2"/>
          <w:sz w:val="21"/>
          <w:szCs w:val="21"/>
          <w:u w:val="single"/>
          <w:vertAlign w:val="baseline"/>
          <w:lang w:val="en-US" w:eastAsia="zh-CN" w:bidi="ar"/>
        </w:rPr>
        <w:t>发包人对工程的技术标准、功能要求高于或严于现行国家、行业或地方标准的，应当在专用合同条款中予以明确。除专用合同条款另有约定外，应视为承包人在签订合同前已充分预见前述技术标准和功能要求的复杂程度，签约合同价中已包含由此产生的费用。</w:t>
      </w:r>
    </w:p>
    <w:p w14:paraId="5B119478">
      <w:pPr>
        <w:pStyle w:val="5"/>
        <w:keepNext/>
        <w:keepLines/>
        <w:widowControl w:val="0"/>
        <w:numPr>
          <w:ilvl w:val="0"/>
          <w:numId w:val="0"/>
        </w:numPr>
        <w:suppressLineNumbers w:val="0"/>
        <w:adjustRightInd/>
        <w:snapToGrid w:val="0"/>
        <w:spacing w:line="400" w:lineRule="exact"/>
        <w:textAlignment w:val="baseline"/>
        <w:rPr>
          <w:rFonts w:hint="eastAsia" w:ascii="宋体" w:hAnsi="宋体" w:eastAsia="宋体" w:cs="宋体"/>
          <w:bCs/>
          <w:sz w:val="21"/>
          <w:szCs w:val="21"/>
          <w:vertAlign w:val="baseline"/>
          <w:lang w:val="en-US"/>
        </w:rPr>
      </w:pPr>
      <w:bookmarkStart w:id="252" w:name="_Toc407135198"/>
      <w:bookmarkStart w:id="253" w:name="_Toc373478343"/>
      <w:bookmarkStart w:id="254" w:name="_Toc389065262"/>
      <w:bookmarkStart w:id="255" w:name="_Toc23707"/>
      <w:bookmarkStart w:id="256" w:name="_Toc373227696"/>
      <w:r>
        <w:rPr>
          <w:rFonts w:hint="eastAsia" w:ascii="宋体" w:hAnsi="宋体" w:eastAsia="宋体" w:cs="宋体"/>
          <w:bCs/>
          <w:sz w:val="21"/>
          <w:szCs w:val="21"/>
          <w:vertAlign w:val="baseline"/>
          <w:lang w:val="en-US"/>
        </w:rPr>
        <w:t>1.4</w:t>
      </w:r>
      <w:r>
        <w:rPr>
          <w:rFonts w:hint="eastAsia" w:ascii="宋体" w:hAnsi="宋体" w:eastAsia="宋体" w:cs="宋体"/>
          <w:bCs/>
          <w:sz w:val="21"/>
          <w:szCs w:val="21"/>
          <w:vertAlign w:val="baseline"/>
          <w:lang w:eastAsia="zh-CN"/>
        </w:rPr>
        <w:t>合同文件的优先顺序</w:t>
      </w:r>
      <w:bookmarkEnd w:id="252"/>
      <w:bookmarkEnd w:id="253"/>
      <w:bookmarkEnd w:id="254"/>
      <w:bookmarkEnd w:id="255"/>
      <w:bookmarkEnd w:id="256"/>
    </w:p>
    <w:p w14:paraId="7037C2F1">
      <w:pPr>
        <w:keepNext w:val="0"/>
        <w:keepLines w:val="0"/>
        <w:widowControl w:val="0"/>
        <w:suppressLineNumbers w:val="0"/>
        <w:snapToGrid w:val="0"/>
        <w:spacing w:before="0" w:beforeAutospacing="0" w:after="0" w:afterAutospacing="0" w:line="400" w:lineRule="exact"/>
        <w:ind w:left="0" w:right="0" w:firstLine="420" w:firstLineChars="200"/>
        <w:jc w:val="both"/>
        <w:textAlignment w:val="baseline"/>
        <w:rPr>
          <w:rFonts w:hint="eastAsia" w:ascii="宋体" w:hAnsi="宋体" w:eastAsia="宋体" w:cs="宋体"/>
          <w:sz w:val="21"/>
          <w:szCs w:val="21"/>
          <w:vertAlign w:val="baseline"/>
          <w:lang w:val="en-US"/>
        </w:rPr>
      </w:pPr>
      <w:r>
        <w:rPr>
          <w:rFonts w:hint="eastAsia" w:ascii="宋体" w:hAnsi="宋体" w:eastAsia="宋体" w:cs="宋体"/>
          <w:color w:val="000000"/>
          <w:kern w:val="2"/>
          <w:sz w:val="21"/>
          <w:szCs w:val="21"/>
          <w:vertAlign w:val="baseline"/>
          <w:lang w:val="en-US" w:eastAsia="zh-CN" w:bidi="ar"/>
        </w:rPr>
        <w:t>1.4.1合同文件组成及优先顺序为：</w:t>
      </w:r>
    </w:p>
    <w:p w14:paraId="3F668560">
      <w:pPr>
        <w:keepNext w:val="0"/>
        <w:keepLines w:val="0"/>
        <w:pageBreakBefore w:val="0"/>
        <w:widowControl w:val="0"/>
        <w:kinsoku/>
        <w:wordWrap/>
        <w:overflowPunct/>
        <w:topLinePunct w:val="0"/>
        <w:autoSpaceDE/>
        <w:autoSpaceDN/>
        <w:bidi w:val="0"/>
        <w:adjustRightInd/>
        <w:snapToGrid w:val="0"/>
        <w:spacing w:line="400" w:lineRule="exact"/>
        <w:ind w:left="0" w:leftChars="0"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）合同协议书；</w:t>
      </w:r>
    </w:p>
    <w:p w14:paraId="34D38C7E">
      <w:pPr>
        <w:keepNext w:val="0"/>
        <w:keepLines w:val="0"/>
        <w:pageBreakBefore w:val="0"/>
        <w:widowControl w:val="0"/>
        <w:kinsoku/>
        <w:wordWrap/>
        <w:overflowPunct/>
        <w:topLinePunct w:val="0"/>
        <w:autoSpaceDE/>
        <w:autoSpaceDN/>
        <w:bidi w:val="0"/>
        <w:adjustRightInd/>
        <w:snapToGrid w:val="0"/>
        <w:spacing w:line="400" w:lineRule="exact"/>
        <w:ind w:left="0" w:leftChars="0" w:firstLine="420" w:firstLineChars="200"/>
        <w:textAlignment w:val="baseline"/>
        <w:rPr>
          <w:rFonts w:hint="eastAsia" w:ascii="宋体" w:hAnsi="宋体" w:eastAsia="宋体" w:cs="宋体"/>
          <w:color w:val="auto"/>
          <w:sz w:val="21"/>
          <w:szCs w:val="21"/>
        </w:rPr>
      </w:pPr>
      <w:bookmarkStart w:id="257" w:name="bookmark916"/>
      <w:bookmarkEnd w:id="257"/>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成交</w:t>
      </w:r>
      <w:r>
        <w:rPr>
          <w:rFonts w:hint="eastAsia" w:ascii="宋体" w:hAnsi="宋体" w:eastAsia="宋体" w:cs="宋体"/>
          <w:color w:val="auto"/>
          <w:sz w:val="21"/>
          <w:szCs w:val="21"/>
        </w:rPr>
        <w:t>通知书；</w:t>
      </w:r>
    </w:p>
    <w:p w14:paraId="46CE7A9F">
      <w:pPr>
        <w:keepNext w:val="0"/>
        <w:keepLines w:val="0"/>
        <w:pageBreakBefore w:val="0"/>
        <w:widowControl w:val="0"/>
        <w:kinsoku/>
        <w:wordWrap/>
        <w:overflowPunct/>
        <w:topLinePunct w:val="0"/>
        <w:autoSpaceDE/>
        <w:autoSpaceDN/>
        <w:bidi w:val="0"/>
        <w:adjustRightInd/>
        <w:snapToGrid w:val="0"/>
        <w:spacing w:line="400" w:lineRule="exact"/>
        <w:ind w:left="0" w:leftChars="0" w:firstLine="420" w:firstLineChars="200"/>
        <w:textAlignment w:val="baseline"/>
        <w:rPr>
          <w:rFonts w:hint="eastAsia" w:ascii="宋体" w:hAnsi="宋体" w:eastAsia="宋体" w:cs="宋体"/>
          <w:color w:val="auto"/>
          <w:sz w:val="21"/>
          <w:szCs w:val="21"/>
        </w:rPr>
      </w:pPr>
      <w:bookmarkStart w:id="258" w:name="bookmark917"/>
      <w:bookmarkEnd w:id="258"/>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w:t>
      </w:r>
      <w:r>
        <w:rPr>
          <w:rFonts w:hint="eastAsia" w:ascii="宋体" w:hAnsi="宋体" w:cs="宋体"/>
          <w:color w:val="auto"/>
          <w:sz w:val="21"/>
          <w:szCs w:val="21"/>
          <w:lang w:val="en-US" w:eastAsia="zh-CN"/>
        </w:rPr>
        <w:t>磋商</w:t>
      </w:r>
      <w:r>
        <w:rPr>
          <w:rFonts w:hint="eastAsia" w:ascii="宋体" w:hAnsi="宋体" w:eastAsia="宋体" w:cs="宋体"/>
          <w:color w:val="000000"/>
          <w:kern w:val="2"/>
          <w:sz w:val="21"/>
          <w:szCs w:val="21"/>
          <w:lang w:val="en-US" w:eastAsia="zh-CN" w:bidi="ar"/>
        </w:rPr>
        <w:t>函及其附录（如有）</w:t>
      </w:r>
      <w:r>
        <w:rPr>
          <w:rFonts w:hint="eastAsia" w:ascii="宋体" w:hAnsi="宋体" w:eastAsia="宋体" w:cs="宋体"/>
          <w:color w:val="auto"/>
          <w:sz w:val="21"/>
          <w:szCs w:val="21"/>
        </w:rPr>
        <w:t>；</w:t>
      </w:r>
    </w:p>
    <w:p w14:paraId="6443A7F5">
      <w:pPr>
        <w:keepNext w:val="0"/>
        <w:keepLines w:val="0"/>
        <w:pageBreakBefore w:val="0"/>
        <w:widowControl w:val="0"/>
        <w:kinsoku/>
        <w:wordWrap/>
        <w:overflowPunct/>
        <w:topLinePunct w:val="0"/>
        <w:autoSpaceDE/>
        <w:autoSpaceDN/>
        <w:bidi w:val="0"/>
        <w:adjustRightInd/>
        <w:snapToGrid w:val="0"/>
        <w:spacing w:line="400" w:lineRule="exact"/>
        <w:ind w:left="0" w:leftChars="0" w:firstLine="420" w:firstLineChars="200"/>
        <w:textAlignment w:val="baseline"/>
        <w:rPr>
          <w:rFonts w:hint="eastAsia" w:ascii="宋体" w:hAnsi="宋体" w:eastAsia="宋体" w:cs="宋体"/>
          <w:color w:val="auto"/>
          <w:sz w:val="21"/>
          <w:szCs w:val="21"/>
        </w:rPr>
      </w:pPr>
      <w:bookmarkStart w:id="259" w:name="bookmark918"/>
      <w:bookmarkEnd w:id="259"/>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rPr>
        <w:t>）专用合同条款；</w:t>
      </w:r>
    </w:p>
    <w:p w14:paraId="11A123B5">
      <w:pPr>
        <w:keepNext w:val="0"/>
        <w:keepLines w:val="0"/>
        <w:pageBreakBefore w:val="0"/>
        <w:widowControl w:val="0"/>
        <w:kinsoku/>
        <w:wordWrap/>
        <w:overflowPunct/>
        <w:topLinePunct w:val="0"/>
        <w:autoSpaceDE/>
        <w:autoSpaceDN/>
        <w:bidi w:val="0"/>
        <w:adjustRightInd/>
        <w:snapToGrid w:val="0"/>
        <w:spacing w:line="400" w:lineRule="exact"/>
        <w:ind w:left="0" w:leftChars="0" w:firstLine="420" w:firstLineChars="200"/>
        <w:textAlignment w:val="baseline"/>
        <w:rPr>
          <w:rFonts w:hint="eastAsia" w:ascii="宋体" w:hAnsi="宋体" w:eastAsia="宋体" w:cs="宋体"/>
          <w:color w:val="auto"/>
          <w:sz w:val="21"/>
          <w:szCs w:val="21"/>
        </w:rPr>
      </w:pPr>
      <w:bookmarkStart w:id="260" w:name="bookmark919"/>
      <w:bookmarkEnd w:id="260"/>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5</w:t>
      </w:r>
      <w:r>
        <w:rPr>
          <w:rFonts w:hint="eastAsia" w:ascii="宋体" w:hAnsi="宋体" w:eastAsia="宋体" w:cs="宋体"/>
          <w:color w:val="auto"/>
          <w:sz w:val="21"/>
          <w:szCs w:val="21"/>
        </w:rPr>
        <w:t>）通用合同条款；</w:t>
      </w:r>
    </w:p>
    <w:p w14:paraId="70E85E60">
      <w:pPr>
        <w:keepNext w:val="0"/>
        <w:keepLines w:val="0"/>
        <w:pageBreakBefore w:val="0"/>
        <w:widowControl w:val="0"/>
        <w:kinsoku/>
        <w:wordWrap/>
        <w:overflowPunct/>
        <w:topLinePunct w:val="0"/>
        <w:autoSpaceDE/>
        <w:autoSpaceDN/>
        <w:bidi w:val="0"/>
        <w:adjustRightInd/>
        <w:snapToGrid w:val="0"/>
        <w:spacing w:line="400" w:lineRule="exact"/>
        <w:ind w:left="0" w:leftChars="0" w:firstLine="420" w:firstLineChars="200"/>
        <w:textAlignment w:val="baseline"/>
        <w:rPr>
          <w:rFonts w:hint="eastAsia" w:ascii="宋体" w:hAnsi="宋体" w:eastAsia="宋体" w:cs="宋体"/>
          <w:color w:val="auto"/>
          <w:sz w:val="21"/>
          <w:szCs w:val="21"/>
        </w:rPr>
      </w:pPr>
      <w:bookmarkStart w:id="261" w:name="bookmark920"/>
      <w:bookmarkEnd w:id="261"/>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6</w:t>
      </w:r>
      <w:r>
        <w:rPr>
          <w:rFonts w:hint="eastAsia" w:ascii="宋体" w:hAnsi="宋体" w:eastAsia="宋体" w:cs="宋体"/>
          <w:color w:val="auto"/>
          <w:sz w:val="21"/>
          <w:szCs w:val="21"/>
        </w:rPr>
        <w:t>）技术标准和要求；</w:t>
      </w:r>
    </w:p>
    <w:p w14:paraId="79AC33EC">
      <w:pPr>
        <w:keepNext w:val="0"/>
        <w:keepLines w:val="0"/>
        <w:pageBreakBefore w:val="0"/>
        <w:widowControl w:val="0"/>
        <w:kinsoku/>
        <w:wordWrap/>
        <w:overflowPunct/>
        <w:topLinePunct w:val="0"/>
        <w:autoSpaceDE/>
        <w:autoSpaceDN/>
        <w:bidi w:val="0"/>
        <w:adjustRightInd/>
        <w:snapToGrid w:val="0"/>
        <w:spacing w:line="400" w:lineRule="exact"/>
        <w:ind w:left="0" w:leftChars="0" w:firstLine="420" w:firstLineChars="200"/>
        <w:textAlignment w:val="baseline"/>
        <w:rPr>
          <w:rFonts w:hint="eastAsia" w:ascii="宋体" w:hAnsi="宋体" w:eastAsia="宋体" w:cs="宋体"/>
          <w:color w:val="auto"/>
          <w:sz w:val="21"/>
          <w:szCs w:val="21"/>
        </w:rPr>
      </w:pPr>
      <w:bookmarkStart w:id="262" w:name="bookmark921"/>
      <w:bookmarkEnd w:id="262"/>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7</w:t>
      </w:r>
      <w:r>
        <w:rPr>
          <w:rFonts w:hint="eastAsia" w:ascii="宋体" w:hAnsi="宋体" w:eastAsia="宋体" w:cs="宋体"/>
          <w:color w:val="auto"/>
          <w:sz w:val="21"/>
          <w:szCs w:val="21"/>
        </w:rPr>
        <w:t>）图纸</w:t>
      </w:r>
      <w:r>
        <w:rPr>
          <w:rFonts w:hint="eastAsia" w:ascii="宋体" w:hAnsi="宋体" w:eastAsia="宋体" w:cs="宋体"/>
          <w:color w:val="000000"/>
          <w:kern w:val="2"/>
          <w:sz w:val="21"/>
          <w:szCs w:val="21"/>
          <w:lang w:val="en-US" w:eastAsia="zh-CN" w:bidi="ar"/>
        </w:rPr>
        <w:t>（如有）</w:t>
      </w:r>
      <w:r>
        <w:rPr>
          <w:rFonts w:hint="eastAsia" w:ascii="宋体" w:hAnsi="宋体" w:eastAsia="宋体" w:cs="宋体"/>
          <w:color w:val="auto"/>
          <w:sz w:val="21"/>
          <w:szCs w:val="21"/>
        </w:rPr>
        <w:t>；</w:t>
      </w:r>
    </w:p>
    <w:p w14:paraId="4DAB93DA">
      <w:pPr>
        <w:keepNext w:val="0"/>
        <w:keepLines w:val="0"/>
        <w:pageBreakBefore w:val="0"/>
        <w:widowControl w:val="0"/>
        <w:kinsoku/>
        <w:wordWrap/>
        <w:overflowPunct/>
        <w:topLinePunct w:val="0"/>
        <w:autoSpaceDE/>
        <w:autoSpaceDN/>
        <w:bidi w:val="0"/>
        <w:adjustRightInd/>
        <w:snapToGrid w:val="0"/>
        <w:spacing w:line="400" w:lineRule="exact"/>
        <w:ind w:left="0" w:leftChars="0" w:firstLine="420" w:firstLineChars="200"/>
        <w:textAlignment w:val="baseline"/>
        <w:rPr>
          <w:rFonts w:hint="eastAsia" w:ascii="宋体" w:hAnsi="宋体" w:eastAsia="宋体" w:cs="宋体"/>
          <w:color w:val="auto"/>
          <w:sz w:val="21"/>
          <w:szCs w:val="21"/>
        </w:rPr>
      </w:pPr>
      <w:bookmarkStart w:id="263" w:name="bookmark922"/>
      <w:bookmarkEnd w:id="263"/>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8</w:t>
      </w:r>
      <w:r>
        <w:rPr>
          <w:rFonts w:hint="eastAsia" w:ascii="宋体" w:hAnsi="宋体" w:eastAsia="宋体" w:cs="宋体"/>
          <w:color w:val="auto"/>
          <w:sz w:val="21"/>
          <w:szCs w:val="21"/>
        </w:rPr>
        <w:t>）已标价工程量清单；</w:t>
      </w:r>
    </w:p>
    <w:p w14:paraId="54B2A531">
      <w:pPr>
        <w:keepNext w:val="0"/>
        <w:keepLines w:val="0"/>
        <w:pageBreakBefore w:val="0"/>
        <w:widowControl w:val="0"/>
        <w:kinsoku/>
        <w:wordWrap/>
        <w:overflowPunct/>
        <w:topLinePunct w:val="0"/>
        <w:autoSpaceDE/>
        <w:autoSpaceDN/>
        <w:bidi w:val="0"/>
        <w:adjustRightInd/>
        <w:snapToGrid w:val="0"/>
        <w:spacing w:line="400" w:lineRule="exact"/>
        <w:ind w:left="0" w:leftChars="0"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9</w:t>
      </w:r>
      <w:r>
        <w:rPr>
          <w:rFonts w:hint="eastAsia" w:ascii="宋体" w:hAnsi="宋体" w:eastAsia="宋体" w:cs="宋体"/>
          <w:color w:val="auto"/>
          <w:sz w:val="21"/>
          <w:szCs w:val="21"/>
        </w:rPr>
        <w:t>）其他合同文件：</w:t>
      </w:r>
    </w:p>
    <w:p w14:paraId="1765556F">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textAlignment w:val="baseline"/>
        <w:rPr>
          <w:rFonts w:hint="eastAsia" w:ascii="宋体" w:hAnsi="宋体" w:eastAsia="宋体" w:cs="宋体"/>
          <w:color w:val="auto"/>
          <w:sz w:val="21"/>
          <w:szCs w:val="21"/>
        </w:rPr>
      </w:pPr>
      <w:bookmarkStart w:id="264" w:name="_Toc407135199"/>
      <w:bookmarkStart w:id="265" w:name="_Toc373478344"/>
      <w:bookmarkStart w:id="266" w:name="_Toc373227697"/>
      <w:bookmarkStart w:id="267" w:name="_Toc389065263"/>
      <w:bookmarkStart w:id="268" w:name="_Toc14049"/>
      <w:r>
        <w:rPr>
          <w:rFonts w:hint="eastAsia" w:ascii="宋体" w:hAnsi="宋体" w:eastAsia="宋体" w:cs="宋体"/>
          <w:color w:val="auto"/>
          <w:sz w:val="21"/>
          <w:szCs w:val="21"/>
        </w:rPr>
        <w:t>在合同订立及履行过程中形成的与合同有关的文件均构成合同文件组成部分。</w:t>
      </w:r>
    </w:p>
    <w:p w14:paraId="6CAF7CFC">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textAlignment w:val="baseline"/>
        <w:rPr>
          <w:rFonts w:hint="eastAsia" w:ascii="宋体" w:hAnsi="宋体" w:eastAsia="宋体" w:cs="宋体"/>
          <w:color w:val="auto"/>
          <w:sz w:val="21"/>
          <w:szCs w:val="21"/>
        </w:rPr>
      </w:pPr>
      <w:r>
        <w:rPr>
          <w:rFonts w:hint="eastAsia" w:ascii="宋体" w:hAnsi="宋体" w:eastAsia="宋体" w:cs="宋体"/>
          <w:color w:val="auto"/>
          <w:sz w:val="21"/>
          <w:szCs w:val="21"/>
        </w:rPr>
        <w:t>上述各项合同文件包括合同当事人就该项合同文件所作出的补充和修改，属于同一类内容的文件，应以最新签署的为准（违反招标文件实质性内容的约定除外）。专用合同条款及其附件须经合同当事人签字或盖章。</w:t>
      </w:r>
    </w:p>
    <w:p w14:paraId="634E4584">
      <w:pPr>
        <w:pStyle w:val="5"/>
        <w:keepNext/>
        <w:keepLines/>
        <w:widowControl w:val="0"/>
        <w:numPr>
          <w:ilvl w:val="0"/>
          <w:numId w:val="0"/>
        </w:numPr>
        <w:suppressLineNumbers w:val="0"/>
        <w:adjustRightInd/>
        <w:snapToGrid w:val="0"/>
        <w:spacing w:line="400" w:lineRule="exact"/>
        <w:textAlignment w:val="baseline"/>
        <w:rPr>
          <w:rFonts w:hint="eastAsia" w:ascii="宋体" w:hAnsi="宋体" w:eastAsia="宋体" w:cs="宋体"/>
          <w:bCs/>
          <w:sz w:val="21"/>
          <w:szCs w:val="21"/>
          <w:vertAlign w:val="baseline"/>
          <w:lang w:val="en-US"/>
        </w:rPr>
      </w:pPr>
      <w:r>
        <w:rPr>
          <w:rFonts w:hint="eastAsia" w:ascii="宋体" w:hAnsi="宋体" w:eastAsia="宋体" w:cs="宋体"/>
          <w:bCs/>
          <w:sz w:val="21"/>
          <w:szCs w:val="21"/>
          <w:vertAlign w:val="baseline"/>
          <w:lang w:val="en-US"/>
        </w:rPr>
        <w:t>1.5</w:t>
      </w:r>
      <w:r>
        <w:rPr>
          <w:rFonts w:hint="eastAsia" w:ascii="宋体" w:hAnsi="宋体" w:eastAsia="宋体" w:cs="宋体"/>
          <w:bCs/>
          <w:sz w:val="21"/>
          <w:szCs w:val="21"/>
          <w:vertAlign w:val="baseline"/>
          <w:lang w:eastAsia="zh-CN"/>
        </w:rPr>
        <w:t>图纸和承包人文件</w:t>
      </w:r>
      <w:bookmarkEnd w:id="264"/>
      <w:bookmarkEnd w:id="265"/>
      <w:bookmarkEnd w:id="266"/>
      <w:bookmarkEnd w:id="267"/>
      <w:bookmarkEnd w:id="268"/>
      <w:r>
        <w:rPr>
          <w:rFonts w:hint="eastAsia" w:ascii="宋体" w:hAnsi="宋体" w:eastAsia="宋体" w:cs="宋体"/>
          <w:bCs/>
          <w:sz w:val="21"/>
          <w:szCs w:val="21"/>
          <w:vertAlign w:val="baseline"/>
          <w:lang w:val="en-US"/>
        </w:rPr>
        <w:tab/>
      </w:r>
    </w:p>
    <w:p w14:paraId="046A7CC5">
      <w:pPr>
        <w:keepNext w:val="0"/>
        <w:keepLines w:val="0"/>
        <w:widowControl w:val="0"/>
        <w:suppressLineNumbers w:val="0"/>
        <w:snapToGrid w:val="0"/>
        <w:spacing w:before="0" w:beforeAutospacing="0" w:after="0" w:afterAutospacing="0" w:line="400" w:lineRule="exact"/>
        <w:ind w:left="0" w:right="0" w:firstLine="420" w:firstLineChars="200"/>
        <w:jc w:val="both"/>
        <w:textAlignment w:val="baseline"/>
        <w:rPr>
          <w:rFonts w:hint="eastAsia" w:ascii="宋体" w:hAnsi="宋体" w:eastAsia="宋体" w:cs="宋体"/>
          <w:sz w:val="21"/>
          <w:szCs w:val="21"/>
          <w:vertAlign w:val="baseline"/>
          <w:lang w:val="en-US"/>
        </w:rPr>
      </w:pPr>
      <w:r>
        <w:rPr>
          <w:rFonts w:hint="eastAsia" w:ascii="宋体" w:hAnsi="宋体" w:eastAsia="宋体" w:cs="宋体"/>
          <w:color w:val="000000"/>
          <w:kern w:val="2"/>
          <w:sz w:val="21"/>
          <w:szCs w:val="21"/>
          <w:vertAlign w:val="baseline"/>
          <w:lang w:val="en-US" w:eastAsia="zh-CN" w:bidi="ar"/>
        </w:rPr>
        <w:t>1.5.1图纸的提供</w:t>
      </w:r>
    </w:p>
    <w:p w14:paraId="6C16C85C">
      <w:pPr>
        <w:keepNext w:val="0"/>
        <w:keepLines w:val="0"/>
        <w:widowControl w:val="0"/>
        <w:suppressLineNumbers w:val="0"/>
        <w:snapToGrid w:val="0"/>
        <w:spacing w:before="0" w:beforeAutospacing="0" w:after="0" w:afterAutospacing="0" w:line="400" w:lineRule="exact"/>
        <w:ind w:left="0" w:right="0" w:firstLine="420" w:firstLineChars="200"/>
        <w:jc w:val="both"/>
        <w:textAlignment w:val="baseline"/>
        <w:rPr>
          <w:rFonts w:hint="eastAsia" w:ascii="宋体" w:hAnsi="宋体" w:eastAsia="宋体" w:cs="宋体"/>
          <w:sz w:val="21"/>
          <w:szCs w:val="21"/>
          <w:vertAlign w:val="baseline"/>
          <w:lang w:val="en-US"/>
        </w:rPr>
      </w:pPr>
      <w:r>
        <w:rPr>
          <w:rFonts w:hint="eastAsia" w:ascii="宋体" w:hAnsi="宋体" w:eastAsia="宋体" w:cs="宋体"/>
          <w:color w:val="000000"/>
          <w:kern w:val="2"/>
          <w:sz w:val="21"/>
          <w:szCs w:val="21"/>
          <w:vertAlign w:val="baseline"/>
          <w:lang w:val="en-US" w:eastAsia="zh-CN" w:bidi="ar"/>
        </w:rPr>
        <w:t>发包人向承包人提供图纸的期限：</w:t>
      </w:r>
      <w:r>
        <w:rPr>
          <w:rFonts w:hint="eastAsia" w:ascii="宋体" w:hAnsi="宋体" w:eastAsia="宋体" w:cs="宋体"/>
          <w:color w:val="000000"/>
          <w:kern w:val="2"/>
          <w:sz w:val="21"/>
          <w:szCs w:val="21"/>
          <w:u w:val="single" w:color="000000"/>
          <w:vertAlign w:val="baseline"/>
          <w:lang w:val="en-US" w:eastAsia="zh-CN" w:bidi="ar"/>
        </w:rPr>
        <w:t xml:space="preserve"> 合同签订后开工进场前 </w:t>
      </w:r>
      <w:r>
        <w:rPr>
          <w:rFonts w:hint="eastAsia" w:ascii="宋体" w:hAnsi="宋体" w:eastAsia="宋体" w:cs="宋体"/>
          <w:color w:val="000000"/>
          <w:kern w:val="2"/>
          <w:sz w:val="21"/>
          <w:szCs w:val="21"/>
          <w:vertAlign w:val="baseline"/>
          <w:lang w:val="en-US" w:eastAsia="zh-CN" w:bidi="ar"/>
        </w:rPr>
        <w:t>；</w:t>
      </w:r>
    </w:p>
    <w:p w14:paraId="2845783B">
      <w:pPr>
        <w:keepNext w:val="0"/>
        <w:keepLines w:val="0"/>
        <w:widowControl w:val="0"/>
        <w:suppressLineNumbers w:val="0"/>
        <w:snapToGrid w:val="0"/>
        <w:spacing w:before="0" w:beforeAutospacing="0" w:after="0" w:afterAutospacing="0" w:line="400" w:lineRule="exact"/>
        <w:ind w:left="0" w:right="0" w:firstLine="420" w:firstLineChars="200"/>
        <w:jc w:val="both"/>
        <w:textAlignment w:val="baseline"/>
        <w:rPr>
          <w:rFonts w:hint="eastAsia" w:ascii="宋体" w:hAnsi="宋体" w:eastAsia="宋体" w:cs="宋体"/>
          <w:sz w:val="21"/>
          <w:szCs w:val="21"/>
          <w:u w:val="single" w:color="000000"/>
          <w:vertAlign w:val="baseline"/>
          <w:lang w:val="en-US"/>
        </w:rPr>
      </w:pPr>
      <w:r>
        <w:rPr>
          <w:rFonts w:hint="eastAsia" w:ascii="宋体" w:hAnsi="宋体" w:eastAsia="宋体" w:cs="宋体"/>
          <w:color w:val="000000"/>
          <w:kern w:val="2"/>
          <w:sz w:val="21"/>
          <w:szCs w:val="21"/>
          <w:vertAlign w:val="baseline"/>
          <w:lang w:val="en-US" w:eastAsia="zh-CN" w:bidi="ar"/>
        </w:rPr>
        <w:t>发包人向承包人提供图纸的数量：</w:t>
      </w:r>
      <w:r>
        <w:rPr>
          <w:rFonts w:hint="eastAsia" w:ascii="宋体" w:hAnsi="宋体" w:eastAsia="宋体" w:cs="宋体"/>
          <w:color w:val="000000"/>
          <w:kern w:val="2"/>
          <w:sz w:val="21"/>
          <w:szCs w:val="21"/>
          <w:u w:val="single" w:color="000000"/>
          <w:vertAlign w:val="baseline"/>
          <w:lang w:val="en-US" w:eastAsia="zh-CN" w:bidi="ar"/>
        </w:rPr>
        <w:t xml:space="preserve"> 壹套，承包人需要增加图纸套数的，发包人应代为复制，复制费用由承包人承担  ；</w:t>
      </w:r>
    </w:p>
    <w:p w14:paraId="2D010957">
      <w:pPr>
        <w:keepNext w:val="0"/>
        <w:keepLines w:val="0"/>
        <w:widowControl w:val="0"/>
        <w:suppressLineNumbers w:val="0"/>
        <w:snapToGrid w:val="0"/>
        <w:spacing w:before="0" w:beforeAutospacing="0" w:after="0" w:afterAutospacing="0" w:line="400" w:lineRule="exact"/>
        <w:ind w:left="0" w:right="0" w:firstLine="420" w:firstLineChars="200"/>
        <w:jc w:val="both"/>
        <w:textAlignment w:val="baseline"/>
        <w:rPr>
          <w:rFonts w:hint="eastAsia" w:ascii="宋体" w:hAnsi="宋体" w:eastAsia="宋体" w:cs="宋体"/>
          <w:sz w:val="21"/>
          <w:szCs w:val="21"/>
          <w:vertAlign w:val="baseline"/>
          <w:lang w:val="en-US"/>
        </w:rPr>
      </w:pPr>
      <w:r>
        <w:rPr>
          <w:rFonts w:hint="eastAsia" w:ascii="宋体" w:hAnsi="宋体" w:eastAsia="宋体" w:cs="宋体"/>
          <w:color w:val="000000"/>
          <w:kern w:val="2"/>
          <w:sz w:val="21"/>
          <w:szCs w:val="21"/>
          <w:vertAlign w:val="baseline"/>
          <w:lang w:val="en-US" w:eastAsia="zh-CN" w:bidi="ar"/>
        </w:rPr>
        <w:t>发包人向承包人提供图纸的内容：</w:t>
      </w:r>
      <w:r>
        <w:rPr>
          <w:rFonts w:hint="eastAsia" w:ascii="宋体" w:hAnsi="宋体" w:eastAsia="宋体" w:cs="宋体"/>
          <w:color w:val="000000"/>
          <w:kern w:val="2"/>
          <w:sz w:val="21"/>
          <w:szCs w:val="21"/>
          <w:u w:val="single" w:color="000000"/>
          <w:vertAlign w:val="baseline"/>
          <w:lang w:val="en-US" w:eastAsia="zh-CN" w:bidi="ar"/>
        </w:rPr>
        <w:t xml:space="preserve">  施工图  </w:t>
      </w:r>
      <w:r>
        <w:rPr>
          <w:rFonts w:hint="eastAsia" w:ascii="宋体" w:hAnsi="宋体" w:eastAsia="宋体" w:cs="宋体"/>
          <w:color w:val="000000"/>
          <w:kern w:val="2"/>
          <w:sz w:val="21"/>
          <w:szCs w:val="21"/>
          <w:vertAlign w:val="baseline"/>
          <w:lang w:val="en-US" w:eastAsia="zh-CN" w:bidi="ar"/>
        </w:rPr>
        <w:t>。</w:t>
      </w:r>
    </w:p>
    <w:p w14:paraId="75D038AD">
      <w:pPr>
        <w:keepNext w:val="0"/>
        <w:keepLines w:val="0"/>
        <w:widowControl w:val="0"/>
        <w:suppressLineNumbers w:val="0"/>
        <w:snapToGrid w:val="0"/>
        <w:spacing w:before="0" w:beforeAutospacing="0" w:after="0" w:afterAutospacing="0" w:line="400" w:lineRule="exact"/>
        <w:ind w:left="0" w:right="0" w:firstLine="420" w:firstLineChars="200"/>
        <w:jc w:val="both"/>
        <w:textAlignment w:val="baseline"/>
        <w:rPr>
          <w:rFonts w:hint="eastAsia" w:ascii="宋体" w:hAnsi="宋体" w:eastAsia="宋体" w:cs="宋体"/>
          <w:sz w:val="21"/>
          <w:szCs w:val="21"/>
          <w:vertAlign w:val="baseline"/>
          <w:lang w:val="en-US"/>
        </w:rPr>
      </w:pPr>
      <w:r>
        <w:rPr>
          <w:rFonts w:hint="eastAsia" w:ascii="宋体" w:hAnsi="宋体" w:eastAsia="宋体" w:cs="宋体"/>
          <w:color w:val="000000"/>
          <w:kern w:val="2"/>
          <w:sz w:val="21"/>
          <w:szCs w:val="21"/>
          <w:vertAlign w:val="baseline"/>
          <w:lang w:val="en-US" w:eastAsia="zh-CN" w:bidi="ar"/>
        </w:rPr>
        <w:t>1.5.2承包人文件</w:t>
      </w:r>
    </w:p>
    <w:p w14:paraId="781AA0D6">
      <w:pPr>
        <w:keepNext w:val="0"/>
        <w:keepLines w:val="0"/>
        <w:widowControl w:val="0"/>
        <w:suppressLineNumbers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sz w:val="21"/>
          <w:szCs w:val="21"/>
          <w:u w:val="single"/>
          <w:vertAlign w:val="baseline"/>
          <w:lang w:val="en-US"/>
        </w:rPr>
      </w:pPr>
      <w:r>
        <w:rPr>
          <w:rFonts w:hint="eastAsia" w:ascii="宋体" w:hAnsi="宋体" w:eastAsia="宋体" w:cs="宋体"/>
          <w:color w:val="000000"/>
          <w:kern w:val="2"/>
          <w:sz w:val="21"/>
          <w:szCs w:val="21"/>
          <w:vertAlign w:val="baseline"/>
          <w:lang w:val="en-US" w:eastAsia="zh-CN" w:bidi="ar"/>
        </w:rPr>
        <w:t>需要由承包人提供的文件，包括：</w:t>
      </w:r>
      <w:r>
        <w:rPr>
          <w:rFonts w:hint="eastAsia" w:ascii="宋体" w:hAnsi="宋体" w:eastAsia="宋体" w:cs="宋体"/>
          <w:color w:val="000000"/>
          <w:kern w:val="2"/>
          <w:sz w:val="21"/>
          <w:szCs w:val="21"/>
          <w:u w:val="single" w:color="000000"/>
          <w:vertAlign w:val="baseline"/>
          <w:lang w:val="en-US" w:eastAsia="zh-CN" w:bidi="ar"/>
        </w:rPr>
        <w:t>施工组织设计，施工技术措施及各项资源需要量的计划等</w:t>
      </w:r>
      <w:r>
        <w:rPr>
          <w:rFonts w:hint="eastAsia" w:ascii="宋体" w:hAnsi="宋体" w:eastAsia="宋体" w:cs="宋体"/>
          <w:color w:val="000000"/>
          <w:kern w:val="2"/>
          <w:sz w:val="21"/>
          <w:szCs w:val="21"/>
          <w:vertAlign w:val="baseline"/>
          <w:lang w:val="en-US" w:eastAsia="zh-CN" w:bidi="ar"/>
        </w:rPr>
        <w:t>；</w:t>
      </w:r>
    </w:p>
    <w:p w14:paraId="07AE7F71">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承包人提供的文件的期限为：</w:t>
      </w:r>
      <w:r>
        <w:rPr>
          <w:rFonts w:hint="eastAsia" w:ascii="宋体" w:hAnsi="宋体" w:eastAsia="宋体" w:cs="宋体"/>
          <w:color w:val="000000"/>
          <w:kern w:val="2"/>
          <w:sz w:val="21"/>
          <w:szCs w:val="21"/>
          <w:u w:val="single"/>
          <w:lang w:val="en-US" w:eastAsia="zh-CN" w:bidi="ar"/>
        </w:rPr>
        <w:t>按发包人要求的时间提供</w:t>
      </w:r>
      <w:r>
        <w:rPr>
          <w:rFonts w:hint="eastAsia" w:ascii="宋体" w:hAnsi="宋体" w:eastAsia="宋体" w:cs="宋体"/>
          <w:color w:val="000000"/>
          <w:kern w:val="2"/>
          <w:sz w:val="21"/>
          <w:szCs w:val="21"/>
          <w:lang w:val="en-US" w:eastAsia="zh-CN" w:bidi="ar"/>
        </w:rPr>
        <w:t>；</w:t>
      </w:r>
    </w:p>
    <w:p w14:paraId="520D9371">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承包人提供的文件的数量为：</w:t>
      </w:r>
      <w:r>
        <w:rPr>
          <w:rFonts w:hint="eastAsia" w:ascii="宋体" w:hAnsi="宋体" w:eastAsia="宋体" w:cs="宋体"/>
          <w:color w:val="000000"/>
          <w:kern w:val="2"/>
          <w:sz w:val="21"/>
          <w:szCs w:val="21"/>
          <w:u w:val="single"/>
          <w:lang w:val="en-US" w:eastAsia="zh-CN" w:bidi="ar"/>
        </w:rPr>
        <w:t xml:space="preserve">  双方另行确定   </w:t>
      </w:r>
      <w:r>
        <w:rPr>
          <w:rFonts w:hint="eastAsia" w:ascii="宋体" w:hAnsi="宋体" w:eastAsia="宋体" w:cs="宋体"/>
          <w:color w:val="000000"/>
          <w:kern w:val="2"/>
          <w:sz w:val="21"/>
          <w:szCs w:val="21"/>
          <w:lang w:val="en-US" w:eastAsia="zh-CN" w:bidi="ar"/>
        </w:rPr>
        <w:t>；</w:t>
      </w:r>
    </w:p>
    <w:p w14:paraId="7490AEFD">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承包人提供的文件的形式为：</w:t>
      </w:r>
      <w:r>
        <w:rPr>
          <w:rFonts w:hint="eastAsia" w:ascii="宋体" w:hAnsi="宋体" w:eastAsia="宋体" w:cs="宋体"/>
          <w:color w:val="000000"/>
          <w:kern w:val="2"/>
          <w:sz w:val="21"/>
          <w:szCs w:val="21"/>
          <w:u w:val="single"/>
          <w:lang w:val="en-US" w:eastAsia="zh-CN" w:bidi="ar"/>
        </w:rPr>
        <w:t xml:space="preserve">  书面   </w:t>
      </w:r>
      <w:r>
        <w:rPr>
          <w:rFonts w:hint="eastAsia" w:ascii="宋体" w:hAnsi="宋体" w:eastAsia="宋体" w:cs="宋体"/>
          <w:color w:val="000000"/>
          <w:kern w:val="2"/>
          <w:sz w:val="21"/>
          <w:szCs w:val="21"/>
          <w:lang w:val="en-US" w:eastAsia="zh-CN" w:bidi="ar"/>
        </w:rPr>
        <w:t>；</w:t>
      </w:r>
    </w:p>
    <w:p w14:paraId="4C3F0DEE">
      <w:pPr>
        <w:keepNext w:val="0"/>
        <w:keepLines w:val="0"/>
        <w:widowControl w:val="0"/>
        <w:suppressLineNumbers w:val="0"/>
        <w:snapToGrid w:val="0"/>
        <w:spacing w:before="0" w:beforeAutospacing="0" w:after="0" w:afterAutospacing="0" w:line="400" w:lineRule="exact"/>
        <w:ind w:left="0" w:right="0" w:firstLine="420" w:firstLineChars="200"/>
        <w:jc w:val="both"/>
        <w:textAlignment w:val="baseline"/>
        <w:rPr>
          <w:rFonts w:hint="eastAsia" w:ascii="宋体" w:hAnsi="宋体" w:eastAsia="宋体" w:cs="宋体"/>
          <w:sz w:val="21"/>
          <w:szCs w:val="21"/>
          <w:vertAlign w:val="baseline"/>
          <w:lang w:val="en-US"/>
        </w:rPr>
      </w:pPr>
      <w:r>
        <w:rPr>
          <w:rFonts w:hint="eastAsia" w:ascii="宋体" w:hAnsi="宋体" w:eastAsia="宋体" w:cs="宋体"/>
          <w:color w:val="000000"/>
          <w:kern w:val="2"/>
          <w:sz w:val="21"/>
          <w:szCs w:val="21"/>
          <w:vertAlign w:val="baseline"/>
          <w:lang w:val="en-US" w:eastAsia="zh-CN" w:bidi="ar"/>
        </w:rPr>
        <w:t>发包人审批承包人文件的期限：</w:t>
      </w:r>
      <w:r>
        <w:rPr>
          <w:rFonts w:hint="eastAsia" w:ascii="宋体" w:hAnsi="宋体" w:eastAsia="宋体" w:cs="宋体"/>
          <w:color w:val="000000"/>
          <w:kern w:val="2"/>
          <w:sz w:val="21"/>
          <w:szCs w:val="21"/>
          <w:u w:val="single"/>
          <w:vertAlign w:val="baseline"/>
          <w:lang w:val="en-US" w:eastAsia="zh-CN" w:bidi="ar"/>
        </w:rPr>
        <w:t xml:space="preserve">按通用条款执行 </w:t>
      </w:r>
      <w:r>
        <w:rPr>
          <w:rFonts w:hint="eastAsia" w:ascii="宋体" w:hAnsi="宋体" w:eastAsia="宋体" w:cs="宋体"/>
          <w:color w:val="000000"/>
          <w:kern w:val="2"/>
          <w:sz w:val="21"/>
          <w:szCs w:val="21"/>
          <w:vertAlign w:val="baseline"/>
          <w:lang w:val="en-US" w:eastAsia="zh-CN" w:bidi="ar"/>
        </w:rPr>
        <w:t>。</w:t>
      </w:r>
    </w:p>
    <w:p w14:paraId="01F5FE48">
      <w:pPr>
        <w:keepNext w:val="0"/>
        <w:keepLines w:val="0"/>
        <w:widowControl w:val="0"/>
        <w:suppressLineNumbers w:val="0"/>
        <w:snapToGrid w:val="0"/>
        <w:spacing w:before="0" w:beforeAutospacing="0" w:after="0" w:afterAutospacing="0" w:line="400" w:lineRule="exact"/>
        <w:ind w:left="0" w:right="0" w:firstLine="420" w:firstLineChars="200"/>
        <w:jc w:val="both"/>
        <w:textAlignment w:val="baseline"/>
        <w:rPr>
          <w:rFonts w:hint="eastAsia" w:ascii="宋体" w:hAnsi="宋体" w:eastAsia="宋体" w:cs="宋体"/>
          <w:sz w:val="21"/>
          <w:szCs w:val="21"/>
          <w:vertAlign w:val="baseline"/>
          <w:lang w:val="en-US"/>
        </w:rPr>
      </w:pPr>
      <w:r>
        <w:rPr>
          <w:rFonts w:hint="eastAsia" w:ascii="宋体" w:hAnsi="宋体" w:eastAsia="宋体" w:cs="宋体"/>
          <w:color w:val="000000"/>
          <w:kern w:val="2"/>
          <w:sz w:val="21"/>
          <w:szCs w:val="21"/>
          <w:vertAlign w:val="baseline"/>
          <w:lang w:val="en-US" w:eastAsia="zh-CN" w:bidi="ar"/>
        </w:rPr>
        <w:t>1.5.3现场图纸准备</w:t>
      </w:r>
    </w:p>
    <w:p w14:paraId="6551865F">
      <w:pPr>
        <w:keepNext w:val="0"/>
        <w:keepLines w:val="0"/>
        <w:widowControl w:val="0"/>
        <w:suppressLineNumbers w:val="0"/>
        <w:snapToGrid w:val="0"/>
        <w:spacing w:before="0" w:beforeAutospacing="0" w:after="0" w:afterAutospacing="0" w:line="400" w:lineRule="exact"/>
        <w:ind w:left="0" w:right="0" w:firstLine="420" w:firstLineChars="200"/>
        <w:jc w:val="both"/>
        <w:textAlignment w:val="baseline"/>
        <w:rPr>
          <w:rFonts w:hint="eastAsia" w:ascii="宋体" w:hAnsi="宋体" w:eastAsia="宋体" w:cs="宋体"/>
          <w:sz w:val="21"/>
          <w:szCs w:val="21"/>
          <w:vertAlign w:val="baseline"/>
          <w:lang w:val="en-US"/>
        </w:rPr>
      </w:pPr>
      <w:r>
        <w:rPr>
          <w:rFonts w:hint="eastAsia" w:ascii="宋体" w:hAnsi="宋体" w:eastAsia="宋体" w:cs="宋体"/>
          <w:color w:val="000000"/>
          <w:kern w:val="2"/>
          <w:sz w:val="21"/>
          <w:szCs w:val="21"/>
          <w:vertAlign w:val="baseline"/>
          <w:lang w:val="en-US" w:eastAsia="zh-CN" w:bidi="ar"/>
        </w:rPr>
        <w:t>关于现场图纸准备的约定：</w:t>
      </w:r>
      <w:r>
        <w:rPr>
          <w:rFonts w:hint="eastAsia" w:ascii="宋体" w:hAnsi="宋体" w:eastAsia="宋体" w:cs="宋体"/>
          <w:color w:val="000000"/>
          <w:kern w:val="2"/>
          <w:sz w:val="21"/>
          <w:szCs w:val="21"/>
          <w:u w:val="single"/>
          <w:vertAlign w:val="baseline"/>
          <w:lang w:val="en-US" w:eastAsia="zh-CN" w:bidi="ar"/>
        </w:rPr>
        <w:t xml:space="preserve"> 执行通用条款 </w:t>
      </w:r>
      <w:r>
        <w:rPr>
          <w:rFonts w:hint="eastAsia" w:ascii="宋体" w:hAnsi="宋体" w:eastAsia="宋体" w:cs="宋体"/>
          <w:color w:val="000000"/>
          <w:kern w:val="2"/>
          <w:sz w:val="21"/>
          <w:szCs w:val="21"/>
          <w:vertAlign w:val="baseline"/>
          <w:lang w:val="en-US" w:eastAsia="zh-CN" w:bidi="ar"/>
        </w:rPr>
        <w:t>。</w:t>
      </w:r>
    </w:p>
    <w:p w14:paraId="1805EAFE">
      <w:pPr>
        <w:pStyle w:val="5"/>
        <w:keepNext/>
        <w:keepLines/>
        <w:widowControl w:val="0"/>
        <w:numPr>
          <w:ilvl w:val="0"/>
          <w:numId w:val="0"/>
        </w:numPr>
        <w:suppressLineNumbers w:val="0"/>
        <w:adjustRightInd/>
        <w:snapToGrid w:val="0"/>
        <w:spacing w:line="400" w:lineRule="exact"/>
        <w:textAlignment w:val="baseline"/>
        <w:rPr>
          <w:rFonts w:hint="eastAsia" w:ascii="宋体" w:hAnsi="宋体" w:eastAsia="宋体" w:cs="宋体"/>
          <w:bCs/>
          <w:sz w:val="21"/>
          <w:szCs w:val="21"/>
          <w:vertAlign w:val="baseline"/>
          <w:lang w:val="en-US"/>
        </w:rPr>
      </w:pPr>
      <w:bookmarkStart w:id="269" w:name="_Toc389065264"/>
      <w:bookmarkStart w:id="270" w:name="_Toc373478345"/>
      <w:bookmarkStart w:id="271" w:name="_Toc373227698"/>
      <w:bookmarkStart w:id="272" w:name="_Toc12819"/>
      <w:bookmarkStart w:id="273" w:name="_Toc407135200"/>
      <w:r>
        <w:rPr>
          <w:rFonts w:hint="eastAsia" w:ascii="宋体" w:hAnsi="宋体" w:eastAsia="宋体" w:cs="宋体"/>
          <w:bCs/>
          <w:sz w:val="21"/>
          <w:szCs w:val="21"/>
          <w:vertAlign w:val="baseline"/>
          <w:lang w:val="en-US"/>
        </w:rPr>
        <w:t>1.6</w:t>
      </w:r>
      <w:r>
        <w:rPr>
          <w:rFonts w:hint="eastAsia" w:ascii="宋体" w:hAnsi="宋体" w:eastAsia="宋体" w:cs="宋体"/>
          <w:bCs/>
          <w:sz w:val="21"/>
          <w:szCs w:val="21"/>
          <w:vertAlign w:val="baseline"/>
          <w:lang w:eastAsia="zh-CN"/>
        </w:rPr>
        <w:t>联络</w:t>
      </w:r>
      <w:bookmarkEnd w:id="269"/>
      <w:bookmarkEnd w:id="270"/>
      <w:bookmarkEnd w:id="271"/>
      <w:bookmarkEnd w:id="272"/>
      <w:bookmarkEnd w:id="273"/>
    </w:p>
    <w:p w14:paraId="73C9294C">
      <w:pPr>
        <w:keepNext w:val="0"/>
        <w:keepLines w:val="0"/>
        <w:widowControl w:val="0"/>
        <w:suppressLineNumbers w:val="0"/>
        <w:snapToGrid w:val="0"/>
        <w:spacing w:before="0" w:beforeAutospacing="0" w:after="0" w:afterAutospacing="0" w:line="400" w:lineRule="exact"/>
        <w:ind w:left="0" w:right="0" w:firstLine="420" w:firstLineChars="200"/>
        <w:jc w:val="both"/>
        <w:textAlignment w:val="baseline"/>
        <w:rPr>
          <w:rFonts w:hint="eastAsia" w:ascii="宋体" w:hAnsi="宋体" w:eastAsia="宋体" w:cs="宋体"/>
          <w:kern w:val="0"/>
          <w:sz w:val="21"/>
          <w:szCs w:val="21"/>
          <w:vertAlign w:val="baseline"/>
          <w:lang w:val="en-US"/>
        </w:rPr>
      </w:pPr>
      <w:r>
        <w:rPr>
          <w:rFonts w:hint="eastAsia" w:ascii="宋体" w:hAnsi="宋体" w:eastAsia="宋体" w:cs="宋体"/>
          <w:color w:val="000000"/>
          <w:kern w:val="0"/>
          <w:sz w:val="21"/>
          <w:szCs w:val="21"/>
          <w:vertAlign w:val="baseline"/>
          <w:lang w:val="en-US" w:eastAsia="zh-CN" w:bidi="ar"/>
        </w:rPr>
        <w:t>1.6.1发包人和承包人应当在</w:t>
      </w:r>
      <w:r>
        <w:rPr>
          <w:rFonts w:hint="eastAsia" w:ascii="宋体" w:hAnsi="宋体" w:eastAsia="宋体" w:cs="宋体"/>
          <w:color w:val="000000"/>
          <w:kern w:val="2"/>
          <w:sz w:val="21"/>
          <w:szCs w:val="21"/>
          <w:u w:val="single" w:color="000000"/>
          <w:vertAlign w:val="baseline"/>
          <w:lang w:val="en-US" w:eastAsia="zh-CN" w:bidi="ar"/>
        </w:rPr>
        <w:t xml:space="preserve">  7 </w:t>
      </w:r>
      <w:r>
        <w:rPr>
          <w:rFonts w:hint="eastAsia" w:ascii="宋体" w:hAnsi="宋体" w:eastAsia="宋体" w:cs="宋体"/>
          <w:color w:val="000000"/>
          <w:kern w:val="0"/>
          <w:sz w:val="21"/>
          <w:szCs w:val="21"/>
          <w:vertAlign w:val="baseline"/>
          <w:lang w:val="en-US" w:eastAsia="zh-CN" w:bidi="ar"/>
        </w:rPr>
        <w:t>天内将与合同有关的通知、批准、证明、证书、指示、指令、要求、请求、同意、意见、确定和决定等书面函件送达对方当事人。</w:t>
      </w:r>
    </w:p>
    <w:p w14:paraId="71DD2132">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kern w:val="0"/>
          <w:sz w:val="21"/>
          <w:szCs w:val="21"/>
          <w:lang w:val="en-US"/>
        </w:rPr>
      </w:pPr>
      <w:bookmarkStart w:id="274" w:name="_Toc373478346"/>
      <w:bookmarkStart w:id="275" w:name="_Toc407135201"/>
      <w:bookmarkStart w:id="276" w:name="_Toc373227699"/>
      <w:bookmarkStart w:id="277" w:name="_Toc389065265"/>
      <w:bookmarkStart w:id="278" w:name="_Toc5539"/>
      <w:r>
        <w:rPr>
          <w:rFonts w:hint="eastAsia" w:ascii="宋体" w:hAnsi="宋体" w:eastAsia="宋体" w:cs="宋体"/>
          <w:color w:val="000000"/>
          <w:kern w:val="0"/>
          <w:sz w:val="21"/>
          <w:szCs w:val="21"/>
          <w:lang w:val="en-US" w:eastAsia="zh-CN" w:bidi="ar"/>
        </w:rPr>
        <w:t>1.6.2发包人接收文件的地点：</w:t>
      </w:r>
      <w:r>
        <w:rPr>
          <w:rFonts w:hint="eastAsia" w:ascii="宋体" w:hAnsi="宋体" w:eastAsia="宋体" w:cs="宋体"/>
          <w:color w:val="000000"/>
          <w:kern w:val="2"/>
          <w:sz w:val="21"/>
          <w:szCs w:val="21"/>
          <w:u w:val="single"/>
          <w:lang w:val="en-US" w:eastAsia="zh-CN" w:bidi="ar"/>
        </w:rPr>
        <w:t xml:space="preserve"> 项目所在地发包人项目部 </w:t>
      </w:r>
      <w:r>
        <w:rPr>
          <w:rFonts w:hint="eastAsia" w:ascii="宋体" w:hAnsi="宋体" w:eastAsia="宋体" w:cs="宋体"/>
          <w:color w:val="000000"/>
          <w:kern w:val="0"/>
          <w:sz w:val="21"/>
          <w:szCs w:val="21"/>
          <w:lang w:val="en-US" w:eastAsia="zh-CN" w:bidi="ar"/>
        </w:rPr>
        <w:t>；</w:t>
      </w:r>
    </w:p>
    <w:p w14:paraId="73BFC9B7">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kern w:val="0"/>
          <w:sz w:val="21"/>
          <w:szCs w:val="21"/>
          <w:lang w:val="en-US"/>
        </w:rPr>
      </w:pPr>
      <w:r>
        <w:rPr>
          <w:rFonts w:hint="eastAsia" w:ascii="宋体" w:hAnsi="宋体" w:eastAsia="宋体" w:cs="宋体"/>
          <w:color w:val="000000"/>
          <w:kern w:val="0"/>
          <w:sz w:val="21"/>
          <w:szCs w:val="21"/>
          <w:lang w:val="en-US" w:eastAsia="zh-CN" w:bidi="ar"/>
        </w:rPr>
        <w:t>发包人指定的接收人为：</w:t>
      </w:r>
      <w:r>
        <w:rPr>
          <w:rFonts w:hint="eastAsia" w:ascii="宋体" w:hAnsi="宋体" w:eastAsia="宋体" w:cs="宋体"/>
          <w:color w:val="000000"/>
          <w:kern w:val="2"/>
          <w:sz w:val="21"/>
          <w:szCs w:val="21"/>
          <w:u w:val="single"/>
          <w:lang w:val="en-US" w:eastAsia="zh-CN" w:bidi="ar"/>
        </w:rPr>
        <w:t>业主派驻现场代表</w:t>
      </w:r>
      <w:r>
        <w:rPr>
          <w:rFonts w:hint="eastAsia" w:ascii="宋体" w:hAnsi="宋体" w:eastAsia="宋体" w:cs="宋体"/>
          <w:color w:val="000000"/>
          <w:kern w:val="0"/>
          <w:sz w:val="21"/>
          <w:szCs w:val="21"/>
          <w:lang w:val="en-US" w:eastAsia="zh-CN" w:bidi="ar"/>
        </w:rPr>
        <w:t>。</w:t>
      </w:r>
    </w:p>
    <w:p w14:paraId="2B2A1346">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kern w:val="0"/>
          <w:sz w:val="21"/>
          <w:szCs w:val="21"/>
          <w:lang w:val="en-US"/>
        </w:rPr>
      </w:pPr>
      <w:r>
        <w:rPr>
          <w:rFonts w:hint="eastAsia" w:ascii="宋体" w:hAnsi="宋体" w:eastAsia="宋体" w:cs="宋体"/>
          <w:color w:val="000000"/>
          <w:kern w:val="0"/>
          <w:sz w:val="21"/>
          <w:szCs w:val="21"/>
          <w:lang w:val="en-US" w:eastAsia="zh-CN" w:bidi="ar"/>
        </w:rPr>
        <w:t>承包人接收文件的地点：</w:t>
      </w:r>
      <w:r>
        <w:rPr>
          <w:rFonts w:hint="eastAsia" w:ascii="宋体" w:hAnsi="宋体" w:eastAsia="宋体" w:cs="宋体"/>
          <w:color w:val="000000"/>
          <w:kern w:val="2"/>
          <w:sz w:val="21"/>
          <w:szCs w:val="21"/>
          <w:u w:val="single"/>
          <w:lang w:val="en-US" w:eastAsia="zh-CN" w:bidi="ar"/>
        </w:rPr>
        <w:t>承包人施工现场项目部</w:t>
      </w:r>
      <w:r>
        <w:rPr>
          <w:rFonts w:hint="eastAsia" w:ascii="宋体" w:hAnsi="宋体" w:eastAsia="宋体" w:cs="宋体"/>
          <w:color w:val="000000"/>
          <w:kern w:val="0"/>
          <w:sz w:val="21"/>
          <w:szCs w:val="21"/>
          <w:lang w:val="en-US" w:eastAsia="zh-CN" w:bidi="ar"/>
        </w:rPr>
        <w:t>；</w:t>
      </w:r>
    </w:p>
    <w:p w14:paraId="1EE0EE59">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kern w:val="0"/>
          <w:sz w:val="21"/>
          <w:szCs w:val="21"/>
          <w:lang w:val="en-US"/>
        </w:rPr>
      </w:pPr>
      <w:r>
        <w:rPr>
          <w:rFonts w:hint="eastAsia" w:ascii="宋体" w:hAnsi="宋体" w:eastAsia="宋体" w:cs="宋体"/>
          <w:color w:val="000000"/>
          <w:kern w:val="0"/>
          <w:sz w:val="21"/>
          <w:szCs w:val="21"/>
          <w:lang w:val="en-US" w:eastAsia="zh-CN" w:bidi="ar"/>
        </w:rPr>
        <w:t>承包人指定的接收人为：</w:t>
      </w:r>
      <w:r>
        <w:rPr>
          <w:rFonts w:hint="eastAsia" w:ascii="宋体" w:hAnsi="宋体" w:eastAsia="宋体" w:cs="宋体"/>
          <w:color w:val="000000"/>
          <w:kern w:val="2"/>
          <w:sz w:val="21"/>
          <w:szCs w:val="21"/>
          <w:u w:val="single"/>
          <w:lang w:val="en-US" w:eastAsia="zh-CN" w:bidi="ar"/>
        </w:rPr>
        <w:t xml:space="preserve"> 项目经理 </w:t>
      </w:r>
      <w:r>
        <w:rPr>
          <w:rFonts w:hint="eastAsia" w:ascii="宋体" w:hAnsi="宋体" w:eastAsia="宋体" w:cs="宋体"/>
          <w:color w:val="000000"/>
          <w:kern w:val="0"/>
          <w:sz w:val="21"/>
          <w:szCs w:val="21"/>
          <w:lang w:val="en-US" w:eastAsia="zh-CN" w:bidi="ar"/>
        </w:rPr>
        <w:t>。</w:t>
      </w:r>
    </w:p>
    <w:p w14:paraId="2CB46A14">
      <w:pPr>
        <w:pStyle w:val="5"/>
        <w:keepNext/>
        <w:keepLines/>
        <w:widowControl w:val="0"/>
        <w:numPr>
          <w:ilvl w:val="0"/>
          <w:numId w:val="0"/>
        </w:numPr>
        <w:suppressLineNumbers w:val="0"/>
        <w:adjustRightInd/>
        <w:snapToGrid w:val="0"/>
        <w:spacing w:line="400" w:lineRule="exact"/>
        <w:textAlignment w:val="baseline"/>
        <w:rPr>
          <w:rFonts w:hint="eastAsia" w:ascii="宋体" w:hAnsi="宋体" w:eastAsia="宋体" w:cs="宋体"/>
          <w:bCs/>
          <w:sz w:val="21"/>
          <w:szCs w:val="21"/>
          <w:vertAlign w:val="baseline"/>
          <w:lang w:val="en-US"/>
        </w:rPr>
      </w:pPr>
      <w:r>
        <w:rPr>
          <w:rFonts w:hint="eastAsia" w:ascii="宋体" w:hAnsi="宋体" w:eastAsia="宋体" w:cs="宋体"/>
          <w:bCs/>
          <w:sz w:val="21"/>
          <w:szCs w:val="21"/>
          <w:vertAlign w:val="baseline"/>
          <w:lang w:val="en-US"/>
        </w:rPr>
        <w:t>1.7</w:t>
      </w:r>
      <w:r>
        <w:rPr>
          <w:rFonts w:hint="eastAsia" w:ascii="宋体" w:hAnsi="宋体" w:eastAsia="宋体" w:cs="宋体"/>
          <w:bCs/>
          <w:sz w:val="21"/>
          <w:szCs w:val="21"/>
          <w:vertAlign w:val="baseline"/>
          <w:lang w:eastAsia="zh-CN"/>
        </w:rPr>
        <w:t>交通运输</w:t>
      </w:r>
      <w:bookmarkEnd w:id="274"/>
      <w:bookmarkEnd w:id="275"/>
      <w:bookmarkEnd w:id="276"/>
      <w:bookmarkEnd w:id="277"/>
      <w:bookmarkEnd w:id="278"/>
    </w:p>
    <w:p w14:paraId="04CA9A06">
      <w:pPr>
        <w:keepNext w:val="0"/>
        <w:keepLines w:val="0"/>
        <w:widowControl w:val="0"/>
        <w:suppressLineNumbers w:val="0"/>
        <w:spacing w:before="0" w:beforeAutospacing="0" w:after="0" w:afterAutospacing="0" w:line="400" w:lineRule="exact"/>
        <w:ind w:left="0" w:right="0" w:firstLine="420" w:firstLineChars="200"/>
        <w:jc w:val="both"/>
        <w:outlineLvl w:val="0"/>
        <w:rPr>
          <w:rFonts w:hint="eastAsia" w:ascii="宋体" w:hAnsi="宋体" w:eastAsia="宋体" w:cs="宋体"/>
          <w:sz w:val="21"/>
          <w:szCs w:val="21"/>
          <w:lang w:val="en-US"/>
        </w:rPr>
      </w:pPr>
      <w:bookmarkStart w:id="279" w:name="_Toc435706992"/>
      <w:bookmarkStart w:id="280" w:name="_Toc470017708"/>
      <w:bookmarkStart w:id="281" w:name="_Toc32236"/>
      <w:bookmarkStart w:id="282" w:name="_Toc28234"/>
      <w:bookmarkStart w:id="283" w:name="_Toc11269"/>
      <w:bookmarkStart w:id="284" w:name="_Toc25482"/>
      <w:bookmarkStart w:id="285" w:name="_Toc8960"/>
      <w:bookmarkStart w:id="286" w:name="_Toc18882"/>
      <w:bookmarkStart w:id="287" w:name="_Toc484160226"/>
      <w:r>
        <w:rPr>
          <w:rFonts w:hint="eastAsia" w:ascii="宋体" w:hAnsi="宋体" w:eastAsia="宋体" w:cs="宋体"/>
          <w:color w:val="000000"/>
          <w:kern w:val="2"/>
          <w:sz w:val="21"/>
          <w:szCs w:val="21"/>
          <w:lang w:val="en-US" w:eastAsia="zh-CN" w:bidi="ar"/>
        </w:rPr>
        <w:t>1</w:t>
      </w:r>
      <w:bookmarkStart w:id="288" w:name="_Toc318581155"/>
      <w:bookmarkStart w:id="289" w:name="_Toc303539100"/>
      <w:bookmarkStart w:id="290" w:name="_Toc300934943"/>
      <w:bookmarkStart w:id="291" w:name="_Toc312677986"/>
      <w:bookmarkStart w:id="292" w:name="_Toc304295521"/>
      <w:r>
        <w:rPr>
          <w:rFonts w:hint="eastAsia" w:ascii="宋体" w:hAnsi="宋体" w:eastAsia="宋体" w:cs="宋体"/>
          <w:color w:val="000000"/>
          <w:kern w:val="2"/>
          <w:sz w:val="21"/>
          <w:szCs w:val="21"/>
          <w:lang w:val="en-US" w:eastAsia="zh-CN" w:bidi="ar"/>
        </w:rPr>
        <w:t>.7.1出入现场的权利</w:t>
      </w:r>
      <w:bookmarkEnd w:id="279"/>
      <w:bookmarkEnd w:id="280"/>
      <w:bookmarkEnd w:id="281"/>
      <w:bookmarkEnd w:id="282"/>
      <w:bookmarkEnd w:id="283"/>
      <w:bookmarkEnd w:id="284"/>
      <w:bookmarkEnd w:id="285"/>
      <w:bookmarkEnd w:id="286"/>
      <w:bookmarkEnd w:id="287"/>
    </w:p>
    <w:p w14:paraId="41AF78D8">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u w:val="single"/>
          <w:lang w:val="en-US"/>
        </w:rPr>
      </w:pPr>
      <w:r>
        <w:rPr>
          <w:rFonts w:hint="eastAsia" w:ascii="宋体" w:hAnsi="宋体" w:eastAsia="宋体" w:cs="宋体"/>
          <w:color w:val="000000"/>
          <w:kern w:val="2"/>
          <w:sz w:val="21"/>
          <w:szCs w:val="21"/>
          <w:lang w:val="en-US" w:eastAsia="zh-CN" w:bidi="ar"/>
        </w:rPr>
        <w:t>关于出入现场的权利的约定：</w:t>
      </w:r>
      <w:r>
        <w:rPr>
          <w:rFonts w:hint="eastAsia" w:ascii="宋体" w:hAnsi="宋体" w:eastAsia="宋体" w:cs="宋体"/>
          <w:color w:val="000000"/>
          <w:kern w:val="2"/>
          <w:sz w:val="21"/>
          <w:szCs w:val="21"/>
          <w:u w:val="single"/>
          <w:lang w:val="en-US" w:eastAsia="zh-CN" w:bidi="ar"/>
        </w:rPr>
        <w:t xml:space="preserve">             /                </w:t>
      </w:r>
      <w:r>
        <w:rPr>
          <w:rFonts w:hint="eastAsia" w:ascii="宋体" w:hAnsi="宋体" w:eastAsia="宋体" w:cs="宋体"/>
          <w:color w:val="000000"/>
          <w:kern w:val="2"/>
          <w:sz w:val="21"/>
          <w:szCs w:val="21"/>
          <w:lang w:val="en-US" w:eastAsia="zh-CN" w:bidi="ar"/>
        </w:rPr>
        <w:t>。</w:t>
      </w:r>
    </w:p>
    <w:bookmarkEnd w:id="288"/>
    <w:bookmarkEnd w:id="289"/>
    <w:bookmarkEnd w:id="290"/>
    <w:bookmarkEnd w:id="291"/>
    <w:bookmarkEnd w:id="292"/>
    <w:p w14:paraId="310A74EE">
      <w:pPr>
        <w:keepNext w:val="0"/>
        <w:keepLines w:val="0"/>
        <w:widowControl w:val="0"/>
        <w:suppressLineNumbers w:val="0"/>
        <w:spacing w:before="0" w:beforeAutospacing="0" w:after="0" w:afterAutospacing="0" w:line="400" w:lineRule="exact"/>
        <w:ind w:left="0" w:right="0" w:firstLine="420" w:firstLineChars="200"/>
        <w:jc w:val="left"/>
        <w:outlineLvl w:val="0"/>
        <w:rPr>
          <w:rFonts w:hint="eastAsia" w:ascii="宋体" w:hAnsi="宋体" w:eastAsia="宋体" w:cs="宋体"/>
          <w:sz w:val="21"/>
          <w:szCs w:val="21"/>
          <w:lang w:val="en-US"/>
        </w:rPr>
      </w:pPr>
      <w:bookmarkStart w:id="293" w:name="_Toc18451"/>
      <w:bookmarkStart w:id="294" w:name="_Toc435706993"/>
      <w:bookmarkStart w:id="295" w:name="_Toc25805"/>
      <w:bookmarkStart w:id="296" w:name="_Toc7001"/>
      <w:bookmarkStart w:id="297" w:name="_Toc21533"/>
      <w:bookmarkStart w:id="298" w:name="_Toc470017709"/>
      <w:bookmarkStart w:id="299" w:name="_Toc29617"/>
      <w:bookmarkStart w:id="300" w:name="_Toc9879"/>
      <w:bookmarkStart w:id="301" w:name="_Toc484160227"/>
      <w:r>
        <w:rPr>
          <w:rFonts w:hint="eastAsia" w:ascii="宋体" w:hAnsi="宋体" w:eastAsia="宋体" w:cs="宋体"/>
          <w:color w:val="000000"/>
          <w:kern w:val="2"/>
          <w:sz w:val="21"/>
          <w:szCs w:val="21"/>
          <w:lang w:val="en-US" w:eastAsia="zh-CN" w:bidi="ar"/>
        </w:rPr>
        <w:t>1</w:t>
      </w:r>
      <w:bookmarkStart w:id="302" w:name="_Toc303539101"/>
      <w:bookmarkStart w:id="303" w:name="_Toc318581156"/>
      <w:bookmarkStart w:id="304" w:name="_Toc312677987"/>
      <w:bookmarkStart w:id="305" w:name="_Toc304295522"/>
      <w:bookmarkStart w:id="306" w:name="_Toc300934944"/>
      <w:r>
        <w:rPr>
          <w:rFonts w:hint="eastAsia" w:ascii="宋体" w:hAnsi="宋体" w:eastAsia="宋体" w:cs="宋体"/>
          <w:color w:val="000000"/>
          <w:kern w:val="2"/>
          <w:sz w:val="21"/>
          <w:szCs w:val="21"/>
          <w:lang w:val="en-US" w:eastAsia="zh-CN" w:bidi="ar"/>
        </w:rPr>
        <w:t>.7.2场内交通</w:t>
      </w:r>
      <w:bookmarkEnd w:id="293"/>
      <w:bookmarkEnd w:id="294"/>
      <w:bookmarkEnd w:id="295"/>
      <w:bookmarkEnd w:id="296"/>
      <w:bookmarkEnd w:id="297"/>
      <w:bookmarkEnd w:id="298"/>
      <w:bookmarkEnd w:id="299"/>
      <w:bookmarkEnd w:id="300"/>
      <w:bookmarkEnd w:id="301"/>
    </w:p>
    <w:p w14:paraId="12D023B0">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kern w:val="0"/>
          <w:sz w:val="21"/>
          <w:szCs w:val="21"/>
          <w:lang w:val="en-US"/>
        </w:rPr>
      </w:pPr>
      <w:r>
        <w:rPr>
          <w:rFonts w:hint="eastAsia" w:ascii="宋体" w:hAnsi="宋体" w:eastAsia="宋体" w:cs="宋体"/>
          <w:color w:val="000000"/>
          <w:kern w:val="0"/>
          <w:sz w:val="21"/>
          <w:szCs w:val="21"/>
          <w:lang w:val="en-US" w:eastAsia="zh-CN" w:bidi="ar"/>
        </w:rPr>
        <w:t>关于场外交通和场内交通的边界的约定：</w:t>
      </w:r>
      <w:r>
        <w:rPr>
          <w:rFonts w:hint="eastAsia" w:ascii="宋体" w:hAnsi="宋体" w:eastAsia="宋体" w:cs="宋体"/>
          <w:color w:val="000000"/>
          <w:kern w:val="2"/>
          <w:sz w:val="21"/>
          <w:szCs w:val="21"/>
          <w:u w:val="single"/>
          <w:lang w:val="en-US" w:eastAsia="zh-CN" w:bidi="ar"/>
        </w:rPr>
        <w:t xml:space="preserve"> 场外交通与场内交通以施工许可证载明的用地红线为界，承包人负责办理临时占地相关行政审批手续并承担费用，因违规占地导致的行政处罚由承包人承担 </w:t>
      </w:r>
      <w:r>
        <w:rPr>
          <w:rFonts w:hint="eastAsia" w:ascii="宋体" w:hAnsi="宋体" w:eastAsia="宋体" w:cs="宋体"/>
          <w:color w:val="000000"/>
          <w:kern w:val="2"/>
          <w:sz w:val="21"/>
          <w:szCs w:val="21"/>
          <w:lang w:val="en-US" w:eastAsia="zh-CN" w:bidi="ar"/>
        </w:rPr>
        <w:t>。</w:t>
      </w:r>
    </w:p>
    <w:p w14:paraId="416A05E1">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关于发包人向承包人免费提供满足工程施工需要的场内道路和交通设施的约定：</w:t>
      </w:r>
      <w:r>
        <w:rPr>
          <w:rFonts w:hint="eastAsia" w:ascii="宋体" w:hAnsi="宋体" w:eastAsia="宋体" w:cs="宋体"/>
          <w:color w:val="000000"/>
          <w:kern w:val="2"/>
          <w:sz w:val="21"/>
          <w:szCs w:val="21"/>
          <w:u w:val="single"/>
          <w:lang w:val="en-US" w:eastAsia="zh-CN" w:bidi="ar"/>
        </w:rPr>
        <w:t xml:space="preserve"> / </w:t>
      </w:r>
      <w:r>
        <w:rPr>
          <w:rFonts w:hint="eastAsia" w:ascii="宋体" w:hAnsi="宋体" w:eastAsia="宋体" w:cs="宋体"/>
          <w:color w:val="000000"/>
          <w:kern w:val="2"/>
          <w:sz w:val="21"/>
          <w:szCs w:val="21"/>
          <w:lang w:val="en-US" w:eastAsia="zh-CN" w:bidi="ar"/>
        </w:rPr>
        <w:t>。</w:t>
      </w:r>
      <w:bookmarkEnd w:id="302"/>
      <w:bookmarkEnd w:id="303"/>
      <w:bookmarkEnd w:id="304"/>
      <w:bookmarkEnd w:id="305"/>
      <w:bookmarkEnd w:id="306"/>
      <w:bookmarkStart w:id="307" w:name="_Toc318581157"/>
    </w:p>
    <w:p w14:paraId="3A4B0ABE">
      <w:pPr>
        <w:keepNext w:val="0"/>
        <w:keepLines w:val="0"/>
        <w:widowControl w:val="0"/>
        <w:suppressLineNumbers w:val="0"/>
        <w:spacing w:before="0" w:beforeAutospacing="0" w:after="0" w:afterAutospacing="0" w:line="400" w:lineRule="exact"/>
        <w:ind w:left="0" w:right="0" w:firstLine="420" w:firstLineChars="200"/>
        <w:jc w:val="left"/>
        <w:outlineLvl w:val="0"/>
        <w:rPr>
          <w:rFonts w:hint="eastAsia" w:ascii="宋体" w:hAnsi="宋体" w:eastAsia="宋体" w:cs="宋体"/>
          <w:sz w:val="21"/>
          <w:szCs w:val="21"/>
          <w:lang w:val="en-US"/>
        </w:rPr>
      </w:pPr>
      <w:bookmarkStart w:id="308" w:name="_Toc484160228"/>
      <w:bookmarkStart w:id="309" w:name="_Toc435706994"/>
      <w:bookmarkStart w:id="310" w:name="_Toc65"/>
      <w:bookmarkStart w:id="311" w:name="_Toc15691"/>
      <w:bookmarkStart w:id="312" w:name="_Toc21019"/>
      <w:bookmarkStart w:id="313" w:name="_Toc30450"/>
      <w:bookmarkStart w:id="314" w:name="_Toc28631"/>
      <w:bookmarkStart w:id="315" w:name="_Toc470017710"/>
      <w:bookmarkStart w:id="316" w:name="_Toc26174"/>
      <w:r>
        <w:rPr>
          <w:rFonts w:hint="eastAsia" w:ascii="宋体" w:hAnsi="宋体" w:eastAsia="宋体" w:cs="宋体"/>
          <w:color w:val="000000"/>
          <w:kern w:val="2"/>
          <w:sz w:val="21"/>
          <w:szCs w:val="21"/>
          <w:lang w:val="en-US" w:eastAsia="zh-CN" w:bidi="ar"/>
        </w:rPr>
        <w:t>1.7.3超大件和超重件的运输</w:t>
      </w:r>
      <w:bookmarkEnd w:id="308"/>
      <w:bookmarkEnd w:id="309"/>
      <w:bookmarkEnd w:id="310"/>
      <w:bookmarkEnd w:id="311"/>
      <w:bookmarkEnd w:id="312"/>
      <w:bookmarkEnd w:id="313"/>
      <w:bookmarkEnd w:id="314"/>
      <w:bookmarkEnd w:id="315"/>
      <w:bookmarkEnd w:id="316"/>
    </w:p>
    <w:p w14:paraId="3B486AA7">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u w:val="single"/>
          <w:lang w:val="en-US"/>
        </w:rPr>
      </w:pPr>
      <w:r>
        <w:rPr>
          <w:rFonts w:hint="eastAsia" w:ascii="宋体" w:hAnsi="宋体" w:eastAsia="宋体" w:cs="宋体"/>
          <w:color w:val="000000"/>
          <w:kern w:val="2"/>
          <w:sz w:val="21"/>
          <w:szCs w:val="21"/>
          <w:lang w:val="en-US" w:eastAsia="zh-CN" w:bidi="ar"/>
        </w:rPr>
        <w:t>运输超大件或超重件所需的道路和桥梁临时加固改造费用和其他有关费用由</w:t>
      </w:r>
      <w:r>
        <w:rPr>
          <w:rFonts w:hint="eastAsia" w:ascii="宋体" w:hAnsi="宋体" w:eastAsia="宋体" w:cs="宋体"/>
          <w:color w:val="000000"/>
          <w:kern w:val="2"/>
          <w:sz w:val="21"/>
          <w:szCs w:val="21"/>
          <w:u w:val="single"/>
          <w:lang w:val="en-US" w:eastAsia="zh-CN" w:bidi="ar"/>
        </w:rPr>
        <w:t>承包人</w:t>
      </w:r>
      <w:r>
        <w:rPr>
          <w:rFonts w:hint="eastAsia" w:ascii="宋体" w:hAnsi="宋体" w:eastAsia="宋体" w:cs="宋体"/>
          <w:color w:val="000000"/>
          <w:kern w:val="2"/>
          <w:sz w:val="21"/>
          <w:szCs w:val="21"/>
          <w:lang w:val="en-US" w:eastAsia="zh-CN" w:bidi="ar"/>
        </w:rPr>
        <w:t>承担。</w:t>
      </w:r>
      <w:bookmarkEnd w:id="307"/>
    </w:p>
    <w:p w14:paraId="550B7F29">
      <w:pPr>
        <w:pStyle w:val="5"/>
        <w:keepNext/>
        <w:keepLines/>
        <w:widowControl w:val="0"/>
        <w:numPr>
          <w:ilvl w:val="0"/>
          <w:numId w:val="0"/>
        </w:numPr>
        <w:suppressLineNumbers w:val="0"/>
        <w:adjustRightInd/>
        <w:snapToGrid w:val="0"/>
        <w:spacing w:line="400" w:lineRule="exact"/>
        <w:textAlignment w:val="baseline"/>
        <w:rPr>
          <w:rFonts w:hint="eastAsia" w:ascii="宋体" w:hAnsi="宋体" w:eastAsia="宋体" w:cs="宋体"/>
          <w:sz w:val="21"/>
          <w:szCs w:val="21"/>
          <w:vertAlign w:val="baseline"/>
          <w:lang w:val="en-US"/>
        </w:rPr>
      </w:pPr>
      <w:bookmarkStart w:id="317" w:name="_Toc373478347"/>
      <w:bookmarkStart w:id="318" w:name="_Toc407135202"/>
      <w:bookmarkStart w:id="319" w:name="_Toc373227700"/>
      <w:bookmarkStart w:id="320" w:name="_Toc20972"/>
      <w:bookmarkStart w:id="321" w:name="_Toc389065266"/>
      <w:r>
        <w:rPr>
          <w:rFonts w:hint="eastAsia" w:ascii="宋体" w:hAnsi="宋体" w:eastAsia="宋体" w:cs="宋体"/>
          <w:sz w:val="21"/>
          <w:szCs w:val="21"/>
          <w:vertAlign w:val="baseline"/>
          <w:lang w:val="en-US"/>
        </w:rPr>
        <w:t>1.8</w:t>
      </w:r>
      <w:r>
        <w:rPr>
          <w:rFonts w:hint="eastAsia" w:ascii="宋体" w:hAnsi="宋体" w:eastAsia="宋体" w:cs="宋体"/>
          <w:sz w:val="21"/>
          <w:szCs w:val="21"/>
          <w:vertAlign w:val="baseline"/>
          <w:lang w:eastAsia="zh-CN"/>
        </w:rPr>
        <w:t>知识产权</w:t>
      </w:r>
      <w:bookmarkEnd w:id="317"/>
      <w:bookmarkEnd w:id="318"/>
      <w:bookmarkEnd w:id="319"/>
      <w:bookmarkEnd w:id="320"/>
      <w:bookmarkEnd w:id="321"/>
    </w:p>
    <w:p w14:paraId="253CF9BD">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eastAsia="zh-CN"/>
        </w:rPr>
      </w:pPr>
      <w:bookmarkStart w:id="322" w:name="_Toc389065267"/>
      <w:bookmarkStart w:id="323" w:name="_Toc407135203"/>
      <w:bookmarkStart w:id="324" w:name="_Toc29903"/>
      <w:bookmarkStart w:id="325" w:name="_Toc373227701"/>
      <w:bookmarkStart w:id="326" w:name="_Toc373478348"/>
      <w:r>
        <w:rPr>
          <w:rFonts w:hint="eastAsia" w:ascii="宋体" w:hAnsi="宋体" w:eastAsia="宋体" w:cs="宋体"/>
          <w:color w:val="000000"/>
          <w:kern w:val="2"/>
          <w:sz w:val="21"/>
          <w:szCs w:val="21"/>
          <w:lang w:val="en-US" w:eastAsia="zh-CN" w:bidi="ar"/>
        </w:rPr>
        <w:t>1.8.1 关于发包人提供给承包人的图纸、发包人为实施工程自行编制或委托编制的技术规范以及反映发包人关于合同要求或其他类似性质的文件的著作权的归属：</w:t>
      </w:r>
      <w:r>
        <w:rPr>
          <w:rFonts w:hint="eastAsia" w:ascii="宋体" w:hAnsi="宋体" w:eastAsia="宋体" w:cs="宋体"/>
          <w:color w:val="000000"/>
          <w:kern w:val="2"/>
          <w:sz w:val="21"/>
          <w:szCs w:val="21"/>
          <w:u w:val="single"/>
          <w:lang w:val="en-US" w:eastAsia="zh-CN" w:bidi="ar"/>
        </w:rPr>
        <w:t xml:space="preserve"> 归属权由发包人所有</w:t>
      </w:r>
      <w:r>
        <w:rPr>
          <w:rFonts w:hint="eastAsia" w:ascii="宋体" w:hAnsi="宋体" w:eastAsia="宋体" w:cs="宋体"/>
          <w:sz w:val="21"/>
          <w:szCs w:val="21"/>
          <w:u w:val="single"/>
          <w:lang w:val="en-US" w:eastAsia="zh-CN"/>
        </w:rPr>
        <w:t>承</w:t>
      </w:r>
      <w:r>
        <w:rPr>
          <w:rFonts w:hint="eastAsia" w:ascii="宋体" w:hAnsi="宋体" w:eastAsia="宋体" w:cs="宋体"/>
          <w:sz w:val="21"/>
          <w:szCs w:val="21"/>
          <w:u w:val="single"/>
        </w:rPr>
        <w:t>包人不得向其他人转借、出售或泄露与本项目有关的上述文件资料情况</w:t>
      </w:r>
      <w:r>
        <w:rPr>
          <w:rFonts w:hint="eastAsia" w:ascii="宋体" w:hAnsi="宋体" w:eastAsia="宋体" w:cs="宋体"/>
          <w:sz w:val="21"/>
          <w:szCs w:val="21"/>
          <w:u w:val="single"/>
          <w:lang w:eastAsia="zh-CN"/>
        </w:rPr>
        <w:t>。</w:t>
      </w:r>
    </w:p>
    <w:p w14:paraId="301336FD">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关于发包人提供的上述文件的使用限制的要求：</w:t>
      </w:r>
      <w:r>
        <w:rPr>
          <w:rFonts w:hint="eastAsia" w:ascii="宋体" w:hAnsi="宋体" w:eastAsia="宋体" w:cs="宋体"/>
          <w:color w:val="000000"/>
          <w:kern w:val="2"/>
          <w:sz w:val="21"/>
          <w:szCs w:val="21"/>
          <w:u w:val="single"/>
          <w:lang w:val="en-US" w:eastAsia="zh-CN" w:bidi="ar"/>
        </w:rPr>
        <w:t xml:space="preserve"> 未经发包人书面同意，承包人不得为了合同以外的目的而复制、使用上述文件或将之提供给任何第三方  </w:t>
      </w:r>
      <w:r>
        <w:rPr>
          <w:rFonts w:hint="eastAsia" w:ascii="宋体" w:hAnsi="宋体" w:eastAsia="宋体" w:cs="宋体"/>
          <w:color w:val="000000"/>
          <w:kern w:val="2"/>
          <w:sz w:val="21"/>
          <w:szCs w:val="21"/>
          <w:lang w:val="en-US" w:eastAsia="zh-CN" w:bidi="ar"/>
        </w:rPr>
        <w:t>。</w:t>
      </w:r>
    </w:p>
    <w:p w14:paraId="1616B301">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1.8.2 关于承包人为实施工程所编制文件的著作权的归属：</w:t>
      </w:r>
      <w:r>
        <w:rPr>
          <w:rFonts w:hint="eastAsia" w:ascii="宋体" w:hAnsi="宋体" w:eastAsia="宋体" w:cs="宋体"/>
          <w:color w:val="000000"/>
          <w:kern w:val="2"/>
          <w:sz w:val="21"/>
          <w:szCs w:val="21"/>
          <w:u w:val="single"/>
          <w:lang w:val="en-US" w:eastAsia="zh-CN" w:bidi="ar"/>
        </w:rPr>
        <w:t xml:space="preserve">承包人为实施工程所编制的文件，除署名权以外的著作权属于发包人，承包人可因实施工程的运行、调试、维修、改造等目的而复制、使用此类文件，但不能用于与合同无关的其他事项 </w:t>
      </w:r>
      <w:r>
        <w:rPr>
          <w:rFonts w:hint="eastAsia" w:ascii="宋体" w:hAnsi="宋体" w:eastAsia="宋体" w:cs="宋体"/>
          <w:color w:val="000000"/>
          <w:kern w:val="2"/>
          <w:sz w:val="21"/>
          <w:szCs w:val="21"/>
          <w:lang w:val="en-US" w:eastAsia="zh-CN" w:bidi="ar"/>
        </w:rPr>
        <w:t>。</w:t>
      </w:r>
    </w:p>
    <w:p w14:paraId="417ED924">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u w:val="single"/>
          <w:lang w:val="en-US"/>
        </w:rPr>
      </w:pPr>
      <w:r>
        <w:rPr>
          <w:rFonts w:hint="eastAsia" w:ascii="宋体" w:hAnsi="宋体" w:eastAsia="宋体" w:cs="宋体"/>
          <w:color w:val="000000"/>
          <w:kern w:val="2"/>
          <w:sz w:val="21"/>
          <w:szCs w:val="21"/>
          <w:lang w:val="en-US" w:eastAsia="zh-CN" w:bidi="ar"/>
        </w:rPr>
        <w:t>关于承包人提供的上述文件的使用限制的要求：</w:t>
      </w:r>
      <w:r>
        <w:rPr>
          <w:rFonts w:hint="eastAsia" w:ascii="宋体" w:hAnsi="宋体" w:eastAsia="宋体" w:cs="宋体"/>
          <w:color w:val="000000"/>
          <w:kern w:val="2"/>
          <w:sz w:val="21"/>
          <w:szCs w:val="21"/>
          <w:u w:val="single"/>
          <w:lang w:val="en-US" w:eastAsia="zh-CN" w:bidi="ar"/>
        </w:rPr>
        <w:t xml:space="preserve"> </w:t>
      </w:r>
      <w:r>
        <w:rPr>
          <w:rFonts w:hint="eastAsia" w:ascii="宋体" w:hAnsi="宋体" w:eastAsia="宋体" w:cs="宋体"/>
          <w:color w:val="auto"/>
          <w:sz w:val="21"/>
          <w:szCs w:val="21"/>
          <w:highlight w:val="none"/>
          <w:u w:val="single"/>
        </w:rPr>
        <w:t xml:space="preserve">未经发包人书面同意，承包人不得为了合同以外的目的而复制、使用上述文件或将之提供给任何第三方 </w:t>
      </w:r>
      <w:r>
        <w:rPr>
          <w:rFonts w:hint="eastAsia" w:ascii="宋体" w:hAnsi="宋体" w:eastAsia="宋体" w:cs="宋体"/>
          <w:color w:val="000000"/>
          <w:kern w:val="2"/>
          <w:sz w:val="21"/>
          <w:szCs w:val="21"/>
          <w:lang w:val="en-US" w:eastAsia="zh-CN" w:bidi="ar"/>
        </w:rPr>
        <w:t>。</w:t>
      </w:r>
    </w:p>
    <w:p w14:paraId="7AD3DD61">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kern w:val="0"/>
          <w:sz w:val="21"/>
          <w:szCs w:val="21"/>
          <w:lang w:val="en-US"/>
        </w:rPr>
      </w:pPr>
      <w:r>
        <w:rPr>
          <w:rFonts w:hint="eastAsia" w:ascii="宋体" w:hAnsi="宋体" w:eastAsia="宋体" w:cs="宋体"/>
          <w:color w:val="000000"/>
          <w:kern w:val="2"/>
          <w:sz w:val="21"/>
          <w:szCs w:val="21"/>
          <w:lang w:val="en-US" w:eastAsia="zh-CN" w:bidi="ar"/>
        </w:rPr>
        <w:t>1.8.3承包人在施工过程中所采用的专利、专有技术、技术秘密的使用费的承担方式：</w:t>
      </w:r>
      <w:r>
        <w:rPr>
          <w:rFonts w:hint="eastAsia" w:ascii="宋体" w:hAnsi="宋体" w:eastAsia="宋体" w:cs="宋体"/>
          <w:color w:val="000000"/>
          <w:kern w:val="2"/>
          <w:sz w:val="21"/>
          <w:szCs w:val="21"/>
          <w:u w:val="single"/>
          <w:lang w:val="en-US" w:eastAsia="zh-CN" w:bidi="ar"/>
        </w:rPr>
        <w:t xml:space="preserve">   执行通用条款</w:t>
      </w:r>
      <w:r>
        <w:rPr>
          <w:rFonts w:hint="eastAsia" w:ascii="宋体" w:hAnsi="宋体" w:eastAsia="宋体" w:cs="宋体"/>
          <w:color w:val="000000"/>
          <w:kern w:val="0"/>
          <w:sz w:val="21"/>
          <w:szCs w:val="21"/>
          <w:lang w:val="en-US" w:eastAsia="zh-CN" w:bidi="ar"/>
        </w:rPr>
        <w:t>。</w:t>
      </w:r>
    </w:p>
    <w:p w14:paraId="758AECBC">
      <w:pPr>
        <w:pStyle w:val="5"/>
        <w:keepNext/>
        <w:keepLines/>
        <w:widowControl w:val="0"/>
        <w:numPr>
          <w:ilvl w:val="0"/>
          <w:numId w:val="0"/>
        </w:numPr>
        <w:suppressLineNumbers w:val="0"/>
        <w:adjustRightInd/>
        <w:snapToGrid w:val="0"/>
        <w:spacing w:line="400" w:lineRule="exact"/>
        <w:textAlignment w:val="baseline"/>
        <w:rPr>
          <w:rFonts w:hint="eastAsia" w:ascii="宋体" w:hAnsi="宋体" w:eastAsia="宋体" w:cs="宋体"/>
          <w:sz w:val="21"/>
          <w:szCs w:val="21"/>
          <w:vertAlign w:val="baseline"/>
          <w:lang w:val="en-US"/>
        </w:rPr>
      </w:pPr>
      <w:r>
        <w:rPr>
          <w:rFonts w:hint="eastAsia" w:ascii="宋体" w:hAnsi="宋体" w:eastAsia="宋体" w:cs="宋体"/>
          <w:sz w:val="21"/>
          <w:szCs w:val="21"/>
          <w:vertAlign w:val="baseline"/>
          <w:lang w:val="en-US"/>
        </w:rPr>
        <w:t>1.9</w:t>
      </w:r>
      <w:r>
        <w:rPr>
          <w:rFonts w:hint="eastAsia" w:ascii="宋体" w:hAnsi="宋体" w:eastAsia="宋体" w:cs="宋体"/>
          <w:sz w:val="21"/>
          <w:szCs w:val="21"/>
          <w:vertAlign w:val="baseline"/>
          <w:lang w:eastAsia="zh-CN"/>
        </w:rPr>
        <w:t>工程量清单错误的修正</w:t>
      </w:r>
      <w:bookmarkEnd w:id="322"/>
      <w:bookmarkEnd w:id="323"/>
      <w:bookmarkEnd w:id="324"/>
      <w:bookmarkEnd w:id="325"/>
      <w:bookmarkEnd w:id="326"/>
    </w:p>
    <w:p w14:paraId="458805F2">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b w:val="0"/>
          <w:bCs w:val="0"/>
          <w:color w:val="000000"/>
          <w:kern w:val="2"/>
          <w:sz w:val="21"/>
          <w:szCs w:val="21"/>
          <w:lang w:val="en-US" w:eastAsia="zh-CN" w:bidi="ar"/>
        </w:rPr>
      </w:pPr>
      <w:r>
        <w:rPr>
          <w:rFonts w:hint="eastAsia" w:ascii="宋体" w:hAnsi="宋体" w:eastAsia="宋体" w:cs="宋体"/>
          <w:b w:val="0"/>
          <w:bCs w:val="0"/>
          <w:color w:val="000000"/>
          <w:kern w:val="2"/>
          <w:sz w:val="21"/>
          <w:szCs w:val="21"/>
          <w:lang w:val="en-US" w:eastAsia="zh-CN" w:bidi="ar"/>
        </w:rPr>
        <w:t>出现工程量清单工程量偏差时，应调整合同价格。可参照《建设工程工程量清单计价标准》（GB/T50500-2024）等相关标准，约定当工程量偏差超过一定幅度（如15%）时，对超出幅度部分的工程量，按照合同约定的综合单价调整合同价格。</w:t>
      </w:r>
    </w:p>
    <w:p w14:paraId="1DF09799">
      <w:pPr>
        <w:pStyle w:val="6"/>
        <w:widowControl/>
        <w:numPr>
          <w:ilvl w:val="0"/>
          <w:numId w:val="0"/>
        </w:numPr>
        <w:tabs>
          <w:tab w:val="left" w:pos="2155"/>
        </w:tabs>
        <w:spacing w:before="0" w:beforeAutospacing="0" w:after="0" w:afterAutospacing="0" w:line="400" w:lineRule="exact"/>
        <w:ind w:left="420" w:leftChars="200" w:right="0" w:firstLine="0"/>
        <w:rPr>
          <w:rFonts w:hint="eastAsia" w:ascii="宋体" w:hAnsi="宋体" w:eastAsia="宋体" w:cs="宋体"/>
          <w:bCs/>
          <w:color w:val="auto"/>
          <w:sz w:val="21"/>
          <w:szCs w:val="21"/>
          <w:lang w:val="en-US"/>
        </w:rPr>
      </w:pPr>
      <w:r>
        <w:rPr>
          <w:rFonts w:hint="eastAsia" w:ascii="宋体" w:hAnsi="宋体" w:eastAsia="宋体" w:cs="宋体"/>
          <w:bCs/>
          <w:color w:val="auto"/>
          <w:sz w:val="21"/>
          <w:szCs w:val="21"/>
          <w:lang w:eastAsia="zh-CN"/>
        </w:rPr>
        <w:t>承包人采用</w:t>
      </w:r>
      <w:r>
        <w:rPr>
          <w:rFonts w:hint="eastAsia" w:ascii="宋体" w:hAnsi="宋体" w:eastAsia="宋体" w:cs="宋体"/>
          <w:bCs/>
          <w:color w:val="auto"/>
          <w:sz w:val="21"/>
          <w:szCs w:val="21"/>
          <w:u w:val="single"/>
          <w:lang w:eastAsia="zh-CN"/>
        </w:rPr>
        <w:t>固定综合单价</w:t>
      </w:r>
      <w:r>
        <w:rPr>
          <w:rFonts w:hint="eastAsia" w:ascii="宋体" w:hAnsi="宋体" w:eastAsia="宋体" w:cs="宋体"/>
          <w:bCs/>
          <w:color w:val="auto"/>
          <w:sz w:val="21"/>
          <w:szCs w:val="21"/>
          <w:lang w:eastAsia="zh-CN"/>
        </w:rPr>
        <w:t>形式执行。</w:t>
      </w:r>
    </w:p>
    <w:p w14:paraId="34E6C4B2">
      <w:pPr>
        <w:pStyle w:val="6"/>
        <w:widowControl/>
        <w:numPr>
          <w:ilvl w:val="0"/>
          <w:numId w:val="0"/>
        </w:numPr>
        <w:tabs>
          <w:tab w:val="left" w:pos="2155"/>
        </w:tabs>
        <w:spacing w:before="0" w:beforeAutospacing="0" w:after="0" w:afterAutospacing="0" w:line="400" w:lineRule="exact"/>
        <w:ind w:right="0"/>
        <w:rPr>
          <w:rFonts w:hint="eastAsia" w:ascii="宋体" w:hAnsi="宋体" w:eastAsia="宋体" w:cs="宋体"/>
          <w:b/>
          <w:bCs w:val="0"/>
          <w:sz w:val="21"/>
          <w:szCs w:val="21"/>
          <w:lang w:val="en-US"/>
        </w:rPr>
      </w:pPr>
      <w:r>
        <w:rPr>
          <w:rFonts w:hint="eastAsia" w:ascii="宋体" w:hAnsi="宋体" w:eastAsia="宋体" w:cs="宋体"/>
          <w:b/>
          <w:bCs w:val="0"/>
          <w:sz w:val="21"/>
          <w:szCs w:val="21"/>
          <w:lang w:val="en-US"/>
        </w:rPr>
        <w:t>2</w:t>
      </w:r>
      <w:bookmarkStart w:id="327" w:name="_Toc292559362"/>
      <w:bookmarkStart w:id="328" w:name="_Toc296503157"/>
      <w:bookmarkStart w:id="329" w:name="_Toc296944496"/>
      <w:bookmarkStart w:id="330" w:name="_Toc296891197"/>
      <w:bookmarkStart w:id="331" w:name="_Toc296890985"/>
      <w:bookmarkStart w:id="332" w:name="_Toc292559867"/>
      <w:bookmarkStart w:id="333" w:name="_Toc296347156"/>
      <w:bookmarkStart w:id="334" w:name="_Toc297120457"/>
      <w:bookmarkStart w:id="335" w:name="_Toc297048343"/>
      <w:bookmarkStart w:id="336" w:name="_Toc296346658"/>
      <w:r>
        <w:rPr>
          <w:rFonts w:hint="eastAsia" w:ascii="宋体" w:hAnsi="宋体" w:eastAsia="宋体" w:cs="宋体"/>
          <w:b/>
          <w:bCs w:val="0"/>
          <w:sz w:val="21"/>
          <w:szCs w:val="21"/>
          <w:lang w:val="en-US"/>
        </w:rPr>
        <w:t>.</w:t>
      </w:r>
      <w:r>
        <w:rPr>
          <w:rFonts w:hint="eastAsia" w:ascii="宋体" w:hAnsi="宋体" w:eastAsia="宋体" w:cs="宋体"/>
          <w:b/>
          <w:bCs w:val="0"/>
          <w:sz w:val="21"/>
          <w:szCs w:val="21"/>
          <w:lang w:eastAsia="zh-CN"/>
        </w:rPr>
        <w:t>发包人</w:t>
      </w:r>
      <w:bookmarkEnd w:id="246"/>
    </w:p>
    <w:bookmarkEnd w:id="327"/>
    <w:bookmarkEnd w:id="328"/>
    <w:bookmarkEnd w:id="329"/>
    <w:bookmarkEnd w:id="330"/>
    <w:bookmarkEnd w:id="331"/>
    <w:bookmarkEnd w:id="332"/>
    <w:bookmarkEnd w:id="333"/>
    <w:bookmarkEnd w:id="334"/>
    <w:bookmarkEnd w:id="335"/>
    <w:bookmarkEnd w:id="336"/>
    <w:p w14:paraId="083A6854">
      <w:pPr>
        <w:keepNext w:val="0"/>
        <w:keepLines w:val="0"/>
        <w:widowControl w:val="0"/>
        <w:suppressLineNumbers w:val="0"/>
        <w:spacing w:before="0" w:beforeAutospacing="0" w:after="0" w:afterAutospacing="0" w:line="400" w:lineRule="exact"/>
        <w:ind w:right="0"/>
        <w:jc w:val="both"/>
        <w:rPr>
          <w:rFonts w:hint="eastAsia" w:ascii="宋体" w:hAnsi="宋体" w:eastAsia="宋体" w:cs="宋体"/>
          <w:b/>
          <w:bCs/>
          <w:sz w:val="21"/>
          <w:szCs w:val="21"/>
          <w:lang w:val="en-US"/>
        </w:rPr>
      </w:pPr>
      <w:r>
        <w:rPr>
          <w:rFonts w:hint="eastAsia" w:ascii="宋体" w:hAnsi="宋体" w:eastAsia="宋体" w:cs="宋体"/>
          <w:b/>
          <w:bCs/>
          <w:color w:val="000000"/>
          <w:kern w:val="2"/>
          <w:sz w:val="21"/>
          <w:szCs w:val="21"/>
          <w:lang w:val="en-US" w:eastAsia="zh-CN" w:bidi="ar"/>
        </w:rPr>
        <w:t>2.1发包人代表</w:t>
      </w:r>
    </w:p>
    <w:p w14:paraId="26378146">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发包人代表：</w:t>
      </w:r>
    </w:p>
    <w:p w14:paraId="6D3C4D93">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姓名：</w:t>
      </w:r>
      <w:r>
        <w:rPr>
          <w:rFonts w:hint="eastAsia" w:ascii="宋体" w:hAnsi="宋体" w:eastAsia="宋体" w:cs="宋体"/>
          <w:color w:val="000000"/>
          <w:kern w:val="2"/>
          <w:sz w:val="21"/>
          <w:szCs w:val="21"/>
          <w:u w:val="single"/>
          <w:lang w:val="en-US" w:eastAsia="zh-CN" w:bidi="ar"/>
        </w:rPr>
        <w:t xml:space="preserve">                         </w:t>
      </w:r>
      <w:r>
        <w:rPr>
          <w:rFonts w:hint="eastAsia" w:ascii="宋体" w:hAnsi="宋体" w:eastAsia="宋体" w:cs="宋体"/>
          <w:color w:val="000000"/>
          <w:kern w:val="2"/>
          <w:sz w:val="21"/>
          <w:szCs w:val="21"/>
          <w:lang w:val="en-US" w:eastAsia="zh-CN" w:bidi="ar"/>
        </w:rPr>
        <w:t>；</w:t>
      </w:r>
    </w:p>
    <w:p w14:paraId="1214D6E4">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职务：</w:t>
      </w:r>
      <w:r>
        <w:rPr>
          <w:rFonts w:hint="eastAsia" w:ascii="宋体" w:hAnsi="宋体" w:eastAsia="宋体" w:cs="宋体"/>
          <w:color w:val="000000"/>
          <w:kern w:val="2"/>
          <w:sz w:val="21"/>
          <w:szCs w:val="21"/>
          <w:u w:val="single"/>
          <w:lang w:val="en-US" w:eastAsia="zh-CN" w:bidi="ar"/>
        </w:rPr>
        <w:t xml:space="preserve">                         </w:t>
      </w:r>
      <w:r>
        <w:rPr>
          <w:rFonts w:hint="eastAsia" w:ascii="宋体" w:hAnsi="宋体" w:eastAsia="宋体" w:cs="宋体"/>
          <w:color w:val="000000"/>
          <w:kern w:val="2"/>
          <w:sz w:val="21"/>
          <w:szCs w:val="21"/>
          <w:lang w:val="en-US" w:eastAsia="zh-CN" w:bidi="ar"/>
        </w:rPr>
        <w:t>；</w:t>
      </w:r>
    </w:p>
    <w:p w14:paraId="0CBC289D">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u w:val="single"/>
          <w:lang w:val="en-US"/>
        </w:rPr>
      </w:pPr>
      <w:r>
        <w:rPr>
          <w:rFonts w:hint="eastAsia" w:ascii="宋体" w:hAnsi="宋体" w:eastAsia="宋体" w:cs="宋体"/>
          <w:color w:val="000000"/>
          <w:kern w:val="2"/>
          <w:sz w:val="21"/>
          <w:szCs w:val="21"/>
          <w:lang w:val="en-US" w:eastAsia="zh-CN" w:bidi="ar"/>
        </w:rPr>
        <w:t>联系电话：</w:t>
      </w:r>
      <w:r>
        <w:rPr>
          <w:rFonts w:hint="eastAsia" w:ascii="宋体" w:hAnsi="宋体" w:eastAsia="宋体" w:cs="宋体"/>
          <w:color w:val="000000"/>
          <w:kern w:val="2"/>
          <w:sz w:val="21"/>
          <w:szCs w:val="21"/>
          <w:u w:val="single"/>
          <w:lang w:val="en-US" w:eastAsia="zh-CN" w:bidi="ar"/>
        </w:rPr>
        <w:t xml:space="preserve">                     </w:t>
      </w:r>
      <w:r>
        <w:rPr>
          <w:rFonts w:hint="eastAsia" w:ascii="宋体" w:hAnsi="宋体" w:eastAsia="宋体" w:cs="宋体"/>
          <w:color w:val="000000"/>
          <w:kern w:val="2"/>
          <w:sz w:val="21"/>
          <w:szCs w:val="21"/>
          <w:lang w:val="en-US" w:eastAsia="zh-CN" w:bidi="ar"/>
        </w:rPr>
        <w:t>；</w:t>
      </w:r>
    </w:p>
    <w:p w14:paraId="0B69F048">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电子信箱：</w:t>
      </w:r>
      <w:r>
        <w:rPr>
          <w:rFonts w:hint="eastAsia" w:ascii="宋体" w:hAnsi="宋体" w:eastAsia="宋体" w:cs="宋体"/>
          <w:color w:val="000000"/>
          <w:kern w:val="2"/>
          <w:sz w:val="21"/>
          <w:szCs w:val="21"/>
          <w:u w:val="single"/>
          <w:lang w:val="en-US" w:eastAsia="zh-CN" w:bidi="ar"/>
        </w:rPr>
        <w:t xml:space="preserve">                     </w:t>
      </w:r>
      <w:r>
        <w:rPr>
          <w:rFonts w:hint="eastAsia" w:ascii="宋体" w:hAnsi="宋体" w:eastAsia="宋体" w:cs="宋体"/>
          <w:color w:val="000000"/>
          <w:kern w:val="2"/>
          <w:sz w:val="21"/>
          <w:szCs w:val="21"/>
          <w:lang w:val="en-US" w:eastAsia="zh-CN" w:bidi="ar"/>
        </w:rPr>
        <w:t>；</w:t>
      </w:r>
    </w:p>
    <w:p w14:paraId="7B80DBE6">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通信地址：</w:t>
      </w:r>
      <w:r>
        <w:rPr>
          <w:rFonts w:hint="eastAsia" w:ascii="宋体" w:hAnsi="宋体" w:eastAsia="宋体" w:cs="宋体"/>
          <w:color w:val="000000"/>
          <w:kern w:val="2"/>
          <w:sz w:val="21"/>
          <w:szCs w:val="21"/>
          <w:u w:val="single"/>
          <w:lang w:val="en-US" w:eastAsia="zh-CN" w:bidi="ar"/>
        </w:rPr>
        <w:t xml:space="preserve">                    </w:t>
      </w:r>
      <w:r>
        <w:rPr>
          <w:rFonts w:hint="eastAsia" w:ascii="宋体" w:hAnsi="宋体" w:eastAsia="宋体" w:cs="宋体"/>
          <w:color w:val="000000"/>
          <w:kern w:val="2"/>
          <w:sz w:val="21"/>
          <w:szCs w:val="21"/>
          <w:lang w:val="en-US" w:eastAsia="zh-CN" w:bidi="ar"/>
        </w:rPr>
        <w:t xml:space="preserve"> 。</w:t>
      </w:r>
    </w:p>
    <w:p w14:paraId="4D6D6CA1">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u w:val="single"/>
          <w:lang w:val="en-US"/>
        </w:rPr>
      </w:pPr>
      <w:r>
        <w:rPr>
          <w:rFonts w:hint="eastAsia" w:ascii="宋体" w:hAnsi="宋体" w:eastAsia="宋体" w:cs="宋体"/>
          <w:color w:val="000000"/>
          <w:kern w:val="2"/>
          <w:sz w:val="21"/>
          <w:szCs w:val="21"/>
          <w:lang w:val="en-US" w:eastAsia="zh-CN" w:bidi="ar"/>
        </w:rPr>
        <w:t>发包人对发包人代表的授权范围如下：</w:t>
      </w:r>
      <w:r>
        <w:rPr>
          <w:rFonts w:hint="eastAsia" w:ascii="宋体" w:hAnsi="宋体" w:eastAsia="宋体" w:cs="宋体"/>
          <w:color w:val="000000"/>
          <w:kern w:val="2"/>
          <w:sz w:val="21"/>
          <w:szCs w:val="21"/>
          <w:u w:val="single"/>
          <w:lang w:val="en-US" w:eastAsia="zh-CN" w:bidi="ar"/>
        </w:rPr>
        <w:t>1、监督承包人按合同约定履行义务；2、确认工程进度、质量及工程量；3、签署现场签证、变更指令等文件；4、协调解决施工中的争议问题。</w:t>
      </w:r>
    </w:p>
    <w:p w14:paraId="59B95EF8">
      <w:pPr>
        <w:keepNext w:val="0"/>
        <w:keepLines w:val="0"/>
        <w:widowControl w:val="0"/>
        <w:suppressLineNumbers w:val="0"/>
        <w:spacing w:before="0" w:beforeAutospacing="0" w:after="0" w:afterAutospacing="0" w:line="400" w:lineRule="exact"/>
        <w:ind w:right="0"/>
        <w:jc w:val="both"/>
        <w:rPr>
          <w:rFonts w:hint="eastAsia" w:ascii="宋体" w:hAnsi="宋体" w:eastAsia="宋体" w:cs="宋体"/>
          <w:b/>
          <w:bCs/>
          <w:sz w:val="21"/>
          <w:szCs w:val="21"/>
          <w:lang w:val="en-US"/>
        </w:rPr>
      </w:pPr>
      <w:r>
        <w:rPr>
          <w:rFonts w:hint="eastAsia" w:ascii="宋体" w:hAnsi="宋体" w:eastAsia="宋体" w:cs="宋体"/>
          <w:b/>
          <w:bCs/>
          <w:color w:val="000000"/>
          <w:kern w:val="2"/>
          <w:sz w:val="21"/>
          <w:szCs w:val="21"/>
          <w:lang w:val="en-US" w:eastAsia="zh-CN" w:bidi="ar"/>
        </w:rPr>
        <w:t>2.2施工现场、施工条件和基础资料的提供</w:t>
      </w:r>
    </w:p>
    <w:p w14:paraId="1C7F6E66">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2.2.1提供施工现场</w:t>
      </w:r>
    </w:p>
    <w:p w14:paraId="29D76C93">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关于发包人移交施工现场的期限要求：</w:t>
      </w:r>
      <w:r>
        <w:rPr>
          <w:rFonts w:hint="eastAsia" w:ascii="宋体" w:hAnsi="宋体" w:eastAsia="宋体" w:cs="宋体"/>
          <w:color w:val="000000"/>
          <w:kern w:val="2"/>
          <w:sz w:val="21"/>
          <w:szCs w:val="21"/>
          <w:u w:val="single"/>
          <w:lang w:val="en-US" w:eastAsia="zh-CN" w:bidi="ar"/>
        </w:rPr>
        <w:t xml:space="preserve">    。 </w:t>
      </w:r>
    </w:p>
    <w:p w14:paraId="0214D48F">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2.2.2提供施工条件</w:t>
      </w:r>
    </w:p>
    <w:p w14:paraId="635939C3">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u w:val="single"/>
          <w:lang w:val="en-US"/>
        </w:rPr>
      </w:pPr>
      <w:r>
        <w:rPr>
          <w:rFonts w:hint="eastAsia" w:ascii="宋体" w:hAnsi="宋体" w:eastAsia="宋体" w:cs="宋体"/>
          <w:color w:val="000000"/>
          <w:kern w:val="2"/>
          <w:sz w:val="21"/>
          <w:szCs w:val="21"/>
          <w:lang w:val="en-US" w:eastAsia="zh-CN" w:bidi="ar"/>
        </w:rPr>
        <w:t>关于发包人应负责提供施工所需要的条件，包括：</w:t>
      </w:r>
      <w:r>
        <w:rPr>
          <w:rFonts w:hint="eastAsia" w:ascii="宋体" w:hAnsi="宋体" w:eastAsia="宋体" w:cs="宋体"/>
          <w:color w:val="000000"/>
          <w:kern w:val="2"/>
          <w:sz w:val="21"/>
          <w:szCs w:val="21"/>
          <w:u w:val="single"/>
          <w:lang w:val="en-US" w:eastAsia="zh-CN" w:bidi="ar"/>
        </w:rPr>
        <w:t xml:space="preserve">          。</w:t>
      </w:r>
    </w:p>
    <w:p w14:paraId="759A8876">
      <w:pPr>
        <w:keepNext w:val="0"/>
        <w:keepLines w:val="0"/>
        <w:widowControl w:val="0"/>
        <w:suppressLineNumbers w:val="0"/>
        <w:spacing w:before="0" w:beforeAutospacing="0" w:after="0" w:afterAutospacing="0" w:line="400" w:lineRule="exact"/>
        <w:ind w:right="0"/>
        <w:jc w:val="both"/>
        <w:rPr>
          <w:rFonts w:hint="eastAsia" w:ascii="宋体" w:hAnsi="宋体" w:eastAsia="宋体" w:cs="宋体"/>
          <w:b/>
          <w:bCs/>
          <w:sz w:val="21"/>
          <w:szCs w:val="21"/>
          <w:lang w:val="en-US"/>
        </w:rPr>
      </w:pPr>
      <w:r>
        <w:rPr>
          <w:rFonts w:hint="eastAsia" w:ascii="宋体" w:hAnsi="宋体" w:eastAsia="宋体" w:cs="宋体"/>
          <w:b/>
          <w:bCs/>
          <w:color w:val="000000"/>
          <w:kern w:val="2"/>
          <w:sz w:val="21"/>
          <w:szCs w:val="21"/>
          <w:lang w:val="en-US" w:eastAsia="zh-CN" w:bidi="ar"/>
        </w:rPr>
        <w:t>2.3资金来源证明及支付担保</w:t>
      </w:r>
    </w:p>
    <w:p w14:paraId="26C939DF">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发包人提供资金来源证明的期限要求：</w:t>
      </w:r>
      <w:r>
        <w:rPr>
          <w:rFonts w:hint="eastAsia" w:ascii="宋体" w:hAnsi="宋体" w:eastAsia="宋体" w:cs="宋体"/>
          <w:color w:val="000000"/>
          <w:kern w:val="2"/>
          <w:sz w:val="21"/>
          <w:szCs w:val="21"/>
          <w:u w:val="single"/>
          <w:lang w:val="en-US" w:eastAsia="zh-CN" w:bidi="ar"/>
        </w:rPr>
        <w:t xml:space="preserve">　　                 </w:t>
      </w:r>
      <w:r>
        <w:rPr>
          <w:rFonts w:hint="eastAsia" w:ascii="宋体" w:hAnsi="宋体" w:eastAsia="宋体" w:cs="宋体"/>
          <w:color w:val="000000"/>
          <w:kern w:val="2"/>
          <w:sz w:val="21"/>
          <w:szCs w:val="21"/>
          <w:lang w:val="en-US" w:eastAsia="zh-CN" w:bidi="ar"/>
        </w:rPr>
        <w:t>。</w:t>
      </w:r>
    </w:p>
    <w:p w14:paraId="3A9518D5">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发包人是否提供支付担保：</w:t>
      </w:r>
      <w:r>
        <w:rPr>
          <w:rFonts w:hint="eastAsia" w:ascii="宋体" w:hAnsi="宋体" w:eastAsia="宋体" w:cs="宋体"/>
          <w:color w:val="000000"/>
          <w:kern w:val="2"/>
          <w:sz w:val="21"/>
          <w:szCs w:val="21"/>
          <w:u w:val="single"/>
          <w:lang w:val="en-US" w:eastAsia="zh-CN" w:bidi="ar"/>
        </w:rPr>
        <w:t xml:space="preserve">　　            　             </w:t>
      </w:r>
      <w:r>
        <w:rPr>
          <w:rFonts w:hint="eastAsia" w:ascii="宋体" w:hAnsi="宋体" w:eastAsia="宋体" w:cs="宋体"/>
          <w:color w:val="000000"/>
          <w:kern w:val="2"/>
          <w:sz w:val="21"/>
          <w:szCs w:val="21"/>
          <w:lang w:val="en-US" w:eastAsia="zh-CN" w:bidi="ar"/>
        </w:rPr>
        <w:t>。</w:t>
      </w:r>
    </w:p>
    <w:p w14:paraId="36F34A7A">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u w:val="single"/>
          <w:lang w:val="en-US"/>
        </w:rPr>
      </w:pPr>
      <w:r>
        <w:rPr>
          <w:rFonts w:hint="eastAsia" w:ascii="宋体" w:hAnsi="宋体" w:eastAsia="宋体" w:cs="宋体"/>
          <w:color w:val="000000"/>
          <w:kern w:val="2"/>
          <w:sz w:val="21"/>
          <w:szCs w:val="21"/>
          <w:lang w:val="en-US" w:eastAsia="zh-CN" w:bidi="ar"/>
        </w:rPr>
        <w:t>发包人提供支付担保的形式：</w:t>
      </w:r>
      <w:r>
        <w:rPr>
          <w:rFonts w:hint="eastAsia" w:ascii="宋体" w:hAnsi="宋体" w:eastAsia="宋体" w:cs="宋体"/>
          <w:color w:val="000000"/>
          <w:kern w:val="2"/>
          <w:sz w:val="21"/>
          <w:szCs w:val="21"/>
          <w:u w:val="single"/>
          <w:lang w:val="en-US" w:eastAsia="zh-CN" w:bidi="ar"/>
        </w:rPr>
        <w:t>　　                     　　</w:t>
      </w:r>
      <w:r>
        <w:rPr>
          <w:rFonts w:hint="eastAsia" w:ascii="宋体" w:hAnsi="宋体" w:eastAsia="宋体" w:cs="宋体"/>
          <w:color w:val="000000"/>
          <w:kern w:val="2"/>
          <w:sz w:val="21"/>
          <w:szCs w:val="21"/>
          <w:lang w:val="en-US" w:eastAsia="zh-CN" w:bidi="ar"/>
        </w:rPr>
        <w:t>。</w:t>
      </w:r>
    </w:p>
    <w:p w14:paraId="042E3A6A">
      <w:pPr>
        <w:pStyle w:val="6"/>
        <w:widowControl/>
        <w:numPr>
          <w:ilvl w:val="0"/>
          <w:numId w:val="0"/>
        </w:numPr>
        <w:tabs>
          <w:tab w:val="left" w:pos="2155"/>
        </w:tabs>
        <w:spacing w:before="0" w:beforeAutospacing="0" w:after="0" w:afterAutospacing="0" w:line="400" w:lineRule="exact"/>
        <w:ind w:right="0"/>
        <w:rPr>
          <w:rFonts w:hint="eastAsia" w:ascii="宋体" w:hAnsi="宋体" w:eastAsia="宋体" w:cs="宋体"/>
          <w:b/>
          <w:bCs w:val="0"/>
          <w:sz w:val="21"/>
          <w:szCs w:val="21"/>
          <w:lang w:val="en-US"/>
        </w:rPr>
      </w:pPr>
      <w:bookmarkStart w:id="337" w:name="_Toc351203635"/>
      <w:r>
        <w:rPr>
          <w:rFonts w:hint="eastAsia" w:ascii="宋体" w:hAnsi="宋体" w:eastAsia="宋体" w:cs="宋体"/>
          <w:b/>
          <w:bCs w:val="0"/>
          <w:sz w:val="21"/>
          <w:szCs w:val="21"/>
          <w:lang w:val="en-US"/>
        </w:rPr>
        <w:t>3</w:t>
      </w:r>
      <w:bookmarkStart w:id="338" w:name="_Toc292559363"/>
      <w:bookmarkStart w:id="339" w:name="_Toc292559868"/>
      <w:bookmarkStart w:id="340" w:name="_Toc296347157"/>
      <w:bookmarkStart w:id="341" w:name="_Toc297048344"/>
      <w:bookmarkStart w:id="342" w:name="_Toc296890986"/>
      <w:bookmarkStart w:id="343" w:name="_Toc297120458"/>
      <w:bookmarkStart w:id="344" w:name="_Toc296891198"/>
      <w:bookmarkStart w:id="345" w:name="_Toc296944497"/>
      <w:bookmarkStart w:id="346" w:name="_Toc296346659"/>
      <w:bookmarkStart w:id="347" w:name="_Toc296503158"/>
      <w:r>
        <w:rPr>
          <w:rFonts w:hint="eastAsia" w:ascii="宋体" w:hAnsi="宋体" w:eastAsia="宋体" w:cs="宋体"/>
          <w:b/>
          <w:bCs w:val="0"/>
          <w:sz w:val="21"/>
          <w:szCs w:val="21"/>
          <w:lang w:val="en-US"/>
        </w:rPr>
        <w:t>.</w:t>
      </w:r>
      <w:r>
        <w:rPr>
          <w:rFonts w:hint="eastAsia" w:ascii="宋体" w:hAnsi="宋体" w:eastAsia="宋体" w:cs="宋体"/>
          <w:b/>
          <w:bCs w:val="0"/>
          <w:sz w:val="21"/>
          <w:szCs w:val="21"/>
          <w:lang w:eastAsia="zh-CN"/>
        </w:rPr>
        <w:t>承包人</w:t>
      </w:r>
      <w:bookmarkEnd w:id="337"/>
    </w:p>
    <w:bookmarkEnd w:id="338"/>
    <w:bookmarkEnd w:id="339"/>
    <w:bookmarkEnd w:id="340"/>
    <w:bookmarkEnd w:id="341"/>
    <w:bookmarkEnd w:id="342"/>
    <w:bookmarkEnd w:id="343"/>
    <w:bookmarkEnd w:id="344"/>
    <w:bookmarkEnd w:id="345"/>
    <w:bookmarkEnd w:id="346"/>
    <w:bookmarkEnd w:id="347"/>
    <w:p w14:paraId="40DD2E73">
      <w:pPr>
        <w:keepNext w:val="0"/>
        <w:keepLines w:val="0"/>
        <w:widowControl w:val="0"/>
        <w:suppressLineNumbers w:val="0"/>
        <w:spacing w:before="0" w:beforeAutospacing="0" w:after="0" w:afterAutospacing="0" w:line="400" w:lineRule="exact"/>
        <w:ind w:right="0"/>
        <w:jc w:val="both"/>
        <w:rPr>
          <w:rFonts w:hint="eastAsia" w:ascii="宋体" w:hAnsi="宋体" w:eastAsia="宋体" w:cs="宋体"/>
          <w:b/>
          <w:bCs/>
          <w:sz w:val="21"/>
          <w:szCs w:val="21"/>
          <w:lang w:val="en-US"/>
        </w:rPr>
      </w:pPr>
      <w:r>
        <w:rPr>
          <w:rFonts w:hint="eastAsia" w:ascii="宋体" w:hAnsi="宋体" w:eastAsia="宋体" w:cs="宋体"/>
          <w:b/>
          <w:bCs/>
          <w:color w:val="000000"/>
          <w:kern w:val="2"/>
          <w:sz w:val="21"/>
          <w:szCs w:val="21"/>
          <w:lang w:val="en-US" w:eastAsia="zh-CN" w:bidi="ar"/>
        </w:rPr>
        <w:t>3.1承包人的一般义务</w:t>
      </w:r>
    </w:p>
    <w:p w14:paraId="3BAD7783">
      <w:pPr>
        <w:pageBreakBefore w:val="0"/>
        <w:widowControl w:val="0"/>
        <w:kinsoku/>
        <w:wordWrap/>
        <w:overflowPunct/>
        <w:topLinePunct w:val="0"/>
        <w:bidi w:val="0"/>
        <w:spacing w:line="400" w:lineRule="exact"/>
        <w:ind w:left="0" w:leftChars="0" w:firstLine="420" w:firstLineChars="200"/>
        <w:jc w:val="left"/>
        <w:rPr>
          <w:rFonts w:hint="eastAsia" w:ascii="宋体" w:hAnsi="宋体" w:eastAsia="宋体" w:cs="宋体"/>
          <w:sz w:val="21"/>
          <w:szCs w:val="21"/>
          <w:u w:val="wave"/>
        </w:rPr>
      </w:pPr>
      <w:r>
        <w:rPr>
          <w:rFonts w:hint="eastAsia" w:ascii="宋体" w:hAnsi="宋体" w:eastAsia="宋体" w:cs="宋体"/>
          <w:color w:val="000000"/>
          <w:kern w:val="2"/>
          <w:sz w:val="21"/>
          <w:szCs w:val="21"/>
          <w:lang w:val="en-US" w:eastAsia="zh-CN" w:bidi="ar"/>
        </w:rPr>
        <w:t>承包人提交的竣工资料的内容：</w:t>
      </w:r>
      <w:r>
        <w:rPr>
          <w:rFonts w:hint="eastAsia" w:ascii="宋体" w:hAnsi="宋体" w:eastAsia="宋体" w:cs="宋体"/>
          <w:color w:val="000000"/>
          <w:kern w:val="2"/>
          <w:sz w:val="21"/>
          <w:szCs w:val="21"/>
          <w:u w:val="single" w:color="000000"/>
          <w:lang w:val="en-US" w:eastAsia="zh-CN" w:bidi="ar"/>
        </w:rPr>
        <w:t xml:space="preserve"> （1）</w:t>
      </w:r>
      <w:r>
        <w:rPr>
          <w:rFonts w:hint="eastAsia" w:ascii="宋体" w:hAnsi="宋体" w:eastAsia="宋体" w:cs="宋体"/>
          <w:color w:val="auto"/>
          <w:sz w:val="21"/>
          <w:szCs w:val="21"/>
          <w:u w:val="single" w:color="000000"/>
        </w:rPr>
        <w:t>工程施工技术管理资料；</w:t>
      </w:r>
      <w:r>
        <w:rPr>
          <w:rFonts w:hint="eastAsia" w:ascii="宋体" w:hAnsi="宋体" w:eastAsia="宋体" w:cs="宋体"/>
          <w:color w:val="auto"/>
          <w:sz w:val="21"/>
          <w:szCs w:val="21"/>
          <w:u w:val="single" w:color="000000"/>
          <w:lang w:eastAsia="zh-CN"/>
        </w:rPr>
        <w:t>（</w:t>
      </w:r>
      <w:r>
        <w:rPr>
          <w:rFonts w:hint="eastAsia" w:ascii="宋体" w:hAnsi="宋体" w:eastAsia="宋体" w:cs="宋体"/>
          <w:color w:val="auto"/>
          <w:sz w:val="21"/>
          <w:szCs w:val="21"/>
          <w:u w:val="single" w:color="000000"/>
          <w:lang w:val="en-US" w:eastAsia="zh-CN"/>
        </w:rPr>
        <w:t>2</w:t>
      </w:r>
      <w:r>
        <w:rPr>
          <w:rFonts w:hint="eastAsia" w:ascii="宋体" w:hAnsi="宋体" w:eastAsia="宋体" w:cs="宋体"/>
          <w:color w:val="auto"/>
          <w:sz w:val="21"/>
          <w:szCs w:val="21"/>
          <w:u w:val="single" w:color="000000"/>
          <w:lang w:eastAsia="zh-CN"/>
        </w:rPr>
        <w:t>）</w:t>
      </w:r>
      <w:r>
        <w:rPr>
          <w:rFonts w:hint="eastAsia" w:ascii="宋体" w:hAnsi="宋体" w:eastAsia="宋体" w:cs="宋体"/>
          <w:color w:val="auto"/>
          <w:sz w:val="21"/>
          <w:szCs w:val="21"/>
          <w:u w:val="single" w:color="000000"/>
        </w:rPr>
        <w:t>工程质量控制资料；</w:t>
      </w:r>
      <w:r>
        <w:rPr>
          <w:rFonts w:hint="eastAsia" w:ascii="宋体" w:hAnsi="宋体" w:eastAsia="宋体" w:cs="宋体"/>
          <w:color w:val="auto"/>
          <w:sz w:val="21"/>
          <w:szCs w:val="21"/>
          <w:u w:val="single" w:color="000000"/>
          <w:lang w:eastAsia="zh-CN"/>
        </w:rPr>
        <w:t>（</w:t>
      </w:r>
      <w:r>
        <w:rPr>
          <w:rFonts w:hint="eastAsia" w:ascii="宋体" w:hAnsi="宋体" w:eastAsia="宋体" w:cs="宋体"/>
          <w:color w:val="auto"/>
          <w:sz w:val="21"/>
          <w:szCs w:val="21"/>
          <w:u w:val="single" w:color="000000"/>
          <w:lang w:val="en-US" w:eastAsia="zh-CN"/>
        </w:rPr>
        <w:t>3</w:t>
      </w:r>
      <w:r>
        <w:rPr>
          <w:rFonts w:hint="eastAsia" w:ascii="宋体" w:hAnsi="宋体" w:eastAsia="宋体" w:cs="宋体"/>
          <w:color w:val="auto"/>
          <w:sz w:val="21"/>
          <w:szCs w:val="21"/>
          <w:u w:val="single" w:color="000000"/>
          <w:lang w:eastAsia="zh-CN"/>
        </w:rPr>
        <w:t>）</w:t>
      </w:r>
      <w:r>
        <w:rPr>
          <w:rFonts w:hint="eastAsia" w:ascii="宋体" w:hAnsi="宋体" w:eastAsia="宋体" w:cs="宋体"/>
          <w:color w:val="auto"/>
          <w:sz w:val="21"/>
          <w:szCs w:val="21"/>
          <w:u w:val="single" w:color="000000"/>
        </w:rPr>
        <w:t>工程质量检验评定资料；</w:t>
      </w:r>
      <w:r>
        <w:rPr>
          <w:rFonts w:hint="eastAsia" w:ascii="宋体" w:hAnsi="宋体" w:eastAsia="宋体" w:cs="宋体"/>
          <w:color w:val="auto"/>
          <w:sz w:val="21"/>
          <w:szCs w:val="21"/>
          <w:u w:val="single" w:color="000000"/>
          <w:lang w:eastAsia="zh-CN"/>
        </w:rPr>
        <w:t>（</w:t>
      </w:r>
      <w:r>
        <w:rPr>
          <w:rFonts w:hint="eastAsia" w:ascii="宋体" w:hAnsi="宋体" w:eastAsia="宋体" w:cs="宋体"/>
          <w:color w:val="auto"/>
          <w:sz w:val="21"/>
          <w:szCs w:val="21"/>
          <w:u w:val="single" w:color="000000"/>
          <w:lang w:val="en-US" w:eastAsia="zh-CN"/>
        </w:rPr>
        <w:t>4</w:t>
      </w:r>
      <w:r>
        <w:rPr>
          <w:rFonts w:hint="eastAsia" w:ascii="宋体" w:hAnsi="宋体" w:eastAsia="宋体" w:cs="宋体"/>
          <w:color w:val="auto"/>
          <w:sz w:val="21"/>
          <w:szCs w:val="21"/>
          <w:u w:val="single" w:color="000000"/>
          <w:lang w:eastAsia="zh-CN"/>
        </w:rPr>
        <w:t>）</w:t>
      </w:r>
      <w:r>
        <w:rPr>
          <w:rFonts w:hint="eastAsia" w:ascii="宋体" w:hAnsi="宋体" w:eastAsia="宋体" w:cs="宋体"/>
          <w:color w:val="auto"/>
          <w:sz w:val="21"/>
          <w:szCs w:val="21"/>
          <w:u w:val="single" w:color="000000"/>
        </w:rPr>
        <w:t>竣工图；</w:t>
      </w:r>
      <w:r>
        <w:rPr>
          <w:rFonts w:hint="eastAsia" w:ascii="宋体" w:hAnsi="宋体" w:eastAsia="宋体" w:cs="宋体"/>
          <w:color w:val="auto"/>
          <w:sz w:val="21"/>
          <w:szCs w:val="21"/>
          <w:u w:val="single" w:color="000000"/>
          <w:lang w:eastAsia="zh-CN"/>
        </w:rPr>
        <w:t>（</w:t>
      </w:r>
      <w:r>
        <w:rPr>
          <w:rFonts w:hint="eastAsia" w:ascii="宋体" w:hAnsi="宋体" w:eastAsia="宋体" w:cs="宋体"/>
          <w:color w:val="auto"/>
          <w:sz w:val="21"/>
          <w:szCs w:val="21"/>
          <w:u w:val="single" w:color="000000"/>
          <w:lang w:val="en-US" w:eastAsia="zh-CN"/>
        </w:rPr>
        <w:t>5</w:t>
      </w:r>
      <w:r>
        <w:rPr>
          <w:rFonts w:hint="eastAsia" w:ascii="宋体" w:hAnsi="宋体" w:eastAsia="宋体" w:cs="宋体"/>
          <w:color w:val="auto"/>
          <w:sz w:val="21"/>
          <w:szCs w:val="21"/>
          <w:u w:val="single" w:color="000000"/>
          <w:lang w:eastAsia="zh-CN"/>
        </w:rPr>
        <w:t>）</w:t>
      </w:r>
      <w:r>
        <w:rPr>
          <w:rFonts w:hint="eastAsia" w:ascii="宋体" w:hAnsi="宋体" w:eastAsia="宋体" w:cs="宋体"/>
          <w:color w:val="auto"/>
          <w:sz w:val="21"/>
          <w:szCs w:val="21"/>
          <w:u w:val="single" w:color="000000"/>
        </w:rPr>
        <w:t xml:space="preserve">规定的其他应交资料 </w:t>
      </w:r>
      <w:r>
        <w:rPr>
          <w:rFonts w:hint="eastAsia" w:ascii="宋体" w:hAnsi="宋体" w:eastAsia="宋体" w:cs="宋体"/>
          <w:sz w:val="21"/>
          <w:szCs w:val="21"/>
          <w:u w:val="single"/>
        </w:rPr>
        <w:t xml:space="preserve">。 </w:t>
      </w:r>
    </w:p>
    <w:p w14:paraId="4A318521">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sz w:val="21"/>
          <w:szCs w:val="21"/>
        </w:rPr>
        <w:t>承包人需要提交的竣工资料套数：</w:t>
      </w:r>
      <w:r>
        <w:rPr>
          <w:rFonts w:hint="eastAsia" w:ascii="宋体" w:hAnsi="宋体" w:eastAsia="宋体" w:cs="宋体"/>
          <w:sz w:val="21"/>
          <w:szCs w:val="21"/>
          <w:u w:val="single"/>
        </w:rPr>
        <w:t>竣工图六套（要求计算机出图），其中原件五套，电子文件一套；竣工内业资料三套。</w:t>
      </w:r>
    </w:p>
    <w:p w14:paraId="11133979">
      <w:pPr>
        <w:pageBreakBefore w:val="0"/>
        <w:widowControl w:val="0"/>
        <w:kinsoku/>
        <w:wordWrap/>
        <w:overflowPunct/>
        <w:topLinePunct w:val="0"/>
        <w:bidi w:val="0"/>
        <w:spacing w:line="400" w:lineRule="exact"/>
        <w:ind w:left="0" w:leftChars="0" w:firstLine="420" w:firstLineChars="200"/>
        <w:jc w:val="left"/>
        <w:rPr>
          <w:rFonts w:hint="eastAsia" w:ascii="宋体" w:hAnsi="宋体" w:eastAsia="宋体" w:cs="宋体"/>
          <w:sz w:val="21"/>
          <w:szCs w:val="21"/>
        </w:rPr>
      </w:pPr>
      <w:r>
        <w:rPr>
          <w:rFonts w:hint="eastAsia" w:ascii="宋体" w:hAnsi="宋体" w:eastAsia="宋体" w:cs="宋体"/>
          <w:sz w:val="21"/>
          <w:szCs w:val="21"/>
        </w:rPr>
        <w:t>承包人提交的竣工资料的费用承担：</w:t>
      </w:r>
      <w:r>
        <w:rPr>
          <w:rFonts w:hint="eastAsia" w:ascii="宋体" w:hAnsi="宋体" w:eastAsia="宋体" w:cs="宋体"/>
          <w:sz w:val="21"/>
          <w:szCs w:val="21"/>
          <w:u w:val="single"/>
          <w:lang w:val="en-US" w:eastAsia="zh-CN"/>
        </w:rPr>
        <w:t>由</w:t>
      </w:r>
      <w:r>
        <w:rPr>
          <w:rFonts w:hint="eastAsia" w:ascii="宋体" w:hAnsi="宋体" w:eastAsia="宋体" w:cs="宋体"/>
          <w:sz w:val="21"/>
          <w:szCs w:val="21"/>
          <w:u w:val="single"/>
        </w:rPr>
        <w:t>承包人承担  。</w:t>
      </w:r>
    </w:p>
    <w:p w14:paraId="19CB7674">
      <w:pPr>
        <w:pageBreakBefore w:val="0"/>
        <w:widowControl w:val="0"/>
        <w:kinsoku/>
        <w:wordWrap/>
        <w:overflowPunct/>
        <w:topLinePunct w:val="0"/>
        <w:bidi w:val="0"/>
        <w:spacing w:line="400" w:lineRule="exact"/>
        <w:ind w:left="0" w:leftChars="0" w:firstLine="420" w:firstLineChars="200"/>
        <w:jc w:val="left"/>
        <w:rPr>
          <w:rFonts w:hint="eastAsia" w:ascii="宋体" w:hAnsi="宋体" w:eastAsia="宋体" w:cs="宋体"/>
          <w:sz w:val="21"/>
          <w:szCs w:val="21"/>
          <w:u w:val="single"/>
        </w:rPr>
      </w:pPr>
      <w:r>
        <w:rPr>
          <w:rFonts w:hint="eastAsia" w:ascii="宋体" w:hAnsi="宋体" w:eastAsia="宋体" w:cs="宋体"/>
          <w:sz w:val="21"/>
          <w:szCs w:val="21"/>
        </w:rPr>
        <w:t>承包人提交的竣工资料移交时间：</w:t>
      </w:r>
      <w:r>
        <w:rPr>
          <w:rFonts w:hint="eastAsia" w:ascii="宋体" w:hAnsi="宋体" w:eastAsia="宋体" w:cs="宋体"/>
          <w:color w:val="auto"/>
          <w:sz w:val="21"/>
          <w:szCs w:val="21"/>
          <w:highlight w:val="none"/>
          <w:u w:val="single"/>
        </w:rPr>
        <w:t xml:space="preserve">竣工验收合格之日起 </w:t>
      </w:r>
      <w:r>
        <w:rPr>
          <w:rFonts w:hint="eastAsia" w:ascii="宋体" w:hAnsi="宋体" w:eastAsia="宋体" w:cs="宋体"/>
          <w:color w:val="auto"/>
          <w:sz w:val="21"/>
          <w:szCs w:val="21"/>
          <w:highlight w:val="none"/>
          <w:u w:val="single"/>
          <w:lang w:val="en-US" w:eastAsia="zh-CN"/>
        </w:rPr>
        <w:t>15天</w:t>
      </w:r>
      <w:r>
        <w:rPr>
          <w:rFonts w:hint="eastAsia" w:ascii="宋体" w:hAnsi="宋体" w:eastAsia="宋体" w:cs="宋体"/>
          <w:color w:val="auto"/>
          <w:sz w:val="21"/>
          <w:szCs w:val="21"/>
          <w:highlight w:val="none"/>
          <w:u w:val="single"/>
        </w:rPr>
        <w:t>内</w:t>
      </w:r>
      <w:r>
        <w:rPr>
          <w:rFonts w:hint="eastAsia" w:ascii="宋体" w:hAnsi="宋体" w:eastAsia="宋体" w:cs="宋体"/>
          <w:sz w:val="21"/>
          <w:szCs w:val="21"/>
          <w:u w:val="single"/>
        </w:rPr>
        <w:t>。</w:t>
      </w:r>
    </w:p>
    <w:p w14:paraId="6A2F41DA">
      <w:pPr>
        <w:pageBreakBefore w:val="0"/>
        <w:widowControl w:val="0"/>
        <w:kinsoku/>
        <w:wordWrap/>
        <w:overflowPunct/>
        <w:topLinePunct w:val="0"/>
        <w:bidi w:val="0"/>
        <w:spacing w:line="400" w:lineRule="exact"/>
        <w:ind w:left="0" w:leftChars="0" w:firstLine="420" w:firstLineChars="200"/>
        <w:jc w:val="both"/>
        <w:rPr>
          <w:rFonts w:hint="eastAsia" w:ascii="宋体" w:hAnsi="宋体" w:eastAsia="宋体" w:cs="宋体"/>
          <w:sz w:val="21"/>
          <w:szCs w:val="21"/>
        </w:rPr>
      </w:pPr>
      <w:r>
        <w:rPr>
          <w:rFonts w:hint="eastAsia" w:ascii="宋体" w:hAnsi="宋体" w:eastAsia="宋体" w:cs="宋体"/>
          <w:sz w:val="21"/>
          <w:szCs w:val="21"/>
        </w:rPr>
        <w:t>承包人提交的竣工资料形式要求：</w:t>
      </w:r>
      <w:r>
        <w:rPr>
          <w:rFonts w:hint="eastAsia" w:ascii="宋体" w:hAnsi="宋体" w:eastAsia="宋体" w:cs="宋体"/>
          <w:sz w:val="21"/>
          <w:szCs w:val="21"/>
          <w:u w:val="single"/>
        </w:rPr>
        <w:t xml:space="preserve"> 符合《建设工程文件归档规范)(GB/T 50328-2014[2019年局部修订])的要求。</w:t>
      </w:r>
    </w:p>
    <w:p w14:paraId="2C790144">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u w:val="single"/>
          <w:lang w:val="en-US"/>
        </w:rPr>
      </w:pPr>
      <w:r>
        <w:rPr>
          <w:rFonts w:hint="eastAsia" w:ascii="宋体" w:hAnsi="宋体" w:eastAsia="宋体" w:cs="宋体"/>
          <w:sz w:val="21"/>
          <w:szCs w:val="21"/>
        </w:rPr>
        <w:t>承包人应履行的其他义务：</w:t>
      </w:r>
      <w:r>
        <w:rPr>
          <w:rFonts w:hint="eastAsia" w:ascii="宋体" w:hAnsi="宋体" w:eastAsia="宋体" w:cs="宋体"/>
          <w:sz w:val="21"/>
          <w:szCs w:val="21"/>
          <w:u w:val="single"/>
        </w:rPr>
        <w:t xml:space="preserve"> 施工场地周围地下管线和邻近建筑物、构筑物（含文物保护建筑）、古树名木的保护要求及费用承担：承包人施工时应探明并负责保护，施工时如损坏地下管线、邻近建筑物、构筑物，所发生费用由承包人承担。取土场及弃土场由承包人自行解决，但不得违反相关管理规定，并承担相关费用。</w:t>
      </w:r>
    </w:p>
    <w:p w14:paraId="10043F36">
      <w:pPr>
        <w:keepNext w:val="0"/>
        <w:keepLines w:val="0"/>
        <w:widowControl w:val="0"/>
        <w:suppressLineNumbers w:val="0"/>
        <w:spacing w:before="0" w:beforeAutospacing="0" w:after="0" w:afterAutospacing="0" w:line="400" w:lineRule="exact"/>
        <w:ind w:right="0"/>
        <w:jc w:val="both"/>
        <w:rPr>
          <w:rFonts w:hint="eastAsia" w:ascii="宋体" w:hAnsi="宋体" w:eastAsia="宋体" w:cs="宋体"/>
          <w:b/>
          <w:bCs/>
          <w:sz w:val="21"/>
          <w:szCs w:val="21"/>
          <w:lang w:val="en-US"/>
        </w:rPr>
      </w:pPr>
      <w:r>
        <w:rPr>
          <w:rFonts w:hint="eastAsia" w:ascii="宋体" w:hAnsi="宋体" w:eastAsia="宋体" w:cs="宋体"/>
          <w:b/>
          <w:bCs/>
          <w:color w:val="000000"/>
          <w:kern w:val="2"/>
          <w:sz w:val="21"/>
          <w:szCs w:val="21"/>
          <w:lang w:val="en-US" w:eastAsia="zh-CN" w:bidi="ar"/>
        </w:rPr>
        <w:t>3.2项目经理</w:t>
      </w:r>
    </w:p>
    <w:p w14:paraId="7E0AAD54">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color w:val="FF0000"/>
          <w:sz w:val="21"/>
          <w:szCs w:val="21"/>
          <w:lang w:val="en-US"/>
        </w:rPr>
      </w:pPr>
      <w:r>
        <w:rPr>
          <w:rFonts w:hint="eastAsia" w:ascii="宋体" w:hAnsi="宋体" w:eastAsia="宋体" w:cs="宋体"/>
          <w:color w:val="000000"/>
          <w:kern w:val="2"/>
          <w:sz w:val="21"/>
          <w:szCs w:val="21"/>
          <w:lang w:val="en-US" w:eastAsia="zh-CN" w:bidi="ar"/>
        </w:rPr>
        <w:t>3.2.1项目经理：</w:t>
      </w:r>
    </w:p>
    <w:p w14:paraId="4420571C">
      <w:pPr>
        <w:keepNext w:val="0"/>
        <w:keepLines w:val="0"/>
        <w:widowControl w:val="0"/>
        <w:suppressLineNumbers w:val="0"/>
        <w:spacing w:before="0" w:beforeAutospacing="0" w:after="0" w:afterAutospacing="0" w:line="380" w:lineRule="exact"/>
        <w:ind w:left="0" w:right="0" w:firstLine="420" w:firstLineChars="200"/>
        <w:jc w:val="both"/>
        <w:rPr>
          <w:rFonts w:hint="eastAsia" w:ascii="宋体" w:hAnsi="宋体" w:eastAsia="宋体" w:cs="宋体"/>
          <w:kern w:val="0"/>
          <w:sz w:val="21"/>
          <w:szCs w:val="21"/>
          <w:lang w:val="en-US"/>
        </w:rPr>
      </w:pPr>
      <w:r>
        <w:rPr>
          <w:rFonts w:hint="eastAsia" w:ascii="宋体" w:hAnsi="宋体" w:eastAsia="宋体" w:cs="宋体"/>
          <w:color w:val="000000"/>
          <w:kern w:val="2"/>
          <w:sz w:val="21"/>
          <w:szCs w:val="21"/>
          <w:lang w:val="en-US" w:eastAsia="zh-CN" w:bidi="ar"/>
        </w:rPr>
        <w:t>姓    名：</w:t>
      </w:r>
      <w:r>
        <w:rPr>
          <w:rFonts w:hint="eastAsia" w:ascii="宋体" w:hAnsi="宋体" w:eastAsia="宋体" w:cs="宋体"/>
          <w:color w:val="000000"/>
          <w:kern w:val="2"/>
          <w:sz w:val="21"/>
          <w:szCs w:val="21"/>
          <w:u w:val="single"/>
          <w:lang w:val="en-US" w:eastAsia="zh-CN" w:bidi="ar"/>
        </w:rPr>
        <w:t>       </w:t>
      </w:r>
      <w:r>
        <w:rPr>
          <w:rFonts w:hint="eastAsia" w:ascii="宋体" w:hAnsi="宋体" w:eastAsia="宋体" w:cs="宋体"/>
          <w:color w:val="000000"/>
          <w:kern w:val="2"/>
          <w:sz w:val="21"/>
          <w:szCs w:val="21"/>
          <w:lang w:val="en-US" w:eastAsia="zh-CN" w:bidi="ar"/>
        </w:rPr>
        <w:t>；</w:t>
      </w:r>
    </w:p>
    <w:p w14:paraId="1EF9A601">
      <w:pPr>
        <w:keepNext w:val="0"/>
        <w:keepLines w:val="0"/>
        <w:widowControl w:val="0"/>
        <w:suppressLineNumbers w:val="0"/>
        <w:spacing w:before="0" w:beforeAutospacing="0" w:after="0" w:afterAutospacing="0" w:line="380" w:lineRule="exact"/>
        <w:ind w:left="0" w:right="0" w:firstLine="420" w:firstLineChars="200"/>
        <w:jc w:val="both"/>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身份证号：</w:t>
      </w:r>
      <w:r>
        <w:rPr>
          <w:rFonts w:hint="eastAsia" w:ascii="宋体" w:hAnsi="宋体" w:eastAsia="宋体" w:cs="宋体"/>
          <w:color w:val="000000"/>
          <w:kern w:val="2"/>
          <w:sz w:val="21"/>
          <w:szCs w:val="21"/>
          <w:u w:val="single"/>
          <w:lang w:val="en-US" w:eastAsia="zh-CN" w:bidi="ar"/>
        </w:rPr>
        <w:t>     </w:t>
      </w:r>
      <w:r>
        <w:rPr>
          <w:rFonts w:hint="eastAsia" w:ascii="宋体" w:hAnsi="宋体" w:eastAsia="宋体" w:cs="宋体"/>
          <w:color w:val="000000"/>
          <w:kern w:val="2"/>
          <w:sz w:val="21"/>
          <w:szCs w:val="21"/>
          <w:lang w:val="en-US" w:eastAsia="zh-CN" w:bidi="ar"/>
        </w:rPr>
        <w:t>；</w:t>
      </w:r>
    </w:p>
    <w:p w14:paraId="1A6F9F7B">
      <w:pPr>
        <w:keepNext w:val="0"/>
        <w:keepLines w:val="0"/>
        <w:widowControl w:val="0"/>
        <w:suppressLineNumbers w:val="0"/>
        <w:spacing w:before="0" w:beforeAutospacing="0" w:after="0" w:afterAutospacing="0" w:line="380" w:lineRule="exact"/>
        <w:ind w:left="0" w:right="0" w:firstLine="420" w:firstLineChars="200"/>
        <w:jc w:val="both"/>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建造师执业资格等级：</w:t>
      </w:r>
      <w:r>
        <w:rPr>
          <w:rFonts w:hint="eastAsia" w:ascii="宋体" w:hAnsi="宋体" w:eastAsia="宋体" w:cs="宋体"/>
          <w:color w:val="000000"/>
          <w:kern w:val="2"/>
          <w:sz w:val="21"/>
          <w:szCs w:val="21"/>
          <w:u w:val="single"/>
          <w:lang w:val="en-US" w:eastAsia="zh-CN" w:bidi="ar"/>
        </w:rPr>
        <w:t>    </w:t>
      </w:r>
      <w:r>
        <w:rPr>
          <w:rFonts w:hint="eastAsia" w:ascii="宋体" w:hAnsi="宋体" w:eastAsia="宋体" w:cs="宋体"/>
          <w:color w:val="000000"/>
          <w:kern w:val="2"/>
          <w:sz w:val="21"/>
          <w:szCs w:val="21"/>
          <w:lang w:val="en-US" w:eastAsia="zh-CN" w:bidi="ar"/>
        </w:rPr>
        <w:t>；</w:t>
      </w:r>
    </w:p>
    <w:p w14:paraId="374805E2">
      <w:pPr>
        <w:keepNext w:val="0"/>
        <w:keepLines w:val="0"/>
        <w:widowControl w:val="0"/>
        <w:suppressLineNumbers w:val="0"/>
        <w:spacing w:before="0" w:beforeAutospacing="0" w:after="0" w:afterAutospacing="0"/>
        <w:ind w:left="0" w:right="0" w:firstLine="420" w:firstLineChars="200"/>
        <w:jc w:val="both"/>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建造师注册证书号：</w:t>
      </w:r>
      <w:r>
        <w:rPr>
          <w:rFonts w:hint="eastAsia" w:ascii="宋体" w:hAnsi="宋体" w:eastAsia="宋体" w:cs="宋体"/>
          <w:color w:val="000000"/>
          <w:kern w:val="2"/>
          <w:sz w:val="21"/>
          <w:szCs w:val="21"/>
          <w:u w:val="single"/>
          <w:lang w:val="en-US" w:eastAsia="zh-CN" w:bidi="ar"/>
        </w:rPr>
        <w:t>    </w:t>
      </w:r>
      <w:r>
        <w:rPr>
          <w:rFonts w:hint="eastAsia" w:ascii="宋体" w:hAnsi="宋体" w:eastAsia="宋体" w:cs="宋体"/>
          <w:color w:val="000000"/>
          <w:kern w:val="2"/>
          <w:sz w:val="21"/>
          <w:szCs w:val="21"/>
          <w:lang w:val="en-US" w:eastAsia="zh-CN" w:bidi="ar"/>
        </w:rPr>
        <w:t>；</w:t>
      </w:r>
    </w:p>
    <w:p w14:paraId="32702231">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color w:val="FF0000"/>
          <w:sz w:val="21"/>
          <w:szCs w:val="21"/>
          <w:lang w:val="en-US"/>
        </w:rPr>
      </w:pPr>
      <w:r>
        <w:rPr>
          <w:rFonts w:hint="eastAsia" w:ascii="宋体" w:hAnsi="宋体" w:eastAsia="宋体" w:cs="宋体"/>
          <w:color w:val="000000"/>
          <w:kern w:val="2"/>
          <w:sz w:val="21"/>
          <w:szCs w:val="21"/>
          <w:lang w:val="en-US" w:eastAsia="zh-CN" w:bidi="ar"/>
        </w:rPr>
        <w:t>建造师执业印章号：</w:t>
      </w:r>
      <w:r>
        <w:rPr>
          <w:rFonts w:hint="eastAsia" w:ascii="宋体" w:hAnsi="宋体" w:eastAsia="宋体" w:cs="宋体"/>
          <w:color w:val="000000"/>
          <w:kern w:val="2"/>
          <w:sz w:val="21"/>
          <w:szCs w:val="21"/>
          <w:u w:val="single"/>
          <w:lang w:val="en-US" w:eastAsia="zh-CN" w:bidi="ar"/>
        </w:rPr>
        <w:t xml:space="preserve">                     </w:t>
      </w:r>
      <w:r>
        <w:rPr>
          <w:rFonts w:hint="eastAsia" w:ascii="宋体" w:hAnsi="宋体" w:eastAsia="宋体" w:cs="宋体"/>
          <w:color w:val="000000"/>
          <w:kern w:val="2"/>
          <w:sz w:val="21"/>
          <w:szCs w:val="21"/>
          <w:lang w:val="en-US" w:eastAsia="zh-CN" w:bidi="ar"/>
        </w:rPr>
        <w:t>；</w:t>
      </w:r>
    </w:p>
    <w:p w14:paraId="146F2149">
      <w:pPr>
        <w:keepNext w:val="0"/>
        <w:keepLines w:val="0"/>
        <w:widowControl w:val="0"/>
        <w:suppressLineNumbers w:val="0"/>
        <w:spacing w:before="0" w:beforeAutospacing="0" w:after="0" w:afterAutospacing="0" w:line="380" w:lineRule="exact"/>
        <w:ind w:left="0" w:right="0" w:firstLine="420" w:firstLineChars="200"/>
        <w:jc w:val="both"/>
        <w:rPr>
          <w:rFonts w:hint="eastAsia" w:ascii="宋体" w:hAnsi="宋体" w:eastAsia="宋体" w:cs="宋体"/>
          <w:kern w:val="0"/>
          <w:sz w:val="21"/>
          <w:szCs w:val="21"/>
          <w:lang w:val="en-US"/>
        </w:rPr>
      </w:pPr>
      <w:r>
        <w:rPr>
          <w:rFonts w:hint="eastAsia" w:ascii="宋体" w:hAnsi="宋体" w:eastAsia="宋体" w:cs="宋体"/>
          <w:color w:val="000000"/>
          <w:kern w:val="2"/>
          <w:sz w:val="21"/>
          <w:szCs w:val="21"/>
          <w:lang w:val="en-US" w:eastAsia="zh-CN" w:bidi="ar"/>
        </w:rPr>
        <w:t>安全生产考核合格证书号：</w:t>
      </w:r>
      <w:r>
        <w:rPr>
          <w:rFonts w:hint="eastAsia" w:ascii="宋体" w:hAnsi="宋体" w:eastAsia="宋体" w:cs="宋体"/>
          <w:color w:val="000000"/>
          <w:kern w:val="2"/>
          <w:sz w:val="21"/>
          <w:szCs w:val="21"/>
          <w:u w:val="single"/>
          <w:lang w:val="en-US" w:eastAsia="zh-CN" w:bidi="ar"/>
        </w:rPr>
        <w:t>           </w:t>
      </w:r>
      <w:r>
        <w:rPr>
          <w:rFonts w:hint="eastAsia" w:ascii="宋体" w:hAnsi="宋体" w:eastAsia="宋体" w:cs="宋体"/>
          <w:color w:val="000000"/>
          <w:kern w:val="2"/>
          <w:sz w:val="21"/>
          <w:szCs w:val="21"/>
          <w:lang w:val="en-US" w:eastAsia="zh-CN" w:bidi="ar"/>
        </w:rPr>
        <w:t>；</w:t>
      </w:r>
    </w:p>
    <w:p w14:paraId="36C01AA4">
      <w:pPr>
        <w:keepNext w:val="0"/>
        <w:keepLines w:val="0"/>
        <w:widowControl w:val="0"/>
        <w:suppressLineNumbers w:val="0"/>
        <w:spacing w:before="0" w:beforeAutospacing="0" w:after="0" w:afterAutospacing="0" w:line="380" w:lineRule="exact"/>
        <w:ind w:left="0" w:right="0" w:firstLine="420" w:firstLineChars="200"/>
        <w:jc w:val="both"/>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联系电话：</w:t>
      </w:r>
      <w:r>
        <w:rPr>
          <w:rFonts w:hint="eastAsia" w:ascii="宋体" w:hAnsi="宋体" w:eastAsia="宋体" w:cs="宋体"/>
          <w:color w:val="000000"/>
          <w:kern w:val="2"/>
          <w:sz w:val="21"/>
          <w:szCs w:val="21"/>
          <w:u w:val="single"/>
          <w:lang w:val="en-US" w:eastAsia="zh-CN" w:bidi="ar"/>
        </w:rPr>
        <w:t>                       </w:t>
      </w:r>
      <w:r>
        <w:rPr>
          <w:rFonts w:hint="eastAsia" w:ascii="宋体" w:hAnsi="宋体" w:eastAsia="宋体" w:cs="宋体"/>
          <w:color w:val="000000"/>
          <w:kern w:val="2"/>
          <w:sz w:val="21"/>
          <w:szCs w:val="21"/>
          <w:lang w:val="en-US" w:eastAsia="zh-CN" w:bidi="ar"/>
        </w:rPr>
        <w:t>；</w:t>
      </w:r>
    </w:p>
    <w:p w14:paraId="1F6B7F33">
      <w:pPr>
        <w:keepNext w:val="0"/>
        <w:keepLines w:val="0"/>
        <w:widowControl w:val="0"/>
        <w:suppressLineNumbers w:val="0"/>
        <w:spacing w:before="0" w:beforeAutospacing="0" w:after="0" w:afterAutospacing="0" w:line="380" w:lineRule="exact"/>
        <w:ind w:left="0" w:right="0" w:firstLine="420" w:firstLineChars="200"/>
        <w:jc w:val="both"/>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电子信箱：</w:t>
      </w:r>
      <w:r>
        <w:rPr>
          <w:rFonts w:hint="eastAsia" w:ascii="宋体" w:hAnsi="宋体" w:eastAsia="宋体" w:cs="宋体"/>
          <w:color w:val="000000"/>
          <w:kern w:val="2"/>
          <w:sz w:val="21"/>
          <w:szCs w:val="21"/>
          <w:u w:val="single"/>
          <w:lang w:val="en-US" w:eastAsia="zh-CN" w:bidi="ar"/>
        </w:rPr>
        <w:t>                       </w:t>
      </w:r>
      <w:r>
        <w:rPr>
          <w:rFonts w:hint="eastAsia" w:ascii="宋体" w:hAnsi="宋体" w:eastAsia="宋体" w:cs="宋体"/>
          <w:color w:val="000000"/>
          <w:kern w:val="2"/>
          <w:sz w:val="21"/>
          <w:szCs w:val="21"/>
          <w:lang w:val="en-US" w:eastAsia="zh-CN" w:bidi="ar"/>
        </w:rPr>
        <w:t>；</w:t>
      </w:r>
    </w:p>
    <w:p w14:paraId="238EEDBA">
      <w:pPr>
        <w:keepNext w:val="0"/>
        <w:keepLines w:val="0"/>
        <w:widowControl w:val="0"/>
        <w:suppressLineNumbers w:val="0"/>
        <w:spacing w:before="0" w:beforeAutospacing="0" w:after="0" w:afterAutospacing="0" w:line="380" w:lineRule="exact"/>
        <w:ind w:left="0" w:right="0" w:firstLine="420" w:firstLineChars="200"/>
        <w:jc w:val="both"/>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通信地址：</w:t>
      </w:r>
      <w:r>
        <w:rPr>
          <w:rFonts w:hint="eastAsia" w:ascii="宋体" w:hAnsi="宋体" w:eastAsia="宋体" w:cs="宋体"/>
          <w:color w:val="000000"/>
          <w:kern w:val="2"/>
          <w:sz w:val="21"/>
          <w:szCs w:val="21"/>
          <w:u w:val="single"/>
          <w:lang w:val="en-US" w:eastAsia="zh-CN" w:bidi="ar"/>
        </w:rPr>
        <w:t>                   </w:t>
      </w:r>
      <w:r>
        <w:rPr>
          <w:rFonts w:hint="eastAsia" w:ascii="宋体" w:hAnsi="宋体" w:eastAsia="宋体" w:cs="宋体"/>
          <w:color w:val="000000"/>
          <w:kern w:val="2"/>
          <w:sz w:val="21"/>
          <w:szCs w:val="21"/>
          <w:lang w:val="en-US" w:eastAsia="zh-CN" w:bidi="ar"/>
        </w:rPr>
        <w:t>；</w:t>
      </w:r>
    </w:p>
    <w:p w14:paraId="41D9ACD0">
      <w:pPr>
        <w:keepNext w:val="0"/>
        <w:keepLines w:val="0"/>
        <w:widowControl w:val="0"/>
        <w:suppressLineNumbers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color w:val="FF0000"/>
          <w:kern w:val="0"/>
          <w:sz w:val="21"/>
          <w:szCs w:val="21"/>
          <w:vertAlign w:val="baseline"/>
          <w:lang w:val="en-US"/>
        </w:rPr>
      </w:pPr>
      <w:r>
        <w:rPr>
          <w:rFonts w:hint="eastAsia" w:ascii="宋体" w:hAnsi="宋体" w:eastAsia="宋体" w:cs="宋体"/>
          <w:color w:val="000000"/>
          <w:kern w:val="2"/>
          <w:sz w:val="21"/>
          <w:szCs w:val="21"/>
          <w:vertAlign w:val="baseline"/>
          <w:lang w:val="en-US" w:eastAsia="zh-CN" w:bidi="ar"/>
        </w:rPr>
        <w:t xml:space="preserve">承包人对项目经理的授权范围如下： </w:t>
      </w:r>
      <w:r>
        <w:rPr>
          <w:rFonts w:hint="eastAsia" w:ascii="宋体" w:hAnsi="宋体" w:eastAsia="宋体" w:cs="宋体"/>
          <w:color w:val="000000"/>
          <w:kern w:val="2"/>
          <w:sz w:val="21"/>
          <w:szCs w:val="21"/>
          <w:u w:val="single" w:color="000000"/>
          <w:vertAlign w:val="baseline"/>
          <w:lang w:val="en-US" w:eastAsia="zh-CN" w:bidi="ar"/>
        </w:rPr>
        <w:t xml:space="preserve">    /     </w:t>
      </w:r>
      <w:r>
        <w:rPr>
          <w:rFonts w:hint="eastAsia" w:ascii="宋体" w:hAnsi="宋体" w:eastAsia="宋体" w:cs="宋体"/>
          <w:color w:val="000000"/>
          <w:kern w:val="2"/>
          <w:sz w:val="21"/>
          <w:szCs w:val="21"/>
          <w:vertAlign w:val="baseline"/>
          <w:lang w:val="en-US" w:eastAsia="zh-CN" w:bidi="ar"/>
        </w:rPr>
        <w:t>。</w:t>
      </w:r>
    </w:p>
    <w:p w14:paraId="4482BC34">
      <w:pPr>
        <w:pageBreakBefore w:val="0"/>
        <w:widowControl w:val="0"/>
        <w:kinsoku/>
        <w:wordWrap/>
        <w:overflowPunct/>
        <w:topLinePunct w:val="0"/>
        <w:bidi w:val="0"/>
        <w:spacing w:line="400" w:lineRule="exact"/>
        <w:ind w:left="0" w:leftChars="0" w:firstLine="420" w:firstLineChars="200"/>
        <w:jc w:val="left"/>
        <w:rPr>
          <w:rFonts w:hint="eastAsia" w:ascii="宋体" w:hAnsi="宋体" w:eastAsia="宋体" w:cs="宋体"/>
          <w:color w:val="auto"/>
          <w:kern w:val="0"/>
          <w:sz w:val="21"/>
          <w:szCs w:val="21"/>
          <w:highlight w:val="none"/>
        </w:rPr>
      </w:pPr>
      <w:bookmarkStart w:id="348" w:name="_Toc15597"/>
      <w:bookmarkStart w:id="349" w:name="_Toc373227709"/>
      <w:bookmarkStart w:id="350" w:name="_Toc389065275"/>
      <w:bookmarkStart w:id="351" w:name="_Toc407135211"/>
      <w:bookmarkStart w:id="352" w:name="_Toc373478356"/>
      <w:r>
        <w:rPr>
          <w:rFonts w:hint="eastAsia" w:ascii="宋体" w:hAnsi="宋体" w:eastAsia="宋体" w:cs="宋体"/>
          <w:color w:val="auto"/>
          <w:kern w:val="0"/>
          <w:sz w:val="21"/>
          <w:szCs w:val="21"/>
          <w:highlight w:val="none"/>
        </w:rPr>
        <w:t>关于项目经理每月在施工现场的时间要求：</w:t>
      </w:r>
      <w:r>
        <w:rPr>
          <w:rFonts w:hint="eastAsia" w:ascii="宋体" w:hAnsi="宋体" w:eastAsia="宋体" w:cs="宋体"/>
          <w:color w:val="auto"/>
          <w:sz w:val="21"/>
          <w:szCs w:val="21"/>
          <w:highlight w:val="none"/>
          <w:u w:val="single"/>
        </w:rPr>
        <w:t>常驻现场，每月不少于 24 天。</w:t>
      </w:r>
    </w:p>
    <w:p w14:paraId="0765291E">
      <w:pPr>
        <w:pageBreakBefore w:val="0"/>
        <w:widowControl w:val="0"/>
        <w:kinsoku/>
        <w:wordWrap/>
        <w:overflowPunct/>
        <w:topLinePunct w:val="0"/>
        <w:bidi w:val="0"/>
        <w:spacing w:line="400" w:lineRule="exact"/>
        <w:ind w:left="0" w:leftChars="0"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承包人未提交劳动合同，以及没有为项目经理缴纳社会保险证明的违约责任：</w:t>
      </w:r>
      <w:r>
        <w:rPr>
          <w:rFonts w:hint="eastAsia" w:ascii="宋体" w:hAnsi="宋体" w:eastAsia="宋体" w:cs="宋体"/>
          <w:color w:val="auto"/>
          <w:sz w:val="21"/>
          <w:szCs w:val="21"/>
          <w:highlight w:val="none"/>
          <w:u w:val="single"/>
        </w:rPr>
        <w:t>承包人向发包人支付 2 万元的罚款，并承担因此而产生的责任与后果</w:t>
      </w:r>
      <w:r>
        <w:rPr>
          <w:rFonts w:hint="eastAsia" w:ascii="宋体" w:hAnsi="宋体" w:eastAsia="宋体" w:cs="宋体"/>
          <w:color w:val="auto"/>
          <w:sz w:val="21"/>
          <w:szCs w:val="21"/>
          <w:highlight w:val="none"/>
        </w:rPr>
        <w:t>。</w:t>
      </w:r>
    </w:p>
    <w:p w14:paraId="4E1CBD12">
      <w:pPr>
        <w:pageBreakBefore w:val="0"/>
        <w:widowControl w:val="0"/>
        <w:kinsoku/>
        <w:wordWrap/>
        <w:overflowPunct/>
        <w:topLinePunct w:val="0"/>
        <w:bidi w:val="0"/>
        <w:spacing w:line="400" w:lineRule="exact"/>
        <w:ind w:left="0" w:leftChars="0" w:firstLine="420" w:firstLineChars="200"/>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kern w:val="0"/>
          <w:sz w:val="21"/>
          <w:szCs w:val="21"/>
          <w:highlight w:val="none"/>
        </w:rPr>
        <w:t>项目经理未经批准，擅自离开施工现场的违约责任：</w:t>
      </w:r>
      <w:r>
        <w:rPr>
          <w:rFonts w:hint="eastAsia" w:ascii="宋体" w:hAnsi="宋体" w:eastAsia="宋体" w:cs="宋体"/>
          <w:color w:val="auto"/>
          <w:sz w:val="21"/>
          <w:szCs w:val="21"/>
          <w:highlight w:val="none"/>
          <w:u w:val="single"/>
        </w:rPr>
        <w:t xml:space="preserve">项目经理每月在岗带班时间不得少于当月施工时间的80%。未经发包人同意或正当理由，项目经理每月在岗带班时间少于当月施工时间80%的，少在岗带班一天，发包人有权处违约金 </w:t>
      </w:r>
      <w:r>
        <w:rPr>
          <w:rFonts w:hint="eastAsia" w:ascii="宋体" w:hAnsi="宋体" w:eastAsia="宋体" w:cs="宋体"/>
          <w:color w:val="auto"/>
          <w:sz w:val="21"/>
          <w:szCs w:val="21"/>
          <w:highlight w:val="none"/>
          <w:u w:val="single"/>
          <w:lang w:val="en-US" w:eastAsia="zh-CN"/>
        </w:rPr>
        <w:t>200</w:t>
      </w:r>
      <w:r>
        <w:rPr>
          <w:rFonts w:hint="eastAsia" w:ascii="宋体" w:hAnsi="宋体" w:eastAsia="宋体" w:cs="宋体"/>
          <w:color w:val="auto"/>
          <w:sz w:val="21"/>
          <w:szCs w:val="21"/>
          <w:highlight w:val="none"/>
          <w:u w:val="single"/>
        </w:rPr>
        <w:t>元/日（人民币）</w:t>
      </w:r>
      <w:r>
        <w:rPr>
          <w:rFonts w:hint="eastAsia" w:ascii="宋体" w:hAnsi="宋体" w:eastAsia="宋体" w:cs="宋体"/>
          <w:color w:val="auto"/>
          <w:sz w:val="21"/>
          <w:szCs w:val="21"/>
          <w:highlight w:val="none"/>
          <w:u w:val="single"/>
          <w:lang w:eastAsia="zh-CN"/>
        </w:rPr>
        <w:t>。</w:t>
      </w:r>
    </w:p>
    <w:p w14:paraId="3A9E2463">
      <w:pPr>
        <w:pageBreakBefore w:val="0"/>
        <w:widowControl w:val="0"/>
        <w:kinsoku/>
        <w:wordWrap/>
        <w:overflowPunct/>
        <w:topLinePunct w:val="0"/>
        <w:bidi w:val="0"/>
        <w:spacing w:line="400" w:lineRule="exact"/>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w:t>
      </w:r>
      <w:r>
        <w:rPr>
          <w:rFonts w:hint="eastAsia" w:ascii="宋体" w:hAnsi="宋体" w:eastAsia="宋体" w:cs="宋体"/>
          <w:color w:val="auto"/>
          <w:sz w:val="21"/>
          <w:szCs w:val="21"/>
          <w:highlight w:val="none"/>
          <w:lang w:val="en-US" w:eastAsia="zh-CN"/>
        </w:rPr>
        <w:t xml:space="preserve">2 </w:t>
      </w:r>
      <w:r>
        <w:rPr>
          <w:rFonts w:hint="eastAsia" w:ascii="宋体" w:hAnsi="宋体" w:eastAsia="宋体" w:cs="宋体"/>
          <w:color w:val="auto"/>
          <w:sz w:val="21"/>
          <w:szCs w:val="21"/>
          <w:highlight w:val="none"/>
        </w:rPr>
        <w:t>承包人擅自更换项目经理的违约责任：</w:t>
      </w:r>
      <w:r>
        <w:rPr>
          <w:rFonts w:hint="eastAsia" w:ascii="宋体" w:hAnsi="宋体" w:eastAsia="宋体" w:cs="宋体"/>
          <w:color w:val="auto"/>
          <w:sz w:val="21"/>
          <w:szCs w:val="21"/>
          <w:highlight w:val="none"/>
          <w:u w:val="single"/>
        </w:rPr>
        <w:t>承包人项目经理必须与承包人</w:t>
      </w:r>
      <w:r>
        <w:rPr>
          <w:rFonts w:hint="eastAsia" w:ascii="宋体" w:hAnsi="宋体" w:eastAsia="宋体" w:cs="宋体"/>
          <w:color w:val="auto"/>
          <w:sz w:val="21"/>
          <w:szCs w:val="21"/>
          <w:highlight w:val="none"/>
          <w:u w:val="single"/>
          <w:lang w:eastAsia="zh-CN"/>
        </w:rPr>
        <w:t>竞</w:t>
      </w:r>
      <w:r>
        <w:rPr>
          <w:rFonts w:hint="eastAsia" w:ascii="宋体" w:hAnsi="宋体" w:eastAsia="宋体" w:cs="宋体"/>
          <w:color w:val="auto"/>
          <w:sz w:val="21"/>
          <w:szCs w:val="21"/>
          <w:highlight w:val="none"/>
          <w:u w:val="single"/>
        </w:rPr>
        <w:t>标时所承诺的人员一致，并在 （开工日期）前到任。在监理人向承包人颁发 （竣工证明材料名称</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前，项目经理不得同时兼任其他任何项目的项目经理</w:t>
      </w:r>
      <w:r>
        <w:rPr>
          <w:rFonts w:hint="eastAsia" w:ascii="宋体" w:hAnsi="宋体" w:eastAsia="宋体" w:cs="宋体"/>
          <w:color w:val="auto"/>
          <w:kern w:val="0"/>
          <w:sz w:val="21"/>
          <w:szCs w:val="21"/>
          <w:highlight w:val="none"/>
          <w:u w:val="single"/>
        </w:rPr>
        <w:t>（符合桂建管</w:t>
      </w:r>
      <w:r>
        <w:rPr>
          <w:rFonts w:hint="eastAsia" w:ascii="宋体" w:hAnsi="宋体" w:eastAsia="宋体" w:cs="宋体"/>
          <w:color w:val="auto"/>
          <w:sz w:val="21"/>
          <w:szCs w:val="21"/>
          <w:highlight w:val="none"/>
          <w:u w:val="single"/>
        </w:rPr>
        <w:t>﹝2013﹞</w:t>
      </w:r>
      <w:r>
        <w:rPr>
          <w:rFonts w:hint="eastAsia" w:ascii="宋体" w:hAnsi="宋体" w:eastAsia="宋体" w:cs="宋体"/>
          <w:color w:val="auto"/>
          <w:kern w:val="0"/>
          <w:sz w:val="21"/>
          <w:szCs w:val="21"/>
          <w:highlight w:val="none"/>
          <w:u w:val="single"/>
        </w:rPr>
        <w:t>17号和</w:t>
      </w:r>
      <w:r>
        <w:rPr>
          <w:rFonts w:hint="eastAsia" w:ascii="宋体" w:hAnsi="宋体" w:eastAsia="宋体" w:cs="宋体"/>
          <w:color w:val="auto"/>
          <w:sz w:val="21"/>
          <w:szCs w:val="21"/>
          <w:highlight w:val="none"/>
          <w:u w:val="single"/>
        </w:rPr>
        <w:t>桂建管﹝2014﹞25号</w:t>
      </w:r>
      <w:r>
        <w:rPr>
          <w:rFonts w:hint="eastAsia" w:ascii="宋体" w:hAnsi="宋体" w:eastAsia="宋体" w:cs="宋体"/>
          <w:color w:val="auto"/>
          <w:kern w:val="0"/>
          <w:sz w:val="21"/>
          <w:szCs w:val="21"/>
          <w:highlight w:val="none"/>
          <w:u w:val="single"/>
        </w:rPr>
        <w:t>文除外）</w:t>
      </w:r>
      <w:r>
        <w:rPr>
          <w:rFonts w:hint="eastAsia" w:ascii="宋体" w:hAnsi="宋体" w:eastAsia="宋体" w:cs="宋体"/>
          <w:color w:val="auto"/>
          <w:sz w:val="21"/>
          <w:szCs w:val="21"/>
          <w:highlight w:val="none"/>
          <w:u w:val="single"/>
        </w:rPr>
        <w:t>。未经发包人书面同意，承包人擅自更换项目经理的视为违约，违约金处</w:t>
      </w:r>
      <w:r>
        <w:rPr>
          <w:rFonts w:hint="eastAsia" w:ascii="宋体" w:hAnsi="宋体" w:eastAsia="宋体" w:cs="宋体"/>
          <w:color w:val="auto"/>
          <w:sz w:val="21"/>
          <w:szCs w:val="21"/>
          <w:highlight w:val="none"/>
          <w:u w:val="single"/>
          <w:lang w:val="en-US" w:eastAsia="zh-CN"/>
        </w:rPr>
        <w:t>20000</w:t>
      </w:r>
      <w:r>
        <w:rPr>
          <w:rFonts w:hint="eastAsia" w:ascii="宋体" w:hAnsi="宋体" w:eastAsia="宋体" w:cs="宋体"/>
          <w:color w:val="auto"/>
          <w:sz w:val="21"/>
          <w:szCs w:val="21"/>
          <w:highlight w:val="none"/>
          <w:u w:val="single"/>
        </w:rPr>
        <w:t>元/人•次（人民币）</w:t>
      </w:r>
      <w:r>
        <w:rPr>
          <w:rFonts w:hint="eastAsia" w:ascii="宋体" w:hAnsi="宋体" w:eastAsia="宋体" w:cs="宋体"/>
          <w:color w:val="auto"/>
          <w:sz w:val="21"/>
          <w:szCs w:val="21"/>
          <w:highlight w:val="none"/>
        </w:rPr>
        <w:t>。</w:t>
      </w:r>
    </w:p>
    <w:p w14:paraId="67A11F87">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r>
        <w:rPr>
          <w:rFonts w:hint="eastAsia" w:ascii="宋体" w:hAnsi="宋体" w:eastAsia="宋体" w:cs="宋体"/>
          <w:color w:val="auto"/>
          <w:sz w:val="21"/>
          <w:szCs w:val="21"/>
          <w:highlight w:val="none"/>
        </w:rPr>
        <w:t>3.2.</w:t>
      </w:r>
      <w:r>
        <w:rPr>
          <w:rFonts w:hint="eastAsia" w:ascii="宋体" w:hAnsi="宋体" w:eastAsia="宋体" w:cs="宋体"/>
          <w:color w:val="auto"/>
          <w:sz w:val="21"/>
          <w:szCs w:val="21"/>
          <w:highlight w:val="none"/>
          <w:lang w:val="en-US" w:eastAsia="zh-CN"/>
        </w:rPr>
        <w:t xml:space="preserve">3 </w:t>
      </w:r>
      <w:r>
        <w:rPr>
          <w:rFonts w:hint="eastAsia" w:ascii="宋体" w:hAnsi="宋体" w:eastAsia="宋体" w:cs="宋体"/>
          <w:color w:val="auto"/>
          <w:sz w:val="21"/>
          <w:szCs w:val="21"/>
          <w:highlight w:val="none"/>
        </w:rPr>
        <w:t>承包人无正当理由拒绝更换项目经理的违约责任：</w:t>
      </w:r>
      <w:r>
        <w:rPr>
          <w:rFonts w:hint="eastAsia" w:ascii="宋体" w:hAnsi="宋体" w:eastAsia="宋体" w:cs="宋体"/>
          <w:color w:val="auto"/>
          <w:sz w:val="21"/>
          <w:szCs w:val="21"/>
          <w:highlight w:val="none"/>
          <w:u w:val="single"/>
        </w:rPr>
        <w:t xml:space="preserve">因承包人项目经理不称职，发包人要求调换而未及时调换的，视为承包人违约，必须向发包人交纳处罚金 </w:t>
      </w:r>
      <w:r>
        <w:rPr>
          <w:rFonts w:hint="eastAsia" w:ascii="宋体" w:hAnsi="宋体" w:eastAsia="宋体" w:cs="宋体"/>
          <w:color w:val="auto"/>
          <w:sz w:val="21"/>
          <w:szCs w:val="21"/>
          <w:highlight w:val="none"/>
          <w:u w:val="single"/>
          <w:lang w:val="en-US" w:eastAsia="zh-CN"/>
        </w:rPr>
        <w:t>5000</w:t>
      </w:r>
      <w:r>
        <w:rPr>
          <w:rFonts w:hint="eastAsia" w:ascii="宋体" w:hAnsi="宋体" w:eastAsia="宋体" w:cs="宋体"/>
          <w:color w:val="auto"/>
          <w:sz w:val="21"/>
          <w:szCs w:val="21"/>
          <w:highlight w:val="none"/>
          <w:u w:val="single"/>
        </w:rPr>
        <w:t xml:space="preserve"> 元/人•次（人民币）</w:t>
      </w:r>
      <w:r>
        <w:rPr>
          <w:rFonts w:hint="eastAsia" w:ascii="宋体" w:hAnsi="宋体" w:eastAsia="宋体" w:cs="宋体"/>
          <w:color w:val="000000"/>
          <w:kern w:val="2"/>
          <w:sz w:val="21"/>
          <w:szCs w:val="21"/>
          <w:lang w:val="en-US" w:eastAsia="zh-CN" w:bidi="ar"/>
        </w:rPr>
        <w:t>。</w:t>
      </w:r>
    </w:p>
    <w:p w14:paraId="45C6D3A5">
      <w:pPr>
        <w:pStyle w:val="5"/>
        <w:keepNext/>
        <w:keepLines/>
        <w:widowControl w:val="0"/>
        <w:numPr>
          <w:ilvl w:val="0"/>
          <w:numId w:val="0"/>
        </w:numPr>
        <w:suppressLineNumbers w:val="0"/>
        <w:adjustRightInd/>
        <w:snapToGrid w:val="0"/>
        <w:spacing w:line="400" w:lineRule="exact"/>
        <w:textAlignment w:val="baseline"/>
        <w:rPr>
          <w:rFonts w:hint="eastAsia" w:ascii="宋体" w:hAnsi="宋体" w:eastAsia="宋体" w:cs="宋体"/>
          <w:bCs/>
          <w:sz w:val="21"/>
          <w:szCs w:val="21"/>
          <w:vertAlign w:val="baseline"/>
          <w:lang w:val="en-US"/>
        </w:rPr>
      </w:pPr>
      <w:r>
        <w:rPr>
          <w:rFonts w:hint="eastAsia" w:ascii="宋体" w:hAnsi="宋体" w:eastAsia="宋体" w:cs="宋体"/>
          <w:bCs/>
          <w:sz w:val="21"/>
          <w:szCs w:val="21"/>
          <w:vertAlign w:val="baseline"/>
          <w:lang w:val="en-US"/>
        </w:rPr>
        <w:t xml:space="preserve">3.3 </w:t>
      </w:r>
      <w:r>
        <w:rPr>
          <w:rFonts w:hint="eastAsia" w:ascii="宋体" w:hAnsi="宋体" w:eastAsia="宋体" w:cs="宋体"/>
          <w:bCs/>
          <w:sz w:val="21"/>
          <w:szCs w:val="21"/>
          <w:vertAlign w:val="baseline"/>
          <w:lang w:eastAsia="zh-CN"/>
        </w:rPr>
        <w:t>承包人人员</w:t>
      </w:r>
      <w:bookmarkEnd w:id="348"/>
      <w:bookmarkEnd w:id="349"/>
      <w:bookmarkEnd w:id="350"/>
      <w:bookmarkEnd w:id="351"/>
      <w:bookmarkEnd w:id="352"/>
    </w:p>
    <w:p w14:paraId="6C6586A8">
      <w:pPr>
        <w:pageBreakBefore w:val="0"/>
        <w:widowControl w:val="0"/>
        <w:kinsoku/>
        <w:wordWrap/>
        <w:overflowPunct/>
        <w:topLinePunct w:val="0"/>
        <w:bidi w:val="0"/>
        <w:spacing w:line="400" w:lineRule="exact"/>
        <w:ind w:left="0" w:leftChars="0" w:firstLine="420" w:firstLineChars="200"/>
        <w:rPr>
          <w:rFonts w:hint="eastAsia" w:ascii="宋体" w:hAnsi="宋体" w:eastAsia="宋体" w:cs="宋体"/>
          <w:color w:val="auto"/>
          <w:sz w:val="21"/>
          <w:szCs w:val="21"/>
          <w:highlight w:val="none"/>
        </w:rPr>
      </w:pPr>
      <w:bookmarkStart w:id="353" w:name="_Toc373478357"/>
      <w:bookmarkStart w:id="354" w:name="_Toc373227710"/>
      <w:bookmarkStart w:id="355" w:name="_Toc407135212"/>
      <w:bookmarkStart w:id="356" w:name="_Toc389065276"/>
      <w:bookmarkStart w:id="357" w:name="_Toc3683"/>
      <w:r>
        <w:rPr>
          <w:rFonts w:hint="eastAsia" w:ascii="宋体" w:hAnsi="宋体" w:eastAsia="宋体" w:cs="宋体"/>
          <w:color w:val="auto"/>
          <w:sz w:val="21"/>
          <w:szCs w:val="21"/>
          <w:highlight w:val="none"/>
        </w:rPr>
        <w:t>3.3.1</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承包人提交项目管理机构及施工现场管理人员安排报告的期限：</w:t>
      </w:r>
      <w:r>
        <w:rPr>
          <w:rFonts w:hint="eastAsia" w:ascii="宋体" w:hAnsi="宋体" w:eastAsia="宋体" w:cs="宋体"/>
          <w:color w:val="auto"/>
          <w:sz w:val="21"/>
          <w:szCs w:val="21"/>
          <w:highlight w:val="none"/>
          <w:u w:val="single"/>
        </w:rPr>
        <w:t>按通用条款执行</w:t>
      </w:r>
      <w:r>
        <w:rPr>
          <w:rFonts w:hint="eastAsia" w:ascii="宋体" w:hAnsi="宋体" w:eastAsia="宋体" w:cs="宋体"/>
          <w:color w:val="auto"/>
          <w:sz w:val="21"/>
          <w:szCs w:val="21"/>
          <w:highlight w:val="none"/>
        </w:rPr>
        <w:t>。</w:t>
      </w:r>
    </w:p>
    <w:p w14:paraId="2462A3C3">
      <w:pPr>
        <w:pageBreakBefore w:val="0"/>
        <w:widowControl w:val="0"/>
        <w:kinsoku/>
        <w:wordWrap/>
        <w:overflowPunct/>
        <w:topLinePunct w:val="0"/>
        <w:bidi w:val="0"/>
        <w:spacing w:line="400" w:lineRule="exact"/>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w:t>
      </w:r>
      <w:r>
        <w:rPr>
          <w:rFonts w:hint="eastAsia" w:ascii="宋体" w:hAnsi="宋体" w:eastAsia="宋体" w:cs="宋体"/>
          <w:color w:val="auto"/>
          <w:sz w:val="21"/>
          <w:szCs w:val="21"/>
          <w:highlight w:val="none"/>
          <w:lang w:val="en-US" w:eastAsia="zh-CN"/>
        </w:rPr>
        <w:t xml:space="preserve">2 </w:t>
      </w:r>
      <w:r>
        <w:rPr>
          <w:rFonts w:hint="eastAsia" w:ascii="宋体" w:hAnsi="宋体" w:eastAsia="宋体" w:cs="宋体"/>
          <w:color w:val="auto"/>
          <w:sz w:val="21"/>
          <w:szCs w:val="21"/>
          <w:highlight w:val="none"/>
        </w:rPr>
        <w:t>承包人无正当理由拒绝撤换主要施工管理人员的违约责任：</w:t>
      </w:r>
      <w:r>
        <w:rPr>
          <w:rFonts w:hint="eastAsia" w:ascii="宋体" w:hAnsi="宋体" w:eastAsia="宋体" w:cs="宋体"/>
          <w:color w:val="auto"/>
          <w:sz w:val="21"/>
          <w:szCs w:val="21"/>
          <w:highlight w:val="none"/>
          <w:u w:val="single"/>
        </w:rPr>
        <w:t>因承包人主要施工管理人员不称职，发包人要求调换而无正当理由拒绝撤换或未及时调换的，视为承包人违约，必须向发包人</w:t>
      </w:r>
      <w:r>
        <w:rPr>
          <w:rFonts w:hint="eastAsia" w:ascii="宋体" w:hAnsi="宋体" w:eastAsia="宋体" w:cs="宋体"/>
          <w:color w:val="auto"/>
          <w:sz w:val="21"/>
          <w:szCs w:val="21"/>
          <w:highlight w:val="none"/>
          <w:u w:val="single"/>
          <w:lang w:val="en-US" w:eastAsia="zh-CN"/>
        </w:rPr>
        <w:t>缴纳</w:t>
      </w:r>
      <w:r>
        <w:rPr>
          <w:rFonts w:hint="eastAsia" w:ascii="宋体" w:hAnsi="宋体" w:eastAsia="宋体" w:cs="宋体"/>
          <w:color w:val="auto"/>
          <w:sz w:val="21"/>
          <w:szCs w:val="21"/>
          <w:highlight w:val="none"/>
          <w:u w:val="single"/>
        </w:rPr>
        <w:t>处罚金，处罚标准：技术负责人</w:t>
      </w:r>
      <w:r>
        <w:rPr>
          <w:rFonts w:hint="eastAsia" w:ascii="宋体" w:hAnsi="宋体" w:eastAsia="宋体" w:cs="宋体"/>
          <w:color w:val="auto"/>
          <w:sz w:val="21"/>
          <w:szCs w:val="21"/>
          <w:highlight w:val="none"/>
          <w:u w:val="single"/>
          <w:lang w:val="en-US" w:eastAsia="zh-CN"/>
        </w:rPr>
        <w:t>1000</w:t>
      </w:r>
      <w:r>
        <w:rPr>
          <w:rFonts w:hint="eastAsia" w:ascii="宋体" w:hAnsi="宋体" w:eastAsia="宋体" w:cs="宋体"/>
          <w:color w:val="auto"/>
          <w:sz w:val="21"/>
          <w:szCs w:val="21"/>
          <w:highlight w:val="none"/>
          <w:u w:val="single"/>
        </w:rPr>
        <w:t>元/人•次（人民币）；专业工程师</w:t>
      </w:r>
      <w:r>
        <w:rPr>
          <w:rFonts w:hint="eastAsia" w:ascii="宋体" w:hAnsi="宋体" w:eastAsia="宋体" w:cs="宋体"/>
          <w:color w:val="auto"/>
          <w:sz w:val="21"/>
          <w:szCs w:val="21"/>
          <w:highlight w:val="none"/>
          <w:u w:val="single"/>
          <w:lang w:val="en-US" w:eastAsia="zh-CN"/>
        </w:rPr>
        <w:t>600</w:t>
      </w:r>
      <w:r>
        <w:rPr>
          <w:rFonts w:hint="eastAsia" w:ascii="宋体" w:hAnsi="宋体" w:eastAsia="宋体" w:cs="宋体"/>
          <w:color w:val="auto"/>
          <w:sz w:val="21"/>
          <w:szCs w:val="21"/>
          <w:highlight w:val="none"/>
          <w:u w:val="single"/>
        </w:rPr>
        <w:t>元/人•次（人民币）</w:t>
      </w:r>
      <w:r>
        <w:rPr>
          <w:rFonts w:hint="eastAsia" w:ascii="宋体" w:hAnsi="宋体" w:eastAsia="宋体" w:cs="宋体"/>
          <w:color w:val="auto"/>
          <w:sz w:val="21"/>
          <w:szCs w:val="21"/>
          <w:highlight w:val="none"/>
        </w:rPr>
        <w:t>。</w:t>
      </w:r>
    </w:p>
    <w:p w14:paraId="04E22599">
      <w:pPr>
        <w:pageBreakBefore w:val="0"/>
        <w:widowControl w:val="0"/>
        <w:kinsoku/>
        <w:wordWrap/>
        <w:overflowPunct/>
        <w:topLinePunct w:val="0"/>
        <w:bidi w:val="0"/>
        <w:spacing w:line="400" w:lineRule="exact"/>
        <w:ind w:left="0" w:leftChars="0"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3.3.</w:t>
      </w:r>
      <w:r>
        <w:rPr>
          <w:rFonts w:hint="eastAsia" w:ascii="宋体" w:hAnsi="宋体" w:eastAsia="宋体" w:cs="宋体"/>
          <w:color w:val="auto"/>
          <w:sz w:val="21"/>
          <w:szCs w:val="21"/>
          <w:highlight w:val="none"/>
          <w:lang w:val="en-US" w:eastAsia="zh-CN"/>
        </w:rPr>
        <w:t xml:space="preserve">3 </w:t>
      </w:r>
      <w:r>
        <w:rPr>
          <w:rFonts w:hint="eastAsia" w:ascii="宋体" w:hAnsi="宋体" w:eastAsia="宋体" w:cs="宋体"/>
          <w:color w:val="auto"/>
          <w:sz w:val="21"/>
          <w:szCs w:val="21"/>
          <w:highlight w:val="none"/>
        </w:rPr>
        <w:t>承包人主要施工管理人员离开施工现场的批准要求：</w:t>
      </w:r>
      <w:r>
        <w:rPr>
          <w:rFonts w:hint="eastAsia" w:ascii="宋体" w:hAnsi="宋体" w:eastAsia="宋体" w:cs="宋体"/>
          <w:color w:val="auto"/>
          <w:sz w:val="21"/>
          <w:szCs w:val="21"/>
          <w:highlight w:val="none"/>
          <w:u w:val="single"/>
        </w:rPr>
        <w:t xml:space="preserve"> 经发包人书面同意后</w:t>
      </w:r>
      <w:r>
        <w:rPr>
          <w:rFonts w:hint="eastAsia" w:ascii="宋体" w:hAnsi="宋体" w:eastAsia="宋体" w:cs="宋体"/>
          <w:color w:val="auto"/>
          <w:sz w:val="21"/>
          <w:szCs w:val="21"/>
          <w:highlight w:val="none"/>
          <w:u w:val="single"/>
          <w:lang w:eastAsia="zh-CN"/>
        </w:rPr>
        <w:t>，主要施工管理人员离开施工现场前应指定一名有经验的人员临时代行其职责，该人员应具备履行相应职责的资格和能力，且应征得监理人或发包人的同意。</w:t>
      </w:r>
    </w:p>
    <w:p w14:paraId="4583480A">
      <w:pPr>
        <w:pageBreakBefore w:val="0"/>
        <w:widowControl w:val="0"/>
        <w:kinsoku/>
        <w:wordWrap/>
        <w:overflowPunct/>
        <w:topLinePunct w:val="0"/>
        <w:bidi w:val="0"/>
        <w:spacing w:line="400" w:lineRule="exact"/>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w:t>
      </w:r>
      <w:r>
        <w:rPr>
          <w:rFonts w:hint="eastAsia" w:ascii="宋体" w:hAnsi="宋体" w:eastAsia="宋体" w:cs="宋体"/>
          <w:color w:val="auto"/>
          <w:sz w:val="21"/>
          <w:szCs w:val="21"/>
          <w:highlight w:val="none"/>
          <w:lang w:val="en-US" w:eastAsia="zh-CN"/>
        </w:rPr>
        <w:t xml:space="preserve">4 </w:t>
      </w:r>
      <w:r>
        <w:rPr>
          <w:rFonts w:hint="eastAsia" w:ascii="宋体" w:hAnsi="宋体" w:eastAsia="宋体" w:cs="宋体"/>
          <w:color w:val="auto"/>
          <w:sz w:val="21"/>
          <w:szCs w:val="21"/>
          <w:highlight w:val="none"/>
        </w:rPr>
        <w:t>承包人擅自更换主要施工管理人员的违约责任：</w:t>
      </w:r>
      <w:r>
        <w:rPr>
          <w:rFonts w:hint="eastAsia" w:ascii="宋体" w:hAnsi="宋体" w:eastAsia="宋体" w:cs="宋体"/>
          <w:color w:val="auto"/>
          <w:sz w:val="21"/>
          <w:szCs w:val="21"/>
          <w:highlight w:val="none"/>
          <w:u w:val="single"/>
        </w:rPr>
        <w:t>项目技术负责人、专职安全员及其承诺的其它在场管理人员未经发包人书面同意不准擅自更换，擅自更换项目技术负责人处</w:t>
      </w:r>
      <w:r>
        <w:rPr>
          <w:rFonts w:hint="eastAsia" w:ascii="宋体" w:hAnsi="宋体" w:eastAsia="宋体" w:cs="宋体"/>
          <w:color w:val="auto"/>
          <w:sz w:val="21"/>
          <w:szCs w:val="21"/>
          <w:highlight w:val="none"/>
          <w:u w:val="single"/>
          <w:lang w:val="en-US" w:eastAsia="zh-CN"/>
        </w:rPr>
        <w:t>1000</w:t>
      </w:r>
      <w:r>
        <w:rPr>
          <w:rFonts w:hint="eastAsia" w:ascii="宋体" w:hAnsi="宋体" w:eastAsia="宋体" w:cs="宋体"/>
          <w:color w:val="auto"/>
          <w:sz w:val="21"/>
          <w:szCs w:val="21"/>
          <w:highlight w:val="none"/>
          <w:u w:val="single"/>
        </w:rPr>
        <w:t>元/人•次（人民币）违约金；擅自更换专职安全员处</w:t>
      </w:r>
      <w:r>
        <w:rPr>
          <w:rFonts w:hint="eastAsia" w:ascii="宋体" w:hAnsi="宋体" w:eastAsia="宋体" w:cs="宋体"/>
          <w:color w:val="auto"/>
          <w:sz w:val="21"/>
          <w:szCs w:val="21"/>
          <w:highlight w:val="none"/>
          <w:u w:val="single"/>
          <w:lang w:val="en-US" w:eastAsia="zh-CN"/>
        </w:rPr>
        <w:t>800</w:t>
      </w:r>
      <w:r>
        <w:rPr>
          <w:rFonts w:hint="eastAsia" w:ascii="宋体" w:hAnsi="宋体" w:eastAsia="宋体" w:cs="宋体"/>
          <w:color w:val="auto"/>
          <w:sz w:val="21"/>
          <w:szCs w:val="21"/>
          <w:highlight w:val="none"/>
          <w:u w:val="single"/>
        </w:rPr>
        <w:t xml:space="preserve">元/人•次（人民币）违约金；擅自更换其它在场管理人员处 </w:t>
      </w:r>
      <w:r>
        <w:rPr>
          <w:rFonts w:hint="eastAsia" w:ascii="宋体" w:hAnsi="宋体" w:eastAsia="宋体" w:cs="宋体"/>
          <w:color w:val="auto"/>
          <w:sz w:val="21"/>
          <w:szCs w:val="21"/>
          <w:highlight w:val="none"/>
          <w:u w:val="single"/>
          <w:lang w:val="en-US" w:eastAsia="zh-CN"/>
        </w:rPr>
        <w:t>500</w:t>
      </w:r>
      <w:r>
        <w:rPr>
          <w:rFonts w:hint="eastAsia" w:ascii="宋体" w:hAnsi="宋体" w:eastAsia="宋体" w:cs="宋体"/>
          <w:color w:val="auto"/>
          <w:sz w:val="21"/>
          <w:szCs w:val="21"/>
          <w:highlight w:val="none"/>
          <w:u w:val="single"/>
        </w:rPr>
        <w:t>元/人•次（人民币）违约金</w:t>
      </w:r>
      <w:r>
        <w:rPr>
          <w:rFonts w:hint="eastAsia" w:ascii="宋体" w:hAnsi="宋体" w:eastAsia="宋体" w:cs="宋体"/>
          <w:color w:val="auto"/>
          <w:sz w:val="21"/>
          <w:szCs w:val="21"/>
          <w:highlight w:val="none"/>
        </w:rPr>
        <w:t>。</w:t>
      </w:r>
    </w:p>
    <w:p w14:paraId="52D72ECD">
      <w:pPr>
        <w:pageBreakBefore w:val="0"/>
        <w:widowControl w:val="0"/>
        <w:kinsoku/>
        <w:wordWrap/>
        <w:overflowPunct/>
        <w:topLinePunct w:val="0"/>
        <w:bidi w:val="0"/>
        <w:spacing w:line="400" w:lineRule="exact"/>
        <w:ind w:left="0" w:leftChars="0"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承包人主要施工管理人员擅自离开施工现场的违约责任：</w:t>
      </w:r>
      <w:r>
        <w:rPr>
          <w:rFonts w:hint="eastAsia" w:ascii="宋体" w:hAnsi="宋体" w:eastAsia="宋体" w:cs="宋体"/>
          <w:color w:val="auto"/>
          <w:sz w:val="21"/>
          <w:szCs w:val="21"/>
          <w:highlight w:val="none"/>
          <w:u w:val="single"/>
        </w:rPr>
        <w:t>未经发包人同意，项目技术负责人擅自离岗的，视为承包人违约，发包人有权处违约金</w:t>
      </w:r>
      <w:r>
        <w:rPr>
          <w:rFonts w:hint="eastAsia" w:ascii="宋体" w:hAnsi="宋体" w:eastAsia="宋体" w:cs="宋体"/>
          <w:color w:val="auto"/>
          <w:sz w:val="21"/>
          <w:szCs w:val="21"/>
          <w:highlight w:val="none"/>
          <w:u w:val="single"/>
          <w:lang w:val="en-US" w:eastAsia="zh-CN"/>
        </w:rPr>
        <w:t>500</w:t>
      </w:r>
      <w:r>
        <w:rPr>
          <w:rFonts w:hint="eastAsia" w:ascii="宋体" w:hAnsi="宋体" w:eastAsia="宋体" w:cs="宋体"/>
          <w:color w:val="auto"/>
          <w:sz w:val="21"/>
          <w:szCs w:val="21"/>
          <w:highlight w:val="none"/>
          <w:u w:val="single"/>
        </w:rPr>
        <w:t>元/人•次（人民币）；未经发包人同意，专职安全员擅自离岗的，视为承包人违约，发包人有权处违约金</w:t>
      </w:r>
      <w:r>
        <w:rPr>
          <w:rFonts w:hint="eastAsia" w:ascii="宋体" w:hAnsi="宋体" w:eastAsia="宋体" w:cs="宋体"/>
          <w:color w:val="auto"/>
          <w:sz w:val="21"/>
          <w:szCs w:val="21"/>
          <w:highlight w:val="none"/>
          <w:u w:val="single"/>
          <w:lang w:val="en-US" w:eastAsia="zh-CN"/>
        </w:rPr>
        <w:t>100</w:t>
      </w:r>
      <w:r>
        <w:rPr>
          <w:rFonts w:hint="eastAsia" w:ascii="宋体" w:hAnsi="宋体" w:eastAsia="宋体" w:cs="宋体"/>
          <w:color w:val="auto"/>
          <w:sz w:val="21"/>
          <w:szCs w:val="21"/>
          <w:highlight w:val="none"/>
          <w:u w:val="single"/>
        </w:rPr>
        <w:t xml:space="preserve"> 元/人•次（人民币）；其它在场管理人员擅自离岗的，视为承包人违约，发包人有权处违约金</w:t>
      </w:r>
      <w:r>
        <w:rPr>
          <w:rFonts w:hint="eastAsia" w:ascii="宋体" w:hAnsi="宋体" w:eastAsia="宋体" w:cs="宋体"/>
          <w:color w:val="auto"/>
          <w:sz w:val="21"/>
          <w:szCs w:val="21"/>
          <w:highlight w:val="none"/>
          <w:u w:val="single"/>
          <w:lang w:val="en-US" w:eastAsia="zh-CN"/>
        </w:rPr>
        <w:t>100</w:t>
      </w:r>
      <w:r>
        <w:rPr>
          <w:rFonts w:hint="eastAsia" w:ascii="宋体" w:hAnsi="宋体" w:eastAsia="宋体" w:cs="宋体"/>
          <w:color w:val="auto"/>
          <w:sz w:val="21"/>
          <w:szCs w:val="21"/>
          <w:highlight w:val="none"/>
          <w:u w:val="single"/>
        </w:rPr>
        <w:t>元/人•次（人民币）</w:t>
      </w:r>
      <w:r>
        <w:rPr>
          <w:rFonts w:hint="eastAsia" w:ascii="宋体" w:hAnsi="宋体" w:eastAsia="宋体" w:cs="宋体"/>
          <w:color w:val="auto"/>
          <w:sz w:val="21"/>
          <w:szCs w:val="21"/>
          <w:highlight w:val="none"/>
        </w:rPr>
        <w:t>。</w:t>
      </w:r>
    </w:p>
    <w:p w14:paraId="64A14EA3">
      <w:pPr>
        <w:pStyle w:val="5"/>
        <w:keepNext/>
        <w:keepLines/>
        <w:widowControl w:val="0"/>
        <w:numPr>
          <w:ilvl w:val="0"/>
          <w:numId w:val="0"/>
        </w:numPr>
        <w:suppressLineNumbers w:val="0"/>
        <w:adjustRightInd/>
        <w:snapToGrid w:val="0"/>
        <w:spacing w:line="400" w:lineRule="exact"/>
        <w:textAlignment w:val="baseline"/>
        <w:rPr>
          <w:rFonts w:hint="eastAsia" w:ascii="宋体" w:hAnsi="宋体" w:eastAsia="宋体" w:cs="宋体"/>
          <w:bCs/>
          <w:sz w:val="21"/>
          <w:szCs w:val="21"/>
          <w:vertAlign w:val="baseline"/>
          <w:lang w:val="en-US"/>
        </w:rPr>
      </w:pPr>
      <w:r>
        <w:rPr>
          <w:rFonts w:hint="eastAsia" w:ascii="宋体" w:hAnsi="宋体" w:eastAsia="宋体" w:cs="宋体"/>
          <w:bCs/>
          <w:sz w:val="21"/>
          <w:szCs w:val="21"/>
          <w:vertAlign w:val="baseline"/>
          <w:lang w:val="en-US"/>
        </w:rPr>
        <w:t>3.</w:t>
      </w:r>
      <w:r>
        <w:rPr>
          <w:rFonts w:hint="eastAsia" w:ascii="宋体" w:hAnsi="宋体" w:eastAsia="宋体" w:cs="宋体"/>
          <w:bCs/>
          <w:sz w:val="21"/>
          <w:szCs w:val="21"/>
          <w:vertAlign w:val="baseline"/>
          <w:lang w:val="en-US" w:eastAsia="zh-CN"/>
        </w:rPr>
        <w:t>4</w:t>
      </w:r>
      <w:r>
        <w:rPr>
          <w:rFonts w:hint="eastAsia" w:ascii="宋体" w:hAnsi="宋体" w:eastAsia="宋体" w:cs="宋体"/>
          <w:bCs/>
          <w:sz w:val="21"/>
          <w:szCs w:val="21"/>
          <w:vertAlign w:val="baseline"/>
          <w:lang w:eastAsia="zh-CN"/>
        </w:rPr>
        <w:t>分包</w:t>
      </w:r>
      <w:bookmarkEnd w:id="353"/>
      <w:bookmarkEnd w:id="354"/>
      <w:bookmarkEnd w:id="355"/>
      <w:bookmarkEnd w:id="356"/>
      <w:bookmarkEnd w:id="357"/>
    </w:p>
    <w:p w14:paraId="6436A9A3">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bookmarkStart w:id="358" w:name="_Toc373478358"/>
      <w:bookmarkStart w:id="359" w:name="_Toc16138"/>
      <w:bookmarkStart w:id="360" w:name="_Toc373227711"/>
      <w:bookmarkStart w:id="361" w:name="_Toc389065277"/>
      <w:bookmarkStart w:id="362" w:name="_Toc407135213"/>
      <w:r>
        <w:rPr>
          <w:rFonts w:hint="eastAsia" w:ascii="宋体" w:hAnsi="宋体" w:eastAsia="宋体" w:cs="宋体"/>
          <w:color w:val="000000"/>
          <w:kern w:val="2"/>
          <w:sz w:val="21"/>
          <w:szCs w:val="21"/>
          <w:lang w:val="en-US" w:eastAsia="zh-CN" w:bidi="ar"/>
        </w:rPr>
        <w:t>约定的分包工作事项：</w:t>
      </w:r>
      <w:r>
        <w:rPr>
          <w:rFonts w:hint="eastAsia" w:ascii="宋体" w:hAnsi="宋体" w:eastAsia="宋体" w:cs="宋体"/>
          <w:color w:val="000000"/>
          <w:kern w:val="2"/>
          <w:sz w:val="21"/>
          <w:szCs w:val="21"/>
          <w:u w:val="single"/>
          <w:lang w:val="en-US" w:eastAsia="zh-CN" w:bidi="ar"/>
        </w:rPr>
        <w:t>不允许分包转包。</w:t>
      </w:r>
    </w:p>
    <w:p w14:paraId="7130455C">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r>
        <w:rPr>
          <w:rFonts w:hint="eastAsia" w:ascii="宋体" w:hAnsi="宋体" w:eastAsia="宋体" w:cs="宋体"/>
          <w:sz w:val="21"/>
          <w:szCs w:val="21"/>
          <w:lang w:val="en-US" w:eastAsia="zh-CN"/>
        </w:rPr>
        <w:t>若承包人私自将项目分包，所产生的一切责任与经济纠纷均与发包人无关，由承包人自行承担。</w:t>
      </w:r>
    </w:p>
    <w:p w14:paraId="408B2E4A">
      <w:pPr>
        <w:pStyle w:val="5"/>
        <w:keepNext/>
        <w:keepLines/>
        <w:widowControl w:val="0"/>
        <w:numPr>
          <w:ilvl w:val="0"/>
          <w:numId w:val="0"/>
        </w:numPr>
        <w:suppressLineNumbers w:val="0"/>
        <w:adjustRightInd/>
        <w:snapToGrid w:val="0"/>
        <w:spacing w:line="400" w:lineRule="exact"/>
        <w:textAlignment w:val="baseline"/>
        <w:rPr>
          <w:rFonts w:hint="eastAsia" w:ascii="宋体" w:hAnsi="宋体" w:eastAsia="宋体" w:cs="宋体"/>
          <w:bCs/>
          <w:sz w:val="21"/>
          <w:szCs w:val="21"/>
          <w:vertAlign w:val="baseline"/>
          <w:lang w:val="en-US"/>
        </w:rPr>
      </w:pPr>
      <w:r>
        <w:rPr>
          <w:rFonts w:hint="eastAsia" w:ascii="宋体" w:hAnsi="宋体" w:eastAsia="宋体" w:cs="宋体"/>
          <w:bCs/>
          <w:sz w:val="21"/>
          <w:szCs w:val="21"/>
          <w:vertAlign w:val="baseline"/>
          <w:lang w:val="en-US"/>
        </w:rPr>
        <w:t>3.</w:t>
      </w:r>
      <w:r>
        <w:rPr>
          <w:rFonts w:hint="eastAsia" w:ascii="宋体" w:hAnsi="宋体" w:eastAsia="宋体" w:cs="宋体"/>
          <w:bCs/>
          <w:sz w:val="21"/>
          <w:szCs w:val="21"/>
          <w:vertAlign w:val="baseline"/>
          <w:lang w:val="en-US" w:eastAsia="zh-CN"/>
        </w:rPr>
        <w:t>5</w:t>
      </w:r>
      <w:r>
        <w:rPr>
          <w:rFonts w:hint="eastAsia" w:ascii="宋体" w:hAnsi="宋体" w:eastAsia="宋体" w:cs="宋体"/>
          <w:bCs/>
          <w:sz w:val="21"/>
          <w:szCs w:val="21"/>
          <w:vertAlign w:val="baseline"/>
          <w:lang w:eastAsia="zh-CN"/>
        </w:rPr>
        <w:t>工程照管与成品、半成品保护</w:t>
      </w:r>
      <w:bookmarkEnd w:id="358"/>
      <w:bookmarkEnd w:id="359"/>
      <w:bookmarkEnd w:id="360"/>
      <w:bookmarkEnd w:id="361"/>
      <w:bookmarkEnd w:id="362"/>
    </w:p>
    <w:p w14:paraId="6F45C3AE">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kern w:val="0"/>
          <w:sz w:val="21"/>
          <w:szCs w:val="21"/>
          <w:u w:val="single"/>
          <w:lang w:val="en-US"/>
        </w:rPr>
      </w:pPr>
      <w:bookmarkStart w:id="363" w:name="_Toc373227712"/>
      <w:bookmarkStart w:id="364" w:name="_Toc373478359"/>
      <w:bookmarkStart w:id="365" w:name="_Toc389065278"/>
      <w:bookmarkStart w:id="366" w:name="_Toc32106"/>
      <w:bookmarkStart w:id="367" w:name="_Toc407135214"/>
      <w:r>
        <w:rPr>
          <w:rFonts w:hint="eastAsia" w:ascii="宋体" w:hAnsi="宋体" w:eastAsia="宋体" w:cs="宋体"/>
          <w:color w:val="000000"/>
          <w:kern w:val="0"/>
          <w:sz w:val="21"/>
          <w:szCs w:val="21"/>
          <w:lang w:val="en-US" w:eastAsia="zh-CN" w:bidi="ar"/>
        </w:rPr>
        <w:t>承包人负责照管工程及工程相关的材料、工程设备的起始时间：</w:t>
      </w:r>
      <w:r>
        <w:rPr>
          <w:rFonts w:hint="eastAsia" w:ascii="宋体" w:hAnsi="宋体" w:eastAsia="宋体" w:cs="宋体"/>
          <w:color w:val="000000"/>
          <w:kern w:val="0"/>
          <w:sz w:val="21"/>
          <w:szCs w:val="21"/>
          <w:u w:val="single"/>
          <w:lang w:val="en-US" w:eastAsia="zh-CN" w:bidi="ar"/>
        </w:rPr>
        <w:t xml:space="preserve">  执行通用条款</w:t>
      </w:r>
      <w:r>
        <w:rPr>
          <w:rFonts w:hint="eastAsia" w:ascii="宋体" w:hAnsi="宋体" w:eastAsia="宋体" w:cs="宋体"/>
          <w:color w:val="000000"/>
          <w:kern w:val="0"/>
          <w:sz w:val="21"/>
          <w:szCs w:val="21"/>
          <w:lang w:val="en-US" w:eastAsia="zh-CN" w:bidi="ar"/>
        </w:rPr>
        <w:t>。</w:t>
      </w:r>
    </w:p>
    <w:p w14:paraId="1C52C20C">
      <w:pPr>
        <w:pStyle w:val="5"/>
        <w:keepNext/>
        <w:keepLines/>
        <w:widowControl w:val="0"/>
        <w:numPr>
          <w:ilvl w:val="0"/>
          <w:numId w:val="0"/>
        </w:numPr>
        <w:suppressLineNumbers w:val="0"/>
        <w:adjustRightInd/>
        <w:snapToGrid w:val="0"/>
        <w:spacing w:line="400" w:lineRule="exact"/>
        <w:textAlignment w:val="baseline"/>
        <w:rPr>
          <w:rFonts w:hint="eastAsia" w:ascii="宋体" w:hAnsi="宋体" w:eastAsia="宋体" w:cs="宋体"/>
          <w:bCs/>
          <w:sz w:val="21"/>
          <w:szCs w:val="21"/>
          <w:vertAlign w:val="baseline"/>
          <w:lang w:val="en-US"/>
        </w:rPr>
      </w:pPr>
      <w:r>
        <w:rPr>
          <w:rFonts w:hint="eastAsia" w:ascii="宋体" w:hAnsi="宋体" w:eastAsia="宋体" w:cs="宋体"/>
          <w:bCs/>
          <w:sz w:val="21"/>
          <w:szCs w:val="21"/>
          <w:vertAlign w:val="baseline"/>
          <w:lang w:val="en-US"/>
        </w:rPr>
        <w:t>3.</w:t>
      </w:r>
      <w:r>
        <w:rPr>
          <w:rFonts w:hint="eastAsia" w:ascii="宋体" w:hAnsi="宋体" w:eastAsia="宋体" w:cs="宋体"/>
          <w:bCs/>
          <w:sz w:val="21"/>
          <w:szCs w:val="21"/>
          <w:vertAlign w:val="baseline"/>
          <w:lang w:val="en-US" w:eastAsia="zh-CN"/>
        </w:rPr>
        <w:t>6</w:t>
      </w:r>
      <w:r>
        <w:rPr>
          <w:rFonts w:hint="eastAsia" w:ascii="宋体" w:hAnsi="宋体" w:eastAsia="宋体" w:cs="宋体"/>
          <w:bCs/>
          <w:sz w:val="21"/>
          <w:szCs w:val="21"/>
          <w:vertAlign w:val="baseline"/>
          <w:lang w:eastAsia="zh-CN"/>
        </w:rPr>
        <w:t>履约</w:t>
      </w:r>
      <w:bookmarkEnd w:id="363"/>
      <w:bookmarkEnd w:id="364"/>
      <w:bookmarkEnd w:id="365"/>
      <w:r>
        <w:rPr>
          <w:rFonts w:hint="eastAsia" w:ascii="宋体" w:hAnsi="宋体" w:eastAsia="宋体" w:cs="宋体"/>
          <w:bCs/>
          <w:sz w:val="21"/>
          <w:szCs w:val="21"/>
          <w:vertAlign w:val="baseline"/>
          <w:lang w:eastAsia="zh-CN"/>
        </w:rPr>
        <w:t>保证金</w:t>
      </w:r>
      <w:bookmarkEnd w:id="366"/>
      <w:bookmarkEnd w:id="367"/>
    </w:p>
    <w:p w14:paraId="3A4EF8AB">
      <w:pPr>
        <w:keepNext w:val="0"/>
        <w:keepLines w:val="0"/>
        <w:widowControl w:val="0"/>
        <w:suppressLineNumbers w:val="0"/>
        <w:snapToGrid w:val="0"/>
        <w:spacing w:before="0" w:beforeAutospacing="0" w:after="0" w:afterAutospacing="0" w:line="400" w:lineRule="exact"/>
        <w:ind w:left="0" w:right="0" w:firstLine="420" w:firstLineChars="200"/>
        <w:jc w:val="both"/>
        <w:textAlignment w:val="baseline"/>
        <w:rPr>
          <w:rFonts w:hint="eastAsia" w:ascii="宋体" w:hAnsi="宋体" w:eastAsia="宋体" w:cs="宋体"/>
          <w:sz w:val="21"/>
          <w:szCs w:val="21"/>
          <w:u w:val="single" w:color="000000"/>
          <w:vertAlign w:val="baseline"/>
          <w:lang w:val="en-US"/>
        </w:rPr>
      </w:pPr>
      <w:bookmarkStart w:id="368" w:name="_Toc351203636"/>
      <w:bookmarkStart w:id="369" w:name="_Toc373227713"/>
      <w:bookmarkStart w:id="370" w:name="_Toc389065279"/>
      <w:bookmarkStart w:id="371" w:name="_Toc373478360"/>
      <w:r>
        <w:rPr>
          <w:rFonts w:hint="eastAsia" w:ascii="宋体" w:hAnsi="宋体" w:eastAsia="宋体" w:cs="宋体"/>
          <w:color w:val="000000"/>
          <w:kern w:val="2"/>
          <w:sz w:val="21"/>
          <w:szCs w:val="21"/>
          <w:vertAlign w:val="baseline"/>
          <w:lang w:val="en-US" w:eastAsia="zh-CN" w:bidi="ar"/>
        </w:rPr>
        <w:t>履约保证金金额：无。</w:t>
      </w:r>
    </w:p>
    <w:p w14:paraId="3311DE0C">
      <w:pPr>
        <w:pStyle w:val="5"/>
        <w:keepNext/>
        <w:keepLines/>
        <w:widowControl w:val="0"/>
        <w:numPr>
          <w:ilvl w:val="0"/>
          <w:numId w:val="0"/>
        </w:numPr>
        <w:suppressLineNumbers w:val="0"/>
        <w:adjustRightInd/>
        <w:snapToGrid w:val="0"/>
        <w:spacing w:line="400" w:lineRule="exact"/>
        <w:textAlignment w:val="baseline"/>
        <w:rPr>
          <w:rFonts w:hint="eastAsia" w:ascii="宋体" w:hAnsi="宋体" w:eastAsia="宋体" w:cs="宋体"/>
          <w:bCs/>
          <w:sz w:val="21"/>
          <w:szCs w:val="21"/>
          <w:vertAlign w:val="baseline"/>
          <w:lang w:val="en-US"/>
        </w:rPr>
      </w:pPr>
      <w:bookmarkStart w:id="372" w:name="_Toc21244"/>
      <w:bookmarkStart w:id="373" w:name="_Toc407135215"/>
      <w:r>
        <w:rPr>
          <w:rFonts w:hint="eastAsia" w:ascii="宋体" w:hAnsi="宋体" w:eastAsia="宋体" w:cs="宋体"/>
          <w:bCs/>
          <w:sz w:val="21"/>
          <w:szCs w:val="21"/>
          <w:vertAlign w:val="baseline"/>
          <w:lang w:val="en-US"/>
        </w:rPr>
        <w:t>4</w:t>
      </w:r>
      <w:bookmarkStart w:id="374" w:name="_Toc296503162"/>
      <w:bookmarkStart w:id="375" w:name="_Toc297120462"/>
      <w:bookmarkStart w:id="376" w:name="_Toc297048348"/>
      <w:bookmarkStart w:id="377" w:name="_Toc292559366"/>
      <w:bookmarkStart w:id="378" w:name="_Toc292559871"/>
      <w:bookmarkStart w:id="379" w:name="_Toc296944501"/>
      <w:bookmarkStart w:id="380" w:name="_Toc296890990"/>
      <w:bookmarkStart w:id="381" w:name="_Toc267251413"/>
      <w:bookmarkStart w:id="382" w:name="_Toc296347161"/>
      <w:bookmarkStart w:id="383" w:name="_Toc296346663"/>
      <w:bookmarkStart w:id="384" w:name="_Toc296891202"/>
      <w:r>
        <w:rPr>
          <w:rFonts w:hint="eastAsia" w:ascii="宋体" w:hAnsi="宋体" w:eastAsia="宋体" w:cs="宋体"/>
          <w:bCs/>
          <w:sz w:val="21"/>
          <w:szCs w:val="21"/>
          <w:vertAlign w:val="baseline"/>
          <w:lang w:val="en-US"/>
        </w:rPr>
        <w:t>.</w:t>
      </w:r>
      <w:r>
        <w:rPr>
          <w:rFonts w:hint="eastAsia" w:ascii="宋体" w:hAnsi="宋体" w:eastAsia="宋体" w:cs="宋体"/>
          <w:bCs/>
          <w:sz w:val="21"/>
          <w:szCs w:val="21"/>
          <w:vertAlign w:val="baseline"/>
          <w:lang w:eastAsia="zh-CN"/>
        </w:rPr>
        <w:t>监</w:t>
      </w:r>
      <w:bookmarkEnd w:id="374"/>
      <w:bookmarkEnd w:id="375"/>
      <w:bookmarkEnd w:id="376"/>
      <w:bookmarkEnd w:id="377"/>
      <w:bookmarkEnd w:id="378"/>
      <w:bookmarkEnd w:id="379"/>
      <w:bookmarkEnd w:id="380"/>
      <w:bookmarkEnd w:id="381"/>
      <w:bookmarkEnd w:id="382"/>
      <w:bookmarkEnd w:id="383"/>
      <w:bookmarkEnd w:id="384"/>
      <w:r>
        <w:rPr>
          <w:rFonts w:hint="eastAsia" w:ascii="宋体" w:hAnsi="宋体" w:eastAsia="宋体" w:cs="宋体"/>
          <w:bCs/>
          <w:sz w:val="21"/>
          <w:szCs w:val="21"/>
          <w:vertAlign w:val="baseline"/>
          <w:lang w:eastAsia="zh-CN"/>
        </w:rPr>
        <w:t>理人</w:t>
      </w:r>
      <w:bookmarkEnd w:id="368"/>
      <w:bookmarkEnd w:id="369"/>
      <w:bookmarkEnd w:id="370"/>
      <w:bookmarkEnd w:id="371"/>
      <w:bookmarkEnd w:id="372"/>
      <w:bookmarkEnd w:id="373"/>
      <w:r>
        <w:rPr>
          <w:rFonts w:hint="eastAsia" w:ascii="宋体" w:hAnsi="宋体" w:eastAsia="宋体" w:cs="宋体"/>
          <w:bCs/>
          <w:sz w:val="21"/>
          <w:szCs w:val="21"/>
          <w:vertAlign w:val="baseline"/>
          <w:lang w:eastAsia="zh-CN"/>
        </w:rPr>
        <w:t>：</w:t>
      </w:r>
      <w:r>
        <w:rPr>
          <w:rFonts w:hint="eastAsia" w:ascii="宋体" w:hAnsi="宋体" w:eastAsia="宋体" w:cs="宋体"/>
          <w:b w:val="0"/>
          <w:bCs w:val="0"/>
          <w:sz w:val="21"/>
          <w:szCs w:val="21"/>
          <w:u w:val="single"/>
          <w:vertAlign w:val="baseline"/>
          <w:lang w:val="en-US" w:eastAsia="zh-CN"/>
        </w:rPr>
        <w:t xml:space="preserve">         </w:t>
      </w:r>
      <w:r>
        <w:rPr>
          <w:rFonts w:hint="eastAsia" w:ascii="宋体" w:hAnsi="宋体" w:eastAsia="宋体" w:cs="宋体"/>
          <w:b w:val="0"/>
          <w:bCs w:val="0"/>
          <w:sz w:val="21"/>
          <w:szCs w:val="21"/>
          <w:u w:val="none"/>
          <w:vertAlign w:val="baseline"/>
          <w:lang w:val="en-US" w:eastAsia="zh-CN"/>
        </w:rPr>
        <w:t>。</w:t>
      </w:r>
    </w:p>
    <w:p w14:paraId="6D0C366D">
      <w:pPr>
        <w:pStyle w:val="5"/>
        <w:keepNext/>
        <w:keepLines/>
        <w:widowControl w:val="0"/>
        <w:numPr>
          <w:ilvl w:val="0"/>
          <w:numId w:val="0"/>
        </w:numPr>
        <w:suppressLineNumbers w:val="0"/>
        <w:adjustRightInd/>
        <w:snapToGrid w:val="0"/>
        <w:spacing w:line="400" w:lineRule="exact"/>
        <w:textAlignment w:val="baseline"/>
        <w:rPr>
          <w:rFonts w:hint="eastAsia" w:ascii="宋体" w:hAnsi="宋体" w:eastAsia="宋体" w:cs="宋体"/>
          <w:bCs/>
          <w:sz w:val="21"/>
          <w:szCs w:val="21"/>
          <w:vertAlign w:val="baseline"/>
          <w:lang w:val="en-US"/>
        </w:rPr>
      </w:pPr>
      <w:bookmarkStart w:id="385" w:name="_Toc267251418"/>
      <w:bookmarkStart w:id="386" w:name="_Toc373478364"/>
      <w:bookmarkStart w:id="387" w:name="_Toc389065283"/>
      <w:bookmarkStart w:id="388" w:name="_Toc25204"/>
      <w:bookmarkStart w:id="389" w:name="_Toc373227717"/>
      <w:bookmarkStart w:id="390" w:name="_Toc351203637"/>
      <w:bookmarkStart w:id="391" w:name="_Toc407135219"/>
      <w:bookmarkStart w:id="392" w:name="_Toc297048391"/>
      <w:bookmarkStart w:id="393" w:name="_Toc296346706"/>
      <w:bookmarkStart w:id="394" w:name="_Toc296891033"/>
      <w:bookmarkStart w:id="395" w:name="_Toc296891245"/>
      <w:bookmarkStart w:id="396" w:name="_Toc292559410"/>
      <w:bookmarkStart w:id="397" w:name="_Toc292559915"/>
      <w:bookmarkStart w:id="398" w:name="_Toc297120505"/>
      <w:bookmarkStart w:id="399" w:name="_Toc296503205"/>
      <w:bookmarkStart w:id="400" w:name="_Toc296944544"/>
      <w:bookmarkStart w:id="401" w:name="_Toc296347204"/>
      <w:bookmarkStart w:id="402" w:name="_Toc351203644"/>
      <w:bookmarkStart w:id="403" w:name="_Toc297216211"/>
      <w:bookmarkStart w:id="404" w:name="_Toc303539159"/>
      <w:bookmarkStart w:id="405" w:name="_Toc312678040"/>
      <w:bookmarkStart w:id="406" w:name="_Toc300935002"/>
      <w:bookmarkStart w:id="407" w:name="_Toc304295579"/>
      <w:bookmarkStart w:id="408" w:name="_Toc297123552"/>
      <w:bookmarkStart w:id="409" w:name="_Toc267251442"/>
      <w:r>
        <w:rPr>
          <w:rFonts w:hint="eastAsia" w:ascii="宋体" w:hAnsi="宋体" w:eastAsia="宋体" w:cs="宋体"/>
          <w:bCs/>
          <w:sz w:val="21"/>
          <w:szCs w:val="21"/>
          <w:vertAlign w:val="baseline"/>
          <w:lang w:val="en-US"/>
        </w:rPr>
        <w:t>5</w:t>
      </w:r>
      <w:bookmarkEnd w:id="385"/>
      <w:r>
        <w:rPr>
          <w:rFonts w:hint="eastAsia" w:ascii="宋体" w:hAnsi="宋体" w:eastAsia="宋体" w:cs="宋体"/>
          <w:bCs/>
          <w:sz w:val="21"/>
          <w:szCs w:val="21"/>
          <w:vertAlign w:val="baseline"/>
          <w:lang w:val="en-US"/>
        </w:rPr>
        <w:t>.</w:t>
      </w:r>
      <w:r>
        <w:rPr>
          <w:rFonts w:hint="eastAsia" w:ascii="宋体" w:hAnsi="宋体" w:eastAsia="宋体" w:cs="宋体"/>
          <w:bCs/>
          <w:sz w:val="21"/>
          <w:szCs w:val="21"/>
          <w:vertAlign w:val="baseline"/>
          <w:lang w:eastAsia="zh-CN"/>
        </w:rPr>
        <w:t>工程质量</w:t>
      </w:r>
      <w:bookmarkEnd w:id="386"/>
      <w:bookmarkEnd w:id="387"/>
      <w:bookmarkEnd w:id="388"/>
      <w:bookmarkEnd w:id="389"/>
      <w:bookmarkEnd w:id="390"/>
      <w:bookmarkEnd w:id="391"/>
    </w:p>
    <w:p w14:paraId="767A28DA">
      <w:pPr>
        <w:pStyle w:val="5"/>
        <w:keepNext/>
        <w:keepLines/>
        <w:widowControl w:val="0"/>
        <w:numPr>
          <w:ilvl w:val="0"/>
          <w:numId w:val="0"/>
        </w:numPr>
        <w:suppressLineNumbers w:val="0"/>
        <w:adjustRightInd/>
        <w:snapToGrid w:val="0"/>
        <w:spacing w:line="400" w:lineRule="exact"/>
        <w:textAlignment w:val="baseline"/>
        <w:rPr>
          <w:rFonts w:hint="eastAsia" w:ascii="宋体" w:hAnsi="宋体" w:eastAsia="宋体" w:cs="宋体"/>
          <w:bCs/>
          <w:sz w:val="21"/>
          <w:szCs w:val="21"/>
          <w:vertAlign w:val="baseline"/>
          <w:lang w:val="en-US"/>
        </w:rPr>
      </w:pPr>
      <w:bookmarkStart w:id="410" w:name="_Toc373227718"/>
      <w:bookmarkStart w:id="411" w:name="_Toc373478365"/>
      <w:bookmarkStart w:id="412" w:name="_Toc407135220"/>
      <w:bookmarkStart w:id="413" w:name="_Toc9653"/>
      <w:bookmarkStart w:id="414" w:name="_Toc389065284"/>
      <w:r>
        <w:rPr>
          <w:rFonts w:hint="eastAsia" w:ascii="宋体" w:hAnsi="宋体" w:eastAsia="宋体" w:cs="宋体"/>
          <w:bCs/>
          <w:sz w:val="21"/>
          <w:szCs w:val="21"/>
          <w:vertAlign w:val="baseline"/>
          <w:lang w:val="en-US"/>
        </w:rPr>
        <w:t>5.1</w:t>
      </w:r>
      <w:r>
        <w:rPr>
          <w:rFonts w:hint="eastAsia" w:ascii="宋体" w:hAnsi="宋体" w:eastAsia="宋体" w:cs="宋体"/>
          <w:bCs/>
          <w:sz w:val="21"/>
          <w:szCs w:val="21"/>
          <w:vertAlign w:val="baseline"/>
          <w:lang w:eastAsia="zh-CN"/>
        </w:rPr>
        <w:t>质量要求</w:t>
      </w:r>
      <w:bookmarkEnd w:id="410"/>
      <w:bookmarkEnd w:id="411"/>
      <w:bookmarkEnd w:id="412"/>
      <w:bookmarkEnd w:id="413"/>
      <w:bookmarkEnd w:id="414"/>
    </w:p>
    <w:p w14:paraId="1E50E8FC">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u w:val="single"/>
          <w:lang w:val="en-US"/>
        </w:rPr>
      </w:pPr>
      <w:bookmarkStart w:id="415" w:name="_Toc351203638"/>
      <w:bookmarkStart w:id="416" w:name="_Toc389065285"/>
      <w:bookmarkStart w:id="417" w:name="_Toc373478366"/>
      <w:bookmarkStart w:id="418" w:name="_Toc373227719"/>
      <w:bookmarkStart w:id="419" w:name="_Toc31720"/>
      <w:bookmarkStart w:id="420" w:name="_Toc407135221"/>
      <w:r>
        <w:rPr>
          <w:rFonts w:hint="eastAsia" w:ascii="宋体" w:hAnsi="宋体" w:eastAsia="宋体" w:cs="宋体"/>
          <w:color w:val="000000"/>
          <w:kern w:val="2"/>
          <w:sz w:val="21"/>
          <w:szCs w:val="21"/>
          <w:lang w:val="en-US" w:eastAsia="zh-CN" w:bidi="ar"/>
        </w:rPr>
        <w:t>特殊质量标准和要求：</w:t>
      </w:r>
      <w:r>
        <w:rPr>
          <w:rFonts w:hint="eastAsia" w:ascii="宋体" w:hAnsi="宋体" w:eastAsia="宋体" w:cs="宋体"/>
          <w:color w:val="000000"/>
          <w:kern w:val="2"/>
          <w:sz w:val="21"/>
          <w:szCs w:val="21"/>
          <w:u w:val="single"/>
          <w:lang w:val="en-US" w:eastAsia="zh-CN" w:bidi="ar"/>
        </w:rPr>
        <w:t xml:space="preserve"> 严格执行广西住房和城乡自治区住建厅《关于严格实行房屋建筑和市政基础设施工程质量终身责任承诺、永久性质量责任标牌、终身责任信息档案等制度的通知》等要求 </w:t>
      </w:r>
      <w:r>
        <w:rPr>
          <w:rFonts w:hint="eastAsia" w:ascii="宋体" w:hAnsi="宋体" w:eastAsia="宋体" w:cs="宋体"/>
          <w:color w:val="000000"/>
          <w:kern w:val="2"/>
          <w:sz w:val="21"/>
          <w:szCs w:val="21"/>
          <w:lang w:val="en-US" w:eastAsia="zh-CN" w:bidi="ar"/>
        </w:rPr>
        <w:t>。</w:t>
      </w:r>
    </w:p>
    <w:p w14:paraId="76029F56">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关于工程奖项的约定：</w:t>
      </w:r>
      <w:r>
        <w:rPr>
          <w:rFonts w:hint="eastAsia" w:ascii="宋体" w:hAnsi="宋体" w:eastAsia="宋体" w:cs="宋体"/>
          <w:color w:val="000000"/>
          <w:kern w:val="2"/>
          <w:sz w:val="21"/>
          <w:szCs w:val="21"/>
          <w:u w:val="single"/>
          <w:lang w:val="en-US" w:eastAsia="zh-CN" w:bidi="ar"/>
        </w:rPr>
        <w:t xml:space="preserve">                                 </w:t>
      </w:r>
      <w:r>
        <w:rPr>
          <w:rFonts w:hint="eastAsia" w:ascii="宋体" w:hAnsi="宋体" w:eastAsia="宋体" w:cs="宋体"/>
          <w:color w:val="000000"/>
          <w:kern w:val="2"/>
          <w:sz w:val="21"/>
          <w:szCs w:val="21"/>
          <w:lang w:val="en-US" w:eastAsia="zh-CN" w:bidi="ar"/>
        </w:rPr>
        <w:t>。</w:t>
      </w:r>
    </w:p>
    <w:p w14:paraId="0F4CA273">
      <w:pPr>
        <w:keepNext w:val="0"/>
        <w:keepLines w:val="0"/>
        <w:widowControl w:val="0"/>
        <w:suppressLineNumbers w:val="0"/>
        <w:spacing w:before="0" w:beforeAutospacing="0" w:after="0" w:afterAutospacing="0" w:line="400" w:lineRule="exact"/>
        <w:ind w:right="0"/>
        <w:jc w:val="left"/>
        <w:rPr>
          <w:rFonts w:hint="eastAsia" w:ascii="宋体" w:hAnsi="宋体" w:eastAsia="宋体" w:cs="宋体"/>
          <w:b/>
          <w:bCs/>
          <w:sz w:val="21"/>
          <w:szCs w:val="21"/>
          <w:lang w:val="en-US"/>
        </w:rPr>
      </w:pPr>
      <w:r>
        <w:rPr>
          <w:rFonts w:hint="eastAsia" w:ascii="宋体" w:hAnsi="宋体" w:eastAsia="宋体" w:cs="宋体"/>
          <w:b/>
          <w:bCs/>
          <w:color w:val="000000"/>
          <w:kern w:val="2"/>
          <w:sz w:val="21"/>
          <w:szCs w:val="21"/>
          <w:lang w:val="en-US" w:eastAsia="zh-CN" w:bidi="ar"/>
        </w:rPr>
        <w:t>5.2隐蔽工程检查</w:t>
      </w:r>
    </w:p>
    <w:p w14:paraId="016E7E03">
      <w:pPr>
        <w:pageBreakBefore w:val="0"/>
        <w:widowControl w:val="0"/>
        <w:kinsoku/>
        <w:wordWrap/>
        <w:overflowPunct/>
        <w:topLinePunct w:val="0"/>
        <w:bidi w:val="0"/>
        <w:spacing w:line="400" w:lineRule="exact"/>
        <w:ind w:left="0" w:leftChars="0"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承包人提前通知监理人隐蔽工程检查的期限的约定：</w:t>
      </w:r>
      <w:r>
        <w:rPr>
          <w:rFonts w:hint="eastAsia" w:ascii="宋体" w:hAnsi="宋体" w:eastAsia="宋体" w:cs="宋体"/>
          <w:bCs/>
          <w:color w:val="auto"/>
          <w:sz w:val="21"/>
          <w:szCs w:val="21"/>
          <w:highlight w:val="none"/>
        </w:rPr>
        <w:t>工程隐蔽或中间验收前12小时以书面形式通知发包人和监理工程师验收的内容、时间、地点，承包人准备验收记录单（最好是印制的表格）由双方签证。验收合格，承包人可进行隐蔽和继续施工；验收不合格，双方商</w:t>
      </w:r>
      <w:r>
        <w:rPr>
          <w:rFonts w:hint="eastAsia" w:ascii="宋体" w:hAnsi="宋体" w:eastAsia="宋体" w:cs="宋体"/>
          <w:bCs/>
          <w:color w:val="auto"/>
          <w:sz w:val="21"/>
          <w:szCs w:val="21"/>
          <w:highlight w:val="none"/>
          <w:lang w:val="en-US" w:eastAsia="zh-CN"/>
        </w:rPr>
        <w:t>定</w:t>
      </w:r>
      <w:r>
        <w:rPr>
          <w:rFonts w:hint="eastAsia" w:ascii="宋体" w:hAnsi="宋体" w:eastAsia="宋体" w:cs="宋体"/>
          <w:bCs/>
          <w:color w:val="auto"/>
          <w:sz w:val="21"/>
          <w:szCs w:val="21"/>
          <w:highlight w:val="none"/>
        </w:rPr>
        <w:t>时限内修改后按上述</w:t>
      </w:r>
      <w:r>
        <w:rPr>
          <w:rFonts w:hint="eastAsia" w:ascii="宋体" w:hAnsi="宋体" w:eastAsia="宋体" w:cs="宋体"/>
          <w:bCs/>
          <w:color w:val="auto"/>
          <w:sz w:val="21"/>
          <w:szCs w:val="21"/>
          <w:highlight w:val="none"/>
          <w:lang w:val="en-US" w:eastAsia="zh-CN"/>
        </w:rPr>
        <w:t>顺序</w:t>
      </w:r>
      <w:r>
        <w:rPr>
          <w:rFonts w:hint="eastAsia" w:ascii="宋体" w:hAnsi="宋体" w:eastAsia="宋体" w:cs="宋体"/>
          <w:bCs/>
          <w:color w:val="auto"/>
          <w:sz w:val="21"/>
          <w:szCs w:val="21"/>
          <w:highlight w:val="none"/>
        </w:rPr>
        <w:t>重新验收。</w:t>
      </w:r>
    </w:p>
    <w:p w14:paraId="19FF8CA4">
      <w:pPr>
        <w:pageBreakBefore w:val="0"/>
        <w:widowControl w:val="0"/>
        <w:kinsoku/>
        <w:wordWrap/>
        <w:overflowPunct/>
        <w:topLinePunct w:val="0"/>
        <w:bidi w:val="0"/>
        <w:spacing w:line="400" w:lineRule="exact"/>
        <w:ind w:left="0" w:leftChars="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监理人不能按时进行检查时，应提前</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24</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小时提交书面延期要求。</w:t>
      </w:r>
    </w:p>
    <w:p w14:paraId="1D625BC6">
      <w:pPr>
        <w:pStyle w:val="5"/>
        <w:keepNext/>
        <w:keepLines/>
        <w:widowControl w:val="0"/>
        <w:numPr>
          <w:ilvl w:val="0"/>
          <w:numId w:val="0"/>
        </w:numPr>
        <w:suppressLineNumbers w:val="0"/>
        <w:adjustRightInd/>
        <w:snapToGrid w:val="0"/>
        <w:spacing w:line="400" w:lineRule="exact"/>
        <w:ind w:left="420" w:leftChars="200" w:firstLine="0"/>
        <w:textAlignment w:val="baseline"/>
        <w:rPr>
          <w:rFonts w:hint="eastAsia" w:ascii="宋体" w:hAnsi="宋体" w:eastAsia="宋体" w:cs="宋体"/>
          <w:b w:val="0"/>
          <w:bCs/>
          <w:sz w:val="21"/>
          <w:szCs w:val="21"/>
          <w:vertAlign w:val="baseline"/>
          <w:lang w:val="en-US"/>
        </w:rPr>
      </w:pPr>
      <w:r>
        <w:rPr>
          <w:rFonts w:hint="eastAsia" w:ascii="宋体" w:hAnsi="宋体" w:eastAsia="宋体" w:cs="宋体"/>
          <w:b w:val="0"/>
          <w:bCs/>
          <w:sz w:val="21"/>
          <w:szCs w:val="21"/>
          <w:vertAlign w:val="baseline"/>
          <w:lang w:eastAsia="zh-CN"/>
        </w:rPr>
        <w:t>关于延期最长不得超过：</w:t>
      </w:r>
      <w:r>
        <w:rPr>
          <w:rFonts w:hint="eastAsia" w:ascii="宋体" w:hAnsi="宋体" w:eastAsia="宋体" w:cs="宋体"/>
          <w:b w:val="0"/>
          <w:bCs/>
          <w:sz w:val="21"/>
          <w:szCs w:val="21"/>
          <w:u w:val="single"/>
          <w:vertAlign w:val="baseline"/>
          <w:lang w:val="en-US"/>
        </w:rPr>
        <w:t xml:space="preserve">    48   </w:t>
      </w:r>
      <w:r>
        <w:rPr>
          <w:rFonts w:hint="eastAsia" w:ascii="宋体" w:hAnsi="宋体" w:eastAsia="宋体" w:cs="宋体"/>
          <w:b w:val="0"/>
          <w:bCs/>
          <w:sz w:val="21"/>
          <w:szCs w:val="21"/>
          <w:vertAlign w:val="baseline"/>
          <w:lang w:eastAsia="zh-CN"/>
        </w:rPr>
        <w:t>小时。</w:t>
      </w:r>
    </w:p>
    <w:p w14:paraId="39000084">
      <w:pPr>
        <w:pStyle w:val="5"/>
        <w:keepNext/>
        <w:keepLines/>
        <w:widowControl w:val="0"/>
        <w:numPr>
          <w:ilvl w:val="0"/>
          <w:numId w:val="0"/>
        </w:numPr>
        <w:suppressLineNumbers w:val="0"/>
        <w:adjustRightInd/>
        <w:snapToGrid w:val="0"/>
        <w:spacing w:line="400" w:lineRule="exact"/>
        <w:textAlignment w:val="baseline"/>
        <w:rPr>
          <w:rFonts w:hint="eastAsia" w:ascii="宋体" w:hAnsi="宋体" w:eastAsia="宋体" w:cs="宋体"/>
          <w:bCs/>
          <w:sz w:val="21"/>
          <w:szCs w:val="21"/>
          <w:vertAlign w:val="baseline"/>
          <w:lang w:val="en-US"/>
        </w:rPr>
      </w:pPr>
      <w:r>
        <w:rPr>
          <w:rFonts w:hint="eastAsia" w:ascii="宋体" w:hAnsi="宋体" w:eastAsia="宋体" w:cs="宋体"/>
          <w:bCs/>
          <w:sz w:val="21"/>
          <w:szCs w:val="21"/>
          <w:vertAlign w:val="baseline"/>
          <w:lang w:val="en-US"/>
        </w:rPr>
        <w:t>6.</w:t>
      </w:r>
      <w:r>
        <w:rPr>
          <w:rFonts w:hint="eastAsia" w:ascii="宋体" w:hAnsi="宋体" w:eastAsia="宋体" w:cs="宋体"/>
          <w:bCs/>
          <w:sz w:val="21"/>
          <w:szCs w:val="21"/>
          <w:vertAlign w:val="baseline"/>
          <w:lang w:eastAsia="zh-CN"/>
        </w:rPr>
        <w:t>安全文明施工与环境保护</w:t>
      </w:r>
      <w:bookmarkEnd w:id="415"/>
      <w:bookmarkEnd w:id="416"/>
      <w:bookmarkEnd w:id="417"/>
      <w:bookmarkEnd w:id="418"/>
      <w:bookmarkEnd w:id="419"/>
      <w:bookmarkEnd w:id="420"/>
    </w:p>
    <w:p w14:paraId="391A7472">
      <w:pPr>
        <w:pStyle w:val="5"/>
        <w:keepNext/>
        <w:keepLines/>
        <w:widowControl w:val="0"/>
        <w:numPr>
          <w:ilvl w:val="0"/>
          <w:numId w:val="0"/>
        </w:numPr>
        <w:suppressLineNumbers w:val="0"/>
        <w:adjustRightInd/>
        <w:snapToGrid w:val="0"/>
        <w:spacing w:line="400" w:lineRule="exact"/>
        <w:textAlignment w:val="baseline"/>
        <w:rPr>
          <w:rFonts w:hint="eastAsia" w:ascii="宋体" w:hAnsi="宋体" w:eastAsia="宋体" w:cs="宋体"/>
          <w:bCs/>
          <w:sz w:val="21"/>
          <w:szCs w:val="21"/>
          <w:vertAlign w:val="baseline"/>
          <w:lang w:val="en-US"/>
        </w:rPr>
      </w:pPr>
      <w:bookmarkStart w:id="421" w:name="_Toc389065286"/>
      <w:bookmarkStart w:id="422" w:name="_Toc28377"/>
      <w:bookmarkStart w:id="423" w:name="_Toc373227720"/>
      <w:bookmarkStart w:id="424" w:name="_Toc407135222"/>
      <w:bookmarkStart w:id="425" w:name="_Toc373478367"/>
      <w:r>
        <w:rPr>
          <w:rFonts w:hint="eastAsia" w:ascii="宋体" w:hAnsi="宋体" w:eastAsia="宋体" w:cs="宋体"/>
          <w:bCs/>
          <w:sz w:val="21"/>
          <w:szCs w:val="21"/>
          <w:vertAlign w:val="baseline"/>
          <w:lang w:val="en-US"/>
        </w:rPr>
        <w:t>6.1</w:t>
      </w:r>
      <w:r>
        <w:rPr>
          <w:rFonts w:hint="eastAsia" w:ascii="宋体" w:hAnsi="宋体" w:eastAsia="宋体" w:cs="宋体"/>
          <w:bCs/>
          <w:sz w:val="21"/>
          <w:szCs w:val="21"/>
          <w:vertAlign w:val="baseline"/>
          <w:lang w:eastAsia="zh-CN"/>
        </w:rPr>
        <w:t>安全文明施工</w:t>
      </w:r>
      <w:bookmarkEnd w:id="421"/>
      <w:bookmarkEnd w:id="422"/>
      <w:bookmarkEnd w:id="423"/>
      <w:bookmarkEnd w:id="424"/>
      <w:bookmarkEnd w:id="425"/>
    </w:p>
    <w:p w14:paraId="47AB185E">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bookmarkStart w:id="426" w:name="_Toc373227721"/>
      <w:bookmarkStart w:id="427" w:name="_Toc389065287"/>
      <w:bookmarkStart w:id="428" w:name="_Toc373478368"/>
      <w:bookmarkStart w:id="429" w:name="_Toc29970"/>
      <w:bookmarkStart w:id="430" w:name="_Toc407135223"/>
      <w:r>
        <w:rPr>
          <w:rFonts w:hint="eastAsia" w:ascii="宋体" w:hAnsi="宋体" w:eastAsia="宋体" w:cs="宋体"/>
          <w:color w:val="000000"/>
          <w:kern w:val="2"/>
          <w:sz w:val="21"/>
          <w:szCs w:val="21"/>
          <w:lang w:val="en-US" w:eastAsia="zh-CN" w:bidi="ar"/>
        </w:rPr>
        <w:t>6.1.1项目安全生产的达标目标及相应事项的约定：</w:t>
      </w:r>
      <w:r>
        <w:rPr>
          <w:rFonts w:hint="eastAsia" w:ascii="宋体" w:hAnsi="宋体" w:eastAsia="宋体" w:cs="宋体"/>
          <w:color w:val="000000"/>
          <w:kern w:val="2"/>
          <w:sz w:val="21"/>
          <w:szCs w:val="21"/>
          <w:u w:val="single"/>
          <w:lang w:val="en-US" w:eastAsia="zh-CN" w:bidi="ar"/>
        </w:rPr>
        <w:t>承包人应按《建筑施工企业安全生产管理机构设置及专职安全生产管理人员配备办法》（建质〔2008〕91号）设置专职安全生产管理人员，并按照相关内容和国家行业规范要求采取有效的安全措施，以保证自身及第三人和周边环境的安全</w:t>
      </w:r>
      <w:r>
        <w:rPr>
          <w:rFonts w:hint="eastAsia" w:ascii="宋体" w:hAnsi="宋体" w:eastAsia="宋体" w:cs="宋体"/>
          <w:color w:val="000000"/>
          <w:kern w:val="2"/>
          <w:sz w:val="21"/>
          <w:szCs w:val="21"/>
          <w:lang w:val="en-US" w:eastAsia="zh-CN" w:bidi="ar"/>
        </w:rPr>
        <w:t>。</w:t>
      </w:r>
    </w:p>
    <w:p w14:paraId="1D233FB4">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关于安全文明施工奖项的约定：</w:t>
      </w:r>
      <w:r>
        <w:rPr>
          <w:rFonts w:hint="eastAsia" w:ascii="宋体" w:hAnsi="宋体" w:eastAsia="宋体" w:cs="宋体"/>
          <w:color w:val="000000"/>
          <w:kern w:val="2"/>
          <w:sz w:val="21"/>
          <w:szCs w:val="21"/>
          <w:u w:val="single"/>
          <w:lang w:val="en-US" w:eastAsia="zh-CN" w:bidi="ar"/>
        </w:rPr>
        <w:t xml:space="preserve">                /                 </w:t>
      </w:r>
      <w:r>
        <w:rPr>
          <w:rFonts w:hint="eastAsia" w:ascii="宋体" w:hAnsi="宋体" w:eastAsia="宋体" w:cs="宋体"/>
          <w:color w:val="000000"/>
          <w:kern w:val="2"/>
          <w:sz w:val="21"/>
          <w:szCs w:val="21"/>
          <w:lang w:val="en-US" w:eastAsia="zh-CN" w:bidi="ar"/>
        </w:rPr>
        <w:t>。</w:t>
      </w:r>
    </w:p>
    <w:p w14:paraId="470399F0">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u w:val="single"/>
          <w:lang w:val="en-US"/>
        </w:rPr>
      </w:pPr>
      <w:r>
        <w:rPr>
          <w:rFonts w:hint="eastAsia" w:ascii="宋体" w:hAnsi="宋体" w:eastAsia="宋体" w:cs="宋体"/>
          <w:color w:val="000000"/>
          <w:kern w:val="2"/>
          <w:sz w:val="21"/>
          <w:szCs w:val="21"/>
          <w:lang w:val="en-US" w:eastAsia="zh-CN" w:bidi="ar"/>
        </w:rPr>
        <w:t>6.1.2关于治安保卫的特别约定：</w:t>
      </w:r>
      <w:r>
        <w:rPr>
          <w:rFonts w:hint="eastAsia" w:ascii="宋体" w:hAnsi="宋体" w:eastAsia="宋体" w:cs="宋体"/>
          <w:color w:val="000000"/>
          <w:kern w:val="2"/>
          <w:sz w:val="21"/>
          <w:szCs w:val="21"/>
          <w:u w:val="single"/>
          <w:lang w:val="en-US" w:eastAsia="zh-CN" w:bidi="ar"/>
        </w:rPr>
        <w:t>承包人应承担施工安全保卫工作及非夜间施工照明的责任，承包人应采取一切合理的预防措施，防止人员伤亡、财产损失事故，费用由承包人承担。承包人生活设施及施工场应自费配备消防设备，防止火灾发生。</w:t>
      </w:r>
    </w:p>
    <w:p w14:paraId="66188201">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关于编制施工场地治安管理计划的约定：</w:t>
      </w:r>
      <w:r>
        <w:rPr>
          <w:rFonts w:hint="eastAsia" w:ascii="宋体" w:hAnsi="宋体" w:eastAsia="宋体" w:cs="宋体"/>
          <w:color w:val="000000"/>
          <w:kern w:val="2"/>
          <w:sz w:val="21"/>
          <w:szCs w:val="21"/>
          <w:u w:val="single"/>
          <w:lang w:val="en-US" w:eastAsia="zh-CN" w:bidi="ar"/>
        </w:rPr>
        <w:t xml:space="preserve">             /                    </w:t>
      </w:r>
      <w:r>
        <w:rPr>
          <w:rFonts w:hint="eastAsia" w:ascii="宋体" w:hAnsi="宋体" w:eastAsia="宋体" w:cs="宋体"/>
          <w:color w:val="000000"/>
          <w:kern w:val="2"/>
          <w:sz w:val="21"/>
          <w:szCs w:val="21"/>
          <w:lang w:val="en-US" w:eastAsia="zh-CN" w:bidi="ar"/>
        </w:rPr>
        <w:t>。</w:t>
      </w:r>
    </w:p>
    <w:p w14:paraId="698EC676">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6.1.3文明施工</w:t>
      </w:r>
    </w:p>
    <w:p w14:paraId="53B6834E">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合同当事人对文明施工的要求：</w:t>
      </w:r>
      <w:r>
        <w:rPr>
          <w:rFonts w:hint="eastAsia" w:ascii="宋体" w:hAnsi="宋体" w:eastAsia="宋体" w:cs="宋体"/>
          <w:color w:val="000000"/>
          <w:kern w:val="2"/>
          <w:sz w:val="21"/>
          <w:szCs w:val="21"/>
          <w:u w:val="single"/>
          <w:lang w:val="en-US" w:eastAsia="zh-CN" w:bidi="ar"/>
        </w:rPr>
        <w:t xml:space="preserve"> 按国家现行的标准文明施工</w:t>
      </w:r>
      <w:r>
        <w:rPr>
          <w:rFonts w:hint="eastAsia" w:ascii="宋体" w:hAnsi="宋体" w:eastAsia="宋体" w:cs="宋体"/>
          <w:color w:val="000000"/>
          <w:kern w:val="2"/>
          <w:sz w:val="21"/>
          <w:szCs w:val="21"/>
          <w:lang w:val="en-US" w:eastAsia="zh-CN" w:bidi="ar"/>
        </w:rPr>
        <w:t>。</w:t>
      </w:r>
    </w:p>
    <w:p w14:paraId="22E163B7">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6.1.4关于安全文明施工费支付比例和支付期限的约定：</w:t>
      </w:r>
      <w:r>
        <w:rPr>
          <w:rFonts w:hint="eastAsia" w:ascii="宋体" w:hAnsi="宋体" w:eastAsia="宋体" w:cs="宋体"/>
          <w:color w:val="000000"/>
          <w:kern w:val="2"/>
          <w:sz w:val="21"/>
          <w:szCs w:val="21"/>
          <w:u w:val="single"/>
          <w:lang w:val="en-US" w:eastAsia="zh-CN" w:bidi="ar"/>
        </w:rPr>
        <w:t>本合同价款已包含安全防护、文明施工措施费1672.31 元，使用要求：专款专用。具体按《广西壮族自治区建设工程安全文明施工费使用管理细则》（桂建质〔2015〕16号）和玉林市相关规定执行</w:t>
      </w:r>
      <w:r>
        <w:rPr>
          <w:rFonts w:hint="eastAsia" w:ascii="宋体" w:hAnsi="宋体" w:eastAsia="宋体" w:cs="宋体"/>
          <w:color w:val="000000"/>
          <w:kern w:val="2"/>
          <w:sz w:val="21"/>
          <w:szCs w:val="21"/>
          <w:lang w:val="en-US" w:eastAsia="zh-CN" w:bidi="ar"/>
        </w:rPr>
        <w:t>。</w:t>
      </w:r>
    </w:p>
    <w:p w14:paraId="449AF009">
      <w:pPr>
        <w:keepNext w:val="0"/>
        <w:keepLines w:val="0"/>
        <w:widowControl w:val="0"/>
        <w:suppressLineNumbers w:val="0"/>
        <w:autoSpaceDE w:val="0"/>
        <w:autoSpaceDN w:val="0"/>
        <w:adjustRightInd w:val="0"/>
        <w:spacing w:before="0" w:beforeAutospacing="0" w:after="0" w:afterAutospacing="0" w:line="400" w:lineRule="exact"/>
        <w:ind w:left="0" w:right="0" w:firstLine="420" w:firstLineChars="200"/>
        <w:jc w:val="left"/>
        <w:rPr>
          <w:rFonts w:hint="eastAsia" w:ascii="宋体" w:hAnsi="宋体" w:eastAsia="宋体" w:cs="宋体"/>
          <w:kern w:val="0"/>
          <w:sz w:val="21"/>
          <w:szCs w:val="21"/>
          <w:lang w:val="en-US"/>
        </w:rPr>
      </w:pPr>
      <w:r>
        <w:rPr>
          <w:rFonts w:hint="eastAsia" w:ascii="宋体" w:hAnsi="宋体" w:eastAsia="宋体" w:cs="宋体"/>
          <w:color w:val="000000"/>
          <w:kern w:val="0"/>
          <w:sz w:val="21"/>
          <w:szCs w:val="21"/>
          <w:lang w:val="en-US" w:eastAsia="zh-CN" w:bidi="ar"/>
        </w:rPr>
        <w:t>（1）安全文明施工措施费固定总价</w:t>
      </w:r>
      <w:r>
        <w:rPr>
          <w:rFonts w:hint="eastAsia" w:ascii="宋体" w:hAnsi="宋体" w:eastAsia="宋体" w:cs="宋体"/>
          <w:color w:val="000000"/>
          <w:kern w:val="0"/>
          <w:sz w:val="21"/>
          <w:szCs w:val="21"/>
          <w:u w:val="single"/>
          <w:lang w:val="en-US" w:eastAsia="zh-CN" w:bidi="ar"/>
        </w:rPr>
        <w:t xml:space="preserve">          元</w:t>
      </w:r>
      <w:r>
        <w:rPr>
          <w:rFonts w:hint="eastAsia" w:ascii="宋体" w:hAnsi="宋体" w:eastAsia="宋体" w:cs="宋体"/>
          <w:color w:val="000000"/>
          <w:kern w:val="0"/>
          <w:sz w:val="21"/>
          <w:szCs w:val="21"/>
          <w:lang w:val="en-US" w:eastAsia="zh-CN" w:bidi="ar"/>
        </w:rPr>
        <w:t>，包含在合同总价中。</w:t>
      </w:r>
    </w:p>
    <w:p w14:paraId="377ACB55">
      <w:pPr>
        <w:keepNext w:val="0"/>
        <w:keepLines w:val="0"/>
        <w:widowControl w:val="0"/>
        <w:suppressLineNumbers w:val="0"/>
        <w:autoSpaceDE w:val="0"/>
        <w:autoSpaceDN w:val="0"/>
        <w:adjustRightInd w:val="0"/>
        <w:spacing w:before="0" w:beforeAutospacing="0" w:after="0" w:afterAutospacing="0" w:line="400" w:lineRule="exact"/>
        <w:ind w:left="0" w:right="0" w:firstLine="420" w:firstLineChars="200"/>
        <w:jc w:val="left"/>
        <w:rPr>
          <w:rFonts w:hint="eastAsia" w:ascii="宋体" w:hAnsi="宋体" w:eastAsia="宋体" w:cs="宋体"/>
          <w:kern w:val="0"/>
          <w:sz w:val="21"/>
          <w:szCs w:val="21"/>
          <w:lang w:val="en-US"/>
        </w:rPr>
      </w:pPr>
      <w:r>
        <w:rPr>
          <w:rFonts w:hint="eastAsia" w:ascii="宋体" w:hAnsi="宋体" w:eastAsia="宋体" w:cs="宋体"/>
          <w:color w:val="000000"/>
          <w:kern w:val="0"/>
          <w:sz w:val="21"/>
          <w:szCs w:val="21"/>
          <w:lang w:val="en-US" w:eastAsia="zh-CN" w:bidi="ar"/>
        </w:rPr>
        <w:t>（2）使用要求：专款专用。具体按《广西壮族自治区建设工程安全文明施工费使用管理细则》（桂建质〔2015〕16号）和</w:t>
      </w:r>
      <w:r>
        <w:rPr>
          <w:rFonts w:hint="eastAsia" w:ascii="宋体" w:hAnsi="宋体" w:eastAsia="宋体" w:cs="宋体"/>
          <w:color w:val="000000"/>
          <w:kern w:val="0"/>
          <w:sz w:val="21"/>
          <w:szCs w:val="21"/>
          <w:u w:val="single"/>
          <w:lang w:val="en-US" w:eastAsia="zh-CN" w:bidi="ar"/>
        </w:rPr>
        <w:t xml:space="preserve">          </w:t>
      </w:r>
      <w:r>
        <w:rPr>
          <w:rFonts w:hint="eastAsia" w:ascii="宋体" w:hAnsi="宋体" w:eastAsia="宋体" w:cs="宋体"/>
          <w:color w:val="000000"/>
          <w:kern w:val="0"/>
          <w:sz w:val="21"/>
          <w:szCs w:val="21"/>
          <w:lang w:val="en-US" w:eastAsia="zh-CN" w:bidi="ar"/>
        </w:rPr>
        <w:t>市相关规定执行。</w:t>
      </w:r>
    </w:p>
    <w:p w14:paraId="10EF7612">
      <w:pPr>
        <w:pStyle w:val="5"/>
        <w:keepNext/>
        <w:keepLines/>
        <w:widowControl w:val="0"/>
        <w:numPr>
          <w:ilvl w:val="0"/>
          <w:numId w:val="0"/>
        </w:numPr>
        <w:suppressLineNumbers w:val="0"/>
        <w:adjustRightInd/>
        <w:snapToGrid w:val="0"/>
        <w:spacing w:line="400" w:lineRule="exact"/>
        <w:ind w:left="420" w:leftChars="200" w:firstLine="0"/>
        <w:textAlignment w:val="baseline"/>
        <w:rPr>
          <w:rFonts w:hint="eastAsia" w:ascii="宋体" w:hAnsi="宋体" w:eastAsia="宋体" w:cs="宋体"/>
          <w:b w:val="0"/>
          <w:bCs/>
          <w:sz w:val="21"/>
          <w:szCs w:val="21"/>
          <w:vertAlign w:val="baseline"/>
          <w:lang w:val="en-US"/>
        </w:rPr>
      </w:pPr>
      <w:r>
        <w:rPr>
          <w:rFonts w:hint="eastAsia" w:ascii="宋体" w:hAnsi="宋体" w:eastAsia="宋体" w:cs="宋体"/>
          <w:b w:val="0"/>
          <w:bCs/>
          <w:sz w:val="21"/>
          <w:szCs w:val="21"/>
          <w:vertAlign w:val="baseline"/>
          <w:lang w:eastAsia="zh-CN"/>
        </w:rPr>
        <w:t>（</w:t>
      </w:r>
      <w:r>
        <w:rPr>
          <w:rFonts w:hint="eastAsia" w:ascii="宋体" w:hAnsi="宋体" w:eastAsia="宋体" w:cs="宋体"/>
          <w:b w:val="0"/>
          <w:bCs/>
          <w:sz w:val="21"/>
          <w:szCs w:val="21"/>
          <w:vertAlign w:val="baseline"/>
          <w:lang w:val="en-US"/>
        </w:rPr>
        <w:t>3</w:t>
      </w:r>
      <w:r>
        <w:rPr>
          <w:rFonts w:hint="eastAsia" w:ascii="宋体" w:hAnsi="宋体" w:eastAsia="宋体" w:cs="宋体"/>
          <w:b w:val="0"/>
          <w:bCs/>
          <w:sz w:val="21"/>
          <w:szCs w:val="21"/>
          <w:vertAlign w:val="baseline"/>
          <w:lang w:eastAsia="zh-CN"/>
        </w:rPr>
        <w:t>）支付约定：</w:t>
      </w:r>
      <w:r>
        <w:rPr>
          <w:rFonts w:hint="eastAsia" w:ascii="宋体" w:hAnsi="宋体" w:eastAsia="宋体" w:cs="宋体"/>
          <w:b w:val="0"/>
          <w:bCs/>
          <w:sz w:val="21"/>
          <w:szCs w:val="21"/>
          <w:u w:val="single"/>
          <w:vertAlign w:val="baseline"/>
          <w:lang w:val="en-US"/>
        </w:rPr>
        <w:t xml:space="preserve">   </w:t>
      </w:r>
      <w:r>
        <w:rPr>
          <w:rFonts w:hint="eastAsia" w:ascii="宋体" w:hAnsi="宋体" w:eastAsia="宋体" w:cs="宋体"/>
          <w:b w:val="0"/>
          <w:bCs/>
          <w:sz w:val="21"/>
          <w:szCs w:val="21"/>
          <w:u w:val="single"/>
          <w:vertAlign w:val="baseline"/>
          <w:lang w:eastAsia="zh-CN"/>
        </w:rPr>
        <w:t>与进度款同期支付</w:t>
      </w:r>
      <w:r>
        <w:rPr>
          <w:rFonts w:hint="eastAsia" w:ascii="宋体" w:hAnsi="宋体" w:eastAsia="宋体" w:cs="宋体"/>
          <w:b w:val="0"/>
          <w:bCs/>
          <w:sz w:val="21"/>
          <w:szCs w:val="21"/>
          <w:u w:val="single"/>
          <w:vertAlign w:val="baseline"/>
          <w:lang w:val="en-US"/>
        </w:rPr>
        <w:t xml:space="preserve">   </w:t>
      </w:r>
      <w:r>
        <w:rPr>
          <w:rFonts w:hint="eastAsia" w:ascii="宋体" w:hAnsi="宋体" w:eastAsia="宋体" w:cs="宋体"/>
          <w:b w:val="0"/>
          <w:bCs/>
          <w:sz w:val="21"/>
          <w:szCs w:val="21"/>
          <w:vertAlign w:val="baseline"/>
          <w:lang w:eastAsia="zh-CN"/>
        </w:rPr>
        <w:t>。</w:t>
      </w:r>
    </w:p>
    <w:p w14:paraId="0267244C">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6.1.5承包人应严格遵守安全生产法律法规，承担施工期间全部安全责任。若因承包人原因发生安全事故（包括但不限于人员伤亡、财产损失），承包人应立即报告发包人，并承担全部赔偿责任（包括但不限于医疗费、赔偿金、行政罚款等），同时赔偿发包人因此遭受的损失（包括但不限于工期延误损失、声誉损失等）。</w:t>
      </w:r>
    </w:p>
    <w:p w14:paraId="727D3CC1">
      <w:pPr>
        <w:pStyle w:val="5"/>
        <w:keepNext/>
        <w:keepLines/>
        <w:widowControl w:val="0"/>
        <w:numPr>
          <w:ilvl w:val="0"/>
          <w:numId w:val="0"/>
        </w:numPr>
        <w:suppressLineNumbers w:val="0"/>
        <w:adjustRightInd/>
        <w:snapToGrid w:val="0"/>
        <w:spacing w:line="400" w:lineRule="exact"/>
        <w:textAlignment w:val="baseline"/>
        <w:rPr>
          <w:rFonts w:hint="eastAsia" w:ascii="宋体" w:hAnsi="宋体" w:eastAsia="宋体" w:cs="宋体"/>
          <w:bCs/>
          <w:sz w:val="21"/>
          <w:szCs w:val="21"/>
          <w:vertAlign w:val="baseline"/>
          <w:lang w:val="en-US"/>
        </w:rPr>
      </w:pPr>
      <w:r>
        <w:rPr>
          <w:rFonts w:hint="eastAsia" w:ascii="宋体" w:hAnsi="宋体" w:eastAsia="宋体" w:cs="宋体"/>
          <w:bCs/>
          <w:sz w:val="21"/>
          <w:szCs w:val="21"/>
          <w:vertAlign w:val="baseline"/>
          <w:lang w:val="en-US"/>
        </w:rPr>
        <w:t>6.2</w:t>
      </w:r>
      <w:r>
        <w:rPr>
          <w:rFonts w:hint="eastAsia" w:ascii="宋体" w:hAnsi="宋体" w:eastAsia="宋体" w:cs="宋体"/>
          <w:bCs/>
          <w:sz w:val="21"/>
          <w:szCs w:val="21"/>
          <w:vertAlign w:val="baseline"/>
          <w:lang w:eastAsia="zh-CN"/>
        </w:rPr>
        <w:t>环境保护</w:t>
      </w:r>
      <w:bookmarkEnd w:id="426"/>
      <w:bookmarkEnd w:id="427"/>
      <w:bookmarkEnd w:id="428"/>
      <w:bookmarkEnd w:id="429"/>
      <w:bookmarkEnd w:id="430"/>
    </w:p>
    <w:p w14:paraId="235F3F62">
      <w:pPr>
        <w:keepNext w:val="0"/>
        <w:keepLines w:val="0"/>
        <w:widowControl w:val="0"/>
        <w:suppressLineNumbers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sz w:val="21"/>
          <w:szCs w:val="21"/>
          <w:u w:val="single"/>
          <w:vertAlign w:val="baseline"/>
          <w:lang w:val="en-US"/>
        </w:rPr>
      </w:pPr>
      <w:r>
        <w:rPr>
          <w:rFonts w:hint="eastAsia" w:ascii="宋体" w:hAnsi="宋体" w:eastAsia="宋体" w:cs="宋体"/>
          <w:color w:val="000000"/>
          <w:kern w:val="2"/>
          <w:sz w:val="21"/>
          <w:szCs w:val="21"/>
          <w:u w:val="single" w:color="000000"/>
          <w:vertAlign w:val="baseline"/>
          <w:lang w:val="en-US" w:eastAsia="zh-CN" w:bidi="ar"/>
        </w:rPr>
        <w:t>因施工需要，经发包人批准，由承包人办理有关施工场地交通、环卫和施工噪音管理等手续，费用由承包人负责。</w:t>
      </w:r>
    </w:p>
    <w:p w14:paraId="4112B66C">
      <w:pPr>
        <w:keepNext w:val="0"/>
        <w:keepLines w:val="0"/>
        <w:widowControl w:val="0"/>
        <w:suppressLineNumbers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sz w:val="21"/>
          <w:szCs w:val="21"/>
          <w:u w:val="single"/>
          <w:vertAlign w:val="baseline"/>
          <w:lang w:val="en-US"/>
        </w:rPr>
      </w:pPr>
      <w:r>
        <w:rPr>
          <w:rFonts w:hint="eastAsia" w:ascii="宋体" w:hAnsi="宋体" w:eastAsia="宋体" w:cs="宋体"/>
          <w:color w:val="000000"/>
          <w:kern w:val="2"/>
          <w:sz w:val="21"/>
          <w:szCs w:val="21"/>
          <w:u w:val="single" w:color="000000"/>
          <w:vertAlign w:val="baseline"/>
          <w:lang w:val="en-US" w:eastAsia="zh-CN" w:bidi="ar"/>
        </w:rPr>
        <w:t>经过城市道路的施工车辆，必须按交警、城管、运输等部门相关规定执行。由于施工车辆造成的道路、环境等污染，其责任和费用均由承包人承担。</w:t>
      </w:r>
    </w:p>
    <w:p w14:paraId="61960DA7">
      <w:pPr>
        <w:pStyle w:val="5"/>
        <w:keepNext/>
        <w:keepLines/>
        <w:widowControl w:val="0"/>
        <w:numPr>
          <w:ilvl w:val="0"/>
          <w:numId w:val="0"/>
        </w:numPr>
        <w:suppressLineNumbers w:val="0"/>
        <w:adjustRightInd/>
        <w:snapToGrid w:val="0"/>
        <w:spacing w:line="400" w:lineRule="exact"/>
        <w:textAlignment w:val="baseline"/>
        <w:rPr>
          <w:rFonts w:hint="eastAsia" w:ascii="宋体" w:hAnsi="宋体" w:eastAsia="宋体" w:cs="宋体"/>
          <w:bCs/>
          <w:sz w:val="21"/>
          <w:szCs w:val="21"/>
          <w:vertAlign w:val="baseline"/>
          <w:lang w:val="en-US"/>
        </w:rPr>
      </w:pPr>
      <w:bookmarkStart w:id="431" w:name="_Toc17974"/>
      <w:bookmarkStart w:id="432" w:name="_Toc373227722"/>
      <w:bookmarkStart w:id="433" w:name="_Toc351203639"/>
      <w:bookmarkStart w:id="434" w:name="_Toc373478369"/>
      <w:bookmarkStart w:id="435" w:name="_Toc389065288"/>
      <w:bookmarkStart w:id="436" w:name="_Toc407135224"/>
      <w:r>
        <w:rPr>
          <w:rFonts w:hint="eastAsia" w:ascii="宋体" w:hAnsi="宋体" w:eastAsia="宋体" w:cs="宋体"/>
          <w:bCs/>
          <w:sz w:val="21"/>
          <w:szCs w:val="21"/>
          <w:vertAlign w:val="baseline"/>
          <w:lang w:val="en-US"/>
        </w:rPr>
        <w:t>7.</w:t>
      </w:r>
      <w:r>
        <w:rPr>
          <w:rFonts w:hint="eastAsia" w:ascii="宋体" w:hAnsi="宋体" w:eastAsia="宋体" w:cs="宋体"/>
          <w:bCs/>
          <w:sz w:val="21"/>
          <w:szCs w:val="21"/>
          <w:vertAlign w:val="baseline"/>
          <w:lang w:eastAsia="zh-CN"/>
        </w:rPr>
        <w:t>工期和进度</w:t>
      </w:r>
      <w:bookmarkEnd w:id="431"/>
      <w:bookmarkEnd w:id="432"/>
      <w:bookmarkEnd w:id="433"/>
      <w:bookmarkEnd w:id="434"/>
      <w:bookmarkEnd w:id="435"/>
      <w:bookmarkEnd w:id="436"/>
    </w:p>
    <w:p w14:paraId="5736FA2A">
      <w:pPr>
        <w:pStyle w:val="5"/>
        <w:keepNext/>
        <w:keepLines/>
        <w:widowControl w:val="0"/>
        <w:numPr>
          <w:ilvl w:val="0"/>
          <w:numId w:val="0"/>
        </w:numPr>
        <w:suppressLineNumbers w:val="0"/>
        <w:adjustRightInd/>
        <w:snapToGrid w:val="0"/>
        <w:spacing w:line="400" w:lineRule="exact"/>
        <w:textAlignment w:val="baseline"/>
        <w:rPr>
          <w:rFonts w:hint="eastAsia" w:ascii="宋体" w:hAnsi="宋体" w:eastAsia="宋体" w:cs="宋体"/>
          <w:bCs/>
          <w:sz w:val="21"/>
          <w:szCs w:val="21"/>
          <w:vertAlign w:val="baseline"/>
          <w:lang w:val="en-US"/>
        </w:rPr>
      </w:pPr>
      <w:bookmarkStart w:id="437" w:name="_Toc389065289"/>
      <w:bookmarkStart w:id="438" w:name="_Toc407135225"/>
      <w:bookmarkStart w:id="439" w:name="_Toc25746"/>
      <w:bookmarkStart w:id="440" w:name="_Toc373478370"/>
      <w:bookmarkStart w:id="441" w:name="_Toc373227723"/>
      <w:r>
        <w:rPr>
          <w:rFonts w:hint="eastAsia" w:ascii="宋体" w:hAnsi="宋体" w:eastAsia="宋体" w:cs="宋体"/>
          <w:bCs/>
          <w:sz w:val="21"/>
          <w:szCs w:val="21"/>
          <w:vertAlign w:val="baseline"/>
          <w:lang w:val="en-US"/>
        </w:rPr>
        <w:t>7.1</w:t>
      </w:r>
      <w:r>
        <w:rPr>
          <w:rFonts w:hint="eastAsia" w:ascii="宋体" w:hAnsi="宋体" w:eastAsia="宋体" w:cs="宋体"/>
          <w:bCs/>
          <w:sz w:val="21"/>
          <w:szCs w:val="21"/>
          <w:vertAlign w:val="baseline"/>
          <w:lang w:eastAsia="zh-CN"/>
        </w:rPr>
        <w:t>施工组织设计</w:t>
      </w:r>
      <w:bookmarkEnd w:id="437"/>
      <w:bookmarkEnd w:id="438"/>
      <w:bookmarkEnd w:id="439"/>
      <w:bookmarkEnd w:id="440"/>
      <w:bookmarkEnd w:id="441"/>
    </w:p>
    <w:p w14:paraId="28ED1001">
      <w:pPr>
        <w:keepNext w:val="0"/>
        <w:keepLines w:val="0"/>
        <w:widowControl w:val="0"/>
        <w:suppressLineNumbers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sz w:val="21"/>
          <w:szCs w:val="21"/>
          <w:u w:val="single"/>
          <w:vertAlign w:val="baseline"/>
          <w:lang w:val="en-US"/>
        </w:rPr>
      </w:pPr>
      <w:r>
        <w:rPr>
          <w:rFonts w:hint="eastAsia" w:ascii="宋体" w:hAnsi="宋体" w:eastAsia="宋体" w:cs="宋体"/>
          <w:color w:val="000000"/>
          <w:kern w:val="2"/>
          <w:sz w:val="21"/>
          <w:szCs w:val="21"/>
          <w:vertAlign w:val="baseline"/>
          <w:lang w:val="en-US" w:eastAsia="zh-CN" w:bidi="ar"/>
        </w:rPr>
        <w:t>7.1.1合</w:t>
      </w:r>
      <w:r>
        <w:rPr>
          <w:rFonts w:hint="eastAsia" w:ascii="宋体" w:hAnsi="宋体" w:eastAsia="宋体" w:cs="宋体"/>
          <w:color w:val="000000"/>
          <w:kern w:val="0"/>
          <w:sz w:val="21"/>
          <w:szCs w:val="21"/>
          <w:vertAlign w:val="baseline"/>
          <w:lang w:val="en-US" w:eastAsia="zh-CN" w:bidi="ar"/>
        </w:rPr>
        <w:t>同当事人约定的施工组织设计应包括的其他内容：</w:t>
      </w:r>
      <w:r>
        <w:rPr>
          <w:rFonts w:hint="eastAsia" w:ascii="宋体" w:hAnsi="宋体" w:eastAsia="宋体" w:cs="宋体"/>
          <w:color w:val="000000"/>
          <w:kern w:val="2"/>
          <w:sz w:val="21"/>
          <w:szCs w:val="21"/>
          <w:u w:val="single" w:color="000000"/>
          <w:vertAlign w:val="baseline"/>
          <w:lang w:val="en-US" w:eastAsia="zh-CN" w:bidi="ar"/>
        </w:rPr>
        <w:t xml:space="preserve"> 无 </w:t>
      </w:r>
      <w:r>
        <w:rPr>
          <w:rFonts w:hint="eastAsia" w:ascii="宋体" w:hAnsi="宋体" w:eastAsia="宋体" w:cs="宋体"/>
          <w:color w:val="000000"/>
          <w:kern w:val="2"/>
          <w:sz w:val="21"/>
          <w:szCs w:val="21"/>
          <w:vertAlign w:val="baseline"/>
          <w:lang w:val="en-US" w:eastAsia="zh-CN" w:bidi="ar"/>
        </w:rPr>
        <w:t>。</w:t>
      </w:r>
    </w:p>
    <w:p w14:paraId="19B48572">
      <w:pPr>
        <w:keepNext w:val="0"/>
        <w:keepLines w:val="0"/>
        <w:widowControl w:val="0"/>
        <w:suppressLineNumbers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kern w:val="0"/>
          <w:sz w:val="21"/>
          <w:szCs w:val="21"/>
          <w:vertAlign w:val="baseline"/>
          <w:lang w:val="en-US"/>
        </w:rPr>
      </w:pPr>
      <w:r>
        <w:rPr>
          <w:rFonts w:hint="eastAsia" w:ascii="宋体" w:hAnsi="宋体" w:eastAsia="宋体" w:cs="宋体"/>
          <w:color w:val="000000"/>
          <w:kern w:val="2"/>
          <w:sz w:val="21"/>
          <w:szCs w:val="21"/>
          <w:vertAlign w:val="baseline"/>
          <w:lang w:val="en-US" w:eastAsia="zh-CN" w:bidi="ar"/>
        </w:rPr>
        <w:t>7.1.2</w:t>
      </w:r>
      <w:r>
        <w:rPr>
          <w:rFonts w:hint="eastAsia" w:ascii="宋体" w:hAnsi="宋体" w:eastAsia="宋体" w:cs="宋体"/>
          <w:color w:val="000000"/>
          <w:kern w:val="0"/>
          <w:sz w:val="21"/>
          <w:szCs w:val="21"/>
          <w:vertAlign w:val="baseline"/>
          <w:lang w:val="en-US" w:eastAsia="zh-CN" w:bidi="ar"/>
        </w:rPr>
        <w:t>施工组织设计的提交和修改</w:t>
      </w:r>
    </w:p>
    <w:p w14:paraId="006B0274">
      <w:pPr>
        <w:keepNext w:val="0"/>
        <w:keepLines w:val="0"/>
        <w:widowControl w:val="0"/>
        <w:suppressLineNumbers w:val="0"/>
        <w:autoSpaceDE w:val="0"/>
        <w:autoSpaceDN w:val="0"/>
        <w:adjustRightInd w:val="0"/>
        <w:spacing w:before="0" w:beforeAutospacing="0" w:after="0" w:afterAutospacing="0" w:line="400" w:lineRule="exact"/>
        <w:ind w:left="0" w:right="0" w:firstLine="420" w:firstLineChars="200"/>
        <w:jc w:val="left"/>
        <w:rPr>
          <w:rFonts w:hint="eastAsia" w:ascii="宋体" w:hAnsi="宋体" w:eastAsia="宋体" w:cs="宋体"/>
          <w:sz w:val="21"/>
          <w:szCs w:val="21"/>
          <w:u w:val="single"/>
          <w:lang w:val="en-US"/>
        </w:rPr>
      </w:pPr>
      <w:r>
        <w:rPr>
          <w:rFonts w:hint="eastAsia" w:ascii="宋体" w:hAnsi="宋体" w:eastAsia="宋体" w:cs="宋体"/>
          <w:color w:val="000000"/>
          <w:kern w:val="0"/>
          <w:sz w:val="21"/>
          <w:szCs w:val="21"/>
          <w:lang w:val="en-US" w:eastAsia="zh-CN" w:bidi="ar"/>
        </w:rPr>
        <w:t>承包人提交详细施工组织设计的期限的约定：</w:t>
      </w:r>
      <w:r>
        <w:rPr>
          <w:rFonts w:hint="eastAsia" w:ascii="宋体" w:hAnsi="宋体" w:eastAsia="宋体" w:cs="宋体"/>
          <w:color w:val="000000"/>
          <w:kern w:val="2"/>
          <w:sz w:val="21"/>
          <w:szCs w:val="21"/>
          <w:u w:val="single"/>
          <w:lang w:val="en-US" w:eastAsia="zh-CN" w:bidi="ar"/>
        </w:rPr>
        <w:t xml:space="preserve">   收到成交通知书后三天内     </w:t>
      </w:r>
      <w:r>
        <w:rPr>
          <w:rFonts w:hint="eastAsia" w:ascii="宋体" w:hAnsi="宋体" w:eastAsia="宋体" w:cs="宋体"/>
          <w:color w:val="000000"/>
          <w:kern w:val="2"/>
          <w:sz w:val="21"/>
          <w:szCs w:val="21"/>
          <w:lang w:val="en-US" w:eastAsia="zh-CN" w:bidi="ar"/>
        </w:rPr>
        <w:t>。</w:t>
      </w:r>
    </w:p>
    <w:p w14:paraId="7173552C">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发包人和监理人在收到详细的施工组织设计后确认或提出修改意见的期限：</w:t>
      </w:r>
      <w:r>
        <w:rPr>
          <w:rFonts w:hint="eastAsia" w:ascii="宋体" w:hAnsi="宋体" w:eastAsia="宋体" w:cs="宋体"/>
          <w:color w:val="000000"/>
          <w:kern w:val="2"/>
          <w:sz w:val="21"/>
          <w:szCs w:val="21"/>
          <w:u w:val="single"/>
          <w:lang w:val="en-US" w:eastAsia="zh-CN" w:bidi="ar"/>
        </w:rPr>
        <w:t>在承包人提供施工组织设计后七天内审定完毕；若发包人对其施工组织设计，发包人应在七日内对承包人修正的施工组织设计进行最后审定</w:t>
      </w:r>
      <w:r>
        <w:rPr>
          <w:rFonts w:hint="eastAsia" w:ascii="宋体" w:hAnsi="宋体" w:eastAsia="宋体" w:cs="宋体"/>
          <w:color w:val="000000"/>
          <w:kern w:val="2"/>
          <w:sz w:val="21"/>
          <w:szCs w:val="21"/>
          <w:lang w:val="en-US" w:eastAsia="zh-CN" w:bidi="ar"/>
        </w:rPr>
        <w:t>。</w:t>
      </w:r>
    </w:p>
    <w:p w14:paraId="41EB0F35">
      <w:pPr>
        <w:pStyle w:val="5"/>
        <w:keepNext/>
        <w:keepLines/>
        <w:widowControl w:val="0"/>
        <w:numPr>
          <w:ilvl w:val="0"/>
          <w:numId w:val="0"/>
        </w:numPr>
        <w:suppressLineNumbers w:val="0"/>
        <w:adjustRightInd/>
        <w:snapToGrid w:val="0"/>
        <w:spacing w:line="400" w:lineRule="exact"/>
        <w:textAlignment w:val="baseline"/>
        <w:rPr>
          <w:rFonts w:hint="eastAsia" w:ascii="宋体" w:hAnsi="宋体" w:eastAsia="宋体" w:cs="宋体"/>
          <w:bCs/>
          <w:sz w:val="21"/>
          <w:szCs w:val="21"/>
          <w:vertAlign w:val="baseline"/>
          <w:lang w:val="en-US"/>
        </w:rPr>
      </w:pPr>
      <w:bookmarkStart w:id="442" w:name="_Toc407135226"/>
      <w:bookmarkStart w:id="443" w:name="_Toc389065290"/>
      <w:bookmarkStart w:id="444" w:name="_Toc23703"/>
      <w:bookmarkStart w:id="445" w:name="_Toc373478371"/>
      <w:bookmarkStart w:id="446" w:name="_Toc373227724"/>
      <w:r>
        <w:rPr>
          <w:rFonts w:hint="eastAsia" w:ascii="宋体" w:hAnsi="宋体" w:eastAsia="宋体" w:cs="宋体"/>
          <w:bCs/>
          <w:sz w:val="21"/>
          <w:szCs w:val="21"/>
          <w:vertAlign w:val="baseline"/>
          <w:lang w:val="en-US"/>
        </w:rPr>
        <w:t>7.2</w:t>
      </w:r>
      <w:r>
        <w:rPr>
          <w:rFonts w:hint="eastAsia" w:ascii="宋体" w:hAnsi="宋体" w:eastAsia="宋体" w:cs="宋体"/>
          <w:bCs/>
          <w:sz w:val="21"/>
          <w:szCs w:val="21"/>
          <w:vertAlign w:val="baseline"/>
          <w:lang w:eastAsia="zh-CN"/>
        </w:rPr>
        <w:t>施工进度计划</w:t>
      </w:r>
      <w:bookmarkEnd w:id="442"/>
      <w:bookmarkEnd w:id="443"/>
      <w:bookmarkEnd w:id="444"/>
      <w:bookmarkEnd w:id="445"/>
      <w:bookmarkEnd w:id="446"/>
    </w:p>
    <w:p w14:paraId="1848FBC6">
      <w:pPr>
        <w:keepNext w:val="0"/>
        <w:keepLines w:val="0"/>
        <w:widowControl w:val="0"/>
        <w:suppressLineNumbers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sz w:val="21"/>
          <w:szCs w:val="21"/>
          <w:vertAlign w:val="baseline"/>
          <w:lang w:val="en-US"/>
        </w:rPr>
      </w:pPr>
      <w:r>
        <w:rPr>
          <w:rFonts w:hint="eastAsia" w:ascii="宋体" w:hAnsi="宋体" w:eastAsia="宋体" w:cs="宋体"/>
          <w:color w:val="000000"/>
          <w:kern w:val="2"/>
          <w:sz w:val="21"/>
          <w:szCs w:val="21"/>
          <w:vertAlign w:val="baseline"/>
          <w:lang w:val="en-US" w:eastAsia="zh-CN" w:bidi="ar"/>
        </w:rPr>
        <w:t>7.2.1施工进度计划的修订</w:t>
      </w:r>
    </w:p>
    <w:p w14:paraId="023C9925">
      <w:pPr>
        <w:keepNext w:val="0"/>
        <w:keepLines w:val="0"/>
        <w:widowControl w:val="0"/>
        <w:suppressLineNumbers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sz w:val="21"/>
          <w:szCs w:val="21"/>
          <w:vertAlign w:val="baseline"/>
          <w:lang w:val="en-US"/>
        </w:rPr>
      </w:pPr>
      <w:r>
        <w:rPr>
          <w:rFonts w:hint="eastAsia" w:ascii="宋体" w:hAnsi="宋体" w:eastAsia="宋体" w:cs="宋体"/>
          <w:color w:val="000000"/>
          <w:kern w:val="2"/>
          <w:sz w:val="21"/>
          <w:szCs w:val="21"/>
          <w:vertAlign w:val="baseline"/>
          <w:lang w:val="en-US" w:eastAsia="zh-CN" w:bidi="ar"/>
        </w:rPr>
        <w:t>发包人和监理人在收到修订的施工进度计划后确认或提出修改意见的期限：</w:t>
      </w:r>
      <w:r>
        <w:rPr>
          <w:rFonts w:hint="eastAsia" w:ascii="宋体" w:hAnsi="宋体" w:eastAsia="宋体" w:cs="宋体"/>
          <w:color w:val="000000"/>
          <w:kern w:val="2"/>
          <w:sz w:val="21"/>
          <w:szCs w:val="21"/>
          <w:u w:val="single" w:color="000000"/>
          <w:vertAlign w:val="baseline"/>
          <w:lang w:val="en-US" w:eastAsia="zh-CN" w:bidi="ar"/>
        </w:rPr>
        <w:t xml:space="preserve"> / </w:t>
      </w:r>
      <w:r>
        <w:rPr>
          <w:rFonts w:hint="eastAsia" w:ascii="宋体" w:hAnsi="宋体" w:eastAsia="宋体" w:cs="宋体"/>
          <w:color w:val="000000"/>
          <w:kern w:val="2"/>
          <w:sz w:val="21"/>
          <w:szCs w:val="21"/>
          <w:vertAlign w:val="baseline"/>
          <w:lang w:val="en-US" w:eastAsia="zh-CN" w:bidi="ar"/>
        </w:rPr>
        <w:t>。</w:t>
      </w:r>
    </w:p>
    <w:p w14:paraId="50DFD090">
      <w:pPr>
        <w:pStyle w:val="5"/>
        <w:keepNext/>
        <w:keepLines/>
        <w:widowControl w:val="0"/>
        <w:numPr>
          <w:ilvl w:val="0"/>
          <w:numId w:val="0"/>
        </w:numPr>
        <w:suppressLineNumbers w:val="0"/>
        <w:adjustRightInd/>
        <w:snapToGrid w:val="0"/>
        <w:spacing w:line="400" w:lineRule="exact"/>
        <w:textAlignment w:val="baseline"/>
        <w:rPr>
          <w:rFonts w:hint="eastAsia" w:ascii="宋体" w:hAnsi="宋体" w:eastAsia="宋体" w:cs="宋体"/>
          <w:bCs/>
          <w:sz w:val="21"/>
          <w:szCs w:val="21"/>
          <w:vertAlign w:val="baseline"/>
          <w:lang w:val="en-US"/>
        </w:rPr>
      </w:pPr>
      <w:bookmarkStart w:id="447" w:name="_Toc373478372"/>
      <w:bookmarkStart w:id="448" w:name="_Toc8682"/>
      <w:bookmarkStart w:id="449" w:name="_Toc373227725"/>
      <w:bookmarkStart w:id="450" w:name="_Toc407135227"/>
      <w:bookmarkStart w:id="451" w:name="_Toc389065291"/>
      <w:r>
        <w:rPr>
          <w:rFonts w:hint="eastAsia" w:ascii="宋体" w:hAnsi="宋体" w:eastAsia="宋体" w:cs="宋体"/>
          <w:bCs/>
          <w:sz w:val="21"/>
          <w:szCs w:val="21"/>
          <w:vertAlign w:val="baseline"/>
          <w:lang w:val="en-US"/>
        </w:rPr>
        <w:t>7.3</w:t>
      </w:r>
      <w:r>
        <w:rPr>
          <w:rFonts w:hint="eastAsia" w:ascii="宋体" w:hAnsi="宋体" w:eastAsia="宋体" w:cs="宋体"/>
          <w:bCs/>
          <w:sz w:val="21"/>
          <w:szCs w:val="21"/>
          <w:vertAlign w:val="baseline"/>
          <w:lang w:eastAsia="zh-CN"/>
        </w:rPr>
        <w:t>开工</w:t>
      </w:r>
      <w:bookmarkEnd w:id="447"/>
      <w:bookmarkEnd w:id="448"/>
      <w:bookmarkEnd w:id="449"/>
      <w:bookmarkEnd w:id="450"/>
      <w:bookmarkEnd w:id="451"/>
    </w:p>
    <w:p w14:paraId="30F482F5">
      <w:pPr>
        <w:keepNext w:val="0"/>
        <w:keepLines w:val="0"/>
        <w:widowControl w:val="0"/>
        <w:suppressLineNumbers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sz w:val="21"/>
          <w:szCs w:val="21"/>
          <w:vertAlign w:val="baseline"/>
          <w:lang w:val="en-US"/>
        </w:rPr>
      </w:pPr>
      <w:r>
        <w:rPr>
          <w:rFonts w:hint="eastAsia" w:ascii="宋体" w:hAnsi="宋体" w:eastAsia="宋体" w:cs="宋体"/>
          <w:color w:val="000000"/>
          <w:kern w:val="2"/>
          <w:sz w:val="21"/>
          <w:szCs w:val="21"/>
          <w:vertAlign w:val="baseline"/>
          <w:lang w:val="en-US" w:eastAsia="zh-CN" w:bidi="ar"/>
        </w:rPr>
        <w:t>7.3.1开工准备</w:t>
      </w:r>
    </w:p>
    <w:p w14:paraId="26AB6247">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u w:val="single"/>
          <w:lang w:val="en-US"/>
        </w:rPr>
      </w:pPr>
      <w:r>
        <w:rPr>
          <w:rFonts w:hint="eastAsia" w:ascii="宋体" w:hAnsi="宋体" w:eastAsia="宋体" w:cs="宋体"/>
          <w:color w:val="000000"/>
          <w:kern w:val="2"/>
          <w:sz w:val="21"/>
          <w:szCs w:val="21"/>
          <w:lang w:val="en-US" w:eastAsia="zh-CN" w:bidi="ar"/>
        </w:rPr>
        <w:t>关于承包人提交</w:t>
      </w:r>
      <w:r>
        <w:rPr>
          <w:rFonts w:hint="eastAsia" w:ascii="宋体" w:hAnsi="宋体" w:eastAsia="宋体" w:cs="宋体"/>
          <w:color w:val="000000"/>
          <w:kern w:val="0"/>
          <w:sz w:val="21"/>
          <w:szCs w:val="21"/>
          <w:lang w:val="en-US" w:eastAsia="zh-CN" w:bidi="ar"/>
        </w:rPr>
        <w:t>工程开工报审表的期限：</w:t>
      </w:r>
      <w:r>
        <w:rPr>
          <w:rFonts w:hint="eastAsia" w:ascii="宋体" w:hAnsi="宋体" w:eastAsia="宋体" w:cs="宋体"/>
          <w:sz w:val="21"/>
          <w:szCs w:val="21"/>
          <w:u w:val="single"/>
          <w:lang w:val="en-US" w:eastAsia="zh-CN"/>
        </w:rPr>
        <w:t>开工前15天</w:t>
      </w:r>
      <w:r>
        <w:rPr>
          <w:rFonts w:hint="eastAsia" w:ascii="宋体" w:hAnsi="宋体" w:eastAsia="宋体" w:cs="宋体"/>
          <w:color w:val="000000"/>
          <w:kern w:val="2"/>
          <w:sz w:val="21"/>
          <w:szCs w:val="21"/>
          <w:lang w:val="en-US" w:eastAsia="zh-CN" w:bidi="ar"/>
        </w:rPr>
        <w:t>。</w:t>
      </w:r>
    </w:p>
    <w:p w14:paraId="71719FF8">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u w:val="single"/>
          <w:lang w:val="en-US"/>
        </w:rPr>
      </w:pPr>
      <w:r>
        <w:rPr>
          <w:rFonts w:hint="eastAsia" w:ascii="宋体" w:hAnsi="宋体" w:eastAsia="宋体" w:cs="宋体"/>
          <w:color w:val="000000"/>
          <w:kern w:val="2"/>
          <w:sz w:val="21"/>
          <w:szCs w:val="21"/>
          <w:lang w:val="en-US" w:eastAsia="zh-CN" w:bidi="ar"/>
        </w:rPr>
        <w:t>关于发包人应完成的其他开工准备工作及期限：</w:t>
      </w:r>
      <w:r>
        <w:rPr>
          <w:rFonts w:hint="eastAsia" w:ascii="宋体" w:hAnsi="宋体" w:eastAsia="宋体" w:cs="宋体"/>
          <w:sz w:val="21"/>
          <w:szCs w:val="21"/>
          <w:u w:val="single"/>
          <w:lang w:val="en-US" w:eastAsia="zh-CN"/>
        </w:rPr>
        <w:t>开工前15天</w:t>
      </w:r>
      <w:r>
        <w:rPr>
          <w:rFonts w:hint="eastAsia" w:ascii="宋体" w:hAnsi="宋体" w:eastAsia="宋体" w:cs="宋体"/>
          <w:color w:val="000000"/>
          <w:kern w:val="2"/>
          <w:sz w:val="21"/>
          <w:szCs w:val="21"/>
          <w:lang w:val="en-US" w:eastAsia="zh-CN" w:bidi="ar"/>
        </w:rPr>
        <w:t>。</w:t>
      </w:r>
    </w:p>
    <w:p w14:paraId="332E4273">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u w:val="single"/>
          <w:lang w:val="en-US"/>
        </w:rPr>
      </w:pPr>
      <w:r>
        <w:rPr>
          <w:rFonts w:hint="eastAsia" w:ascii="宋体" w:hAnsi="宋体" w:eastAsia="宋体" w:cs="宋体"/>
          <w:color w:val="000000"/>
          <w:kern w:val="2"/>
          <w:sz w:val="21"/>
          <w:szCs w:val="21"/>
          <w:lang w:val="en-US" w:eastAsia="zh-CN" w:bidi="ar"/>
        </w:rPr>
        <w:t>关于承包人应完成的其他开工准备工作及期限：</w:t>
      </w:r>
      <w:r>
        <w:rPr>
          <w:rFonts w:hint="eastAsia" w:ascii="宋体" w:hAnsi="宋体" w:eastAsia="宋体" w:cs="宋体"/>
          <w:sz w:val="21"/>
          <w:szCs w:val="21"/>
          <w:u w:val="single"/>
          <w:lang w:val="en-US" w:eastAsia="zh-CN"/>
        </w:rPr>
        <w:t>开工前15天</w:t>
      </w:r>
      <w:r>
        <w:rPr>
          <w:rFonts w:hint="eastAsia" w:ascii="宋体" w:hAnsi="宋体" w:eastAsia="宋体" w:cs="宋体"/>
          <w:color w:val="000000"/>
          <w:kern w:val="2"/>
          <w:sz w:val="21"/>
          <w:szCs w:val="21"/>
          <w:lang w:val="en-US" w:eastAsia="zh-CN" w:bidi="ar"/>
        </w:rPr>
        <w:t>。</w:t>
      </w:r>
    </w:p>
    <w:p w14:paraId="07D5467E">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7.3.2 开工通知</w:t>
      </w:r>
    </w:p>
    <w:p w14:paraId="66F7BF9C">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因发包人原因造成监理人未能在计划开工日期之日起</w:t>
      </w:r>
      <w:r>
        <w:rPr>
          <w:rFonts w:hint="eastAsia" w:ascii="宋体" w:hAnsi="宋体" w:eastAsia="宋体" w:cs="宋体"/>
          <w:color w:val="000000"/>
          <w:kern w:val="2"/>
          <w:sz w:val="21"/>
          <w:szCs w:val="21"/>
          <w:u w:val="single"/>
          <w:lang w:val="en-US" w:eastAsia="zh-CN" w:bidi="ar"/>
        </w:rPr>
        <w:t xml:space="preserve"> 90 </w:t>
      </w:r>
      <w:r>
        <w:rPr>
          <w:rFonts w:hint="eastAsia" w:ascii="宋体" w:hAnsi="宋体" w:eastAsia="宋体" w:cs="宋体"/>
          <w:color w:val="000000"/>
          <w:kern w:val="2"/>
          <w:sz w:val="21"/>
          <w:szCs w:val="21"/>
          <w:lang w:val="en-US" w:eastAsia="zh-CN" w:bidi="ar"/>
        </w:rPr>
        <w:t>天内发出开工通知的，承包人有权提出价格调整要求，或者解除合同。</w:t>
      </w:r>
    </w:p>
    <w:p w14:paraId="75389E11">
      <w:pPr>
        <w:pStyle w:val="5"/>
        <w:keepNext/>
        <w:keepLines/>
        <w:widowControl w:val="0"/>
        <w:numPr>
          <w:ilvl w:val="0"/>
          <w:numId w:val="0"/>
        </w:numPr>
        <w:suppressLineNumbers w:val="0"/>
        <w:adjustRightInd/>
        <w:snapToGrid w:val="0"/>
        <w:spacing w:line="400" w:lineRule="exact"/>
        <w:textAlignment w:val="baseline"/>
        <w:rPr>
          <w:rFonts w:hint="eastAsia" w:ascii="宋体" w:hAnsi="宋体" w:eastAsia="宋体" w:cs="宋体"/>
          <w:bCs/>
          <w:sz w:val="21"/>
          <w:szCs w:val="21"/>
          <w:vertAlign w:val="baseline"/>
          <w:lang w:val="en-US"/>
        </w:rPr>
      </w:pPr>
      <w:bookmarkStart w:id="452" w:name="_Toc5563"/>
      <w:bookmarkStart w:id="453" w:name="_Toc373227726"/>
      <w:bookmarkStart w:id="454" w:name="_Toc407135228"/>
      <w:bookmarkStart w:id="455" w:name="_Toc389065292"/>
      <w:bookmarkStart w:id="456" w:name="_Toc373478373"/>
      <w:r>
        <w:rPr>
          <w:rFonts w:hint="eastAsia" w:ascii="宋体" w:hAnsi="宋体" w:eastAsia="宋体" w:cs="宋体"/>
          <w:bCs/>
          <w:sz w:val="21"/>
          <w:szCs w:val="21"/>
          <w:vertAlign w:val="baseline"/>
          <w:lang w:val="en-US"/>
        </w:rPr>
        <w:t xml:space="preserve">7.4 </w:t>
      </w:r>
      <w:r>
        <w:rPr>
          <w:rFonts w:hint="eastAsia" w:ascii="宋体" w:hAnsi="宋体" w:eastAsia="宋体" w:cs="宋体"/>
          <w:bCs/>
          <w:sz w:val="21"/>
          <w:szCs w:val="21"/>
          <w:vertAlign w:val="baseline"/>
          <w:lang w:eastAsia="zh-CN"/>
        </w:rPr>
        <w:t>测量放线</w:t>
      </w:r>
      <w:bookmarkEnd w:id="452"/>
      <w:bookmarkEnd w:id="453"/>
      <w:bookmarkEnd w:id="454"/>
      <w:bookmarkEnd w:id="455"/>
      <w:bookmarkEnd w:id="456"/>
    </w:p>
    <w:p w14:paraId="171CA9D7">
      <w:pPr>
        <w:keepNext w:val="0"/>
        <w:keepLines w:val="0"/>
        <w:widowControl w:val="0"/>
        <w:suppressLineNumbers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sz w:val="21"/>
          <w:szCs w:val="21"/>
          <w:u w:val="single"/>
          <w:vertAlign w:val="baseline"/>
          <w:lang w:val="en-US"/>
        </w:rPr>
      </w:pPr>
      <w:r>
        <w:rPr>
          <w:rFonts w:hint="eastAsia" w:ascii="宋体" w:hAnsi="宋体" w:eastAsia="宋体" w:cs="宋体"/>
          <w:color w:val="000000"/>
          <w:kern w:val="2"/>
          <w:sz w:val="21"/>
          <w:szCs w:val="21"/>
          <w:vertAlign w:val="baseline"/>
          <w:lang w:val="en-US" w:eastAsia="zh-CN" w:bidi="ar"/>
        </w:rPr>
        <w:t>7.4.1发包人通过监理人向承包人提供测量基准点、基准线和水准点及其书面资料的期限：</w:t>
      </w:r>
      <w:r>
        <w:rPr>
          <w:rFonts w:hint="eastAsia" w:ascii="宋体" w:hAnsi="宋体" w:eastAsia="宋体" w:cs="宋体"/>
          <w:color w:val="000000"/>
          <w:kern w:val="2"/>
          <w:sz w:val="21"/>
          <w:szCs w:val="21"/>
          <w:u w:val="single" w:color="000000"/>
          <w:vertAlign w:val="baseline"/>
          <w:lang w:val="en-US" w:eastAsia="zh-CN" w:bidi="ar"/>
        </w:rPr>
        <w:t xml:space="preserve"> 开工日期前 7 天  </w:t>
      </w:r>
      <w:r>
        <w:rPr>
          <w:rFonts w:hint="eastAsia" w:ascii="宋体" w:hAnsi="宋体" w:eastAsia="宋体" w:cs="宋体"/>
          <w:color w:val="000000"/>
          <w:kern w:val="2"/>
          <w:sz w:val="21"/>
          <w:szCs w:val="21"/>
          <w:vertAlign w:val="baseline"/>
          <w:lang w:val="en-US" w:eastAsia="zh-CN" w:bidi="ar"/>
        </w:rPr>
        <w:t>。</w:t>
      </w:r>
    </w:p>
    <w:p w14:paraId="5EE234B4">
      <w:pPr>
        <w:pStyle w:val="5"/>
        <w:keepNext/>
        <w:keepLines/>
        <w:widowControl w:val="0"/>
        <w:numPr>
          <w:ilvl w:val="0"/>
          <w:numId w:val="0"/>
        </w:numPr>
        <w:suppressLineNumbers w:val="0"/>
        <w:adjustRightInd/>
        <w:snapToGrid w:val="0"/>
        <w:spacing w:line="400" w:lineRule="exact"/>
        <w:textAlignment w:val="baseline"/>
        <w:rPr>
          <w:rFonts w:hint="eastAsia" w:ascii="宋体" w:hAnsi="宋体" w:eastAsia="宋体" w:cs="宋体"/>
          <w:bCs/>
          <w:sz w:val="21"/>
          <w:szCs w:val="21"/>
          <w:vertAlign w:val="baseline"/>
          <w:lang w:val="en-US"/>
        </w:rPr>
      </w:pPr>
      <w:bookmarkStart w:id="457" w:name="_Toc389065293"/>
      <w:bookmarkStart w:id="458" w:name="_Toc407135229"/>
      <w:bookmarkStart w:id="459" w:name="_Toc373478374"/>
      <w:bookmarkStart w:id="460" w:name="_Toc373227727"/>
      <w:bookmarkStart w:id="461" w:name="_Toc19229"/>
      <w:r>
        <w:rPr>
          <w:rFonts w:hint="eastAsia" w:ascii="宋体" w:hAnsi="宋体" w:eastAsia="宋体" w:cs="宋体"/>
          <w:bCs/>
          <w:sz w:val="21"/>
          <w:szCs w:val="21"/>
          <w:vertAlign w:val="baseline"/>
          <w:lang w:val="en-US"/>
        </w:rPr>
        <w:t xml:space="preserve">7.5 </w:t>
      </w:r>
      <w:r>
        <w:rPr>
          <w:rFonts w:hint="eastAsia" w:ascii="宋体" w:hAnsi="宋体" w:eastAsia="宋体" w:cs="宋体"/>
          <w:bCs/>
          <w:sz w:val="21"/>
          <w:szCs w:val="21"/>
          <w:vertAlign w:val="baseline"/>
          <w:lang w:eastAsia="zh-CN"/>
        </w:rPr>
        <w:t>工期延误</w:t>
      </w:r>
      <w:bookmarkEnd w:id="457"/>
      <w:bookmarkEnd w:id="458"/>
      <w:bookmarkEnd w:id="459"/>
      <w:bookmarkEnd w:id="460"/>
      <w:bookmarkEnd w:id="461"/>
    </w:p>
    <w:p w14:paraId="104CF635">
      <w:pPr>
        <w:keepNext w:val="0"/>
        <w:keepLines w:val="0"/>
        <w:widowControl w:val="0"/>
        <w:suppressLineNumbers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sz w:val="21"/>
          <w:szCs w:val="21"/>
          <w:vertAlign w:val="baseline"/>
          <w:lang w:val="en-US"/>
        </w:rPr>
      </w:pPr>
      <w:r>
        <w:rPr>
          <w:rFonts w:hint="eastAsia" w:ascii="宋体" w:hAnsi="宋体" w:eastAsia="宋体" w:cs="宋体"/>
          <w:color w:val="000000"/>
          <w:kern w:val="2"/>
          <w:sz w:val="21"/>
          <w:szCs w:val="21"/>
          <w:vertAlign w:val="baseline"/>
          <w:lang w:val="en-US" w:eastAsia="zh-CN" w:bidi="ar"/>
        </w:rPr>
        <w:t>7.5.1因发包人原因导致工期延误</w:t>
      </w:r>
    </w:p>
    <w:p w14:paraId="47BFC289">
      <w:pPr>
        <w:keepNext w:val="0"/>
        <w:keepLines w:val="0"/>
        <w:widowControl w:val="0"/>
        <w:suppressLineNumbers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sz w:val="21"/>
          <w:szCs w:val="21"/>
          <w:u w:val="single"/>
          <w:vertAlign w:val="baseline"/>
          <w:lang w:val="en-US"/>
        </w:rPr>
      </w:pPr>
      <w:r>
        <w:rPr>
          <w:rFonts w:hint="eastAsia" w:ascii="宋体" w:hAnsi="宋体" w:eastAsia="宋体" w:cs="宋体"/>
          <w:color w:val="000000"/>
          <w:kern w:val="2"/>
          <w:sz w:val="21"/>
          <w:szCs w:val="21"/>
          <w:vertAlign w:val="baseline"/>
          <w:lang w:val="en-US" w:eastAsia="zh-CN" w:bidi="ar"/>
        </w:rPr>
        <w:t>因发包人原因导致工期延误的其他情形：</w:t>
      </w:r>
      <w:r>
        <w:rPr>
          <w:rFonts w:hint="eastAsia" w:ascii="宋体" w:hAnsi="宋体" w:eastAsia="宋体" w:cs="宋体"/>
          <w:color w:val="000000"/>
          <w:kern w:val="2"/>
          <w:sz w:val="21"/>
          <w:szCs w:val="21"/>
          <w:u w:val="single"/>
          <w:vertAlign w:val="baseline"/>
          <w:lang w:val="en-US" w:eastAsia="zh-CN" w:bidi="ar"/>
        </w:rPr>
        <w:t xml:space="preserve"> 执行通用条款 </w:t>
      </w:r>
      <w:r>
        <w:rPr>
          <w:rFonts w:hint="eastAsia" w:ascii="宋体" w:hAnsi="宋体" w:eastAsia="宋体" w:cs="宋体"/>
          <w:color w:val="000000"/>
          <w:kern w:val="2"/>
          <w:sz w:val="21"/>
          <w:szCs w:val="21"/>
          <w:vertAlign w:val="baseline"/>
          <w:lang w:val="en-US" w:eastAsia="zh-CN" w:bidi="ar"/>
        </w:rPr>
        <w:t xml:space="preserve"> 。</w:t>
      </w:r>
    </w:p>
    <w:p w14:paraId="40947285">
      <w:pPr>
        <w:keepNext w:val="0"/>
        <w:keepLines w:val="0"/>
        <w:widowControl w:val="0"/>
        <w:suppressLineNumbers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sz w:val="21"/>
          <w:szCs w:val="21"/>
          <w:vertAlign w:val="baseline"/>
          <w:lang w:val="en-US"/>
        </w:rPr>
      </w:pPr>
      <w:r>
        <w:rPr>
          <w:rFonts w:hint="eastAsia" w:ascii="宋体" w:hAnsi="宋体" w:eastAsia="宋体" w:cs="宋体"/>
          <w:color w:val="000000"/>
          <w:kern w:val="2"/>
          <w:sz w:val="21"/>
          <w:szCs w:val="21"/>
          <w:vertAlign w:val="baseline"/>
          <w:lang w:val="en-US" w:eastAsia="zh-CN" w:bidi="ar"/>
        </w:rPr>
        <w:t>7</w:t>
      </w:r>
      <w:bookmarkStart w:id="462" w:name="_Toc304295548"/>
      <w:bookmarkStart w:id="463" w:name="_Toc297216177"/>
      <w:bookmarkStart w:id="464" w:name="_Toc300934970"/>
      <w:bookmarkStart w:id="465" w:name="_Toc303539127"/>
      <w:bookmarkStart w:id="466" w:name="_Toc297123518"/>
      <w:r>
        <w:rPr>
          <w:rFonts w:hint="eastAsia" w:ascii="宋体" w:hAnsi="宋体" w:eastAsia="宋体" w:cs="宋体"/>
          <w:color w:val="000000"/>
          <w:kern w:val="2"/>
          <w:sz w:val="21"/>
          <w:szCs w:val="21"/>
          <w:vertAlign w:val="baseline"/>
          <w:lang w:val="en-US" w:eastAsia="zh-CN" w:bidi="ar"/>
        </w:rPr>
        <w:t>.5.2因承包人原因导致工期延误</w:t>
      </w:r>
    </w:p>
    <w:bookmarkEnd w:id="462"/>
    <w:bookmarkEnd w:id="463"/>
    <w:bookmarkEnd w:id="464"/>
    <w:bookmarkEnd w:id="465"/>
    <w:bookmarkEnd w:id="466"/>
    <w:p w14:paraId="615954BD">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color w:val="auto"/>
          <w:sz w:val="21"/>
          <w:szCs w:val="21"/>
          <w:highlight w:val="none"/>
          <w:u w:val="single"/>
        </w:rPr>
      </w:pPr>
      <w:bookmarkStart w:id="467" w:name="_Toc9193"/>
      <w:bookmarkStart w:id="468" w:name="_Toc389065294"/>
      <w:bookmarkStart w:id="469" w:name="_Toc407135230"/>
      <w:bookmarkStart w:id="470" w:name="_Toc373478375"/>
      <w:bookmarkStart w:id="471" w:name="_Toc373227728"/>
      <w:r>
        <w:rPr>
          <w:rFonts w:hint="eastAsia" w:ascii="宋体" w:hAnsi="宋体" w:eastAsia="宋体" w:cs="宋体"/>
          <w:color w:val="000000"/>
          <w:kern w:val="2"/>
          <w:sz w:val="21"/>
          <w:szCs w:val="21"/>
          <w:lang w:val="en-US" w:eastAsia="zh-CN" w:bidi="ar"/>
        </w:rPr>
        <w:t>因</w:t>
      </w:r>
      <w:bookmarkStart w:id="472" w:name="_Toc312677487"/>
      <w:bookmarkStart w:id="473" w:name="_Toc312678013"/>
      <w:bookmarkStart w:id="474" w:name="_Toc318581170"/>
      <w:r>
        <w:rPr>
          <w:rFonts w:hint="eastAsia" w:ascii="宋体" w:hAnsi="宋体" w:eastAsia="宋体" w:cs="宋体"/>
          <w:color w:val="000000"/>
          <w:kern w:val="2"/>
          <w:sz w:val="21"/>
          <w:szCs w:val="21"/>
          <w:lang w:val="en-US" w:eastAsia="zh-CN" w:bidi="ar"/>
        </w:rPr>
        <w:t>承包人原因造成工期延误，逾期竣工违约金的计算方法为：</w:t>
      </w:r>
      <w:bookmarkEnd w:id="472"/>
      <w:bookmarkEnd w:id="473"/>
      <w:bookmarkEnd w:id="474"/>
      <w:r>
        <w:rPr>
          <w:rFonts w:hint="eastAsia" w:ascii="宋体" w:hAnsi="宋体" w:eastAsia="宋体" w:cs="宋体"/>
          <w:color w:val="000000"/>
          <w:kern w:val="2"/>
          <w:sz w:val="21"/>
          <w:szCs w:val="21"/>
          <w:u w:val="single"/>
          <w:lang w:val="en-US" w:eastAsia="zh-CN" w:bidi="ar"/>
        </w:rPr>
        <w:t>任何情况下，</w:t>
      </w:r>
      <w:r>
        <w:rPr>
          <w:rFonts w:hint="eastAsia" w:ascii="宋体" w:hAnsi="宋体" w:eastAsia="宋体" w:cs="宋体"/>
          <w:color w:val="auto"/>
          <w:sz w:val="21"/>
          <w:szCs w:val="21"/>
          <w:highlight w:val="none"/>
          <w:u w:val="single"/>
        </w:rPr>
        <w:t>承包人不能按合同约定的时间竣工，承包人应承担违约责任。应向发包人支付误期赔偿费（每天赔偿金额为合同价款扣除建安劳保费、发包人材料价款、暂估专业工程、暂列金额后的万分之二），误期时间从规定竣工日期起直到全部工程或相应部分工程竣工验收各方签章日期之间的天数（扣除发包人批准顺延的工期）。发包人可从应向承包人支付的任何金额中扣除此项</w:t>
      </w:r>
      <w:r>
        <w:rPr>
          <w:rFonts w:hint="eastAsia" w:ascii="宋体" w:hAnsi="宋体" w:eastAsia="宋体" w:cs="宋体"/>
          <w:color w:val="auto"/>
          <w:sz w:val="21"/>
          <w:szCs w:val="21"/>
          <w:highlight w:val="none"/>
          <w:u w:val="single"/>
          <w:lang w:val="en-US" w:eastAsia="zh-CN"/>
        </w:rPr>
        <w:t>赔偿</w:t>
      </w:r>
      <w:r>
        <w:rPr>
          <w:rFonts w:hint="eastAsia" w:ascii="宋体" w:hAnsi="宋体" w:eastAsia="宋体" w:cs="宋体"/>
          <w:color w:val="auto"/>
          <w:sz w:val="21"/>
          <w:szCs w:val="21"/>
          <w:highlight w:val="none"/>
          <w:u w:val="single"/>
        </w:rPr>
        <w:t xml:space="preserve">费或其他方式收回此款，此赔偿款的支付并不能解除承包人应完成工程的责任或合同规定的其他责任。 </w:t>
      </w:r>
    </w:p>
    <w:p w14:paraId="4E8FC376">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因承包人原因造成工期延误，逾</w:t>
      </w:r>
      <w:bookmarkStart w:id="475" w:name="_Toc312678014"/>
      <w:bookmarkStart w:id="476" w:name="_Toc318581171"/>
      <w:r>
        <w:rPr>
          <w:rFonts w:hint="eastAsia" w:ascii="宋体" w:hAnsi="宋体" w:eastAsia="宋体" w:cs="宋体"/>
          <w:color w:val="000000"/>
          <w:kern w:val="2"/>
          <w:sz w:val="21"/>
          <w:szCs w:val="21"/>
          <w:lang w:val="en-US" w:eastAsia="zh-CN" w:bidi="ar"/>
        </w:rPr>
        <w:t>期竣工违约金的上限：</w:t>
      </w:r>
      <w:r>
        <w:rPr>
          <w:rFonts w:hint="eastAsia" w:ascii="宋体" w:hAnsi="宋体" w:eastAsia="宋体" w:cs="宋体"/>
          <w:color w:val="000000"/>
          <w:kern w:val="2"/>
          <w:sz w:val="21"/>
          <w:szCs w:val="21"/>
          <w:u w:val="single"/>
          <w:lang w:val="en-US" w:eastAsia="zh-CN" w:bidi="ar"/>
        </w:rPr>
        <w:t>合同价款的5%</w:t>
      </w:r>
      <w:r>
        <w:rPr>
          <w:rFonts w:hint="eastAsia" w:ascii="宋体" w:hAnsi="宋体" w:eastAsia="宋体" w:cs="宋体"/>
          <w:color w:val="000000"/>
          <w:kern w:val="2"/>
          <w:sz w:val="21"/>
          <w:szCs w:val="21"/>
          <w:lang w:val="en-US" w:eastAsia="zh-CN" w:bidi="ar"/>
        </w:rPr>
        <w:t>。</w:t>
      </w:r>
    </w:p>
    <w:bookmarkEnd w:id="475"/>
    <w:bookmarkEnd w:id="476"/>
    <w:p w14:paraId="1357A16F">
      <w:pPr>
        <w:pStyle w:val="5"/>
        <w:keepNext/>
        <w:keepLines/>
        <w:widowControl w:val="0"/>
        <w:numPr>
          <w:ilvl w:val="0"/>
          <w:numId w:val="0"/>
        </w:numPr>
        <w:suppressLineNumbers w:val="0"/>
        <w:adjustRightInd/>
        <w:snapToGrid w:val="0"/>
        <w:spacing w:line="400" w:lineRule="exact"/>
        <w:textAlignment w:val="baseline"/>
        <w:rPr>
          <w:rFonts w:hint="eastAsia" w:ascii="宋体" w:hAnsi="宋体" w:eastAsia="宋体" w:cs="宋体"/>
          <w:bCs/>
          <w:sz w:val="21"/>
          <w:szCs w:val="21"/>
          <w:vertAlign w:val="baseline"/>
          <w:lang w:val="en-US"/>
        </w:rPr>
      </w:pPr>
      <w:r>
        <w:rPr>
          <w:rFonts w:hint="eastAsia" w:ascii="宋体" w:hAnsi="宋体" w:eastAsia="宋体" w:cs="宋体"/>
          <w:bCs/>
          <w:sz w:val="21"/>
          <w:szCs w:val="21"/>
          <w:vertAlign w:val="baseline"/>
          <w:lang w:val="en-US"/>
        </w:rPr>
        <w:t>7</w:t>
      </w:r>
      <w:bookmarkStart w:id="477" w:name="_Toc300934971"/>
      <w:bookmarkStart w:id="478" w:name="_Toc297123519"/>
      <w:bookmarkStart w:id="479" w:name="_Toc297216178"/>
      <w:bookmarkStart w:id="480" w:name="_Toc303539128"/>
      <w:bookmarkStart w:id="481" w:name="_Toc304295549"/>
      <w:bookmarkStart w:id="482" w:name="_Toc312678015"/>
      <w:r>
        <w:rPr>
          <w:rFonts w:hint="eastAsia" w:ascii="宋体" w:hAnsi="宋体" w:eastAsia="宋体" w:cs="宋体"/>
          <w:bCs/>
          <w:sz w:val="21"/>
          <w:szCs w:val="21"/>
          <w:vertAlign w:val="baseline"/>
          <w:lang w:val="en-US"/>
        </w:rPr>
        <w:t>.6</w:t>
      </w:r>
      <w:r>
        <w:rPr>
          <w:rFonts w:hint="eastAsia" w:ascii="宋体" w:hAnsi="宋体" w:eastAsia="宋体" w:cs="宋体"/>
          <w:bCs/>
          <w:sz w:val="21"/>
          <w:szCs w:val="21"/>
          <w:vertAlign w:val="baseline"/>
          <w:lang w:eastAsia="zh-CN"/>
        </w:rPr>
        <w:t>不</w:t>
      </w:r>
      <w:bookmarkEnd w:id="477"/>
      <w:bookmarkEnd w:id="478"/>
      <w:bookmarkEnd w:id="479"/>
      <w:bookmarkEnd w:id="480"/>
      <w:bookmarkEnd w:id="481"/>
      <w:bookmarkEnd w:id="482"/>
      <w:r>
        <w:rPr>
          <w:rFonts w:hint="eastAsia" w:ascii="宋体" w:hAnsi="宋体" w:eastAsia="宋体" w:cs="宋体"/>
          <w:bCs/>
          <w:sz w:val="21"/>
          <w:szCs w:val="21"/>
          <w:vertAlign w:val="baseline"/>
          <w:lang w:eastAsia="zh-CN"/>
        </w:rPr>
        <w:t>利物质条件</w:t>
      </w:r>
      <w:bookmarkEnd w:id="467"/>
      <w:bookmarkEnd w:id="468"/>
      <w:bookmarkEnd w:id="469"/>
      <w:bookmarkEnd w:id="470"/>
      <w:bookmarkEnd w:id="471"/>
    </w:p>
    <w:p w14:paraId="5000F9F7">
      <w:pPr>
        <w:keepNext w:val="0"/>
        <w:keepLines w:val="0"/>
        <w:widowControl w:val="0"/>
        <w:suppressLineNumbers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sz w:val="21"/>
          <w:szCs w:val="21"/>
          <w:u w:val="single"/>
          <w:vertAlign w:val="baseline"/>
          <w:lang w:val="en-US"/>
        </w:rPr>
      </w:pPr>
      <w:r>
        <w:rPr>
          <w:rFonts w:hint="eastAsia" w:ascii="宋体" w:hAnsi="宋体" w:eastAsia="宋体" w:cs="宋体"/>
          <w:color w:val="000000"/>
          <w:kern w:val="2"/>
          <w:sz w:val="21"/>
          <w:szCs w:val="21"/>
          <w:vertAlign w:val="baseline"/>
          <w:lang w:val="en-US" w:eastAsia="zh-CN" w:bidi="ar"/>
        </w:rPr>
        <w:t>不利物质条件的其他情形和有关约定：</w:t>
      </w:r>
      <w:r>
        <w:rPr>
          <w:rFonts w:hint="eastAsia" w:ascii="宋体" w:hAnsi="宋体" w:eastAsia="宋体" w:cs="宋体"/>
          <w:color w:val="000000"/>
          <w:kern w:val="2"/>
          <w:sz w:val="21"/>
          <w:szCs w:val="21"/>
          <w:u w:val="single" w:color="000000"/>
          <w:vertAlign w:val="baseline"/>
          <w:lang w:val="en-US" w:eastAsia="zh-CN" w:bidi="ar"/>
        </w:rPr>
        <w:t xml:space="preserve"> </w:t>
      </w:r>
      <w:r>
        <w:rPr>
          <w:rFonts w:hint="eastAsia" w:ascii="宋体" w:hAnsi="宋体" w:eastAsia="宋体" w:cs="宋体"/>
          <w:sz w:val="21"/>
          <w:szCs w:val="21"/>
          <w:u w:val="single"/>
        </w:rPr>
        <w:t>一周内非承包人原因，停水、停电、停气造成停工</w:t>
      </w:r>
      <w:r>
        <w:rPr>
          <w:rFonts w:hint="eastAsia" w:ascii="宋体" w:hAnsi="宋体" w:eastAsia="宋体" w:cs="宋体"/>
          <w:sz w:val="21"/>
          <w:szCs w:val="21"/>
          <w:u w:val="single"/>
          <w:lang w:val="en-US" w:eastAsia="zh-CN"/>
        </w:rPr>
        <w:t>连续</w:t>
      </w:r>
      <w:r>
        <w:rPr>
          <w:rFonts w:hint="eastAsia" w:ascii="宋体" w:hAnsi="宋体" w:eastAsia="宋体" w:cs="宋体"/>
          <w:sz w:val="21"/>
          <w:szCs w:val="21"/>
          <w:u w:val="single"/>
        </w:rPr>
        <w:t>超过 8 小时；重大设计变更和工程量增加；发包人手续不全致使施工不能正常进行；发包人未能按约定时间支付工程款致使施工不能正常进行的；非承包人原因的政府及发包人有关的停工通知，以上不利物质条件延误工期的相应延长工期，因发包人原因给承包人造成损失的由发包人相应赔偿承包人，属政府和环境等原因的，双方协商处理。</w:t>
      </w:r>
    </w:p>
    <w:p w14:paraId="3F05AAD9">
      <w:pPr>
        <w:pStyle w:val="5"/>
        <w:keepNext/>
        <w:keepLines/>
        <w:widowControl w:val="0"/>
        <w:numPr>
          <w:ilvl w:val="0"/>
          <w:numId w:val="0"/>
        </w:numPr>
        <w:suppressLineNumbers w:val="0"/>
        <w:adjustRightInd/>
        <w:snapToGrid w:val="0"/>
        <w:spacing w:line="400" w:lineRule="exact"/>
        <w:textAlignment w:val="baseline"/>
        <w:rPr>
          <w:rFonts w:hint="eastAsia" w:ascii="宋体" w:hAnsi="宋体" w:eastAsia="宋体" w:cs="宋体"/>
          <w:bCs/>
          <w:sz w:val="21"/>
          <w:szCs w:val="21"/>
          <w:vertAlign w:val="baseline"/>
          <w:lang w:val="en-US"/>
        </w:rPr>
      </w:pPr>
      <w:bookmarkStart w:id="483" w:name="_Toc27737"/>
      <w:bookmarkStart w:id="484" w:name="_Toc407135231"/>
      <w:bookmarkStart w:id="485" w:name="_Toc373227729"/>
      <w:bookmarkStart w:id="486" w:name="_Toc373478376"/>
      <w:bookmarkStart w:id="487" w:name="_Toc389065295"/>
      <w:r>
        <w:rPr>
          <w:rFonts w:hint="eastAsia" w:ascii="宋体" w:hAnsi="宋体" w:eastAsia="宋体" w:cs="宋体"/>
          <w:bCs/>
          <w:sz w:val="21"/>
          <w:szCs w:val="21"/>
          <w:vertAlign w:val="baseline"/>
          <w:lang w:val="en-US"/>
        </w:rPr>
        <w:t>7.7</w:t>
      </w:r>
      <w:r>
        <w:rPr>
          <w:rFonts w:hint="eastAsia" w:ascii="宋体" w:hAnsi="宋体" w:eastAsia="宋体" w:cs="宋体"/>
          <w:bCs/>
          <w:sz w:val="21"/>
          <w:szCs w:val="21"/>
          <w:vertAlign w:val="baseline"/>
          <w:lang w:eastAsia="zh-CN"/>
        </w:rPr>
        <w:t>异常恶劣的气候条件</w:t>
      </w:r>
      <w:bookmarkEnd w:id="483"/>
      <w:bookmarkEnd w:id="484"/>
      <w:bookmarkEnd w:id="485"/>
      <w:bookmarkEnd w:id="486"/>
      <w:bookmarkEnd w:id="487"/>
    </w:p>
    <w:p w14:paraId="4A822B31">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bookmarkStart w:id="488" w:name="_Toc373478377"/>
      <w:bookmarkStart w:id="489" w:name="_Toc373227730"/>
      <w:bookmarkStart w:id="490" w:name="_Toc407135232"/>
      <w:bookmarkStart w:id="491" w:name="_Toc389065296"/>
      <w:r>
        <w:rPr>
          <w:rFonts w:hint="eastAsia" w:ascii="宋体" w:hAnsi="宋体" w:eastAsia="宋体" w:cs="宋体"/>
          <w:color w:val="000000"/>
          <w:kern w:val="2"/>
          <w:sz w:val="21"/>
          <w:szCs w:val="21"/>
          <w:lang w:val="en-US" w:eastAsia="zh-CN" w:bidi="ar"/>
        </w:rPr>
        <w:t>（1）</w:t>
      </w:r>
      <w:r>
        <w:rPr>
          <w:rFonts w:hint="eastAsia" w:ascii="宋体" w:hAnsi="宋体" w:eastAsia="宋体" w:cs="宋体"/>
          <w:color w:val="000000"/>
          <w:kern w:val="2"/>
          <w:sz w:val="21"/>
          <w:szCs w:val="21"/>
          <w:u w:val="single"/>
          <w:lang w:val="en-US" w:eastAsia="zh-CN" w:bidi="ar"/>
        </w:rPr>
        <w:t xml:space="preserve"> 24 小时降雨量达到 50-99.9mm 的暴雨</w:t>
      </w:r>
      <w:r>
        <w:rPr>
          <w:rFonts w:hint="eastAsia" w:ascii="宋体" w:hAnsi="宋体" w:eastAsia="宋体" w:cs="宋体"/>
          <w:color w:val="000000"/>
          <w:kern w:val="2"/>
          <w:sz w:val="21"/>
          <w:szCs w:val="21"/>
          <w:lang w:val="en-US" w:eastAsia="zh-CN" w:bidi="ar"/>
        </w:rPr>
        <w:t>；</w:t>
      </w:r>
    </w:p>
    <w:p w14:paraId="0EA963B8">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（2）</w:t>
      </w:r>
      <w:r>
        <w:rPr>
          <w:rFonts w:hint="eastAsia" w:ascii="宋体" w:hAnsi="宋体" w:eastAsia="宋体" w:cs="宋体"/>
          <w:color w:val="000000"/>
          <w:kern w:val="2"/>
          <w:sz w:val="21"/>
          <w:szCs w:val="21"/>
          <w:u w:val="single"/>
          <w:lang w:val="en-US" w:eastAsia="zh-CN" w:bidi="ar"/>
        </w:rPr>
        <w:t xml:space="preserve"> 风速大于 8 级以上的台风</w:t>
      </w:r>
      <w:r>
        <w:rPr>
          <w:rFonts w:hint="eastAsia" w:ascii="宋体" w:hAnsi="宋体" w:eastAsia="宋体" w:cs="宋体"/>
          <w:color w:val="000000"/>
          <w:kern w:val="2"/>
          <w:sz w:val="21"/>
          <w:szCs w:val="21"/>
          <w:lang w:val="en-US" w:eastAsia="zh-CN" w:bidi="ar"/>
        </w:rPr>
        <w:t>；</w:t>
      </w:r>
    </w:p>
    <w:p w14:paraId="75557956">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（3）</w:t>
      </w:r>
      <w:r>
        <w:rPr>
          <w:rFonts w:hint="eastAsia" w:ascii="宋体" w:hAnsi="宋体" w:eastAsia="宋体" w:cs="宋体"/>
          <w:color w:val="000000"/>
          <w:kern w:val="2"/>
          <w:sz w:val="21"/>
          <w:szCs w:val="21"/>
          <w:u w:val="single"/>
          <w:lang w:val="en-US" w:eastAsia="zh-CN" w:bidi="ar"/>
        </w:rPr>
        <w:t xml:space="preserve"> 50 年一遇以上的洪水 </w:t>
      </w:r>
      <w:r>
        <w:rPr>
          <w:rFonts w:hint="eastAsia" w:ascii="宋体" w:hAnsi="宋体" w:eastAsia="宋体" w:cs="宋体"/>
          <w:color w:val="000000"/>
          <w:kern w:val="2"/>
          <w:sz w:val="21"/>
          <w:szCs w:val="21"/>
          <w:lang w:val="en-US" w:eastAsia="zh-CN" w:bidi="ar"/>
        </w:rPr>
        <w:t>。</w:t>
      </w:r>
    </w:p>
    <w:p w14:paraId="3C6E0C61">
      <w:pPr>
        <w:pStyle w:val="24"/>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r>
        <w:rPr>
          <w:rFonts w:hint="eastAsia" w:ascii="宋体" w:hAnsi="宋体" w:eastAsia="宋体" w:cs="宋体"/>
          <w:bCs w:val="0"/>
          <w:spacing w:val="0"/>
          <w:kern w:val="2"/>
          <w:sz w:val="21"/>
          <w:szCs w:val="21"/>
          <w:lang w:val="en-US" w:eastAsia="zh-CN" w:bidi="ar"/>
        </w:rPr>
        <w:t>（4）</w:t>
      </w:r>
      <w:r>
        <w:rPr>
          <w:rFonts w:hint="eastAsia" w:ascii="宋体" w:hAnsi="宋体" w:eastAsia="宋体" w:cs="宋体"/>
          <w:bCs w:val="0"/>
          <w:spacing w:val="0"/>
          <w:kern w:val="2"/>
          <w:sz w:val="21"/>
          <w:szCs w:val="21"/>
          <w:u w:val="single"/>
          <w:lang w:val="en-US" w:eastAsia="zh-CN" w:bidi="ar"/>
        </w:rPr>
        <w:t xml:space="preserve"> 6 级以上的地震  </w:t>
      </w:r>
      <w:r>
        <w:rPr>
          <w:rFonts w:hint="eastAsia" w:ascii="宋体" w:hAnsi="宋体" w:eastAsia="宋体" w:cs="宋体"/>
          <w:bCs/>
          <w:spacing w:val="10"/>
          <w:kern w:val="2"/>
          <w:sz w:val="21"/>
          <w:szCs w:val="21"/>
          <w:lang w:val="en-US" w:eastAsia="zh-CN" w:bidi="ar"/>
        </w:rPr>
        <w:t>；</w:t>
      </w:r>
    </w:p>
    <w:p w14:paraId="11966D2C">
      <w:pPr>
        <w:pStyle w:val="5"/>
        <w:keepNext/>
        <w:keepLines/>
        <w:widowControl w:val="0"/>
        <w:numPr>
          <w:ilvl w:val="0"/>
          <w:numId w:val="0"/>
        </w:numPr>
        <w:suppressLineNumbers w:val="0"/>
        <w:adjustRightInd/>
        <w:snapToGrid w:val="0"/>
        <w:spacing w:line="400" w:lineRule="exact"/>
        <w:textAlignment w:val="baseline"/>
        <w:rPr>
          <w:rFonts w:hint="eastAsia" w:ascii="宋体" w:hAnsi="宋体" w:eastAsia="宋体" w:cs="宋体"/>
          <w:bCs/>
          <w:sz w:val="21"/>
          <w:szCs w:val="21"/>
          <w:vertAlign w:val="baseline"/>
          <w:lang w:val="en-US"/>
        </w:rPr>
      </w:pPr>
      <w:bookmarkStart w:id="492" w:name="_Toc8571"/>
      <w:r>
        <w:rPr>
          <w:rFonts w:hint="eastAsia" w:ascii="宋体" w:hAnsi="宋体" w:eastAsia="宋体" w:cs="宋体"/>
          <w:bCs/>
          <w:sz w:val="21"/>
          <w:szCs w:val="21"/>
          <w:vertAlign w:val="baseline"/>
          <w:lang w:val="en-US"/>
        </w:rPr>
        <w:t>7.8</w:t>
      </w:r>
      <w:r>
        <w:rPr>
          <w:rFonts w:hint="eastAsia" w:ascii="宋体" w:hAnsi="宋体" w:eastAsia="宋体" w:cs="宋体"/>
          <w:bCs/>
          <w:sz w:val="21"/>
          <w:szCs w:val="21"/>
          <w:vertAlign w:val="baseline"/>
          <w:lang w:eastAsia="zh-CN"/>
        </w:rPr>
        <w:t>提前竣工</w:t>
      </w:r>
      <w:bookmarkEnd w:id="488"/>
      <w:bookmarkEnd w:id="489"/>
      <w:bookmarkEnd w:id="490"/>
      <w:bookmarkEnd w:id="491"/>
      <w:bookmarkEnd w:id="492"/>
    </w:p>
    <w:p w14:paraId="29DB93B7">
      <w:pPr>
        <w:keepNext w:val="0"/>
        <w:keepLines w:val="0"/>
        <w:widowControl w:val="0"/>
        <w:suppressLineNumbers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sz w:val="21"/>
          <w:szCs w:val="21"/>
          <w:vertAlign w:val="baseline"/>
          <w:lang w:val="en-US"/>
        </w:rPr>
      </w:pPr>
      <w:r>
        <w:rPr>
          <w:rFonts w:hint="eastAsia" w:ascii="宋体" w:hAnsi="宋体" w:eastAsia="宋体" w:cs="宋体"/>
          <w:color w:val="000000"/>
          <w:kern w:val="2"/>
          <w:sz w:val="21"/>
          <w:szCs w:val="21"/>
          <w:vertAlign w:val="baseline"/>
          <w:lang w:val="en-US" w:eastAsia="zh-CN" w:bidi="ar"/>
        </w:rPr>
        <w:t>提前竣工的奖励：</w:t>
      </w:r>
      <w:r>
        <w:rPr>
          <w:rFonts w:hint="eastAsia" w:ascii="宋体" w:hAnsi="宋体" w:eastAsia="宋体" w:cs="宋体"/>
          <w:color w:val="000000"/>
          <w:kern w:val="2"/>
          <w:sz w:val="21"/>
          <w:szCs w:val="21"/>
          <w:u w:val="single"/>
          <w:vertAlign w:val="baseline"/>
          <w:lang w:val="en-US" w:eastAsia="zh-CN" w:bidi="ar"/>
        </w:rPr>
        <w:t xml:space="preserve">  无  。</w:t>
      </w:r>
    </w:p>
    <w:p w14:paraId="17B63BF1">
      <w:pPr>
        <w:pStyle w:val="5"/>
        <w:keepNext/>
        <w:keepLines/>
        <w:widowControl w:val="0"/>
        <w:numPr>
          <w:ilvl w:val="0"/>
          <w:numId w:val="0"/>
        </w:numPr>
        <w:suppressLineNumbers w:val="0"/>
        <w:adjustRightInd/>
        <w:snapToGrid w:val="0"/>
        <w:spacing w:line="400" w:lineRule="exact"/>
        <w:textAlignment w:val="baseline"/>
        <w:rPr>
          <w:rFonts w:hint="eastAsia" w:ascii="宋体" w:hAnsi="宋体" w:eastAsia="宋体" w:cs="宋体"/>
          <w:bCs/>
          <w:sz w:val="21"/>
          <w:szCs w:val="21"/>
          <w:vertAlign w:val="baseline"/>
          <w:lang w:val="en-US"/>
        </w:rPr>
      </w:pPr>
      <w:bookmarkStart w:id="493" w:name="_Toc351203640"/>
      <w:bookmarkStart w:id="494" w:name="_Toc500"/>
      <w:bookmarkStart w:id="495" w:name="_Toc373227731"/>
      <w:bookmarkStart w:id="496" w:name="_Toc407135233"/>
      <w:bookmarkStart w:id="497" w:name="_Toc389065297"/>
      <w:bookmarkStart w:id="498" w:name="_Toc373478378"/>
      <w:r>
        <w:rPr>
          <w:rFonts w:hint="eastAsia" w:ascii="宋体" w:hAnsi="宋体" w:eastAsia="宋体" w:cs="宋体"/>
          <w:bCs/>
          <w:sz w:val="21"/>
          <w:szCs w:val="21"/>
          <w:vertAlign w:val="baseline"/>
          <w:lang w:val="en-US"/>
        </w:rPr>
        <w:t>8</w:t>
      </w:r>
      <w:r>
        <w:rPr>
          <w:rFonts w:hint="eastAsia" w:ascii="宋体" w:hAnsi="宋体" w:eastAsia="宋体" w:cs="宋体"/>
          <w:bCs/>
          <w:sz w:val="21"/>
          <w:szCs w:val="21"/>
          <w:vertAlign w:val="baseline"/>
          <w:lang w:eastAsia="zh-CN"/>
        </w:rPr>
        <w:t>材料与设备</w:t>
      </w:r>
      <w:bookmarkEnd w:id="493"/>
      <w:bookmarkEnd w:id="494"/>
      <w:bookmarkEnd w:id="495"/>
      <w:bookmarkEnd w:id="496"/>
      <w:bookmarkEnd w:id="497"/>
      <w:bookmarkEnd w:id="498"/>
    </w:p>
    <w:p w14:paraId="70167E39">
      <w:pPr>
        <w:pStyle w:val="5"/>
        <w:keepNext/>
        <w:keepLines/>
        <w:widowControl w:val="0"/>
        <w:numPr>
          <w:ilvl w:val="0"/>
          <w:numId w:val="0"/>
        </w:numPr>
        <w:suppressLineNumbers w:val="0"/>
        <w:adjustRightInd/>
        <w:snapToGrid w:val="0"/>
        <w:spacing w:line="400" w:lineRule="exact"/>
        <w:textAlignment w:val="baseline"/>
        <w:rPr>
          <w:rFonts w:hint="eastAsia" w:ascii="宋体" w:hAnsi="宋体" w:eastAsia="宋体" w:cs="宋体"/>
          <w:bCs/>
          <w:sz w:val="21"/>
          <w:szCs w:val="21"/>
          <w:vertAlign w:val="baseline"/>
          <w:lang w:val="en-US"/>
        </w:rPr>
      </w:pPr>
      <w:bookmarkStart w:id="499" w:name="_Toc373478379"/>
      <w:bookmarkStart w:id="500" w:name="_Toc373227732"/>
      <w:bookmarkStart w:id="501" w:name="_Toc407135234"/>
      <w:bookmarkStart w:id="502" w:name="_Toc8034"/>
      <w:bookmarkStart w:id="503" w:name="_Toc389065298"/>
      <w:r>
        <w:rPr>
          <w:rFonts w:hint="eastAsia" w:ascii="宋体" w:hAnsi="宋体" w:eastAsia="宋体" w:cs="宋体"/>
          <w:bCs/>
          <w:sz w:val="21"/>
          <w:szCs w:val="21"/>
          <w:vertAlign w:val="baseline"/>
          <w:lang w:val="en-US"/>
        </w:rPr>
        <w:t>8.1</w:t>
      </w:r>
      <w:r>
        <w:rPr>
          <w:rFonts w:hint="eastAsia" w:ascii="宋体" w:hAnsi="宋体" w:eastAsia="宋体" w:cs="宋体"/>
          <w:bCs/>
          <w:sz w:val="21"/>
          <w:szCs w:val="21"/>
          <w:vertAlign w:val="baseline"/>
          <w:lang w:eastAsia="zh-CN"/>
        </w:rPr>
        <w:t>承包人采购材料与工程设备</w:t>
      </w:r>
      <w:bookmarkEnd w:id="499"/>
      <w:bookmarkEnd w:id="500"/>
      <w:bookmarkEnd w:id="501"/>
      <w:bookmarkEnd w:id="502"/>
      <w:bookmarkEnd w:id="503"/>
    </w:p>
    <w:p w14:paraId="69C03987">
      <w:pPr>
        <w:keepNext w:val="0"/>
        <w:keepLines w:val="0"/>
        <w:widowControl w:val="0"/>
        <w:suppressLineNumbers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kern w:val="0"/>
          <w:sz w:val="21"/>
          <w:szCs w:val="21"/>
          <w:vertAlign w:val="baseline"/>
          <w:lang w:val="en-US"/>
        </w:rPr>
      </w:pPr>
      <w:r>
        <w:rPr>
          <w:rFonts w:hint="eastAsia" w:ascii="宋体" w:hAnsi="宋体" w:eastAsia="宋体" w:cs="宋体"/>
          <w:color w:val="000000"/>
          <w:kern w:val="0"/>
          <w:sz w:val="21"/>
          <w:szCs w:val="21"/>
          <w:vertAlign w:val="baseline"/>
          <w:lang w:val="en-US" w:eastAsia="zh-CN" w:bidi="ar"/>
        </w:rPr>
        <w:t>8.1.1除已标价工程量清单《发包人提供主要材料和工程设备一览表》（表-21）中明确的材料、工程设备外，由承包人负责材料和工程设备的采购、运输和保管。《</w:t>
      </w:r>
      <w:r>
        <w:rPr>
          <w:rFonts w:hint="eastAsia" w:ascii="宋体" w:hAnsi="宋体" w:eastAsia="宋体" w:cs="宋体"/>
          <w:color w:val="000000"/>
          <w:kern w:val="2"/>
          <w:sz w:val="21"/>
          <w:szCs w:val="21"/>
          <w:vertAlign w:val="baseline"/>
          <w:lang w:val="en-US" w:eastAsia="zh-CN" w:bidi="ar"/>
        </w:rPr>
        <w:t>承包人提供主要材料和工程设备一览表》</w:t>
      </w:r>
      <w:r>
        <w:rPr>
          <w:rFonts w:hint="eastAsia" w:ascii="宋体" w:hAnsi="宋体" w:eastAsia="宋体" w:cs="宋体"/>
          <w:color w:val="000000"/>
          <w:kern w:val="0"/>
          <w:sz w:val="21"/>
          <w:szCs w:val="21"/>
          <w:vertAlign w:val="baseline"/>
          <w:lang w:val="en-US" w:eastAsia="zh-CN" w:bidi="ar"/>
        </w:rPr>
        <w:t>（表-22）见已标价工程量清单。</w:t>
      </w:r>
    </w:p>
    <w:p w14:paraId="44F7B188">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8.1.2承包人采购的材料、工程设备进场前，应提前24小时通知发包人及监理人（如有）到场验收；</w:t>
      </w:r>
    </w:p>
    <w:p w14:paraId="5F6B411E">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8.1.3承包人需提供材料的出厂合格证、检测报告等证明文件，并配合发包人进行抽样送检；</w:t>
      </w:r>
    </w:p>
    <w:p w14:paraId="109BB4E6">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8.1.4经检验不合格的材料，承包人应在48小时内清退出场，重新采购符合要求的材料，由此产生的费用及工期延误责任由承包人承担；</w:t>
      </w:r>
    </w:p>
    <w:p w14:paraId="7A0D07F7">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8.1.5未经验收擅自使用材料的，发包人有权要求承包人拆除并重新施工，相关费用由承包人承担。</w:t>
      </w:r>
    </w:p>
    <w:p w14:paraId="3AA12585">
      <w:pPr>
        <w:pStyle w:val="5"/>
        <w:keepNext/>
        <w:keepLines/>
        <w:widowControl w:val="0"/>
        <w:numPr>
          <w:ilvl w:val="0"/>
          <w:numId w:val="0"/>
        </w:numPr>
        <w:suppressLineNumbers w:val="0"/>
        <w:adjustRightInd/>
        <w:snapToGrid w:val="0"/>
        <w:spacing w:line="400" w:lineRule="exact"/>
        <w:textAlignment w:val="baseline"/>
        <w:rPr>
          <w:rFonts w:hint="eastAsia" w:ascii="宋体" w:hAnsi="宋体" w:eastAsia="宋体" w:cs="宋体"/>
          <w:bCs/>
          <w:sz w:val="21"/>
          <w:szCs w:val="21"/>
          <w:vertAlign w:val="baseline"/>
          <w:lang w:val="en-US"/>
        </w:rPr>
      </w:pPr>
      <w:bookmarkStart w:id="504" w:name="_Toc407135235"/>
      <w:bookmarkStart w:id="505" w:name="_Toc389065299"/>
      <w:bookmarkStart w:id="506" w:name="_Toc3900"/>
      <w:bookmarkStart w:id="507" w:name="_Toc373478380"/>
      <w:bookmarkStart w:id="508" w:name="_Toc373227733"/>
      <w:r>
        <w:rPr>
          <w:rFonts w:hint="eastAsia" w:ascii="宋体" w:hAnsi="宋体" w:eastAsia="宋体" w:cs="宋体"/>
          <w:bCs/>
          <w:sz w:val="21"/>
          <w:szCs w:val="21"/>
          <w:vertAlign w:val="baseline"/>
          <w:lang w:val="en-US"/>
        </w:rPr>
        <w:t>8</w:t>
      </w:r>
      <w:bookmarkStart w:id="509" w:name="_Toc267251424"/>
      <w:bookmarkStart w:id="510" w:name="_Toc280868655"/>
      <w:bookmarkStart w:id="511" w:name="_Toc280868656"/>
      <w:r>
        <w:rPr>
          <w:rFonts w:hint="eastAsia" w:ascii="宋体" w:hAnsi="宋体" w:eastAsia="宋体" w:cs="宋体"/>
          <w:bCs/>
          <w:sz w:val="21"/>
          <w:szCs w:val="21"/>
          <w:vertAlign w:val="baseline"/>
          <w:lang w:val="en-US"/>
        </w:rPr>
        <w:t>.2</w:t>
      </w:r>
      <w:r>
        <w:rPr>
          <w:rFonts w:hint="eastAsia" w:ascii="宋体" w:hAnsi="宋体" w:eastAsia="宋体" w:cs="宋体"/>
          <w:bCs/>
          <w:sz w:val="21"/>
          <w:szCs w:val="21"/>
          <w:vertAlign w:val="baseline"/>
          <w:lang w:eastAsia="zh-CN"/>
        </w:rPr>
        <w:t>材料与工程设备的保管与使用</w:t>
      </w:r>
      <w:bookmarkEnd w:id="504"/>
      <w:bookmarkEnd w:id="505"/>
      <w:bookmarkEnd w:id="506"/>
      <w:bookmarkEnd w:id="507"/>
      <w:bookmarkEnd w:id="508"/>
    </w:p>
    <w:p w14:paraId="7B681B96">
      <w:pPr>
        <w:keepNext w:val="0"/>
        <w:keepLines w:val="0"/>
        <w:widowControl w:val="0"/>
        <w:suppressLineNumbers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sz w:val="21"/>
          <w:szCs w:val="21"/>
          <w:u w:val="single"/>
          <w:vertAlign w:val="baseline"/>
          <w:lang w:val="en-US"/>
        </w:rPr>
      </w:pPr>
      <w:r>
        <w:rPr>
          <w:rFonts w:hint="eastAsia" w:ascii="宋体" w:hAnsi="宋体" w:eastAsia="宋体" w:cs="宋体"/>
          <w:color w:val="000000"/>
          <w:kern w:val="2"/>
          <w:sz w:val="21"/>
          <w:szCs w:val="21"/>
          <w:vertAlign w:val="baseline"/>
          <w:lang w:val="en-US" w:eastAsia="zh-CN" w:bidi="ar"/>
        </w:rPr>
        <w:t>发包人供应的材料设备的保管费用的承担：</w:t>
      </w:r>
      <w:r>
        <w:rPr>
          <w:rFonts w:hint="eastAsia" w:ascii="宋体" w:hAnsi="宋体" w:eastAsia="宋体" w:cs="宋体"/>
          <w:color w:val="000000"/>
          <w:kern w:val="2"/>
          <w:sz w:val="21"/>
          <w:szCs w:val="21"/>
          <w:u w:val="single" w:color="000000"/>
          <w:vertAlign w:val="baseline"/>
          <w:lang w:val="en-US" w:eastAsia="zh-CN" w:bidi="ar"/>
        </w:rPr>
        <w:t xml:space="preserve"> 发包人供应的材料设备的保管费用由承包人承担。承包人应建立专项保管制度，材料设备损毁、丢失的，按采购价的120%赔偿。因保管不当导致质量问题的，承包人承担全部重置费用及工期延误责任。</w:t>
      </w:r>
    </w:p>
    <w:p w14:paraId="59C4CAF3">
      <w:pPr>
        <w:pStyle w:val="5"/>
        <w:keepNext/>
        <w:keepLines/>
        <w:widowControl w:val="0"/>
        <w:numPr>
          <w:ilvl w:val="0"/>
          <w:numId w:val="0"/>
        </w:numPr>
        <w:suppressLineNumbers w:val="0"/>
        <w:adjustRightInd/>
        <w:snapToGrid w:val="0"/>
        <w:spacing w:line="400" w:lineRule="exact"/>
        <w:textAlignment w:val="baseline"/>
        <w:rPr>
          <w:rFonts w:hint="eastAsia" w:ascii="宋体" w:hAnsi="宋体" w:eastAsia="宋体" w:cs="宋体"/>
          <w:bCs/>
          <w:sz w:val="21"/>
          <w:szCs w:val="21"/>
          <w:vertAlign w:val="baseline"/>
          <w:lang w:val="en-US"/>
        </w:rPr>
      </w:pPr>
      <w:bookmarkStart w:id="512" w:name="_Toc389065300"/>
      <w:bookmarkStart w:id="513" w:name="_Toc373227734"/>
      <w:bookmarkStart w:id="514" w:name="_Toc373478381"/>
      <w:bookmarkStart w:id="515" w:name="_Toc407135236"/>
      <w:r>
        <w:rPr>
          <w:rFonts w:hint="eastAsia" w:ascii="宋体" w:hAnsi="宋体" w:eastAsia="宋体" w:cs="宋体"/>
          <w:bCs/>
          <w:sz w:val="21"/>
          <w:szCs w:val="21"/>
          <w:vertAlign w:val="baseline"/>
          <w:lang w:val="en-US"/>
        </w:rPr>
        <w:t>8.3</w:t>
      </w:r>
      <w:r>
        <w:rPr>
          <w:rFonts w:hint="eastAsia" w:ascii="宋体" w:hAnsi="宋体" w:eastAsia="宋体" w:cs="宋体"/>
          <w:bCs/>
          <w:sz w:val="21"/>
          <w:szCs w:val="21"/>
          <w:vertAlign w:val="baseline"/>
          <w:lang w:eastAsia="zh-CN"/>
        </w:rPr>
        <w:t>样品</w:t>
      </w:r>
      <w:bookmarkEnd w:id="512"/>
      <w:bookmarkEnd w:id="513"/>
      <w:bookmarkEnd w:id="514"/>
      <w:bookmarkEnd w:id="515"/>
    </w:p>
    <w:p w14:paraId="7C77AE3A">
      <w:pPr>
        <w:keepNext w:val="0"/>
        <w:keepLines w:val="0"/>
        <w:widowControl w:val="0"/>
        <w:suppressLineNumbers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kern w:val="0"/>
          <w:sz w:val="21"/>
          <w:szCs w:val="21"/>
          <w:vertAlign w:val="baseline"/>
          <w:lang w:val="en-US"/>
        </w:rPr>
      </w:pPr>
      <w:r>
        <w:rPr>
          <w:rFonts w:hint="eastAsia" w:ascii="宋体" w:hAnsi="宋体" w:eastAsia="宋体" w:cs="宋体"/>
          <w:color w:val="000000"/>
          <w:kern w:val="0"/>
          <w:sz w:val="21"/>
          <w:szCs w:val="21"/>
          <w:vertAlign w:val="baseline"/>
          <w:lang w:val="en-US" w:eastAsia="zh-CN" w:bidi="ar"/>
        </w:rPr>
        <w:t>8.3.1样品的报送与封存</w:t>
      </w:r>
    </w:p>
    <w:p w14:paraId="709BEDA3">
      <w:pPr>
        <w:keepNext w:val="0"/>
        <w:keepLines w:val="0"/>
        <w:widowControl w:val="0"/>
        <w:suppressLineNumbers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sz w:val="21"/>
          <w:szCs w:val="21"/>
          <w:u w:val="single"/>
          <w:vertAlign w:val="baseline"/>
          <w:lang w:val="en-US"/>
        </w:rPr>
      </w:pPr>
      <w:r>
        <w:rPr>
          <w:rFonts w:hint="eastAsia" w:ascii="宋体" w:hAnsi="宋体" w:eastAsia="宋体" w:cs="宋体"/>
          <w:color w:val="000000"/>
          <w:kern w:val="0"/>
          <w:sz w:val="21"/>
          <w:szCs w:val="21"/>
          <w:vertAlign w:val="baseline"/>
          <w:lang w:val="en-US" w:eastAsia="zh-CN" w:bidi="ar"/>
        </w:rPr>
        <w:t>需要承包人报送样品的材料或工程设备，样品的种类、名称、规格、数量要求：</w:t>
      </w:r>
      <w:r>
        <w:rPr>
          <w:rFonts w:hint="eastAsia" w:ascii="宋体" w:hAnsi="宋体" w:eastAsia="宋体" w:cs="宋体"/>
          <w:color w:val="000000"/>
          <w:kern w:val="2"/>
          <w:sz w:val="21"/>
          <w:szCs w:val="21"/>
          <w:u w:val="single" w:color="000000"/>
          <w:vertAlign w:val="baseline"/>
          <w:lang w:val="en-US" w:eastAsia="zh-CN" w:bidi="ar"/>
        </w:rPr>
        <w:t>主要材料涉及品种、款式、颜色等方面内容的，承包人应提交准备合格的材料样品送发包人选定。</w:t>
      </w:r>
    </w:p>
    <w:p w14:paraId="15EA6FAC">
      <w:pPr>
        <w:pStyle w:val="5"/>
        <w:keepNext/>
        <w:keepLines/>
        <w:widowControl w:val="0"/>
        <w:numPr>
          <w:ilvl w:val="0"/>
          <w:numId w:val="0"/>
        </w:numPr>
        <w:suppressLineNumbers w:val="0"/>
        <w:adjustRightInd/>
        <w:snapToGrid w:val="0"/>
        <w:spacing w:line="400" w:lineRule="exact"/>
        <w:textAlignment w:val="baseline"/>
        <w:rPr>
          <w:rFonts w:hint="eastAsia" w:ascii="宋体" w:hAnsi="宋体" w:eastAsia="宋体" w:cs="宋体"/>
          <w:bCs/>
          <w:sz w:val="21"/>
          <w:szCs w:val="21"/>
          <w:vertAlign w:val="baseline"/>
          <w:lang w:val="en-US"/>
        </w:rPr>
      </w:pPr>
      <w:bookmarkStart w:id="516" w:name="_Toc373478382"/>
      <w:bookmarkStart w:id="517" w:name="_Toc6385"/>
      <w:bookmarkStart w:id="518" w:name="_Toc373227735"/>
      <w:bookmarkStart w:id="519" w:name="_Toc389065301"/>
      <w:bookmarkStart w:id="520" w:name="_Toc407135237"/>
      <w:r>
        <w:rPr>
          <w:rFonts w:hint="eastAsia" w:ascii="宋体" w:hAnsi="宋体" w:eastAsia="宋体" w:cs="宋体"/>
          <w:bCs/>
          <w:sz w:val="21"/>
          <w:szCs w:val="21"/>
          <w:vertAlign w:val="baseline"/>
          <w:lang w:val="en-US"/>
        </w:rPr>
        <w:t>8.4</w:t>
      </w:r>
      <w:r>
        <w:rPr>
          <w:rFonts w:hint="eastAsia" w:ascii="宋体" w:hAnsi="宋体" w:eastAsia="宋体" w:cs="宋体"/>
          <w:bCs/>
          <w:sz w:val="21"/>
          <w:szCs w:val="21"/>
          <w:vertAlign w:val="baseline"/>
          <w:lang w:eastAsia="zh-CN"/>
        </w:rPr>
        <w:t>施工设备和临时设施</w:t>
      </w:r>
      <w:bookmarkEnd w:id="516"/>
      <w:bookmarkEnd w:id="517"/>
      <w:bookmarkEnd w:id="518"/>
      <w:bookmarkEnd w:id="519"/>
      <w:bookmarkEnd w:id="520"/>
    </w:p>
    <w:p w14:paraId="68D712F9">
      <w:pPr>
        <w:keepNext w:val="0"/>
        <w:keepLines w:val="0"/>
        <w:widowControl w:val="0"/>
        <w:suppressLineNumbers w:val="0"/>
        <w:autoSpaceDE w:val="0"/>
        <w:autoSpaceDN w:val="0"/>
        <w:adjustRightInd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bookmarkStart w:id="521" w:name="_Toc373478383"/>
      <w:bookmarkStart w:id="522" w:name="_Toc407135238"/>
      <w:bookmarkStart w:id="523" w:name="_Toc389065302"/>
      <w:bookmarkStart w:id="524" w:name="_Toc373227736"/>
      <w:bookmarkStart w:id="525" w:name="_Toc576"/>
      <w:bookmarkStart w:id="526" w:name="_Toc351203641"/>
      <w:r>
        <w:rPr>
          <w:rFonts w:hint="eastAsia" w:ascii="宋体" w:hAnsi="宋体" w:eastAsia="宋体" w:cs="宋体"/>
          <w:color w:val="000000"/>
          <w:kern w:val="2"/>
          <w:sz w:val="21"/>
          <w:szCs w:val="21"/>
          <w:lang w:val="en-US" w:eastAsia="zh-CN" w:bidi="ar"/>
        </w:rPr>
        <w:t>8.4.1承包人提供的施工设备和临时设施</w:t>
      </w:r>
    </w:p>
    <w:p w14:paraId="30474D43">
      <w:pPr>
        <w:keepNext w:val="0"/>
        <w:keepLines w:val="0"/>
        <w:widowControl w:val="0"/>
        <w:suppressLineNumbers w:val="0"/>
        <w:autoSpaceDE w:val="0"/>
        <w:autoSpaceDN w:val="0"/>
        <w:adjustRightInd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除专用合同条款另有约定的其他独立承包人和监理人指示的他人提供条件外，承包人运入施工场地的所有施工设备以及在施工场地建设的临时设施仅限于用于合同工程。</w:t>
      </w:r>
    </w:p>
    <w:p w14:paraId="0174C0E8">
      <w:pPr>
        <w:keepNext w:val="0"/>
        <w:keepLines w:val="0"/>
        <w:widowControl w:val="0"/>
        <w:suppressLineNumbers w:val="0"/>
        <w:autoSpaceDE w:val="0"/>
        <w:autoSpaceDN w:val="0"/>
        <w:adjustRightInd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关于修建临时设施费用承担的约定：</w:t>
      </w:r>
    </w:p>
    <w:p w14:paraId="42BB297E">
      <w:pPr>
        <w:keepNext w:val="0"/>
        <w:keepLines w:val="0"/>
        <w:widowControl w:val="0"/>
        <w:suppressLineNumbers w:val="0"/>
        <w:autoSpaceDE w:val="0"/>
        <w:autoSpaceDN w:val="0"/>
        <w:adjustRightInd w:val="0"/>
        <w:spacing w:before="0" w:beforeAutospacing="0" w:after="0" w:afterAutospacing="0" w:line="400" w:lineRule="exact"/>
        <w:ind w:left="0" w:right="0" w:firstLine="420" w:firstLineChars="200"/>
        <w:jc w:val="left"/>
        <w:rPr>
          <w:rFonts w:hint="eastAsia" w:ascii="宋体" w:hAnsi="宋体" w:eastAsia="宋体" w:cs="宋体"/>
          <w:sz w:val="21"/>
          <w:szCs w:val="21"/>
          <w:u w:val="single"/>
          <w:lang w:val="en-US"/>
        </w:rPr>
      </w:pPr>
      <w:r>
        <w:rPr>
          <w:rFonts w:hint="eastAsia" w:ascii="宋体" w:hAnsi="宋体" w:eastAsia="宋体" w:cs="宋体"/>
          <w:color w:val="000000"/>
          <w:kern w:val="2"/>
          <w:sz w:val="21"/>
          <w:szCs w:val="21"/>
          <w:u w:val="single"/>
          <w:lang w:val="en-US" w:eastAsia="zh-CN" w:bidi="ar"/>
        </w:rPr>
        <w:t>①承包人的临时用地（含项目部驻地等）租用费（含拆迁补偿）、临时用地的环保、恢复、临时用地的青苗补偿及地面附着物拆除等费用均由承包人负责，以上费用在投标报价中综合考虑。</w:t>
      </w:r>
    </w:p>
    <w:p w14:paraId="4406FFC0">
      <w:pPr>
        <w:keepNext w:val="0"/>
        <w:keepLines w:val="0"/>
        <w:widowControl w:val="0"/>
        <w:suppressLineNumbers w:val="0"/>
        <w:autoSpaceDE w:val="0"/>
        <w:autoSpaceDN w:val="0"/>
        <w:adjustRightInd w:val="0"/>
        <w:spacing w:before="0" w:beforeAutospacing="0" w:after="0" w:afterAutospacing="0" w:line="400" w:lineRule="exact"/>
        <w:ind w:left="0" w:right="0" w:firstLine="420" w:firstLineChars="200"/>
        <w:jc w:val="left"/>
        <w:rPr>
          <w:rFonts w:hint="eastAsia" w:ascii="宋体" w:hAnsi="宋体" w:eastAsia="宋体" w:cs="宋体"/>
          <w:sz w:val="21"/>
          <w:szCs w:val="21"/>
          <w:u w:val="single"/>
          <w:lang w:val="en-US"/>
        </w:rPr>
      </w:pPr>
      <w:r>
        <w:rPr>
          <w:rFonts w:hint="eastAsia" w:ascii="宋体" w:hAnsi="宋体" w:eastAsia="宋体" w:cs="宋体"/>
          <w:color w:val="000000"/>
          <w:kern w:val="2"/>
          <w:sz w:val="21"/>
          <w:szCs w:val="21"/>
          <w:u w:val="single"/>
          <w:lang w:val="en-US" w:eastAsia="zh-CN" w:bidi="ar"/>
        </w:rPr>
        <w:t>②承包人负责合同实施期间其合同段内临时交通道路（含场内外连接公共交通道路）和交通设施的修建、维修、养护和交通管理工作，并承担一切费用。</w:t>
      </w:r>
    </w:p>
    <w:p w14:paraId="1CFEB9DE">
      <w:pPr>
        <w:keepNext w:val="0"/>
        <w:keepLines w:val="0"/>
        <w:widowControl w:val="0"/>
        <w:suppressLineNumbers w:val="0"/>
        <w:autoSpaceDE w:val="0"/>
        <w:autoSpaceDN w:val="0"/>
        <w:adjustRightInd w:val="0"/>
        <w:spacing w:before="0" w:beforeAutospacing="0" w:after="0" w:afterAutospacing="0" w:line="400" w:lineRule="exact"/>
        <w:ind w:left="0" w:right="0" w:firstLine="420" w:firstLineChars="200"/>
        <w:jc w:val="left"/>
        <w:rPr>
          <w:rFonts w:hint="eastAsia" w:ascii="宋体" w:hAnsi="宋体" w:eastAsia="宋体" w:cs="宋体"/>
          <w:sz w:val="21"/>
          <w:szCs w:val="21"/>
          <w:u w:val="single"/>
          <w:lang w:val="en-US"/>
        </w:rPr>
      </w:pPr>
      <w:r>
        <w:rPr>
          <w:rFonts w:hint="eastAsia" w:ascii="宋体" w:hAnsi="宋体" w:eastAsia="宋体" w:cs="宋体"/>
          <w:color w:val="000000"/>
          <w:kern w:val="2"/>
          <w:sz w:val="21"/>
          <w:szCs w:val="21"/>
          <w:u w:val="single"/>
          <w:lang w:val="en-US" w:eastAsia="zh-CN" w:bidi="ar"/>
        </w:rPr>
        <w:t>③承包人修建的临时道路和交通设施，应免费提供给发包人、监理工程师和其他合同段的承包人使用，如共同使用的路基损坏严重，发包人或监理工程师将负责通知有关承包人共同出资修复，若使用频率相差悬殊，则按比例分摊。</w:t>
      </w:r>
    </w:p>
    <w:p w14:paraId="51651C7C">
      <w:pPr>
        <w:keepNext w:val="0"/>
        <w:keepLines w:val="0"/>
        <w:widowControl w:val="0"/>
        <w:suppressLineNumbers w:val="0"/>
        <w:autoSpaceDE w:val="0"/>
        <w:autoSpaceDN w:val="0"/>
        <w:adjustRightInd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8.4.2发包人提供的施工设备和临时设施</w:t>
      </w:r>
    </w:p>
    <w:p w14:paraId="7928E9CC">
      <w:pPr>
        <w:keepNext w:val="0"/>
        <w:keepLines w:val="0"/>
        <w:widowControl w:val="0"/>
        <w:suppressLineNumbers w:val="0"/>
        <w:autoSpaceDE w:val="0"/>
        <w:autoSpaceDN w:val="0"/>
        <w:adjustRightInd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发包人提供的施工设备和临时设施：</w:t>
      </w:r>
      <w:r>
        <w:rPr>
          <w:rFonts w:hint="eastAsia" w:ascii="宋体" w:hAnsi="宋体" w:eastAsia="宋体" w:cs="宋体"/>
          <w:color w:val="000000"/>
          <w:kern w:val="2"/>
          <w:sz w:val="21"/>
          <w:szCs w:val="21"/>
          <w:u w:val="single"/>
          <w:lang w:val="en-US" w:eastAsia="zh-CN" w:bidi="ar"/>
        </w:rPr>
        <w:t xml:space="preserve">          无              </w:t>
      </w:r>
      <w:r>
        <w:rPr>
          <w:rFonts w:hint="eastAsia" w:ascii="宋体" w:hAnsi="宋体" w:eastAsia="宋体" w:cs="宋体"/>
          <w:color w:val="000000"/>
          <w:kern w:val="2"/>
          <w:sz w:val="21"/>
          <w:szCs w:val="21"/>
          <w:lang w:val="en-US" w:eastAsia="zh-CN" w:bidi="ar"/>
        </w:rPr>
        <w:t>。</w:t>
      </w:r>
    </w:p>
    <w:p w14:paraId="6BCD0FF4">
      <w:pPr>
        <w:keepNext w:val="0"/>
        <w:keepLines w:val="0"/>
        <w:widowControl w:val="0"/>
        <w:suppressLineNumbers w:val="0"/>
        <w:autoSpaceDE w:val="0"/>
        <w:autoSpaceDN w:val="0"/>
        <w:adjustRightInd w:val="0"/>
        <w:spacing w:before="0" w:beforeAutospacing="0" w:after="0" w:afterAutospacing="0" w:line="400" w:lineRule="exact"/>
        <w:ind w:left="0" w:right="0" w:firstLine="420" w:firstLineChars="200"/>
        <w:jc w:val="left"/>
        <w:rPr>
          <w:rFonts w:hint="eastAsia" w:ascii="宋体" w:hAnsi="宋体" w:eastAsia="宋体" w:cs="宋体"/>
          <w:sz w:val="21"/>
          <w:szCs w:val="21"/>
          <w:u w:val="single"/>
          <w:lang w:val="en-US"/>
        </w:rPr>
      </w:pPr>
      <w:r>
        <w:rPr>
          <w:rFonts w:hint="eastAsia" w:ascii="宋体" w:hAnsi="宋体" w:eastAsia="宋体" w:cs="宋体"/>
          <w:color w:val="000000"/>
          <w:kern w:val="2"/>
          <w:sz w:val="21"/>
          <w:szCs w:val="21"/>
          <w:lang w:val="en-US" w:eastAsia="zh-CN" w:bidi="ar"/>
        </w:rPr>
        <w:t>发包人提供的施工设备和临时设施的运行、维护、拆除、清运费用的承担人：</w:t>
      </w:r>
      <w:r>
        <w:rPr>
          <w:rFonts w:hint="eastAsia" w:ascii="宋体" w:hAnsi="宋体" w:eastAsia="宋体" w:cs="宋体"/>
          <w:color w:val="000000"/>
          <w:kern w:val="2"/>
          <w:sz w:val="21"/>
          <w:szCs w:val="21"/>
          <w:u w:val="single"/>
          <w:lang w:val="en-US" w:eastAsia="zh-CN" w:bidi="ar"/>
        </w:rPr>
        <w:t xml:space="preserve">  无 。 </w:t>
      </w:r>
    </w:p>
    <w:p w14:paraId="53442B25">
      <w:pPr>
        <w:pStyle w:val="5"/>
        <w:keepNext/>
        <w:keepLines/>
        <w:widowControl w:val="0"/>
        <w:numPr>
          <w:ilvl w:val="0"/>
          <w:numId w:val="0"/>
        </w:numPr>
        <w:suppressLineNumbers w:val="0"/>
        <w:adjustRightInd/>
        <w:snapToGrid w:val="0"/>
        <w:spacing w:line="400" w:lineRule="exact"/>
        <w:textAlignment w:val="baseline"/>
        <w:rPr>
          <w:rFonts w:hint="eastAsia" w:ascii="宋体" w:hAnsi="宋体" w:eastAsia="宋体" w:cs="宋体"/>
          <w:bCs/>
          <w:sz w:val="21"/>
          <w:szCs w:val="21"/>
          <w:vertAlign w:val="baseline"/>
          <w:lang w:val="en-US"/>
        </w:rPr>
      </w:pPr>
      <w:r>
        <w:rPr>
          <w:rFonts w:hint="eastAsia" w:ascii="宋体" w:hAnsi="宋体" w:eastAsia="宋体" w:cs="宋体"/>
          <w:bCs/>
          <w:sz w:val="21"/>
          <w:szCs w:val="21"/>
          <w:vertAlign w:val="baseline"/>
          <w:lang w:val="en-US"/>
        </w:rPr>
        <w:t>9</w:t>
      </w:r>
      <w:bookmarkEnd w:id="509"/>
      <w:bookmarkEnd w:id="510"/>
      <w:bookmarkEnd w:id="511"/>
      <w:bookmarkStart w:id="527" w:name="_Toc292559883"/>
      <w:bookmarkStart w:id="528" w:name="_Toc297048359"/>
      <w:bookmarkStart w:id="529" w:name="_Toc296347172"/>
      <w:bookmarkStart w:id="530" w:name="_Toc296891001"/>
      <w:bookmarkStart w:id="531" w:name="_Toc296891213"/>
      <w:bookmarkStart w:id="532" w:name="_Toc296346674"/>
      <w:bookmarkStart w:id="533" w:name="_Toc267251428"/>
      <w:bookmarkStart w:id="534" w:name="_Toc267251427"/>
      <w:bookmarkStart w:id="535" w:name="_Toc296503173"/>
      <w:bookmarkStart w:id="536" w:name="_Toc296944512"/>
      <w:bookmarkStart w:id="537" w:name="_Toc297120473"/>
      <w:bookmarkStart w:id="538" w:name="_Toc292559378"/>
      <w:r>
        <w:rPr>
          <w:rFonts w:hint="eastAsia" w:ascii="宋体" w:hAnsi="宋体" w:eastAsia="宋体" w:cs="宋体"/>
          <w:bCs/>
          <w:sz w:val="21"/>
          <w:szCs w:val="21"/>
          <w:vertAlign w:val="baseline"/>
          <w:lang w:val="en-US"/>
        </w:rPr>
        <w:t>.</w:t>
      </w:r>
      <w:r>
        <w:rPr>
          <w:rFonts w:hint="eastAsia" w:ascii="宋体" w:hAnsi="宋体" w:eastAsia="宋体" w:cs="宋体"/>
          <w:bCs/>
          <w:sz w:val="21"/>
          <w:szCs w:val="21"/>
          <w:vertAlign w:val="baseline"/>
          <w:lang w:eastAsia="zh-CN"/>
        </w:rPr>
        <w:t>试验与检验</w:t>
      </w:r>
      <w:bookmarkEnd w:id="521"/>
      <w:bookmarkEnd w:id="522"/>
      <w:bookmarkEnd w:id="523"/>
      <w:bookmarkEnd w:id="524"/>
      <w:bookmarkEnd w:id="525"/>
      <w:bookmarkEnd w:id="526"/>
    </w:p>
    <w:p w14:paraId="781517C0">
      <w:pPr>
        <w:pStyle w:val="5"/>
        <w:keepNext/>
        <w:keepLines/>
        <w:widowControl w:val="0"/>
        <w:numPr>
          <w:ilvl w:val="0"/>
          <w:numId w:val="0"/>
        </w:numPr>
        <w:suppressLineNumbers w:val="0"/>
        <w:adjustRightInd/>
        <w:snapToGrid w:val="0"/>
        <w:spacing w:line="400" w:lineRule="exact"/>
        <w:textAlignment w:val="baseline"/>
        <w:rPr>
          <w:rFonts w:hint="eastAsia" w:ascii="宋体" w:hAnsi="宋体" w:eastAsia="宋体" w:cs="宋体"/>
          <w:bCs/>
          <w:sz w:val="21"/>
          <w:szCs w:val="21"/>
          <w:vertAlign w:val="baseline"/>
          <w:lang w:val="en-US"/>
        </w:rPr>
      </w:pPr>
      <w:bookmarkStart w:id="539" w:name="_Toc389065303"/>
      <w:bookmarkStart w:id="540" w:name="_Toc373227737"/>
      <w:bookmarkStart w:id="541" w:name="_Toc373478384"/>
      <w:bookmarkStart w:id="542" w:name="_Toc407135239"/>
      <w:bookmarkStart w:id="543" w:name="_Toc2143"/>
      <w:r>
        <w:rPr>
          <w:rFonts w:hint="eastAsia" w:ascii="宋体" w:hAnsi="宋体" w:eastAsia="宋体" w:cs="宋体"/>
          <w:bCs/>
          <w:sz w:val="21"/>
          <w:szCs w:val="21"/>
          <w:vertAlign w:val="baseline"/>
          <w:lang w:val="en-US"/>
        </w:rPr>
        <w:t>9.1</w:t>
      </w:r>
      <w:r>
        <w:rPr>
          <w:rFonts w:hint="eastAsia" w:ascii="宋体" w:hAnsi="宋体" w:eastAsia="宋体" w:cs="宋体"/>
          <w:bCs/>
          <w:sz w:val="21"/>
          <w:szCs w:val="21"/>
          <w:vertAlign w:val="baseline"/>
          <w:lang w:eastAsia="zh-CN"/>
        </w:rPr>
        <w:t>试验设备与试验人员</w:t>
      </w:r>
      <w:bookmarkEnd w:id="539"/>
      <w:bookmarkEnd w:id="540"/>
      <w:bookmarkEnd w:id="541"/>
      <w:bookmarkEnd w:id="542"/>
      <w:bookmarkEnd w:id="543"/>
    </w:p>
    <w:p w14:paraId="16138B21">
      <w:pPr>
        <w:keepNext w:val="0"/>
        <w:keepLines w:val="0"/>
        <w:widowControl w:val="0"/>
        <w:suppressLineNumbers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sz w:val="21"/>
          <w:szCs w:val="21"/>
          <w:vertAlign w:val="baseline"/>
          <w:lang w:val="en-US"/>
        </w:rPr>
      </w:pPr>
      <w:r>
        <w:rPr>
          <w:rFonts w:hint="eastAsia" w:ascii="宋体" w:hAnsi="宋体" w:eastAsia="宋体" w:cs="宋体"/>
          <w:color w:val="000000"/>
          <w:kern w:val="2"/>
          <w:sz w:val="21"/>
          <w:szCs w:val="21"/>
          <w:vertAlign w:val="baseline"/>
          <w:lang w:val="en-US" w:eastAsia="zh-CN" w:bidi="ar"/>
        </w:rPr>
        <w:t>9</w:t>
      </w:r>
      <w:bookmarkStart w:id="544" w:name="_Toc312678023"/>
      <w:bookmarkStart w:id="545" w:name="_Toc304295561"/>
      <w:bookmarkStart w:id="546" w:name="_Toc297123535"/>
      <w:bookmarkStart w:id="547" w:name="_Toc303539141"/>
      <w:bookmarkStart w:id="548" w:name="_Toc297216194"/>
      <w:bookmarkStart w:id="549" w:name="_Toc300934984"/>
      <w:bookmarkStart w:id="550" w:name="_Toc312677497"/>
      <w:r>
        <w:rPr>
          <w:rFonts w:hint="eastAsia" w:ascii="宋体" w:hAnsi="宋体" w:eastAsia="宋体" w:cs="宋体"/>
          <w:color w:val="000000"/>
          <w:kern w:val="2"/>
          <w:sz w:val="21"/>
          <w:szCs w:val="21"/>
          <w:vertAlign w:val="baseline"/>
          <w:lang w:val="en-US" w:eastAsia="zh-CN" w:bidi="ar"/>
        </w:rPr>
        <w:t>.1.1试验设备：</w:t>
      </w:r>
      <w:r>
        <w:rPr>
          <w:rFonts w:hint="eastAsia" w:ascii="宋体" w:hAnsi="宋体" w:eastAsia="宋体" w:cs="宋体"/>
          <w:color w:val="000000"/>
          <w:kern w:val="2"/>
          <w:sz w:val="21"/>
          <w:szCs w:val="21"/>
          <w:u w:val="single"/>
          <w:vertAlign w:val="baseline"/>
          <w:lang w:val="en-US" w:eastAsia="zh-CN" w:bidi="ar"/>
        </w:rPr>
        <w:t xml:space="preserve">    /     </w:t>
      </w:r>
      <w:r>
        <w:rPr>
          <w:rFonts w:hint="eastAsia" w:ascii="宋体" w:hAnsi="宋体" w:eastAsia="宋体" w:cs="宋体"/>
          <w:color w:val="000000"/>
          <w:kern w:val="2"/>
          <w:sz w:val="21"/>
          <w:szCs w:val="21"/>
          <w:u w:val="none"/>
          <w:vertAlign w:val="baseline"/>
          <w:lang w:val="en-US" w:eastAsia="zh-CN" w:bidi="ar"/>
        </w:rPr>
        <w:t>。</w:t>
      </w:r>
    </w:p>
    <w:bookmarkEnd w:id="544"/>
    <w:bookmarkEnd w:id="545"/>
    <w:bookmarkEnd w:id="546"/>
    <w:bookmarkEnd w:id="547"/>
    <w:bookmarkEnd w:id="548"/>
    <w:bookmarkEnd w:id="549"/>
    <w:bookmarkEnd w:id="550"/>
    <w:p w14:paraId="202B6AB7">
      <w:pPr>
        <w:pStyle w:val="5"/>
        <w:keepNext/>
        <w:keepLines/>
        <w:widowControl w:val="0"/>
        <w:numPr>
          <w:ilvl w:val="0"/>
          <w:numId w:val="0"/>
        </w:numPr>
        <w:suppressLineNumbers w:val="0"/>
        <w:adjustRightInd/>
        <w:snapToGrid w:val="0"/>
        <w:spacing w:line="400" w:lineRule="exact"/>
        <w:textAlignment w:val="baseline"/>
        <w:rPr>
          <w:rFonts w:hint="eastAsia" w:ascii="宋体" w:hAnsi="宋体" w:eastAsia="宋体" w:cs="宋体"/>
          <w:bCs/>
          <w:sz w:val="21"/>
          <w:szCs w:val="21"/>
          <w:vertAlign w:val="baseline"/>
          <w:lang w:val="en-US"/>
        </w:rPr>
      </w:pPr>
      <w:bookmarkStart w:id="551" w:name="_Toc373227738"/>
      <w:bookmarkStart w:id="552" w:name="_Toc373478385"/>
      <w:bookmarkStart w:id="553" w:name="_Toc31943"/>
      <w:bookmarkStart w:id="554" w:name="_Toc389065304"/>
      <w:bookmarkStart w:id="555" w:name="_Toc407135240"/>
      <w:r>
        <w:rPr>
          <w:rFonts w:hint="eastAsia" w:ascii="宋体" w:hAnsi="宋体" w:eastAsia="宋体" w:cs="宋体"/>
          <w:bCs/>
          <w:sz w:val="21"/>
          <w:szCs w:val="21"/>
          <w:vertAlign w:val="baseline"/>
          <w:lang w:val="en-US"/>
        </w:rPr>
        <w:t>9.2</w:t>
      </w:r>
      <w:r>
        <w:rPr>
          <w:rFonts w:hint="eastAsia" w:ascii="宋体" w:hAnsi="宋体" w:eastAsia="宋体" w:cs="宋体"/>
          <w:bCs/>
          <w:sz w:val="21"/>
          <w:szCs w:val="21"/>
          <w:vertAlign w:val="baseline"/>
          <w:lang w:eastAsia="zh-CN"/>
        </w:rPr>
        <w:t>现场工艺试验</w:t>
      </w:r>
      <w:bookmarkEnd w:id="551"/>
      <w:bookmarkEnd w:id="552"/>
      <w:bookmarkEnd w:id="553"/>
      <w:bookmarkEnd w:id="554"/>
      <w:bookmarkEnd w:id="555"/>
      <w:r>
        <w:rPr>
          <w:rFonts w:hint="eastAsia" w:ascii="宋体" w:hAnsi="宋体" w:eastAsia="宋体" w:cs="宋体"/>
          <w:bCs/>
          <w:sz w:val="21"/>
          <w:szCs w:val="21"/>
          <w:vertAlign w:val="baseline"/>
          <w:lang w:eastAsia="zh-CN"/>
        </w:rPr>
        <w:t xml:space="preserve"> </w:t>
      </w:r>
    </w:p>
    <w:p w14:paraId="4544189A">
      <w:pPr>
        <w:keepNext w:val="0"/>
        <w:keepLines w:val="0"/>
        <w:widowControl w:val="0"/>
        <w:suppressLineNumbers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sz w:val="21"/>
          <w:szCs w:val="21"/>
          <w:vertAlign w:val="baseline"/>
          <w:lang w:val="en-US"/>
        </w:rPr>
      </w:pPr>
      <w:r>
        <w:rPr>
          <w:rFonts w:hint="eastAsia" w:ascii="宋体" w:hAnsi="宋体" w:eastAsia="宋体" w:cs="宋体"/>
          <w:color w:val="000000"/>
          <w:kern w:val="2"/>
          <w:sz w:val="21"/>
          <w:szCs w:val="21"/>
          <w:vertAlign w:val="baseline"/>
          <w:lang w:val="en-US" w:eastAsia="zh-CN" w:bidi="ar"/>
        </w:rPr>
        <w:t>现场工艺试验的有关约定：</w:t>
      </w:r>
      <w:r>
        <w:rPr>
          <w:rFonts w:hint="eastAsia" w:ascii="宋体" w:hAnsi="宋体" w:eastAsia="宋体" w:cs="宋体"/>
          <w:color w:val="000000"/>
          <w:kern w:val="2"/>
          <w:sz w:val="21"/>
          <w:szCs w:val="21"/>
          <w:u w:val="single" w:color="000000"/>
          <w:vertAlign w:val="baseline"/>
          <w:lang w:val="en-US" w:eastAsia="zh-CN" w:bidi="ar"/>
        </w:rPr>
        <w:t xml:space="preserve">  按国家现行相关规范执行    </w:t>
      </w:r>
      <w:r>
        <w:rPr>
          <w:rFonts w:hint="eastAsia" w:ascii="宋体" w:hAnsi="宋体" w:eastAsia="宋体" w:cs="宋体"/>
          <w:color w:val="000000"/>
          <w:kern w:val="2"/>
          <w:sz w:val="21"/>
          <w:szCs w:val="21"/>
          <w:vertAlign w:val="baseline"/>
          <w:lang w:val="en-US" w:eastAsia="zh-CN" w:bidi="ar"/>
        </w:rPr>
        <w:t>。</w:t>
      </w:r>
    </w:p>
    <w:p w14:paraId="1AC04BEA">
      <w:pPr>
        <w:pStyle w:val="5"/>
        <w:keepNext/>
        <w:keepLines/>
        <w:widowControl w:val="0"/>
        <w:numPr>
          <w:ilvl w:val="0"/>
          <w:numId w:val="0"/>
        </w:numPr>
        <w:suppressLineNumbers w:val="0"/>
        <w:adjustRightInd/>
        <w:snapToGrid w:val="0"/>
        <w:spacing w:line="400" w:lineRule="exact"/>
        <w:textAlignment w:val="baseline"/>
        <w:rPr>
          <w:rFonts w:hint="eastAsia" w:ascii="宋体" w:hAnsi="宋体" w:eastAsia="宋体" w:cs="宋体"/>
          <w:bCs/>
          <w:sz w:val="21"/>
          <w:szCs w:val="21"/>
          <w:vertAlign w:val="baseline"/>
          <w:lang w:val="en-US"/>
        </w:rPr>
      </w:pPr>
      <w:bookmarkStart w:id="556" w:name="_Toc407135241"/>
      <w:bookmarkStart w:id="557" w:name="_Toc25714"/>
      <w:r>
        <w:rPr>
          <w:rFonts w:hint="eastAsia" w:ascii="宋体" w:hAnsi="宋体" w:eastAsia="宋体" w:cs="宋体"/>
          <w:bCs/>
          <w:sz w:val="21"/>
          <w:szCs w:val="21"/>
          <w:vertAlign w:val="baseline"/>
          <w:lang w:val="en-US"/>
        </w:rPr>
        <w:t>9.3</w:t>
      </w:r>
      <w:r>
        <w:rPr>
          <w:rFonts w:hint="eastAsia" w:ascii="宋体" w:hAnsi="宋体" w:eastAsia="宋体" w:cs="宋体"/>
          <w:bCs/>
          <w:sz w:val="21"/>
          <w:szCs w:val="21"/>
          <w:vertAlign w:val="baseline"/>
          <w:lang w:eastAsia="zh-CN"/>
        </w:rPr>
        <w:t>检验费用</w:t>
      </w:r>
      <w:bookmarkEnd w:id="556"/>
      <w:bookmarkEnd w:id="557"/>
    </w:p>
    <w:p w14:paraId="247ED841">
      <w:pPr>
        <w:keepNext w:val="0"/>
        <w:keepLines w:val="0"/>
        <w:widowControl w:val="0"/>
        <w:suppressLineNumbers w:val="0"/>
        <w:snapToGrid w:val="0"/>
        <w:spacing w:before="0" w:beforeAutospacing="0" w:after="0" w:afterAutospacing="0" w:line="400" w:lineRule="exact"/>
        <w:ind w:left="0" w:right="0" w:firstLine="420" w:firstLineChars="200"/>
        <w:jc w:val="both"/>
        <w:textAlignment w:val="baseline"/>
        <w:rPr>
          <w:rFonts w:hint="eastAsia" w:ascii="宋体" w:hAnsi="宋体" w:eastAsia="宋体" w:cs="宋体"/>
          <w:sz w:val="21"/>
          <w:szCs w:val="21"/>
          <w:vertAlign w:val="baseline"/>
          <w:lang w:val="en-US"/>
        </w:rPr>
      </w:pPr>
      <w:r>
        <w:rPr>
          <w:rFonts w:hint="eastAsia" w:ascii="宋体" w:hAnsi="宋体" w:eastAsia="宋体" w:cs="宋体"/>
          <w:color w:val="000000"/>
          <w:kern w:val="2"/>
          <w:sz w:val="21"/>
          <w:szCs w:val="21"/>
          <w:vertAlign w:val="baseline"/>
          <w:lang w:val="en-US" w:eastAsia="zh-CN" w:bidi="ar"/>
        </w:rPr>
        <w:t>根据《建设工程质量检测管理办法》（住房和城乡建设部令第57号）以及《广西壮族自治区建设工程质量检测管理实施细则》（桂建发〔2025〕5号）规定，工程质量检测业务由招标人委托有相应资质的检测机构检测。费用从招标人的项目建设经费中支出并直接支付给检测机构，不计入合同价款内。</w:t>
      </w:r>
    </w:p>
    <w:p w14:paraId="0D6102E9">
      <w:pPr>
        <w:pStyle w:val="5"/>
        <w:keepNext/>
        <w:keepLines/>
        <w:widowControl w:val="0"/>
        <w:numPr>
          <w:ilvl w:val="0"/>
          <w:numId w:val="0"/>
        </w:numPr>
        <w:suppressLineNumbers w:val="0"/>
        <w:adjustRightInd/>
        <w:snapToGrid w:val="0"/>
        <w:spacing w:line="400" w:lineRule="exact"/>
        <w:textAlignment w:val="baseline"/>
        <w:rPr>
          <w:rFonts w:hint="eastAsia" w:ascii="宋体" w:hAnsi="宋体" w:eastAsia="宋体" w:cs="宋体"/>
          <w:bCs/>
          <w:sz w:val="21"/>
          <w:szCs w:val="21"/>
          <w:vertAlign w:val="baseline"/>
          <w:lang w:val="en-US"/>
        </w:rPr>
      </w:pPr>
      <w:bookmarkStart w:id="558" w:name="_Toc373227739"/>
      <w:bookmarkStart w:id="559" w:name="_Toc351203642"/>
      <w:bookmarkStart w:id="560" w:name="_Toc407135242"/>
      <w:bookmarkStart w:id="561" w:name="_Toc389065305"/>
      <w:bookmarkStart w:id="562" w:name="_Toc373478386"/>
      <w:bookmarkStart w:id="563" w:name="_Toc4922"/>
      <w:r>
        <w:rPr>
          <w:rFonts w:hint="eastAsia" w:ascii="宋体" w:hAnsi="宋体" w:eastAsia="宋体" w:cs="宋体"/>
          <w:bCs/>
          <w:sz w:val="21"/>
          <w:szCs w:val="21"/>
          <w:vertAlign w:val="baseline"/>
          <w:lang w:val="en-US"/>
        </w:rPr>
        <w:t>1</w:t>
      </w:r>
      <w:bookmarkEnd w:id="527"/>
      <w:bookmarkEnd w:id="528"/>
      <w:bookmarkEnd w:id="529"/>
      <w:bookmarkEnd w:id="530"/>
      <w:bookmarkEnd w:id="531"/>
      <w:bookmarkEnd w:id="532"/>
      <w:bookmarkEnd w:id="533"/>
      <w:bookmarkEnd w:id="534"/>
      <w:bookmarkEnd w:id="535"/>
      <w:bookmarkEnd w:id="536"/>
      <w:bookmarkEnd w:id="537"/>
      <w:bookmarkEnd w:id="538"/>
      <w:bookmarkStart w:id="564" w:name="_Toc296346694"/>
      <w:bookmarkStart w:id="565" w:name="_Toc296347192"/>
      <w:bookmarkStart w:id="566" w:name="_Toc292559903"/>
      <w:bookmarkStart w:id="567" w:name="_Toc297216199"/>
      <w:bookmarkStart w:id="568" w:name="_Toc297048379"/>
      <w:bookmarkStart w:id="569" w:name="_Toc300934989"/>
      <w:bookmarkStart w:id="570" w:name="_Toc296891021"/>
      <w:bookmarkStart w:id="571" w:name="_Toc296503193"/>
      <w:bookmarkStart w:id="572" w:name="_Toc297120493"/>
      <w:bookmarkStart w:id="573" w:name="_Toc297123540"/>
      <w:bookmarkStart w:id="574" w:name="_Toc296891233"/>
      <w:bookmarkStart w:id="575" w:name="_Toc296944532"/>
      <w:bookmarkStart w:id="576" w:name="_Toc303539146"/>
      <w:bookmarkStart w:id="577" w:name="_Toc292559398"/>
      <w:bookmarkStart w:id="578" w:name="_Toc304295566"/>
      <w:r>
        <w:rPr>
          <w:rFonts w:hint="eastAsia" w:ascii="宋体" w:hAnsi="宋体" w:eastAsia="宋体" w:cs="宋体"/>
          <w:bCs/>
          <w:sz w:val="21"/>
          <w:szCs w:val="21"/>
          <w:vertAlign w:val="baseline"/>
          <w:lang w:val="en-US"/>
        </w:rPr>
        <w:t>0.</w:t>
      </w:r>
      <w:r>
        <w:rPr>
          <w:rFonts w:hint="eastAsia" w:ascii="宋体" w:hAnsi="宋体" w:eastAsia="宋体" w:cs="宋体"/>
          <w:bCs/>
          <w:sz w:val="21"/>
          <w:szCs w:val="21"/>
          <w:vertAlign w:val="baseline"/>
          <w:lang w:eastAsia="zh-CN"/>
        </w:rPr>
        <w:t>变更</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14:paraId="50AD0206">
      <w:pPr>
        <w:pStyle w:val="5"/>
        <w:keepNext/>
        <w:keepLines/>
        <w:widowControl w:val="0"/>
        <w:numPr>
          <w:ilvl w:val="0"/>
          <w:numId w:val="0"/>
        </w:numPr>
        <w:suppressLineNumbers w:val="0"/>
        <w:adjustRightInd/>
        <w:snapToGrid w:val="0"/>
        <w:spacing w:line="400" w:lineRule="exact"/>
        <w:textAlignment w:val="baseline"/>
        <w:rPr>
          <w:rFonts w:hint="eastAsia" w:ascii="宋体" w:hAnsi="宋体" w:eastAsia="宋体" w:cs="宋体"/>
          <w:bCs/>
          <w:sz w:val="21"/>
          <w:szCs w:val="21"/>
          <w:vertAlign w:val="baseline"/>
          <w:lang w:val="en-US"/>
        </w:rPr>
      </w:pPr>
      <w:bookmarkStart w:id="579" w:name="_Toc373227740"/>
      <w:bookmarkStart w:id="580" w:name="_Toc373478387"/>
      <w:bookmarkStart w:id="581" w:name="_Toc30777"/>
      <w:bookmarkStart w:id="582" w:name="_Toc389065306"/>
      <w:bookmarkStart w:id="583" w:name="_Toc407135243"/>
      <w:r>
        <w:rPr>
          <w:rFonts w:hint="eastAsia" w:ascii="宋体" w:hAnsi="宋体" w:eastAsia="宋体" w:cs="宋体"/>
          <w:bCs/>
          <w:sz w:val="21"/>
          <w:szCs w:val="21"/>
          <w:vertAlign w:val="baseline"/>
          <w:lang w:val="en-US"/>
        </w:rPr>
        <w:t>1</w:t>
      </w:r>
      <w:bookmarkStart w:id="584" w:name="_Toc297216200"/>
      <w:bookmarkStart w:id="585" w:name="_Toc297048380"/>
      <w:bookmarkStart w:id="586" w:name="_Toc300934990"/>
      <w:bookmarkStart w:id="587" w:name="_Toc296891234"/>
      <w:bookmarkStart w:id="588" w:name="_Toc303539147"/>
      <w:bookmarkStart w:id="589" w:name="_Toc304295567"/>
      <w:bookmarkStart w:id="590" w:name="_Toc297120494"/>
      <w:bookmarkStart w:id="591" w:name="_Toc296891022"/>
      <w:bookmarkStart w:id="592" w:name="_Toc296346695"/>
      <w:bookmarkStart w:id="593" w:name="_Toc292559399"/>
      <w:bookmarkStart w:id="594" w:name="_Toc292559904"/>
      <w:bookmarkStart w:id="595" w:name="_Toc297123541"/>
      <w:bookmarkStart w:id="596" w:name="_Toc312677500"/>
      <w:bookmarkStart w:id="597" w:name="_Toc296347193"/>
      <w:bookmarkStart w:id="598" w:name="_Toc296944533"/>
      <w:bookmarkStart w:id="599" w:name="_Toc296503194"/>
      <w:bookmarkStart w:id="600" w:name="_Toc312678026"/>
      <w:r>
        <w:rPr>
          <w:rFonts w:hint="eastAsia" w:ascii="宋体" w:hAnsi="宋体" w:eastAsia="宋体" w:cs="宋体"/>
          <w:bCs/>
          <w:sz w:val="21"/>
          <w:szCs w:val="21"/>
          <w:vertAlign w:val="baseline"/>
          <w:lang w:val="en-US"/>
        </w:rPr>
        <w:t>0.1</w:t>
      </w:r>
      <w:r>
        <w:rPr>
          <w:rFonts w:hint="eastAsia" w:ascii="宋体" w:hAnsi="宋体" w:eastAsia="宋体" w:cs="宋体"/>
          <w:bCs/>
          <w:sz w:val="21"/>
          <w:szCs w:val="21"/>
          <w:vertAlign w:val="baseline"/>
          <w:lang w:eastAsia="zh-CN"/>
        </w:rPr>
        <w:t>变更的范围</w:t>
      </w:r>
      <w:bookmarkEnd w:id="579"/>
      <w:bookmarkEnd w:id="580"/>
      <w:bookmarkEnd w:id="581"/>
      <w:bookmarkEnd w:id="582"/>
      <w:bookmarkEnd w:id="583"/>
    </w:p>
    <w:p w14:paraId="57E453C9">
      <w:pPr>
        <w:keepNext w:val="0"/>
        <w:keepLines w:val="0"/>
        <w:widowControl w:val="0"/>
        <w:suppressLineNumbers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sz w:val="21"/>
          <w:szCs w:val="21"/>
          <w:vertAlign w:val="baseline"/>
          <w:lang w:val="en-US"/>
        </w:rPr>
      </w:pPr>
      <w:r>
        <w:rPr>
          <w:rFonts w:hint="eastAsia" w:ascii="宋体" w:hAnsi="宋体" w:eastAsia="宋体" w:cs="宋体"/>
          <w:color w:val="000000"/>
          <w:kern w:val="2"/>
          <w:sz w:val="21"/>
          <w:szCs w:val="21"/>
          <w:vertAlign w:val="baseline"/>
          <w:lang w:val="en-US" w:eastAsia="zh-CN" w:bidi="ar"/>
        </w:rPr>
        <w:t>关于变更的范围的约定：</w:t>
      </w:r>
      <w:r>
        <w:rPr>
          <w:rFonts w:hint="eastAsia" w:ascii="宋体" w:hAnsi="宋体" w:eastAsia="宋体" w:cs="宋体"/>
          <w:color w:val="000000"/>
          <w:kern w:val="2"/>
          <w:sz w:val="21"/>
          <w:szCs w:val="21"/>
          <w:u w:val="single" w:color="000000"/>
          <w:vertAlign w:val="baseline"/>
          <w:lang w:val="en-US" w:eastAsia="zh-CN" w:bidi="ar"/>
        </w:rPr>
        <w:t xml:space="preserve"> 工程设计变更、现场签证、政策性文件变更等  </w:t>
      </w:r>
      <w:r>
        <w:rPr>
          <w:rFonts w:hint="eastAsia" w:ascii="宋体" w:hAnsi="宋体" w:eastAsia="宋体" w:cs="宋体"/>
          <w:color w:val="000000"/>
          <w:kern w:val="2"/>
          <w:sz w:val="21"/>
          <w:szCs w:val="21"/>
          <w:vertAlign w:val="baseline"/>
          <w:lang w:val="en-US" w:eastAsia="zh-CN" w:bidi="ar"/>
        </w:rPr>
        <w:t>。</w:t>
      </w:r>
    </w:p>
    <w:p w14:paraId="5F264F56">
      <w:pPr>
        <w:pStyle w:val="5"/>
        <w:keepNext/>
        <w:keepLines/>
        <w:widowControl w:val="0"/>
        <w:numPr>
          <w:ilvl w:val="0"/>
          <w:numId w:val="0"/>
        </w:numPr>
        <w:suppressLineNumbers w:val="0"/>
        <w:adjustRightInd/>
        <w:snapToGrid w:val="0"/>
        <w:spacing w:line="400" w:lineRule="exact"/>
        <w:textAlignment w:val="baseline"/>
        <w:rPr>
          <w:rFonts w:hint="eastAsia" w:ascii="宋体" w:hAnsi="宋体" w:eastAsia="宋体" w:cs="宋体"/>
          <w:bCs/>
          <w:sz w:val="21"/>
          <w:szCs w:val="21"/>
          <w:vertAlign w:val="baseline"/>
          <w:lang w:val="en-US"/>
        </w:rPr>
      </w:pPr>
      <w:bookmarkStart w:id="601" w:name="_Toc19756"/>
      <w:bookmarkStart w:id="602" w:name="_Toc407135244"/>
      <w:bookmarkStart w:id="603" w:name="_Toc373478388"/>
      <w:bookmarkStart w:id="604" w:name="_Toc389065307"/>
      <w:bookmarkStart w:id="605" w:name="_Toc373227741"/>
      <w:r>
        <w:rPr>
          <w:rFonts w:hint="eastAsia" w:ascii="宋体" w:hAnsi="宋体" w:eastAsia="宋体" w:cs="宋体"/>
          <w:bCs/>
          <w:sz w:val="21"/>
          <w:szCs w:val="21"/>
          <w:vertAlign w:val="baseline"/>
          <w:lang w:val="en-US"/>
        </w:rPr>
        <w:t>10.2</w:t>
      </w:r>
      <w:r>
        <w:rPr>
          <w:rFonts w:hint="eastAsia" w:ascii="宋体" w:hAnsi="宋体" w:eastAsia="宋体" w:cs="宋体"/>
          <w:bCs/>
          <w:sz w:val="21"/>
          <w:szCs w:val="21"/>
          <w:vertAlign w:val="baseline"/>
          <w:lang w:eastAsia="zh-CN"/>
        </w:rPr>
        <w:t>变更程序</w:t>
      </w:r>
      <w:bookmarkEnd w:id="601"/>
      <w:bookmarkEnd w:id="602"/>
      <w:bookmarkEnd w:id="603"/>
      <w:bookmarkEnd w:id="604"/>
      <w:bookmarkEnd w:id="605"/>
    </w:p>
    <w:p w14:paraId="228792BF">
      <w:pPr>
        <w:pStyle w:val="24"/>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bookmarkStart w:id="606" w:name="_Toc31408"/>
      <w:bookmarkStart w:id="607" w:name="_Toc389065308"/>
      <w:bookmarkStart w:id="608" w:name="_Toc373227742"/>
      <w:bookmarkStart w:id="609" w:name="_Toc373478389"/>
      <w:bookmarkStart w:id="610" w:name="_Toc407135245"/>
      <w:r>
        <w:rPr>
          <w:rFonts w:hint="eastAsia" w:ascii="宋体" w:hAnsi="宋体" w:eastAsia="宋体" w:cs="宋体"/>
          <w:kern w:val="2"/>
          <w:sz w:val="21"/>
          <w:szCs w:val="21"/>
          <w:lang w:val="en-US" w:eastAsia="zh-CN" w:bidi="ar"/>
        </w:rPr>
        <w:t>10.2.1国有投资项目：</w:t>
      </w:r>
    </w:p>
    <w:p w14:paraId="60E25F0F">
      <w:pPr>
        <w:pStyle w:val="24"/>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（1）设计变更和工程签证，按各市政府或相关部门的规定办理。属不可抗力（自然灾害、突发事件等）造成变更的，按特事特办原则予以办理。</w:t>
      </w:r>
    </w:p>
    <w:p w14:paraId="6006B150">
      <w:pPr>
        <w:pStyle w:val="24"/>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（2）建设单位在实施项目过程中，若发生单价变动，由建设单位、监理单位、施工单位及其他相关单位共同商定并签字确认。</w:t>
      </w:r>
    </w:p>
    <w:p w14:paraId="07930215">
      <w:pPr>
        <w:pStyle w:val="5"/>
        <w:keepNext/>
        <w:keepLines/>
        <w:widowControl w:val="0"/>
        <w:numPr>
          <w:ilvl w:val="0"/>
          <w:numId w:val="0"/>
        </w:numPr>
        <w:suppressLineNumbers w:val="0"/>
        <w:adjustRightInd/>
        <w:snapToGrid w:val="0"/>
        <w:spacing w:line="400" w:lineRule="exact"/>
        <w:ind w:left="420" w:leftChars="200" w:firstLine="0"/>
        <w:textAlignment w:val="baseline"/>
        <w:rPr>
          <w:rFonts w:hint="eastAsia" w:ascii="宋体" w:hAnsi="宋体" w:eastAsia="宋体" w:cs="宋体"/>
          <w:b w:val="0"/>
          <w:bCs w:val="0"/>
          <w:sz w:val="21"/>
          <w:szCs w:val="21"/>
          <w:vertAlign w:val="baseline"/>
          <w:lang w:val="en-US"/>
        </w:rPr>
      </w:pPr>
      <w:r>
        <w:rPr>
          <w:rFonts w:hint="eastAsia" w:ascii="宋体" w:hAnsi="宋体" w:eastAsia="宋体" w:cs="宋体"/>
          <w:b w:val="0"/>
          <w:bCs w:val="0"/>
          <w:sz w:val="21"/>
          <w:szCs w:val="21"/>
          <w:vertAlign w:val="baseline"/>
          <w:lang w:eastAsia="zh-CN"/>
        </w:rPr>
        <w:t>（</w:t>
      </w:r>
      <w:r>
        <w:rPr>
          <w:rFonts w:hint="eastAsia" w:ascii="宋体" w:hAnsi="宋体" w:eastAsia="宋体" w:cs="宋体"/>
          <w:b w:val="0"/>
          <w:bCs w:val="0"/>
          <w:sz w:val="21"/>
          <w:szCs w:val="21"/>
          <w:vertAlign w:val="baseline"/>
          <w:lang w:val="en-US"/>
        </w:rPr>
        <w:t>3</w:t>
      </w:r>
      <w:r>
        <w:rPr>
          <w:rFonts w:hint="eastAsia" w:ascii="宋体" w:hAnsi="宋体" w:eastAsia="宋体" w:cs="宋体"/>
          <w:b w:val="0"/>
          <w:bCs w:val="0"/>
          <w:sz w:val="21"/>
          <w:szCs w:val="21"/>
          <w:vertAlign w:val="baseline"/>
          <w:lang w:eastAsia="zh-CN"/>
        </w:rPr>
        <w:t>）当合同规定的合同价款调整情况发生后，承包人未在规定时间内通知发包人，或者未在规定时间内提出调整报告，发包人可以根据有关资料，决定是否调整和调整的金额，并书面通知承包人。</w:t>
      </w:r>
    </w:p>
    <w:p w14:paraId="46D82720">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10.2.2非国有投资项目：</w:t>
      </w:r>
    </w:p>
    <w:p w14:paraId="5D97F21C">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（1）承包人提出变更建议的，应提前7日向发包人提交书面变更申请，说明变更内容、理由及对工期、造价的影响；</w:t>
      </w:r>
    </w:p>
    <w:p w14:paraId="7BD160A9">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（2）发包人收到变更申请后5个工作日内组织审核，书面答复是否同意变更；</w:t>
      </w:r>
    </w:p>
    <w:p w14:paraId="0DED69F8">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（3）经发包人书面批准的变更，由承包人按批准内容实施，变更工程量及价款按10.3.1变更估价原则结算；</w:t>
      </w:r>
    </w:p>
    <w:p w14:paraId="1F963331">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（4）因承包人原因提出的变更导致工期延误或费用增加的，由承包人自行承担责任。</w:t>
      </w:r>
    </w:p>
    <w:p w14:paraId="573A66FD">
      <w:pPr>
        <w:pStyle w:val="5"/>
        <w:keepNext/>
        <w:keepLines/>
        <w:widowControl w:val="0"/>
        <w:numPr>
          <w:ilvl w:val="0"/>
          <w:numId w:val="0"/>
        </w:numPr>
        <w:suppressLineNumbers w:val="0"/>
        <w:adjustRightInd/>
        <w:snapToGrid w:val="0"/>
        <w:spacing w:line="400" w:lineRule="exact"/>
        <w:textAlignment w:val="baseline"/>
        <w:rPr>
          <w:rFonts w:hint="eastAsia" w:ascii="宋体" w:hAnsi="宋体" w:eastAsia="宋体" w:cs="宋体"/>
          <w:bCs/>
          <w:sz w:val="21"/>
          <w:szCs w:val="21"/>
          <w:vertAlign w:val="baseline"/>
          <w:lang w:val="en-US"/>
        </w:rPr>
      </w:pPr>
      <w:r>
        <w:rPr>
          <w:rFonts w:hint="eastAsia" w:ascii="宋体" w:hAnsi="宋体" w:eastAsia="宋体" w:cs="宋体"/>
          <w:bCs/>
          <w:sz w:val="21"/>
          <w:szCs w:val="21"/>
          <w:vertAlign w:val="baseline"/>
          <w:lang w:val="en-US"/>
        </w:rPr>
        <w:t>10.3</w:t>
      </w:r>
      <w:r>
        <w:rPr>
          <w:rFonts w:hint="eastAsia" w:ascii="宋体" w:hAnsi="宋体" w:eastAsia="宋体" w:cs="宋体"/>
          <w:bCs/>
          <w:sz w:val="21"/>
          <w:szCs w:val="21"/>
          <w:vertAlign w:val="baseline"/>
          <w:lang w:eastAsia="zh-CN"/>
        </w:rPr>
        <w:t>变更估价</w:t>
      </w:r>
      <w:bookmarkEnd w:id="606"/>
      <w:bookmarkEnd w:id="607"/>
      <w:bookmarkEnd w:id="608"/>
      <w:bookmarkEnd w:id="609"/>
      <w:bookmarkEnd w:id="610"/>
    </w:p>
    <w:p w14:paraId="7486A8EE">
      <w:pPr>
        <w:keepNext w:val="0"/>
        <w:keepLines w:val="0"/>
        <w:widowControl w:val="0"/>
        <w:suppressLineNumbers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sz w:val="21"/>
          <w:szCs w:val="21"/>
          <w:vertAlign w:val="baseline"/>
          <w:lang w:val="en-US"/>
        </w:rPr>
      </w:pPr>
      <w:r>
        <w:rPr>
          <w:rFonts w:hint="eastAsia" w:ascii="宋体" w:hAnsi="宋体" w:eastAsia="宋体" w:cs="宋体"/>
          <w:color w:val="000000"/>
          <w:kern w:val="2"/>
          <w:sz w:val="21"/>
          <w:szCs w:val="21"/>
          <w:vertAlign w:val="baseline"/>
          <w:lang w:val="en-US" w:eastAsia="zh-CN" w:bidi="ar"/>
        </w:rPr>
        <w:t>10.3.1 变更估价原则</w:t>
      </w:r>
    </w:p>
    <w:p w14:paraId="14436484">
      <w:pPr>
        <w:keepNext w:val="0"/>
        <w:keepLines w:val="0"/>
        <w:widowControl w:val="0"/>
        <w:suppressLineNumbers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sz w:val="21"/>
          <w:szCs w:val="21"/>
          <w:u w:val="single"/>
          <w:vertAlign w:val="baseline"/>
          <w:lang w:val="en-US"/>
        </w:rPr>
      </w:pPr>
      <w:r>
        <w:rPr>
          <w:rFonts w:hint="eastAsia" w:ascii="宋体" w:hAnsi="宋体" w:eastAsia="宋体" w:cs="宋体"/>
          <w:color w:val="000000"/>
          <w:kern w:val="2"/>
          <w:sz w:val="21"/>
          <w:szCs w:val="21"/>
          <w:vertAlign w:val="baseline"/>
          <w:lang w:val="en-US" w:eastAsia="zh-CN" w:bidi="ar"/>
        </w:rPr>
        <w:t xml:space="preserve">关于变更估价的约定: </w:t>
      </w:r>
      <w:r>
        <w:rPr>
          <w:rFonts w:hint="eastAsia" w:ascii="宋体" w:hAnsi="宋体" w:eastAsia="宋体" w:cs="宋体"/>
          <w:color w:val="000000"/>
          <w:kern w:val="2"/>
          <w:sz w:val="21"/>
          <w:szCs w:val="21"/>
          <w:u w:val="single"/>
          <w:vertAlign w:val="baseline"/>
          <w:lang w:val="en-US" w:eastAsia="zh-CN" w:bidi="ar"/>
        </w:rPr>
        <w:t>1、因设计变更引起工程项目和工程量变化的，其工程量按实际发生并经监理工程师及发包人签证认可，调整时只对新增工程量部分予以调整。新增项目中有与投标报价相同细目的按中标单价进行结算，有类似细目的参考类似细目中标单价结算，如果没有类似中标单价，有定额可套的套用定额计算，并乘以下浮系数（中标价/工程预算控制价）结算。材料价格有信息价的按施工期间信息价，无信息价的按市场价；新增项目无定额可套的，由发包人及承包人根据市场价格协商确定；新增项目的单价应经发包人审定。</w:t>
      </w:r>
    </w:p>
    <w:p w14:paraId="57B213F3">
      <w:pPr>
        <w:pStyle w:val="5"/>
        <w:keepNext/>
        <w:keepLines/>
        <w:widowControl w:val="0"/>
        <w:numPr>
          <w:ilvl w:val="0"/>
          <w:numId w:val="0"/>
        </w:numPr>
        <w:suppressLineNumbers w:val="0"/>
        <w:adjustRightInd/>
        <w:snapToGrid w:val="0"/>
        <w:spacing w:line="400" w:lineRule="exact"/>
        <w:textAlignment w:val="baseline"/>
        <w:rPr>
          <w:rFonts w:hint="eastAsia" w:ascii="宋体" w:hAnsi="宋体" w:eastAsia="宋体" w:cs="宋体"/>
          <w:bCs/>
          <w:sz w:val="21"/>
          <w:szCs w:val="21"/>
          <w:vertAlign w:val="baseline"/>
          <w:lang w:val="en-US"/>
        </w:rPr>
      </w:pPr>
      <w:bookmarkStart w:id="611" w:name="_Toc407135246"/>
      <w:bookmarkStart w:id="612" w:name="_Toc1145"/>
      <w:bookmarkStart w:id="613" w:name="_Toc389065309"/>
      <w:bookmarkStart w:id="614" w:name="_Toc373227743"/>
      <w:bookmarkStart w:id="615" w:name="_Toc373478390"/>
      <w:r>
        <w:rPr>
          <w:rFonts w:hint="eastAsia" w:ascii="宋体" w:hAnsi="宋体" w:eastAsia="宋体" w:cs="宋体"/>
          <w:bCs/>
          <w:sz w:val="21"/>
          <w:szCs w:val="21"/>
          <w:vertAlign w:val="baseline"/>
          <w:lang w:val="en-US"/>
        </w:rPr>
        <w:t>1</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Start w:id="616" w:name="_Toc296944536"/>
      <w:bookmarkStart w:id="617" w:name="_Toc297123544"/>
      <w:bookmarkStart w:id="618" w:name="_Toc303539150"/>
      <w:bookmarkStart w:id="619" w:name="_Toc296346698"/>
      <w:bookmarkStart w:id="620" w:name="_Toc296347196"/>
      <w:bookmarkStart w:id="621" w:name="_Toc296891025"/>
      <w:bookmarkStart w:id="622" w:name="_Toc296891237"/>
      <w:bookmarkStart w:id="623" w:name="_Toc297120497"/>
      <w:bookmarkStart w:id="624" w:name="_Toc292559907"/>
      <w:bookmarkStart w:id="625" w:name="_Toc300934993"/>
      <w:bookmarkStart w:id="626" w:name="_Toc297048383"/>
      <w:bookmarkStart w:id="627" w:name="_Toc296503197"/>
      <w:bookmarkStart w:id="628" w:name="_Toc292559402"/>
      <w:bookmarkStart w:id="629" w:name="_Toc297216203"/>
      <w:r>
        <w:rPr>
          <w:rFonts w:hint="eastAsia" w:ascii="宋体" w:hAnsi="宋体" w:eastAsia="宋体" w:cs="宋体"/>
          <w:bCs/>
          <w:sz w:val="21"/>
          <w:szCs w:val="21"/>
          <w:vertAlign w:val="baseline"/>
          <w:lang w:val="en-US"/>
        </w:rPr>
        <w:t>0.4</w:t>
      </w:r>
      <w:r>
        <w:rPr>
          <w:rFonts w:hint="eastAsia" w:ascii="宋体" w:hAnsi="宋体" w:eastAsia="宋体" w:cs="宋体"/>
          <w:bCs/>
          <w:sz w:val="21"/>
          <w:szCs w:val="21"/>
          <w:vertAlign w:val="baseline"/>
          <w:lang w:eastAsia="zh-CN"/>
        </w:rPr>
        <w:t>承</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r>
        <w:rPr>
          <w:rFonts w:hint="eastAsia" w:ascii="宋体" w:hAnsi="宋体" w:eastAsia="宋体" w:cs="宋体"/>
          <w:bCs/>
          <w:sz w:val="21"/>
          <w:szCs w:val="21"/>
          <w:vertAlign w:val="baseline"/>
          <w:lang w:eastAsia="zh-CN"/>
        </w:rPr>
        <w:t>包人的合理化建议</w:t>
      </w:r>
      <w:bookmarkEnd w:id="611"/>
      <w:bookmarkEnd w:id="612"/>
      <w:bookmarkEnd w:id="613"/>
      <w:bookmarkEnd w:id="614"/>
      <w:bookmarkEnd w:id="615"/>
    </w:p>
    <w:p w14:paraId="7AFED85B">
      <w:pPr>
        <w:pStyle w:val="11"/>
        <w:ind w:firstLine="420" w:firstLineChars="200"/>
        <w:rPr>
          <w:rFonts w:hint="eastAsia" w:ascii="宋体" w:hAnsi="宋体" w:eastAsia="宋体" w:cs="宋体"/>
          <w:sz w:val="21"/>
          <w:szCs w:val="21"/>
          <w:lang w:val="en-US"/>
        </w:rPr>
      </w:pPr>
      <w:bookmarkStart w:id="630" w:name="_Toc10710"/>
      <w:bookmarkStart w:id="631" w:name="_Toc373227744"/>
      <w:bookmarkStart w:id="632" w:name="_Toc389065310"/>
      <w:bookmarkStart w:id="633" w:name="_Toc407135247"/>
      <w:bookmarkStart w:id="634" w:name="_Toc373478391"/>
      <w:r>
        <w:rPr>
          <w:rFonts w:hint="eastAsia" w:ascii="宋体" w:hAnsi="宋体" w:eastAsia="宋体" w:cs="宋体"/>
          <w:color w:val="000000"/>
          <w:kern w:val="2"/>
          <w:sz w:val="21"/>
          <w:szCs w:val="21"/>
          <w:lang w:val="en-US" w:eastAsia="zh-CN" w:bidi="ar"/>
        </w:rPr>
        <w:t>监理人审查承包人合理化建议的期限：</w:t>
      </w:r>
      <w:r>
        <w:rPr>
          <w:rFonts w:hint="eastAsia" w:ascii="宋体" w:hAnsi="宋体" w:eastAsia="宋体" w:cs="宋体"/>
          <w:color w:val="000000"/>
          <w:kern w:val="2"/>
          <w:sz w:val="21"/>
          <w:szCs w:val="21"/>
          <w:u w:val="single"/>
          <w:lang w:val="en-US" w:eastAsia="zh-CN" w:bidi="ar"/>
        </w:rPr>
        <w:t xml:space="preserve">  </w:t>
      </w:r>
      <w:r>
        <w:rPr>
          <w:rFonts w:hint="eastAsia" w:ascii="宋体" w:hAnsi="宋体" w:eastAsia="宋体" w:cs="宋体"/>
          <w:color w:val="auto"/>
          <w:sz w:val="21"/>
          <w:szCs w:val="21"/>
          <w:highlight w:val="none"/>
          <w:u w:val="single"/>
        </w:rPr>
        <w:t xml:space="preserve">收到承包人提交的合理化建议之日起 </w:t>
      </w:r>
      <w:r>
        <w:rPr>
          <w:rFonts w:hint="eastAsia" w:ascii="宋体" w:hAnsi="宋体" w:eastAsia="宋体" w:cs="宋体"/>
          <w:color w:val="auto"/>
          <w:sz w:val="21"/>
          <w:szCs w:val="21"/>
          <w:highlight w:val="none"/>
          <w:u w:val="single"/>
          <w:lang w:val="en-US" w:eastAsia="zh-CN"/>
        </w:rPr>
        <w:t>15</w:t>
      </w:r>
      <w:r>
        <w:rPr>
          <w:rFonts w:hint="eastAsia" w:ascii="宋体" w:hAnsi="宋体" w:eastAsia="宋体" w:cs="宋体"/>
          <w:color w:val="auto"/>
          <w:sz w:val="21"/>
          <w:szCs w:val="21"/>
          <w:highlight w:val="none"/>
          <w:u w:val="single"/>
        </w:rPr>
        <w:t>日内</w:t>
      </w:r>
      <w:r>
        <w:rPr>
          <w:rFonts w:hint="eastAsia" w:ascii="宋体" w:hAnsi="宋体" w:eastAsia="宋体" w:cs="宋体"/>
          <w:color w:val="000000"/>
          <w:kern w:val="2"/>
          <w:sz w:val="21"/>
          <w:szCs w:val="21"/>
          <w:lang w:val="en-US" w:eastAsia="zh-CN" w:bidi="ar"/>
        </w:rPr>
        <w:t>。</w:t>
      </w:r>
    </w:p>
    <w:p w14:paraId="12292A6B">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发包人审批承包人合理化建议的期限：</w:t>
      </w:r>
      <w:r>
        <w:rPr>
          <w:rFonts w:hint="eastAsia" w:ascii="宋体" w:hAnsi="宋体" w:eastAsia="宋体" w:cs="宋体"/>
          <w:color w:val="000000"/>
          <w:kern w:val="2"/>
          <w:sz w:val="21"/>
          <w:szCs w:val="21"/>
          <w:u w:val="single"/>
          <w:lang w:val="en-US" w:eastAsia="zh-CN" w:bidi="ar"/>
        </w:rPr>
        <w:t xml:space="preserve">  </w:t>
      </w:r>
      <w:r>
        <w:rPr>
          <w:rFonts w:hint="eastAsia" w:ascii="宋体" w:hAnsi="宋体" w:eastAsia="宋体" w:cs="宋体"/>
          <w:color w:val="auto"/>
          <w:sz w:val="21"/>
          <w:szCs w:val="21"/>
          <w:highlight w:val="none"/>
          <w:u w:val="single"/>
        </w:rPr>
        <w:t xml:space="preserve">收到承包人提交的合理化建议之日起 </w:t>
      </w:r>
      <w:r>
        <w:rPr>
          <w:rFonts w:hint="eastAsia" w:ascii="宋体" w:hAnsi="宋体" w:eastAsia="宋体" w:cs="宋体"/>
          <w:color w:val="auto"/>
          <w:sz w:val="21"/>
          <w:szCs w:val="21"/>
          <w:highlight w:val="none"/>
          <w:u w:val="single"/>
          <w:lang w:val="en-US" w:eastAsia="zh-CN"/>
        </w:rPr>
        <w:t>15</w:t>
      </w:r>
      <w:r>
        <w:rPr>
          <w:rFonts w:hint="eastAsia" w:ascii="宋体" w:hAnsi="宋体" w:eastAsia="宋体" w:cs="宋体"/>
          <w:color w:val="auto"/>
          <w:sz w:val="21"/>
          <w:szCs w:val="21"/>
          <w:highlight w:val="none"/>
          <w:u w:val="single"/>
        </w:rPr>
        <w:t>日内</w:t>
      </w:r>
      <w:r>
        <w:rPr>
          <w:rFonts w:hint="eastAsia" w:ascii="宋体" w:hAnsi="宋体" w:eastAsia="宋体" w:cs="宋体"/>
          <w:color w:val="000000"/>
          <w:kern w:val="2"/>
          <w:sz w:val="21"/>
          <w:szCs w:val="21"/>
          <w:lang w:val="en-US" w:eastAsia="zh-CN" w:bidi="ar"/>
        </w:rPr>
        <w:t>。</w:t>
      </w:r>
    </w:p>
    <w:p w14:paraId="45554E2B">
      <w:pPr>
        <w:pStyle w:val="5"/>
        <w:keepNext/>
        <w:keepLines/>
        <w:widowControl w:val="0"/>
        <w:numPr>
          <w:ilvl w:val="0"/>
          <w:numId w:val="0"/>
        </w:numPr>
        <w:suppressLineNumbers w:val="0"/>
        <w:adjustRightInd/>
        <w:snapToGrid w:val="0"/>
        <w:spacing w:line="400" w:lineRule="exact"/>
        <w:ind w:left="420" w:leftChars="200" w:firstLine="0"/>
        <w:textAlignment w:val="baseline"/>
        <w:rPr>
          <w:rFonts w:hint="eastAsia" w:ascii="宋体" w:hAnsi="宋体" w:eastAsia="宋体" w:cs="宋体"/>
          <w:b w:val="0"/>
          <w:bCs w:val="0"/>
          <w:sz w:val="21"/>
          <w:szCs w:val="21"/>
          <w:vertAlign w:val="baseline"/>
          <w:lang w:val="en-US"/>
        </w:rPr>
      </w:pPr>
      <w:r>
        <w:rPr>
          <w:rFonts w:hint="eastAsia" w:ascii="宋体" w:hAnsi="宋体" w:eastAsia="宋体" w:cs="宋体"/>
          <w:b w:val="0"/>
          <w:bCs w:val="0"/>
          <w:sz w:val="21"/>
          <w:szCs w:val="21"/>
          <w:vertAlign w:val="baseline"/>
          <w:lang w:eastAsia="zh-CN"/>
        </w:rPr>
        <w:t>承包人提出的合理化建议降低了合同价格或者提高了工程经济效益的奖励的方法和金额为：</w:t>
      </w:r>
      <w:r>
        <w:rPr>
          <w:rFonts w:hint="eastAsia" w:ascii="宋体" w:hAnsi="宋体" w:eastAsia="宋体" w:cs="宋体"/>
          <w:b w:val="0"/>
          <w:bCs w:val="0"/>
          <w:sz w:val="21"/>
          <w:szCs w:val="21"/>
          <w:u w:val="single"/>
          <w:vertAlign w:val="baseline"/>
          <w:lang w:val="en-US"/>
        </w:rPr>
        <w:t xml:space="preserve">      /     </w:t>
      </w:r>
      <w:r>
        <w:rPr>
          <w:rFonts w:hint="eastAsia" w:ascii="宋体" w:hAnsi="宋体" w:eastAsia="宋体" w:cs="宋体"/>
          <w:b w:val="0"/>
          <w:bCs w:val="0"/>
          <w:sz w:val="21"/>
          <w:szCs w:val="21"/>
          <w:vertAlign w:val="baseline"/>
          <w:lang w:eastAsia="zh-CN"/>
        </w:rPr>
        <w:t>。</w:t>
      </w:r>
    </w:p>
    <w:p w14:paraId="4BD61303">
      <w:pPr>
        <w:pStyle w:val="5"/>
        <w:keepNext/>
        <w:keepLines/>
        <w:widowControl w:val="0"/>
        <w:numPr>
          <w:ilvl w:val="0"/>
          <w:numId w:val="0"/>
        </w:numPr>
        <w:suppressLineNumbers w:val="0"/>
        <w:adjustRightInd/>
        <w:snapToGrid w:val="0"/>
        <w:spacing w:line="400" w:lineRule="exact"/>
        <w:textAlignment w:val="baseline"/>
        <w:rPr>
          <w:rFonts w:hint="eastAsia" w:ascii="宋体" w:hAnsi="宋体" w:eastAsia="宋体" w:cs="宋体"/>
          <w:bCs/>
          <w:sz w:val="21"/>
          <w:szCs w:val="21"/>
          <w:vertAlign w:val="baseline"/>
          <w:lang w:val="en-US"/>
        </w:rPr>
      </w:pPr>
      <w:r>
        <w:rPr>
          <w:rFonts w:hint="eastAsia" w:ascii="宋体" w:hAnsi="宋体" w:eastAsia="宋体" w:cs="宋体"/>
          <w:bCs/>
          <w:sz w:val="21"/>
          <w:szCs w:val="21"/>
          <w:vertAlign w:val="baseline"/>
          <w:lang w:val="en-US"/>
        </w:rPr>
        <w:t>10.5</w:t>
      </w:r>
      <w:r>
        <w:rPr>
          <w:rFonts w:hint="eastAsia" w:ascii="宋体" w:hAnsi="宋体" w:eastAsia="宋体" w:cs="宋体"/>
          <w:bCs/>
          <w:sz w:val="21"/>
          <w:szCs w:val="21"/>
          <w:vertAlign w:val="baseline"/>
          <w:lang w:eastAsia="zh-CN"/>
        </w:rPr>
        <w:t>暂估价</w:t>
      </w:r>
      <w:bookmarkEnd w:id="630"/>
      <w:bookmarkEnd w:id="631"/>
      <w:bookmarkEnd w:id="632"/>
      <w:bookmarkEnd w:id="633"/>
      <w:bookmarkEnd w:id="634"/>
    </w:p>
    <w:p w14:paraId="12ADA295">
      <w:pPr>
        <w:keepNext w:val="0"/>
        <w:keepLines w:val="0"/>
        <w:widowControl w:val="0"/>
        <w:suppressLineNumbers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sz w:val="21"/>
          <w:szCs w:val="21"/>
          <w:vertAlign w:val="baseline"/>
          <w:lang w:val="en-US"/>
        </w:rPr>
      </w:pPr>
      <w:r>
        <w:rPr>
          <w:rFonts w:hint="eastAsia" w:ascii="宋体" w:hAnsi="宋体" w:eastAsia="宋体" w:cs="宋体"/>
          <w:color w:val="000000"/>
          <w:kern w:val="0"/>
          <w:sz w:val="21"/>
          <w:szCs w:val="21"/>
          <w:vertAlign w:val="baseline"/>
          <w:lang w:val="en-US" w:eastAsia="zh-CN" w:bidi="ar"/>
        </w:rPr>
        <w:t>暂估价材料和工程设备的明细详见已标价工程量清单《</w:t>
      </w:r>
      <w:r>
        <w:rPr>
          <w:rFonts w:hint="eastAsia" w:ascii="宋体" w:hAnsi="宋体" w:eastAsia="宋体" w:cs="宋体"/>
          <w:color w:val="000000"/>
          <w:kern w:val="2"/>
          <w:sz w:val="21"/>
          <w:szCs w:val="21"/>
          <w:vertAlign w:val="baseline"/>
          <w:lang w:val="en-US" w:eastAsia="zh-CN" w:bidi="ar"/>
        </w:rPr>
        <w:t>材料（工程设备）暂估价格及调整表》</w:t>
      </w:r>
      <w:r>
        <w:rPr>
          <w:rFonts w:hint="eastAsia" w:ascii="宋体" w:hAnsi="宋体" w:eastAsia="宋体" w:cs="宋体"/>
          <w:color w:val="000000"/>
          <w:kern w:val="0"/>
          <w:sz w:val="21"/>
          <w:szCs w:val="21"/>
          <w:vertAlign w:val="baseline"/>
          <w:lang w:val="en-US" w:eastAsia="zh-CN" w:bidi="ar"/>
        </w:rPr>
        <w:t>（表12-2）和《</w:t>
      </w:r>
      <w:r>
        <w:rPr>
          <w:rFonts w:hint="eastAsia" w:ascii="宋体" w:hAnsi="宋体" w:eastAsia="宋体" w:cs="宋体"/>
          <w:color w:val="000000"/>
          <w:kern w:val="2"/>
          <w:sz w:val="21"/>
          <w:szCs w:val="21"/>
          <w:vertAlign w:val="baseline"/>
          <w:lang w:val="en-US" w:eastAsia="zh-CN" w:bidi="ar"/>
        </w:rPr>
        <w:t>专业工程暂估价表》（</w:t>
      </w:r>
      <w:r>
        <w:rPr>
          <w:rFonts w:hint="eastAsia" w:ascii="宋体" w:hAnsi="宋体" w:eastAsia="宋体" w:cs="宋体"/>
          <w:color w:val="000000"/>
          <w:kern w:val="0"/>
          <w:sz w:val="21"/>
          <w:szCs w:val="21"/>
          <w:vertAlign w:val="baseline"/>
          <w:lang w:val="en-US" w:eastAsia="zh-CN" w:bidi="ar"/>
        </w:rPr>
        <w:t>表12-3）。</w:t>
      </w:r>
    </w:p>
    <w:p w14:paraId="779D9B67">
      <w:pPr>
        <w:keepNext w:val="0"/>
        <w:keepLines w:val="0"/>
        <w:widowControl w:val="0"/>
        <w:suppressLineNumbers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sz w:val="21"/>
          <w:szCs w:val="21"/>
          <w:vertAlign w:val="baseline"/>
          <w:lang w:val="en-US"/>
        </w:rPr>
      </w:pPr>
      <w:r>
        <w:rPr>
          <w:rFonts w:hint="eastAsia" w:ascii="宋体" w:hAnsi="宋体" w:eastAsia="宋体" w:cs="宋体"/>
          <w:color w:val="000000"/>
          <w:kern w:val="2"/>
          <w:sz w:val="21"/>
          <w:szCs w:val="21"/>
          <w:vertAlign w:val="baseline"/>
          <w:lang w:val="en-US" w:eastAsia="zh-CN" w:bidi="ar"/>
        </w:rPr>
        <w:t>10.5.1依法必须招标的暂估价项目</w:t>
      </w:r>
    </w:p>
    <w:p w14:paraId="6AA4F64B">
      <w:pPr>
        <w:keepNext w:val="0"/>
        <w:keepLines w:val="0"/>
        <w:widowControl w:val="0"/>
        <w:suppressLineNumbers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sz w:val="21"/>
          <w:szCs w:val="21"/>
          <w:vertAlign w:val="baseline"/>
          <w:lang w:val="en-US"/>
        </w:rPr>
      </w:pPr>
      <w:r>
        <w:rPr>
          <w:rFonts w:hint="eastAsia" w:ascii="宋体" w:hAnsi="宋体" w:eastAsia="宋体" w:cs="宋体"/>
          <w:color w:val="000000"/>
          <w:kern w:val="2"/>
          <w:sz w:val="21"/>
          <w:szCs w:val="21"/>
          <w:vertAlign w:val="baseline"/>
          <w:lang w:val="en-US" w:eastAsia="zh-CN" w:bidi="ar"/>
        </w:rPr>
        <w:t>对于依法必须招标的暂估价项目的确认和批准采取第</w:t>
      </w:r>
      <w:r>
        <w:rPr>
          <w:rFonts w:hint="eastAsia" w:ascii="宋体" w:hAnsi="宋体" w:eastAsia="宋体" w:cs="宋体"/>
          <w:color w:val="000000"/>
          <w:kern w:val="2"/>
          <w:sz w:val="21"/>
          <w:szCs w:val="21"/>
          <w:u w:val="single" w:color="000000"/>
          <w:vertAlign w:val="baseline"/>
          <w:lang w:val="en-US" w:eastAsia="zh-CN" w:bidi="ar"/>
        </w:rPr>
        <w:t xml:space="preserve">  /  </w:t>
      </w:r>
      <w:r>
        <w:rPr>
          <w:rFonts w:hint="eastAsia" w:ascii="宋体" w:hAnsi="宋体" w:eastAsia="宋体" w:cs="宋体"/>
          <w:color w:val="000000"/>
          <w:kern w:val="2"/>
          <w:sz w:val="21"/>
          <w:szCs w:val="21"/>
          <w:vertAlign w:val="baseline"/>
          <w:lang w:val="en-US" w:eastAsia="zh-CN" w:bidi="ar"/>
        </w:rPr>
        <w:t>种方式确定。</w:t>
      </w:r>
    </w:p>
    <w:p w14:paraId="7091206C">
      <w:pPr>
        <w:keepNext w:val="0"/>
        <w:keepLines w:val="0"/>
        <w:widowControl w:val="0"/>
        <w:suppressLineNumbers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sz w:val="21"/>
          <w:szCs w:val="21"/>
          <w:vertAlign w:val="baseline"/>
          <w:lang w:val="en-US"/>
        </w:rPr>
      </w:pPr>
      <w:r>
        <w:rPr>
          <w:rFonts w:hint="eastAsia" w:ascii="宋体" w:hAnsi="宋体" w:eastAsia="宋体" w:cs="宋体"/>
          <w:color w:val="000000"/>
          <w:kern w:val="2"/>
          <w:sz w:val="21"/>
          <w:szCs w:val="21"/>
          <w:vertAlign w:val="baseline"/>
          <w:lang w:val="en-US" w:eastAsia="zh-CN" w:bidi="ar"/>
        </w:rPr>
        <w:t>10.5.2不属于依法必须招标的暂估价项目</w:t>
      </w:r>
    </w:p>
    <w:p w14:paraId="5C2B897D">
      <w:pPr>
        <w:keepNext w:val="0"/>
        <w:keepLines w:val="0"/>
        <w:widowControl w:val="0"/>
        <w:suppressLineNumbers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sz w:val="21"/>
          <w:szCs w:val="21"/>
          <w:vertAlign w:val="baseline"/>
          <w:lang w:val="en-US"/>
        </w:rPr>
      </w:pPr>
      <w:r>
        <w:rPr>
          <w:rFonts w:hint="eastAsia" w:ascii="宋体" w:hAnsi="宋体" w:eastAsia="宋体" w:cs="宋体"/>
          <w:color w:val="000000"/>
          <w:kern w:val="2"/>
          <w:sz w:val="21"/>
          <w:szCs w:val="21"/>
          <w:vertAlign w:val="baseline"/>
          <w:lang w:val="en-US" w:eastAsia="zh-CN" w:bidi="ar"/>
        </w:rPr>
        <w:t>对于不属于依法必须招标的暂估价项目的确认和批准采取第</w:t>
      </w:r>
      <w:r>
        <w:rPr>
          <w:rFonts w:hint="eastAsia" w:ascii="宋体" w:hAnsi="宋体" w:eastAsia="宋体" w:cs="宋体"/>
          <w:color w:val="000000"/>
          <w:kern w:val="2"/>
          <w:sz w:val="21"/>
          <w:szCs w:val="21"/>
          <w:u w:val="single" w:color="000000"/>
          <w:vertAlign w:val="baseline"/>
          <w:lang w:val="en-US" w:eastAsia="zh-CN" w:bidi="ar"/>
        </w:rPr>
        <w:t xml:space="preserve">  /  </w:t>
      </w:r>
      <w:r>
        <w:rPr>
          <w:rFonts w:hint="eastAsia" w:ascii="宋体" w:hAnsi="宋体" w:eastAsia="宋体" w:cs="宋体"/>
          <w:color w:val="000000"/>
          <w:kern w:val="2"/>
          <w:sz w:val="21"/>
          <w:szCs w:val="21"/>
          <w:vertAlign w:val="baseline"/>
          <w:lang w:val="en-US" w:eastAsia="zh-CN" w:bidi="ar"/>
        </w:rPr>
        <w:t>种方式确定。</w:t>
      </w:r>
    </w:p>
    <w:p w14:paraId="3538F75A">
      <w:pPr>
        <w:keepNext w:val="0"/>
        <w:keepLines w:val="0"/>
        <w:widowControl w:val="0"/>
        <w:suppressLineNumbers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kern w:val="0"/>
          <w:sz w:val="21"/>
          <w:szCs w:val="21"/>
          <w:vertAlign w:val="baseline"/>
          <w:lang w:val="en-US"/>
        </w:rPr>
      </w:pPr>
      <w:r>
        <w:rPr>
          <w:rFonts w:hint="eastAsia" w:ascii="宋体" w:hAnsi="宋体" w:eastAsia="宋体" w:cs="宋体"/>
          <w:color w:val="000000"/>
          <w:kern w:val="2"/>
          <w:sz w:val="21"/>
          <w:szCs w:val="21"/>
          <w:vertAlign w:val="baseline"/>
          <w:lang w:val="en-US" w:eastAsia="zh-CN" w:bidi="ar"/>
        </w:rPr>
        <w:t>第3种方式：</w:t>
      </w:r>
      <w:r>
        <w:rPr>
          <w:rFonts w:hint="eastAsia" w:ascii="宋体" w:hAnsi="宋体" w:eastAsia="宋体" w:cs="宋体"/>
          <w:color w:val="000000"/>
          <w:kern w:val="0"/>
          <w:sz w:val="21"/>
          <w:szCs w:val="21"/>
          <w:vertAlign w:val="baseline"/>
          <w:lang w:val="en-US" w:eastAsia="zh-CN" w:bidi="ar"/>
        </w:rPr>
        <w:t>承包人直接实施的暂估价项目</w:t>
      </w:r>
    </w:p>
    <w:p w14:paraId="3FA81BE0">
      <w:pPr>
        <w:keepNext w:val="0"/>
        <w:keepLines w:val="0"/>
        <w:widowControl w:val="0"/>
        <w:suppressLineNumbers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sz w:val="21"/>
          <w:szCs w:val="21"/>
          <w:vertAlign w:val="baseline"/>
          <w:lang w:val="en-US"/>
        </w:rPr>
      </w:pPr>
      <w:r>
        <w:rPr>
          <w:rFonts w:hint="eastAsia" w:ascii="宋体" w:hAnsi="宋体" w:eastAsia="宋体" w:cs="宋体"/>
          <w:color w:val="000000"/>
          <w:kern w:val="2"/>
          <w:sz w:val="21"/>
          <w:szCs w:val="21"/>
          <w:vertAlign w:val="baseline"/>
          <w:lang w:val="en-US" w:eastAsia="zh-CN" w:bidi="ar"/>
        </w:rPr>
        <w:t>承包人直接实施的暂估价项目的约定：</w:t>
      </w:r>
      <w:r>
        <w:rPr>
          <w:rFonts w:hint="eastAsia" w:ascii="宋体" w:hAnsi="宋体" w:eastAsia="宋体" w:cs="宋体"/>
          <w:color w:val="000000"/>
          <w:kern w:val="2"/>
          <w:sz w:val="21"/>
          <w:szCs w:val="21"/>
          <w:u w:val="single" w:color="000000"/>
          <w:vertAlign w:val="baseline"/>
          <w:lang w:val="en-US" w:eastAsia="zh-CN" w:bidi="ar"/>
        </w:rPr>
        <w:t xml:space="preserve">   成品简易门卫（简易活动房）、隔离护栏、钢结构雨篷   </w:t>
      </w:r>
      <w:r>
        <w:rPr>
          <w:rFonts w:hint="eastAsia" w:ascii="宋体" w:hAnsi="宋体" w:eastAsia="宋体" w:cs="宋体"/>
          <w:color w:val="000000"/>
          <w:kern w:val="2"/>
          <w:sz w:val="21"/>
          <w:szCs w:val="21"/>
          <w:vertAlign w:val="baseline"/>
          <w:lang w:val="en-US" w:eastAsia="zh-CN" w:bidi="ar"/>
        </w:rPr>
        <w:t>。</w:t>
      </w:r>
    </w:p>
    <w:p w14:paraId="3AA947C1">
      <w:pPr>
        <w:pStyle w:val="5"/>
        <w:keepNext/>
        <w:keepLines/>
        <w:widowControl w:val="0"/>
        <w:numPr>
          <w:ilvl w:val="0"/>
          <w:numId w:val="0"/>
        </w:numPr>
        <w:suppressLineNumbers w:val="0"/>
        <w:adjustRightInd/>
        <w:snapToGrid w:val="0"/>
        <w:spacing w:line="400" w:lineRule="exact"/>
        <w:textAlignment w:val="baseline"/>
        <w:rPr>
          <w:rFonts w:hint="eastAsia" w:ascii="宋体" w:hAnsi="宋体" w:eastAsia="宋体" w:cs="宋体"/>
          <w:bCs/>
          <w:sz w:val="21"/>
          <w:szCs w:val="21"/>
          <w:vertAlign w:val="baseline"/>
          <w:lang w:val="en-US"/>
        </w:rPr>
      </w:pPr>
      <w:bookmarkStart w:id="635" w:name="_Toc407135248"/>
      <w:bookmarkStart w:id="636" w:name="_Toc17543"/>
      <w:bookmarkStart w:id="637" w:name="_Toc389065311"/>
      <w:bookmarkStart w:id="638" w:name="_Toc373227745"/>
      <w:bookmarkStart w:id="639" w:name="_Toc373478392"/>
      <w:r>
        <w:rPr>
          <w:rFonts w:hint="eastAsia" w:ascii="宋体" w:hAnsi="宋体" w:eastAsia="宋体" w:cs="宋体"/>
          <w:bCs/>
          <w:sz w:val="21"/>
          <w:szCs w:val="21"/>
          <w:vertAlign w:val="baseline"/>
          <w:lang w:val="en-US"/>
        </w:rPr>
        <w:t>10.6</w:t>
      </w:r>
      <w:r>
        <w:rPr>
          <w:rFonts w:hint="eastAsia" w:ascii="宋体" w:hAnsi="宋体" w:eastAsia="宋体" w:cs="宋体"/>
          <w:bCs/>
          <w:sz w:val="21"/>
          <w:szCs w:val="21"/>
          <w:vertAlign w:val="baseline"/>
          <w:lang w:eastAsia="zh-CN"/>
        </w:rPr>
        <w:t>暂列金额</w:t>
      </w:r>
      <w:bookmarkEnd w:id="635"/>
      <w:bookmarkEnd w:id="636"/>
      <w:bookmarkEnd w:id="637"/>
      <w:bookmarkEnd w:id="638"/>
      <w:bookmarkEnd w:id="639"/>
    </w:p>
    <w:p w14:paraId="4F8AB2B9">
      <w:pPr>
        <w:keepNext w:val="0"/>
        <w:keepLines w:val="0"/>
        <w:widowControl w:val="0"/>
        <w:suppressLineNumbers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sz w:val="21"/>
          <w:szCs w:val="21"/>
          <w:u w:val="single"/>
          <w:vertAlign w:val="baseline"/>
          <w:lang w:val="en-US"/>
        </w:rPr>
      </w:pPr>
      <w:r>
        <w:rPr>
          <w:rFonts w:hint="eastAsia" w:ascii="宋体" w:hAnsi="宋体" w:eastAsia="宋体" w:cs="宋体"/>
          <w:color w:val="000000"/>
          <w:kern w:val="0"/>
          <w:sz w:val="21"/>
          <w:szCs w:val="21"/>
          <w:vertAlign w:val="baseline"/>
          <w:lang w:val="en-US" w:eastAsia="zh-CN" w:bidi="ar"/>
        </w:rPr>
        <w:t>合同当事人关于暂列金额使用的约定：</w:t>
      </w:r>
      <w:r>
        <w:rPr>
          <w:rFonts w:hint="eastAsia" w:ascii="宋体" w:hAnsi="宋体" w:eastAsia="宋体" w:cs="宋体"/>
          <w:color w:val="000000"/>
          <w:kern w:val="2"/>
          <w:sz w:val="21"/>
          <w:szCs w:val="21"/>
          <w:u w:val="single" w:color="000000"/>
          <w:vertAlign w:val="baseline"/>
          <w:lang w:val="en-US" w:eastAsia="zh-CN" w:bidi="ar"/>
        </w:rPr>
        <w:t xml:space="preserve"> 竣工结算时应按承包人实际完成的工作内容结算，剩余部分仍归发包人所有   </w:t>
      </w:r>
      <w:r>
        <w:rPr>
          <w:rFonts w:hint="eastAsia" w:ascii="宋体" w:hAnsi="宋体" w:eastAsia="宋体" w:cs="宋体"/>
          <w:color w:val="000000"/>
          <w:kern w:val="0"/>
          <w:sz w:val="21"/>
          <w:szCs w:val="21"/>
          <w:vertAlign w:val="baseline"/>
          <w:lang w:val="en-US" w:eastAsia="zh-CN" w:bidi="ar"/>
        </w:rPr>
        <w:t>。</w:t>
      </w:r>
    </w:p>
    <w:p w14:paraId="242C301B">
      <w:pPr>
        <w:pStyle w:val="5"/>
        <w:keepNext/>
        <w:keepLines/>
        <w:widowControl w:val="0"/>
        <w:numPr>
          <w:ilvl w:val="0"/>
          <w:numId w:val="0"/>
        </w:numPr>
        <w:suppressLineNumbers w:val="0"/>
        <w:adjustRightInd/>
        <w:snapToGrid w:val="0"/>
        <w:spacing w:line="400" w:lineRule="exact"/>
        <w:textAlignment w:val="baseline"/>
        <w:rPr>
          <w:rFonts w:hint="eastAsia" w:ascii="宋体" w:hAnsi="宋体" w:eastAsia="宋体" w:cs="宋体"/>
          <w:bCs/>
          <w:sz w:val="21"/>
          <w:szCs w:val="21"/>
          <w:vertAlign w:val="baseline"/>
          <w:lang w:val="en-US"/>
        </w:rPr>
      </w:pPr>
      <w:bookmarkStart w:id="640" w:name="_Toc351203643"/>
      <w:bookmarkStart w:id="641" w:name="_Toc407135249"/>
      <w:bookmarkStart w:id="642" w:name="_Toc6988"/>
      <w:bookmarkStart w:id="643" w:name="_Toc389065312"/>
      <w:bookmarkStart w:id="644" w:name="_Toc373478393"/>
      <w:bookmarkStart w:id="645" w:name="_Toc373227746"/>
      <w:r>
        <w:rPr>
          <w:rFonts w:hint="eastAsia" w:ascii="宋体" w:hAnsi="宋体" w:eastAsia="宋体" w:cs="宋体"/>
          <w:bCs/>
          <w:sz w:val="21"/>
          <w:szCs w:val="21"/>
          <w:vertAlign w:val="baseline"/>
          <w:lang w:val="en-US"/>
        </w:rPr>
        <w:t>11.</w:t>
      </w:r>
      <w:r>
        <w:rPr>
          <w:rFonts w:hint="eastAsia" w:ascii="宋体" w:hAnsi="宋体" w:eastAsia="宋体" w:cs="宋体"/>
          <w:bCs/>
          <w:sz w:val="21"/>
          <w:szCs w:val="21"/>
          <w:vertAlign w:val="baseline"/>
          <w:lang w:eastAsia="zh-CN"/>
        </w:rPr>
        <w:t>价格调整</w:t>
      </w:r>
      <w:bookmarkEnd w:id="640"/>
      <w:bookmarkEnd w:id="641"/>
      <w:bookmarkEnd w:id="642"/>
      <w:bookmarkEnd w:id="643"/>
      <w:bookmarkEnd w:id="644"/>
      <w:bookmarkEnd w:id="645"/>
    </w:p>
    <w:p w14:paraId="28A87ECD">
      <w:pPr>
        <w:pStyle w:val="5"/>
        <w:keepNext/>
        <w:keepLines/>
        <w:widowControl w:val="0"/>
        <w:numPr>
          <w:ilvl w:val="0"/>
          <w:numId w:val="0"/>
        </w:numPr>
        <w:suppressLineNumbers w:val="0"/>
        <w:adjustRightInd/>
        <w:snapToGrid w:val="0"/>
        <w:spacing w:line="400" w:lineRule="exact"/>
        <w:textAlignment w:val="baseline"/>
        <w:rPr>
          <w:rFonts w:hint="eastAsia" w:ascii="宋体" w:hAnsi="宋体" w:eastAsia="宋体" w:cs="宋体"/>
          <w:bCs/>
          <w:sz w:val="21"/>
          <w:szCs w:val="21"/>
          <w:vertAlign w:val="baseline"/>
          <w:lang w:val="en-US"/>
        </w:rPr>
      </w:pPr>
      <w:bookmarkStart w:id="646" w:name="_Toc407135250"/>
      <w:bookmarkStart w:id="647" w:name="_Toc373478394"/>
      <w:bookmarkStart w:id="648" w:name="_Toc389065313"/>
      <w:bookmarkStart w:id="649" w:name="_Toc373227747"/>
      <w:bookmarkStart w:id="650" w:name="_Toc3300"/>
      <w:r>
        <w:rPr>
          <w:rFonts w:hint="eastAsia" w:ascii="宋体" w:hAnsi="宋体" w:eastAsia="宋体" w:cs="宋体"/>
          <w:bCs/>
          <w:sz w:val="21"/>
          <w:szCs w:val="21"/>
          <w:vertAlign w:val="baseline"/>
          <w:lang w:val="en-US"/>
        </w:rPr>
        <w:t>11.1</w:t>
      </w:r>
      <w:r>
        <w:rPr>
          <w:rFonts w:hint="eastAsia" w:ascii="宋体" w:hAnsi="宋体" w:eastAsia="宋体" w:cs="宋体"/>
          <w:bCs/>
          <w:sz w:val="21"/>
          <w:szCs w:val="21"/>
          <w:vertAlign w:val="baseline"/>
          <w:lang w:eastAsia="zh-CN"/>
        </w:rPr>
        <w:t>市场价格波动引起的调整</w:t>
      </w:r>
      <w:bookmarkEnd w:id="646"/>
      <w:bookmarkEnd w:id="647"/>
      <w:bookmarkEnd w:id="648"/>
      <w:bookmarkEnd w:id="649"/>
      <w:bookmarkEnd w:id="650"/>
    </w:p>
    <w:p w14:paraId="129FF064">
      <w:pPr>
        <w:keepNext w:val="0"/>
        <w:keepLines w:val="0"/>
        <w:widowControl w:val="0"/>
        <w:suppressLineNumbers w:val="0"/>
        <w:snapToGrid w:val="0"/>
        <w:spacing w:before="0" w:beforeAutospacing="0" w:after="0" w:afterAutospacing="0" w:line="400" w:lineRule="exact"/>
        <w:ind w:left="0" w:right="0" w:firstLine="420" w:firstLineChars="200"/>
        <w:jc w:val="left"/>
        <w:textAlignment w:val="baseline"/>
        <w:rPr>
          <w:rFonts w:hint="eastAsia" w:ascii="宋体" w:hAnsi="宋体" w:eastAsia="宋体" w:cs="宋体"/>
          <w:sz w:val="21"/>
          <w:szCs w:val="21"/>
          <w:vertAlign w:val="baseline"/>
          <w:lang w:val="en-US"/>
        </w:rPr>
      </w:pPr>
      <w:r>
        <w:rPr>
          <w:rFonts w:hint="eastAsia" w:ascii="宋体" w:hAnsi="宋体" w:eastAsia="宋体" w:cs="宋体"/>
          <w:color w:val="000000"/>
          <w:kern w:val="0"/>
          <w:sz w:val="21"/>
          <w:szCs w:val="21"/>
          <w:vertAlign w:val="baseline"/>
          <w:lang w:val="en-US" w:eastAsia="zh-CN" w:bidi="ar"/>
        </w:rPr>
        <w:t>市场价格波动是否调整合同价格的约定：</w:t>
      </w:r>
      <w:r>
        <w:rPr>
          <w:rFonts w:hint="eastAsia" w:ascii="宋体" w:hAnsi="宋体" w:eastAsia="宋体" w:cs="宋体"/>
          <w:color w:val="000000"/>
          <w:kern w:val="2"/>
          <w:sz w:val="21"/>
          <w:szCs w:val="21"/>
          <w:u w:val="single" w:color="000000"/>
          <w:vertAlign w:val="baseline"/>
          <w:lang w:val="en-US" w:eastAsia="zh-CN" w:bidi="ar"/>
        </w:rPr>
        <w:t xml:space="preserve">   否   </w:t>
      </w:r>
      <w:r>
        <w:rPr>
          <w:rFonts w:hint="eastAsia" w:ascii="宋体" w:hAnsi="宋体" w:eastAsia="宋体" w:cs="宋体"/>
          <w:color w:val="000000"/>
          <w:kern w:val="2"/>
          <w:sz w:val="21"/>
          <w:szCs w:val="21"/>
          <w:vertAlign w:val="baseline"/>
          <w:lang w:val="en-US" w:eastAsia="zh-CN" w:bidi="ar"/>
        </w:rPr>
        <w:t>。</w:t>
      </w:r>
    </w:p>
    <w:p w14:paraId="4186AF41">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因市场价格波动调整合同价格，采用以下第</w:t>
      </w:r>
      <w:r>
        <w:rPr>
          <w:rFonts w:hint="eastAsia" w:ascii="宋体" w:hAnsi="宋体" w:eastAsia="宋体" w:cs="宋体"/>
          <w:color w:val="000000"/>
          <w:kern w:val="2"/>
          <w:sz w:val="21"/>
          <w:szCs w:val="21"/>
          <w:u w:val="single"/>
          <w:lang w:val="en-US" w:eastAsia="zh-CN" w:bidi="ar"/>
        </w:rPr>
        <w:t xml:space="preserve">  3  </w:t>
      </w:r>
      <w:r>
        <w:rPr>
          <w:rFonts w:hint="eastAsia" w:ascii="宋体" w:hAnsi="宋体" w:eastAsia="宋体" w:cs="宋体"/>
          <w:color w:val="000000"/>
          <w:kern w:val="2"/>
          <w:sz w:val="21"/>
          <w:szCs w:val="21"/>
          <w:lang w:val="en-US" w:eastAsia="zh-CN" w:bidi="ar"/>
        </w:rPr>
        <w:t>种方式对合同价格进行调整：</w:t>
      </w:r>
    </w:p>
    <w:p w14:paraId="3FC331E4">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第1种方式：采用价格指数进行价格调整。</w:t>
      </w:r>
    </w:p>
    <w:p w14:paraId="5E407E21">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u w:val="single"/>
          <w:lang w:val="en-US"/>
        </w:rPr>
      </w:pPr>
      <w:r>
        <w:rPr>
          <w:rFonts w:hint="eastAsia" w:ascii="宋体" w:hAnsi="宋体" w:eastAsia="宋体" w:cs="宋体"/>
          <w:color w:val="000000"/>
          <w:kern w:val="2"/>
          <w:sz w:val="21"/>
          <w:szCs w:val="21"/>
          <w:lang w:val="en-US" w:eastAsia="zh-CN" w:bidi="ar"/>
        </w:rPr>
        <w:t>关于各可调因子、定值和变值权重，以及基本价格指数及其来源的约定：</w:t>
      </w:r>
      <w:r>
        <w:rPr>
          <w:rFonts w:hint="eastAsia" w:ascii="宋体" w:hAnsi="宋体" w:eastAsia="宋体" w:cs="宋体"/>
          <w:color w:val="000000"/>
          <w:kern w:val="2"/>
          <w:sz w:val="21"/>
          <w:szCs w:val="21"/>
          <w:u w:val="single"/>
          <w:lang w:val="en-US" w:eastAsia="zh-CN" w:bidi="ar"/>
        </w:rPr>
        <w:t xml:space="preserve">  无  </w:t>
      </w:r>
      <w:r>
        <w:rPr>
          <w:rFonts w:hint="eastAsia" w:ascii="宋体" w:hAnsi="宋体" w:eastAsia="宋体" w:cs="宋体"/>
          <w:color w:val="000000"/>
          <w:kern w:val="2"/>
          <w:sz w:val="21"/>
          <w:szCs w:val="21"/>
          <w:lang w:val="en-US" w:eastAsia="zh-CN" w:bidi="ar"/>
        </w:rPr>
        <w:t xml:space="preserve">；  </w:t>
      </w:r>
    </w:p>
    <w:p w14:paraId="35C628F9">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第2种方式：采用造价信息进行价格调整。</w:t>
      </w:r>
    </w:p>
    <w:p w14:paraId="25CADAD9">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（1）允许调整的主要材料（设备）、基期价格、风险系数、投标报价：详见《承包人提供主要材料和设备一览表》。</w:t>
      </w:r>
    </w:p>
    <w:p w14:paraId="4B7EEF84">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（2）主要材料确认价：</w:t>
      </w:r>
    </w:p>
    <w:p w14:paraId="02BBFCE2">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按施工期间《</w:t>
      </w:r>
      <w:r>
        <w:rPr>
          <w:rFonts w:hint="eastAsia" w:ascii="宋体" w:hAnsi="宋体" w:eastAsia="宋体" w:cs="宋体"/>
          <w:color w:val="000000"/>
          <w:kern w:val="2"/>
          <w:sz w:val="21"/>
          <w:szCs w:val="21"/>
          <w:u w:val="single"/>
          <w:lang w:val="en-US" w:eastAsia="zh-CN" w:bidi="ar"/>
        </w:rPr>
        <w:t xml:space="preserve"> 玉林</w:t>
      </w:r>
      <w:r>
        <w:rPr>
          <w:rFonts w:hint="eastAsia" w:ascii="宋体" w:hAnsi="宋体" w:eastAsia="宋体" w:cs="宋体"/>
          <w:color w:val="000000"/>
          <w:kern w:val="2"/>
          <w:sz w:val="21"/>
          <w:szCs w:val="21"/>
          <w:lang w:val="en-US" w:eastAsia="zh-CN" w:bidi="ar"/>
        </w:rPr>
        <w:t>建设工程造价信息》加权平均计算，信息价没有的按通用条款规定确定。</w:t>
      </w:r>
    </w:p>
    <w:p w14:paraId="3B48F740">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（3）价差计算方法：</w:t>
      </w:r>
    </w:p>
    <w:p w14:paraId="24D964AF">
      <w:pPr>
        <w:pageBreakBefore w:val="0"/>
        <w:widowControl w:val="0"/>
        <w:kinsoku/>
        <w:wordWrap/>
        <w:overflowPunct/>
        <w:topLinePunct w:val="0"/>
        <w:bidi w:val="0"/>
        <w:spacing w:line="400" w:lineRule="exact"/>
        <w:ind w:left="0" w:leftChars="0" w:firstLine="420" w:firstLineChars="200"/>
        <w:jc w:val="left"/>
        <w:rPr>
          <w:rFonts w:hint="eastAsia" w:ascii="宋体" w:hAnsi="宋体" w:eastAsia="宋体" w:cs="宋体"/>
          <w:color w:val="auto"/>
          <w:sz w:val="21"/>
          <w:szCs w:val="21"/>
        </w:rPr>
      </w:pPr>
      <w:r>
        <w:rPr>
          <w:rFonts w:hint="eastAsia" w:ascii="宋体" w:hAnsi="宋体" w:eastAsia="宋体" w:cs="宋体"/>
          <w:color w:val="auto"/>
          <w:sz w:val="21"/>
          <w:szCs w:val="21"/>
        </w:rPr>
        <w:t>①承包人在已标价工程量清单或预算书中载明的主要材料低于基准价格的：合同履行期间材料单价涨幅以基准价格为基础超过±5%（不含）时，或材料单价跌幅以在已标价工程量清单或预算书中载明的主要材料为基础超过±5%（不含）时，其超过部分据实调整。</w:t>
      </w:r>
    </w:p>
    <w:p w14:paraId="65DFF990">
      <w:pPr>
        <w:pageBreakBefore w:val="0"/>
        <w:widowControl w:val="0"/>
        <w:kinsoku/>
        <w:wordWrap/>
        <w:overflowPunct/>
        <w:topLinePunct w:val="0"/>
        <w:bidi w:val="0"/>
        <w:spacing w:line="400" w:lineRule="exact"/>
        <w:ind w:left="0" w:leftChars="0" w:firstLine="420" w:firstLineChars="200"/>
        <w:jc w:val="left"/>
        <w:rPr>
          <w:rFonts w:hint="eastAsia" w:ascii="宋体" w:hAnsi="宋体" w:eastAsia="宋体" w:cs="宋体"/>
          <w:color w:val="auto"/>
          <w:sz w:val="21"/>
          <w:szCs w:val="21"/>
        </w:rPr>
      </w:pPr>
      <w:r>
        <w:rPr>
          <w:rFonts w:hint="eastAsia" w:ascii="宋体" w:hAnsi="宋体" w:eastAsia="宋体" w:cs="宋体"/>
          <w:color w:val="auto"/>
          <w:sz w:val="21"/>
          <w:szCs w:val="21"/>
        </w:rPr>
        <w:t>②承包人在已标价工程量清单或预算书中载明的主要材料高于基准价格的：合同履行期间材料单价跌幅以基准价格为基础超过±5%（不含）时，材料单价涨幅以在已标价工程量清单或预算书中载明材料单价为基础超过±5%（不含）时，其超过部分据实调整。</w:t>
      </w:r>
    </w:p>
    <w:p w14:paraId="76670D8F">
      <w:pPr>
        <w:pageBreakBefore w:val="0"/>
        <w:widowControl w:val="0"/>
        <w:kinsoku/>
        <w:wordWrap/>
        <w:overflowPunct/>
        <w:topLinePunct w:val="0"/>
        <w:bidi w:val="0"/>
        <w:spacing w:line="400" w:lineRule="exact"/>
        <w:ind w:left="0" w:leftChars="0" w:firstLine="420" w:firstLineChars="200"/>
        <w:jc w:val="left"/>
        <w:rPr>
          <w:rFonts w:hint="eastAsia" w:ascii="宋体" w:hAnsi="宋体" w:eastAsia="宋体" w:cs="宋体"/>
          <w:color w:val="auto"/>
          <w:sz w:val="21"/>
          <w:szCs w:val="21"/>
        </w:rPr>
      </w:pPr>
      <w:r>
        <w:rPr>
          <w:rFonts w:hint="eastAsia" w:ascii="宋体" w:hAnsi="宋体" w:eastAsia="宋体" w:cs="宋体"/>
          <w:color w:val="auto"/>
          <w:sz w:val="21"/>
          <w:szCs w:val="21"/>
        </w:rPr>
        <w:t>③承包人在已标价工程量清单或预算书中载明的主要材料等于基准价格的：合同履行期间材料单价涨跌幅以基准价格为基础超过±5%时，其超过部分据实调整。</w:t>
      </w:r>
    </w:p>
    <w:p w14:paraId="7BFD624C">
      <w:pPr>
        <w:pStyle w:val="35"/>
        <w:pageBreakBefore w:val="0"/>
        <w:widowControl w:val="0"/>
        <w:kinsoku/>
        <w:wordWrap/>
        <w:overflowPunct/>
        <w:topLinePunct w:val="0"/>
        <w:autoSpaceDE/>
        <w:autoSpaceDN/>
        <w:bidi w:val="0"/>
        <w:spacing w:line="400" w:lineRule="exact"/>
        <w:ind w:left="0" w:leftChars="0"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bCs w:val="0"/>
          <w:color w:val="auto"/>
          <w:spacing w:val="0"/>
          <w:kern w:val="2"/>
          <w:sz w:val="21"/>
          <w:szCs w:val="21"/>
          <w:lang w:val="en-US" w:eastAsia="zh-CN" w:bidi="ar-SA"/>
        </w:rPr>
        <w:t>④因人工、材料、工程设备和机械台班价格波动影响合同价格时，人工、机械使用费按照国家或省、自治区、直辖市建设行政管理部门、行业建设管理部门或其授权的工程造价管理机构发布的人工、机械使用费系数进行调整。</w:t>
      </w:r>
    </w:p>
    <w:p w14:paraId="10C5A3B2">
      <w:pPr>
        <w:pageBreakBefore w:val="0"/>
        <w:widowControl w:val="0"/>
        <w:kinsoku/>
        <w:wordWrap/>
        <w:overflowPunct/>
        <w:topLinePunct w:val="0"/>
        <w:bidi w:val="0"/>
        <w:spacing w:line="400" w:lineRule="exact"/>
        <w:ind w:left="0" w:leftChars="0" w:firstLine="420" w:firstLineChars="200"/>
        <w:jc w:val="left"/>
        <w:rPr>
          <w:rFonts w:hint="eastAsia" w:ascii="宋体" w:hAnsi="宋体" w:eastAsia="宋体" w:cs="宋体"/>
          <w:sz w:val="21"/>
          <w:szCs w:val="21"/>
          <w:lang w:val="en-US"/>
        </w:rPr>
      </w:pPr>
      <w:r>
        <w:rPr>
          <w:rFonts w:hint="eastAsia" w:ascii="宋体" w:hAnsi="宋体" w:eastAsia="宋体" w:cs="宋体"/>
          <w:color w:val="auto"/>
          <w:sz w:val="21"/>
          <w:szCs w:val="21"/>
        </w:rPr>
        <w:t>第3种方式：</w:t>
      </w:r>
      <w:r>
        <w:rPr>
          <w:rFonts w:hint="eastAsia" w:ascii="宋体" w:hAnsi="宋体" w:eastAsia="宋体" w:cs="宋体"/>
          <w:color w:val="auto"/>
          <w:sz w:val="21"/>
          <w:szCs w:val="21"/>
          <w:u w:val="single"/>
        </w:rPr>
        <w:t xml:space="preserve"> 不允许调整，按固定单价结算  </w:t>
      </w:r>
      <w:r>
        <w:rPr>
          <w:rFonts w:hint="eastAsia" w:ascii="宋体" w:hAnsi="宋体" w:eastAsia="宋体" w:cs="宋体"/>
          <w:color w:val="auto"/>
          <w:sz w:val="21"/>
          <w:szCs w:val="21"/>
        </w:rPr>
        <w:t xml:space="preserve"> 。</w:t>
      </w:r>
    </w:p>
    <w:p w14:paraId="6FD3C9FC">
      <w:pPr>
        <w:pStyle w:val="6"/>
        <w:widowControl/>
        <w:numPr>
          <w:ilvl w:val="0"/>
          <w:numId w:val="0"/>
        </w:numPr>
        <w:tabs>
          <w:tab w:val="left" w:pos="2155"/>
        </w:tabs>
        <w:spacing w:before="0" w:beforeAutospacing="0" w:after="0" w:afterAutospacing="0" w:line="400" w:lineRule="exact"/>
        <w:ind w:right="0"/>
        <w:rPr>
          <w:rFonts w:hint="eastAsia" w:ascii="宋体" w:hAnsi="宋体" w:eastAsia="宋体" w:cs="宋体"/>
          <w:b/>
          <w:bCs w:val="0"/>
          <w:sz w:val="21"/>
          <w:szCs w:val="21"/>
          <w:lang w:val="en-US"/>
        </w:rPr>
      </w:pPr>
      <w:r>
        <w:rPr>
          <w:rFonts w:hint="eastAsia" w:ascii="宋体" w:hAnsi="宋体" w:eastAsia="宋体" w:cs="宋体"/>
          <w:b/>
          <w:bCs w:val="0"/>
          <w:sz w:val="21"/>
          <w:szCs w:val="21"/>
          <w:lang w:val="en-US"/>
        </w:rPr>
        <w:t>12.</w:t>
      </w:r>
      <w:bookmarkEnd w:id="392"/>
      <w:bookmarkEnd w:id="393"/>
      <w:bookmarkEnd w:id="394"/>
      <w:bookmarkEnd w:id="395"/>
      <w:bookmarkEnd w:id="396"/>
      <w:bookmarkEnd w:id="397"/>
      <w:bookmarkEnd w:id="398"/>
      <w:bookmarkEnd w:id="399"/>
      <w:bookmarkEnd w:id="400"/>
      <w:bookmarkEnd w:id="401"/>
      <w:r>
        <w:rPr>
          <w:rFonts w:hint="eastAsia" w:ascii="宋体" w:hAnsi="宋体" w:eastAsia="宋体" w:cs="宋体"/>
          <w:b/>
          <w:bCs w:val="0"/>
          <w:sz w:val="21"/>
          <w:szCs w:val="21"/>
          <w:lang w:eastAsia="zh-CN"/>
        </w:rPr>
        <w:t>合同价格、计量与支付</w:t>
      </w:r>
      <w:bookmarkEnd w:id="402"/>
    </w:p>
    <w:bookmarkEnd w:id="403"/>
    <w:bookmarkEnd w:id="404"/>
    <w:bookmarkEnd w:id="405"/>
    <w:bookmarkEnd w:id="406"/>
    <w:bookmarkEnd w:id="407"/>
    <w:bookmarkEnd w:id="408"/>
    <w:p w14:paraId="77BD421A">
      <w:pPr>
        <w:keepNext w:val="0"/>
        <w:keepLines w:val="0"/>
        <w:widowControl w:val="0"/>
        <w:suppressLineNumbers w:val="0"/>
        <w:snapToGrid w:val="0"/>
        <w:spacing w:before="0" w:beforeAutospacing="0" w:after="0" w:afterAutospacing="0" w:line="400" w:lineRule="exact"/>
        <w:ind w:right="0"/>
        <w:jc w:val="left"/>
        <w:textAlignment w:val="baseline"/>
        <w:rPr>
          <w:rFonts w:hint="eastAsia" w:ascii="宋体" w:hAnsi="宋体" w:eastAsia="宋体" w:cs="宋体"/>
          <w:b/>
          <w:bCs/>
          <w:sz w:val="21"/>
          <w:szCs w:val="21"/>
          <w:vertAlign w:val="baseline"/>
          <w:lang w:val="en-US"/>
        </w:rPr>
      </w:pPr>
      <w:r>
        <w:rPr>
          <w:rFonts w:hint="eastAsia" w:ascii="宋体" w:hAnsi="宋体" w:eastAsia="宋体" w:cs="宋体"/>
          <w:b/>
          <w:bCs/>
          <w:color w:val="000000"/>
          <w:kern w:val="2"/>
          <w:sz w:val="21"/>
          <w:szCs w:val="21"/>
          <w:vertAlign w:val="baseline"/>
          <w:lang w:val="en-US" w:eastAsia="zh-CN" w:bidi="ar"/>
        </w:rPr>
        <w:t>12.1合同价格形式</w:t>
      </w:r>
    </w:p>
    <w:p w14:paraId="6A84740E">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bookmarkStart w:id="651" w:name="_Toc416772284"/>
      <w:r>
        <w:rPr>
          <w:rFonts w:hint="eastAsia" w:ascii="宋体" w:hAnsi="宋体" w:eastAsia="宋体" w:cs="宋体"/>
          <w:color w:val="000000"/>
          <w:kern w:val="2"/>
          <w:sz w:val="21"/>
          <w:szCs w:val="21"/>
          <w:lang w:val="en-US" w:eastAsia="zh-CN" w:bidi="ar"/>
        </w:rPr>
        <w:t>（1）单价合同。</w:t>
      </w:r>
    </w:p>
    <w:p w14:paraId="1CED7AE4">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本合同价款采用</w:t>
      </w:r>
      <w:r>
        <w:rPr>
          <w:rFonts w:hint="eastAsia" w:ascii="宋体" w:hAnsi="宋体" w:eastAsia="宋体" w:cs="宋体"/>
          <w:color w:val="000000"/>
          <w:kern w:val="2"/>
          <w:sz w:val="21"/>
          <w:szCs w:val="21"/>
          <w:u w:val="single"/>
          <w:lang w:val="en-US" w:eastAsia="zh-CN" w:bidi="ar"/>
        </w:rPr>
        <w:t xml:space="preserve">  固定综合单价  </w:t>
      </w:r>
      <w:r>
        <w:rPr>
          <w:rFonts w:hint="eastAsia" w:ascii="宋体" w:hAnsi="宋体" w:eastAsia="宋体" w:cs="宋体"/>
          <w:color w:val="000000"/>
          <w:kern w:val="2"/>
          <w:sz w:val="21"/>
          <w:szCs w:val="21"/>
          <w:lang w:val="en-US" w:eastAsia="zh-CN" w:bidi="ar"/>
        </w:rPr>
        <w:t>方式确定。</w:t>
      </w:r>
    </w:p>
    <w:p w14:paraId="37D0747B">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综合单价包含的风险范围：</w:t>
      </w:r>
      <w:r>
        <w:rPr>
          <w:rFonts w:hint="eastAsia" w:ascii="宋体" w:hAnsi="宋体" w:eastAsia="宋体" w:cs="宋体"/>
          <w:color w:val="auto"/>
          <w:sz w:val="21"/>
          <w:szCs w:val="21"/>
          <w:highlight w:val="none"/>
          <w:u w:val="single"/>
        </w:rPr>
        <w:t>除工程变更、项目特征不符、工程量清单缺项、工程量偏差、政策性调整、市场价格波动</w:t>
      </w:r>
      <w:r>
        <w:rPr>
          <w:rFonts w:hint="eastAsia" w:ascii="宋体" w:hAnsi="宋体" w:eastAsia="宋体" w:cs="宋体"/>
          <w:color w:val="000000"/>
          <w:kern w:val="2"/>
          <w:sz w:val="21"/>
          <w:szCs w:val="21"/>
          <w:u w:val="single"/>
          <w:lang w:val="en-US" w:eastAsia="zh-CN" w:bidi="ar"/>
        </w:rPr>
        <w:t>。</w:t>
      </w:r>
    </w:p>
    <w:p w14:paraId="11BC465D">
      <w:pPr>
        <w:pStyle w:val="24"/>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风险范围以外合同价格的调整方法：</w:t>
      </w:r>
    </w:p>
    <w:p w14:paraId="5CF1FA1B">
      <w:pPr>
        <w:pStyle w:val="24"/>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①工程变更：按10.4.1变更估价原则的约定调整。</w:t>
      </w:r>
    </w:p>
    <w:p w14:paraId="7CF2FBBB">
      <w:pPr>
        <w:pStyle w:val="24"/>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②政策性调整：按自治区建设行政主管部门颁布的文件执行。</w:t>
      </w:r>
    </w:p>
    <w:p w14:paraId="11E7693E">
      <w:pPr>
        <w:pStyle w:val="24"/>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r>
        <w:rPr>
          <w:rFonts w:hint="eastAsia" w:ascii="宋体" w:hAnsi="宋体" w:eastAsia="宋体" w:cs="宋体"/>
          <w:kern w:val="2"/>
          <w:sz w:val="21"/>
          <w:szCs w:val="21"/>
          <w:lang w:val="en-US" w:eastAsia="zh-CN" w:bidi="ar"/>
        </w:rPr>
        <w:t>③材料价格风险：按11.1的约定调整。</w:t>
      </w:r>
    </w:p>
    <w:p w14:paraId="6FAA02A3">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④其它：</w:t>
      </w:r>
      <w:r>
        <w:rPr>
          <w:rFonts w:hint="eastAsia" w:ascii="宋体" w:hAnsi="宋体" w:eastAsia="宋体" w:cs="宋体"/>
          <w:color w:val="000000"/>
          <w:kern w:val="2"/>
          <w:sz w:val="21"/>
          <w:szCs w:val="21"/>
          <w:u w:val="single"/>
          <w:lang w:val="en-US" w:eastAsia="zh-CN" w:bidi="ar"/>
        </w:rPr>
        <w:t xml:space="preserve">           /           </w:t>
      </w:r>
      <w:r>
        <w:rPr>
          <w:rFonts w:hint="eastAsia" w:ascii="宋体" w:hAnsi="宋体" w:eastAsia="宋体" w:cs="宋体"/>
          <w:color w:val="000000"/>
          <w:kern w:val="2"/>
          <w:sz w:val="21"/>
          <w:szCs w:val="21"/>
          <w:lang w:val="en-US" w:eastAsia="zh-CN" w:bidi="ar"/>
        </w:rPr>
        <w:t>。</w:t>
      </w:r>
    </w:p>
    <w:p w14:paraId="3C7AD800">
      <w:pPr>
        <w:keepNext w:val="0"/>
        <w:keepLines w:val="0"/>
        <w:widowControl w:val="0"/>
        <w:suppressLineNumbers w:val="0"/>
        <w:spacing w:before="0" w:beforeAutospacing="0" w:after="0" w:afterAutospacing="0" w:line="400" w:lineRule="exact"/>
        <w:ind w:right="0"/>
        <w:jc w:val="both"/>
        <w:rPr>
          <w:rFonts w:hint="eastAsia" w:ascii="宋体" w:hAnsi="宋体" w:eastAsia="宋体" w:cs="宋体"/>
          <w:b/>
          <w:bCs/>
          <w:sz w:val="21"/>
          <w:szCs w:val="21"/>
          <w:lang w:val="en-US"/>
        </w:rPr>
      </w:pPr>
      <w:r>
        <w:rPr>
          <w:rFonts w:hint="eastAsia" w:ascii="宋体" w:hAnsi="宋体" w:eastAsia="宋体" w:cs="宋体"/>
          <w:b/>
          <w:bCs/>
          <w:color w:val="000000"/>
          <w:kern w:val="2"/>
          <w:sz w:val="21"/>
          <w:szCs w:val="21"/>
          <w:lang w:val="en-US" w:eastAsia="zh-CN" w:bidi="ar"/>
        </w:rPr>
        <w:t>12.2预付款</w:t>
      </w:r>
      <w:bookmarkEnd w:id="651"/>
    </w:p>
    <w:bookmarkEnd w:id="409"/>
    <w:p w14:paraId="053910FC">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12.2.1预付款的支付</w:t>
      </w:r>
    </w:p>
    <w:p w14:paraId="3B627AA4">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highlight w:val="none"/>
          <w:lang w:val="en-US"/>
        </w:rPr>
      </w:pPr>
      <w:r>
        <w:rPr>
          <w:rFonts w:hint="eastAsia" w:ascii="宋体" w:hAnsi="宋体" w:eastAsia="宋体" w:cs="宋体"/>
          <w:color w:val="000000"/>
          <w:kern w:val="2"/>
          <w:sz w:val="21"/>
          <w:szCs w:val="21"/>
          <w:lang w:val="en-US" w:eastAsia="zh-CN" w:bidi="ar"/>
        </w:rPr>
        <w:t>预付款支付比例或金额：</w:t>
      </w:r>
      <w:r>
        <w:rPr>
          <w:rFonts w:hint="eastAsia" w:ascii="宋体" w:hAnsi="宋体" w:eastAsia="宋体" w:cs="宋体"/>
          <w:color w:val="000000"/>
          <w:kern w:val="2"/>
          <w:sz w:val="21"/>
          <w:szCs w:val="21"/>
          <w:u w:val="single"/>
          <w:lang w:val="en-US" w:eastAsia="zh-CN" w:bidi="ar"/>
        </w:rPr>
        <w:t xml:space="preserve">  </w:t>
      </w:r>
      <w:r>
        <w:rPr>
          <w:rFonts w:hint="eastAsia" w:ascii="宋体" w:hAnsi="宋体" w:eastAsia="宋体" w:cs="宋体"/>
          <w:color w:val="000000"/>
          <w:kern w:val="2"/>
          <w:sz w:val="21"/>
          <w:szCs w:val="21"/>
          <w:highlight w:val="none"/>
          <w:u w:val="single"/>
          <w:lang w:val="en-US" w:eastAsia="zh-CN" w:bidi="ar"/>
        </w:rPr>
        <w:t xml:space="preserve"> </w:t>
      </w:r>
      <w:r>
        <w:rPr>
          <w:rFonts w:hint="eastAsia" w:ascii="宋体" w:hAnsi="宋体" w:cs="宋体"/>
          <w:color w:val="000000"/>
          <w:kern w:val="2"/>
          <w:sz w:val="21"/>
          <w:szCs w:val="21"/>
          <w:highlight w:val="none"/>
          <w:u w:val="single"/>
          <w:lang w:val="en-US" w:eastAsia="zh-CN" w:bidi="ar"/>
        </w:rPr>
        <w:t xml:space="preserve">/      </w:t>
      </w:r>
      <w:r>
        <w:rPr>
          <w:rFonts w:hint="eastAsia" w:ascii="宋体" w:hAnsi="宋体" w:eastAsia="宋体" w:cs="宋体"/>
          <w:color w:val="000000"/>
          <w:kern w:val="2"/>
          <w:sz w:val="21"/>
          <w:szCs w:val="21"/>
          <w:highlight w:val="none"/>
          <w:u w:val="single"/>
          <w:lang w:val="en-US" w:eastAsia="zh-CN" w:bidi="ar"/>
        </w:rPr>
        <w:t xml:space="preserve"> </w:t>
      </w:r>
      <w:r>
        <w:rPr>
          <w:rFonts w:hint="eastAsia" w:ascii="宋体" w:hAnsi="宋体" w:eastAsia="宋体" w:cs="宋体"/>
          <w:color w:val="000000"/>
          <w:kern w:val="2"/>
          <w:sz w:val="21"/>
          <w:szCs w:val="21"/>
          <w:highlight w:val="none"/>
          <w:lang w:val="en-US" w:eastAsia="zh-CN" w:bidi="ar"/>
        </w:rPr>
        <w:t>。</w:t>
      </w:r>
    </w:p>
    <w:p w14:paraId="5375F57B">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预付款支付期限：</w:t>
      </w:r>
      <w:r>
        <w:rPr>
          <w:rFonts w:hint="eastAsia" w:ascii="宋体" w:hAnsi="宋体" w:eastAsia="宋体" w:cs="宋体"/>
          <w:color w:val="000000"/>
          <w:kern w:val="2"/>
          <w:sz w:val="21"/>
          <w:szCs w:val="21"/>
          <w:u w:val="single"/>
          <w:lang w:val="en-US" w:eastAsia="zh-CN" w:bidi="ar"/>
        </w:rPr>
        <w:t xml:space="preserve">         /     </w:t>
      </w:r>
      <w:r>
        <w:rPr>
          <w:rFonts w:hint="eastAsia" w:ascii="宋体" w:hAnsi="宋体" w:eastAsia="宋体" w:cs="宋体"/>
          <w:color w:val="000000"/>
          <w:kern w:val="2"/>
          <w:sz w:val="21"/>
          <w:szCs w:val="21"/>
          <w:lang w:val="en-US" w:eastAsia="zh-CN" w:bidi="ar"/>
        </w:rPr>
        <w:t>。</w:t>
      </w:r>
    </w:p>
    <w:p w14:paraId="5566AE62">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预付款扣回的方式：</w:t>
      </w:r>
      <w:r>
        <w:rPr>
          <w:rFonts w:hint="eastAsia" w:ascii="宋体" w:hAnsi="宋体" w:eastAsia="宋体" w:cs="宋体"/>
          <w:color w:val="000000"/>
          <w:kern w:val="2"/>
          <w:sz w:val="21"/>
          <w:szCs w:val="21"/>
          <w:u w:val="single"/>
          <w:lang w:val="en-US" w:eastAsia="zh-CN" w:bidi="ar"/>
        </w:rPr>
        <w:t xml:space="preserve">       /     </w:t>
      </w:r>
      <w:r>
        <w:rPr>
          <w:rFonts w:hint="eastAsia" w:ascii="宋体" w:hAnsi="宋体" w:eastAsia="宋体" w:cs="宋体"/>
          <w:color w:val="000000"/>
          <w:kern w:val="2"/>
          <w:sz w:val="21"/>
          <w:szCs w:val="21"/>
          <w:lang w:val="en-US" w:eastAsia="zh-CN" w:bidi="ar"/>
        </w:rPr>
        <w:t>。</w:t>
      </w:r>
    </w:p>
    <w:p w14:paraId="0AF50FB4">
      <w:pPr>
        <w:keepNext w:val="0"/>
        <w:keepLines w:val="0"/>
        <w:widowControl w:val="0"/>
        <w:suppressLineNumbers w:val="0"/>
        <w:spacing w:before="0" w:beforeAutospacing="0" w:after="0" w:afterAutospacing="0" w:line="400" w:lineRule="exact"/>
        <w:ind w:right="0"/>
        <w:jc w:val="both"/>
        <w:rPr>
          <w:rFonts w:hint="eastAsia" w:ascii="宋体" w:hAnsi="宋体" w:eastAsia="宋体" w:cs="宋体"/>
          <w:b/>
          <w:bCs/>
          <w:sz w:val="21"/>
          <w:szCs w:val="21"/>
          <w:lang w:val="en-US"/>
        </w:rPr>
      </w:pPr>
      <w:r>
        <w:rPr>
          <w:rFonts w:hint="eastAsia" w:ascii="宋体" w:hAnsi="宋体" w:eastAsia="宋体" w:cs="宋体"/>
          <w:b/>
          <w:bCs/>
          <w:color w:val="000000"/>
          <w:kern w:val="2"/>
          <w:sz w:val="21"/>
          <w:szCs w:val="21"/>
          <w:lang w:val="en-US" w:eastAsia="zh-CN" w:bidi="ar"/>
        </w:rPr>
        <w:t>12.3计量</w:t>
      </w:r>
    </w:p>
    <w:p w14:paraId="02BBA5B1">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12.3.1计量原则</w:t>
      </w:r>
    </w:p>
    <w:p w14:paraId="59F4542B">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工程量计算规则：</w:t>
      </w:r>
      <w:r>
        <w:rPr>
          <w:rFonts w:hint="eastAsia" w:ascii="宋体" w:hAnsi="宋体" w:eastAsia="宋体" w:cs="宋体"/>
          <w:color w:val="000000"/>
          <w:kern w:val="2"/>
          <w:sz w:val="21"/>
          <w:szCs w:val="21"/>
          <w:u w:val="single"/>
          <w:lang w:val="en-US" w:eastAsia="zh-CN" w:bidi="ar"/>
        </w:rPr>
        <w:t>工程的计量均以《</w:t>
      </w:r>
      <w:r>
        <w:rPr>
          <w:rFonts w:hint="eastAsia" w:ascii="宋体" w:hAnsi="宋体" w:eastAsia="宋体" w:cs="宋体"/>
          <w:i w:val="0"/>
          <w:iCs w:val="0"/>
          <w:caps w:val="0"/>
          <w:color w:val="000000"/>
          <w:spacing w:val="0"/>
          <w:sz w:val="21"/>
          <w:szCs w:val="21"/>
          <w:u w:val="single"/>
          <w:shd w:val="clear" w:color="auto" w:fill="FFFFFF"/>
          <w:lang w:val="en-US" w:eastAsia="zh-CN"/>
        </w:rPr>
        <w:t>建设工程工程量清单计价标准</w:t>
      </w:r>
      <w:r>
        <w:rPr>
          <w:rFonts w:hint="eastAsia" w:ascii="宋体" w:hAnsi="宋体" w:eastAsia="宋体" w:cs="宋体"/>
          <w:color w:val="000000"/>
          <w:kern w:val="2"/>
          <w:sz w:val="21"/>
          <w:szCs w:val="21"/>
          <w:u w:val="single"/>
          <w:lang w:val="en-US" w:eastAsia="zh-CN" w:bidi="ar"/>
        </w:rPr>
        <w:t>》（GB/T50500-2024）、本工程补充项目清单为准。</w:t>
      </w:r>
    </w:p>
    <w:p w14:paraId="4EB7223D">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12.3.2计量周期</w:t>
      </w:r>
    </w:p>
    <w:p w14:paraId="472822E6">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关于计量周期的约定：</w:t>
      </w:r>
      <w:r>
        <w:rPr>
          <w:rFonts w:hint="eastAsia" w:ascii="宋体" w:hAnsi="宋体" w:eastAsia="宋体" w:cs="宋体"/>
          <w:color w:val="000000"/>
          <w:kern w:val="2"/>
          <w:sz w:val="21"/>
          <w:szCs w:val="21"/>
          <w:u w:val="single"/>
          <w:lang w:val="en-US" w:eastAsia="zh-CN" w:bidi="ar"/>
        </w:rPr>
        <w:t>每月25日前</w:t>
      </w:r>
      <w:r>
        <w:rPr>
          <w:rFonts w:hint="eastAsia" w:ascii="宋体" w:hAnsi="宋体" w:eastAsia="宋体" w:cs="宋体"/>
          <w:color w:val="000000"/>
          <w:kern w:val="2"/>
          <w:sz w:val="21"/>
          <w:szCs w:val="21"/>
          <w:lang w:val="en-US" w:eastAsia="zh-CN" w:bidi="ar"/>
        </w:rPr>
        <w:t>。</w:t>
      </w:r>
    </w:p>
    <w:p w14:paraId="1C38B342">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12.3.3单价合同的计量</w:t>
      </w:r>
    </w:p>
    <w:p w14:paraId="2A63E1B7">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关于单价合同计量的约定：</w:t>
      </w:r>
    </w:p>
    <w:p w14:paraId="296BE951">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（1）工程量清单所列的工程量，不能作为承包人按合同履行其责任依据，实际施工中发生的工程量增加或减少并不影响承包人履行合同的责任，工程结算以完成的实际工程量为准。</w:t>
      </w:r>
    </w:p>
    <w:p w14:paraId="5D83846F">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（2）除另有规定外，工程师应按照合同通过计量来核实确定已完成的工程量和价款，承包人应得到该价款扣除保留金后的金额。当工程师要对已完工的工程量进行计量时，应适时地通知承包人参加。</w:t>
      </w:r>
    </w:p>
    <w:p w14:paraId="1E11A382">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12.3.4总价合同的计量</w:t>
      </w:r>
    </w:p>
    <w:p w14:paraId="67D38164">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关于总价合同计量的约定：除工程变更外，原图纸范围内的工程量不得按实计量。进度款按支付分解表支付，按通用条款第12.3.4项〔总价合同的计量〕约定进行计量，但合同价款按照支付分解表进行支付。</w:t>
      </w:r>
    </w:p>
    <w:p w14:paraId="3707BC7C">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12.3.5其他价格形式合同的计量</w:t>
      </w:r>
    </w:p>
    <w:p w14:paraId="53D59772">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u w:val="single"/>
          <w:lang w:val="en-US"/>
        </w:rPr>
      </w:pPr>
      <w:r>
        <w:rPr>
          <w:rFonts w:hint="eastAsia" w:ascii="宋体" w:hAnsi="宋体" w:eastAsia="宋体" w:cs="宋体"/>
          <w:color w:val="000000"/>
          <w:kern w:val="2"/>
          <w:sz w:val="21"/>
          <w:szCs w:val="21"/>
          <w:lang w:val="en-US" w:eastAsia="zh-CN" w:bidi="ar"/>
        </w:rPr>
        <w:t>其他价格形式的计量方式和程序：</w:t>
      </w:r>
      <w:r>
        <w:rPr>
          <w:rFonts w:hint="eastAsia" w:ascii="宋体" w:hAnsi="宋体" w:eastAsia="宋体" w:cs="宋体"/>
          <w:color w:val="000000"/>
          <w:kern w:val="2"/>
          <w:sz w:val="21"/>
          <w:szCs w:val="21"/>
          <w:u w:val="single"/>
          <w:lang w:val="en-US" w:eastAsia="zh-CN" w:bidi="ar"/>
        </w:rPr>
        <w:t xml:space="preserve">           /                 </w:t>
      </w:r>
      <w:r>
        <w:rPr>
          <w:rFonts w:hint="eastAsia" w:ascii="宋体" w:hAnsi="宋体" w:eastAsia="宋体" w:cs="宋体"/>
          <w:color w:val="000000"/>
          <w:kern w:val="2"/>
          <w:sz w:val="21"/>
          <w:szCs w:val="21"/>
          <w:lang w:val="en-US" w:eastAsia="zh-CN" w:bidi="ar"/>
        </w:rPr>
        <w:t>。</w:t>
      </w:r>
    </w:p>
    <w:p w14:paraId="14909637">
      <w:pPr>
        <w:keepNext w:val="0"/>
        <w:keepLines w:val="0"/>
        <w:widowControl w:val="0"/>
        <w:suppressLineNumbers w:val="0"/>
        <w:spacing w:before="0" w:beforeAutospacing="0" w:after="0" w:afterAutospacing="0" w:line="400" w:lineRule="exact"/>
        <w:ind w:right="0"/>
        <w:jc w:val="both"/>
        <w:rPr>
          <w:rFonts w:hint="eastAsia" w:ascii="宋体" w:hAnsi="宋体" w:eastAsia="宋体" w:cs="宋体"/>
          <w:b/>
          <w:bCs/>
          <w:sz w:val="21"/>
          <w:szCs w:val="21"/>
          <w:lang w:val="en-US"/>
        </w:rPr>
      </w:pPr>
      <w:r>
        <w:rPr>
          <w:rFonts w:hint="eastAsia" w:ascii="宋体" w:hAnsi="宋体" w:eastAsia="宋体" w:cs="宋体"/>
          <w:b/>
          <w:bCs/>
          <w:color w:val="000000"/>
          <w:kern w:val="2"/>
          <w:sz w:val="21"/>
          <w:szCs w:val="21"/>
          <w:lang w:val="en-US" w:eastAsia="zh-CN" w:bidi="ar"/>
        </w:rPr>
        <w:t>12.4工程进度款支付</w:t>
      </w:r>
      <w:bookmarkStart w:id="652" w:name="_Toc292559921"/>
      <w:bookmarkStart w:id="653" w:name="_Toc297216215"/>
      <w:bookmarkStart w:id="654" w:name="_Toc297120511"/>
      <w:bookmarkStart w:id="655" w:name="_Toc296346712"/>
      <w:bookmarkStart w:id="656" w:name="_Toc297048397"/>
      <w:bookmarkStart w:id="657" w:name="_Toc292559416"/>
      <w:bookmarkStart w:id="658" w:name="_Toc296891039"/>
      <w:bookmarkStart w:id="659" w:name="_Toc296944550"/>
      <w:bookmarkStart w:id="660" w:name="_Toc300935006"/>
      <w:bookmarkStart w:id="661" w:name="_Toc297123556"/>
      <w:bookmarkStart w:id="662" w:name="_Toc296347210"/>
      <w:bookmarkStart w:id="663" w:name="_Toc303539163"/>
      <w:bookmarkStart w:id="664" w:name="_Toc296891251"/>
      <w:bookmarkStart w:id="665" w:name="_Toc296503211"/>
    </w:p>
    <w:p w14:paraId="0DE3E2C8">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12.4.1付款周期</w:t>
      </w:r>
    </w:p>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14:paraId="7AB4BF26">
      <w:pPr>
        <w:keepNext w:val="0"/>
        <w:keepLines w:val="0"/>
        <w:widowControl w:val="0"/>
        <w:suppressLineNumbers w:val="0"/>
        <w:spacing w:before="0" w:beforeAutospacing="0" w:after="0" w:afterAutospacing="0" w:line="400" w:lineRule="exact"/>
        <w:ind w:right="0" w:firstLine="420" w:firstLineChars="200"/>
        <w:jc w:val="left"/>
        <w:rPr>
          <w:rFonts w:hint="eastAsia" w:ascii="宋体" w:hAnsi="宋体" w:eastAsia="宋体" w:cs="宋体"/>
          <w:color w:val="FF0000"/>
          <w:sz w:val="21"/>
          <w:szCs w:val="21"/>
          <w:lang w:val="en-US"/>
        </w:rPr>
      </w:pPr>
      <w:r>
        <w:rPr>
          <w:rFonts w:hint="eastAsia" w:ascii="宋体" w:hAnsi="宋体" w:eastAsia="宋体" w:cs="宋体"/>
          <w:color w:val="000000"/>
          <w:kern w:val="2"/>
          <w:sz w:val="21"/>
          <w:szCs w:val="21"/>
          <w:lang w:val="en-US" w:eastAsia="zh-CN" w:bidi="ar"/>
        </w:rPr>
        <w:t>签订合同开工后 15 天内支付合同总额 30% 预付款；完成总工程量 70%，支付至合同总金额 50%；安装调试完毕并验收合格后，支付至合同总金额 100%。</w:t>
      </w:r>
    </w:p>
    <w:p w14:paraId="1B840D7E">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12.4.2进度付款申请单的编制</w:t>
      </w:r>
    </w:p>
    <w:p w14:paraId="45197AFC">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u w:val="single"/>
          <w:lang w:val="en-US"/>
        </w:rPr>
      </w:pPr>
      <w:r>
        <w:rPr>
          <w:rFonts w:hint="eastAsia" w:ascii="宋体" w:hAnsi="宋体" w:eastAsia="宋体" w:cs="宋体"/>
          <w:color w:val="000000"/>
          <w:kern w:val="2"/>
          <w:sz w:val="21"/>
          <w:szCs w:val="21"/>
          <w:lang w:val="en-US" w:eastAsia="zh-CN" w:bidi="ar"/>
        </w:rPr>
        <w:t>关于进度付款申请单编制的约定：</w:t>
      </w:r>
      <w:r>
        <w:rPr>
          <w:rFonts w:hint="eastAsia" w:ascii="宋体" w:hAnsi="宋体" w:eastAsia="宋体" w:cs="宋体"/>
          <w:color w:val="000000"/>
          <w:kern w:val="2"/>
          <w:sz w:val="21"/>
          <w:szCs w:val="21"/>
          <w:u w:val="single"/>
          <w:lang w:val="en-US" w:eastAsia="zh-CN" w:bidi="ar"/>
        </w:rPr>
        <w:t xml:space="preserve">  工程进度款申请书、形象进度表和工程量计算清单、相关的阶段验收资料等</w:t>
      </w:r>
      <w:r>
        <w:rPr>
          <w:rFonts w:hint="eastAsia" w:ascii="宋体" w:hAnsi="宋体" w:eastAsia="宋体" w:cs="宋体"/>
          <w:color w:val="000000"/>
          <w:kern w:val="2"/>
          <w:sz w:val="21"/>
          <w:szCs w:val="21"/>
          <w:lang w:val="en-US" w:eastAsia="zh-CN" w:bidi="ar"/>
        </w:rPr>
        <w:t>。</w:t>
      </w:r>
    </w:p>
    <w:p w14:paraId="587C8CEB">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12.4.3进度付款申请单的提交</w:t>
      </w:r>
    </w:p>
    <w:p w14:paraId="369C45FB">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（1）单价合同进度付款申请单提交的约定：</w:t>
      </w:r>
      <w:r>
        <w:rPr>
          <w:rFonts w:hint="eastAsia" w:ascii="宋体" w:hAnsi="宋体" w:eastAsia="宋体" w:cs="宋体"/>
          <w:color w:val="000000"/>
          <w:kern w:val="2"/>
          <w:sz w:val="21"/>
          <w:szCs w:val="21"/>
          <w:u w:val="single"/>
          <w:lang w:val="en-US" w:eastAsia="zh-CN" w:bidi="ar"/>
        </w:rPr>
        <w:t xml:space="preserve">        /       </w:t>
      </w:r>
      <w:r>
        <w:rPr>
          <w:rFonts w:hint="eastAsia" w:ascii="宋体" w:hAnsi="宋体" w:eastAsia="宋体" w:cs="宋体"/>
          <w:color w:val="000000"/>
          <w:kern w:val="2"/>
          <w:sz w:val="21"/>
          <w:szCs w:val="21"/>
          <w:lang w:val="en-US" w:eastAsia="zh-CN" w:bidi="ar"/>
        </w:rPr>
        <w:t>。</w:t>
      </w:r>
    </w:p>
    <w:p w14:paraId="220778F2">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（2）总价合同进度付款申请单提交的约定：</w:t>
      </w:r>
      <w:r>
        <w:rPr>
          <w:rFonts w:hint="eastAsia" w:ascii="宋体" w:hAnsi="宋体" w:eastAsia="宋体" w:cs="宋体"/>
          <w:color w:val="000000"/>
          <w:kern w:val="2"/>
          <w:sz w:val="21"/>
          <w:szCs w:val="21"/>
          <w:u w:val="single"/>
          <w:lang w:val="en-US" w:eastAsia="zh-CN" w:bidi="ar"/>
        </w:rPr>
        <w:t xml:space="preserve">        /       </w:t>
      </w:r>
      <w:r>
        <w:rPr>
          <w:rFonts w:hint="eastAsia" w:ascii="宋体" w:hAnsi="宋体" w:eastAsia="宋体" w:cs="宋体"/>
          <w:color w:val="000000"/>
          <w:kern w:val="2"/>
          <w:sz w:val="21"/>
          <w:szCs w:val="21"/>
          <w:lang w:val="en-US" w:eastAsia="zh-CN" w:bidi="ar"/>
        </w:rPr>
        <w:t>。</w:t>
      </w:r>
    </w:p>
    <w:p w14:paraId="03881DBE">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u w:val="single"/>
          <w:lang w:val="en-US"/>
        </w:rPr>
      </w:pPr>
      <w:r>
        <w:rPr>
          <w:rFonts w:hint="eastAsia" w:ascii="宋体" w:hAnsi="宋体" w:eastAsia="宋体" w:cs="宋体"/>
          <w:color w:val="000000"/>
          <w:kern w:val="2"/>
          <w:sz w:val="21"/>
          <w:szCs w:val="21"/>
          <w:lang w:val="en-US" w:eastAsia="zh-CN" w:bidi="ar"/>
        </w:rPr>
        <w:t>（3）其他价格形式合同进度付款申请单提交的约定：</w:t>
      </w:r>
      <w:r>
        <w:rPr>
          <w:rFonts w:hint="eastAsia" w:ascii="宋体" w:hAnsi="宋体" w:eastAsia="宋体" w:cs="宋体"/>
          <w:color w:val="000000"/>
          <w:kern w:val="2"/>
          <w:sz w:val="21"/>
          <w:szCs w:val="21"/>
          <w:u w:val="single"/>
          <w:lang w:val="en-US" w:eastAsia="zh-CN" w:bidi="ar"/>
        </w:rPr>
        <w:t xml:space="preserve">      /         </w:t>
      </w:r>
      <w:r>
        <w:rPr>
          <w:rFonts w:hint="eastAsia" w:ascii="宋体" w:hAnsi="宋体" w:eastAsia="宋体" w:cs="宋体"/>
          <w:color w:val="000000"/>
          <w:kern w:val="2"/>
          <w:sz w:val="21"/>
          <w:szCs w:val="21"/>
          <w:lang w:val="en-US" w:eastAsia="zh-CN" w:bidi="ar"/>
        </w:rPr>
        <w:t>。</w:t>
      </w:r>
    </w:p>
    <w:p w14:paraId="521E0E40">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12.4.4进度款审核和支付</w:t>
      </w:r>
    </w:p>
    <w:p w14:paraId="1FC6C47D">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u w:val="single"/>
          <w:lang w:val="en-US"/>
        </w:rPr>
      </w:pPr>
      <w:r>
        <w:rPr>
          <w:rFonts w:hint="eastAsia" w:ascii="宋体" w:hAnsi="宋体" w:eastAsia="宋体" w:cs="宋体"/>
          <w:color w:val="000000"/>
          <w:kern w:val="2"/>
          <w:sz w:val="21"/>
          <w:szCs w:val="21"/>
          <w:lang w:val="en-US" w:eastAsia="zh-CN" w:bidi="ar"/>
        </w:rPr>
        <w:t>（1）监理人审查并报送发包人的期限：</w:t>
      </w:r>
      <w:r>
        <w:rPr>
          <w:rFonts w:hint="eastAsia" w:ascii="宋体" w:hAnsi="宋体" w:eastAsia="宋体" w:cs="宋体"/>
          <w:color w:val="000000"/>
          <w:kern w:val="2"/>
          <w:sz w:val="21"/>
          <w:szCs w:val="21"/>
          <w:u w:val="single"/>
          <w:lang w:val="en-US" w:eastAsia="zh-CN" w:bidi="ar"/>
        </w:rPr>
        <w:t xml:space="preserve">  执行通用条款    </w:t>
      </w:r>
      <w:r>
        <w:rPr>
          <w:rFonts w:hint="eastAsia" w:ascii="宋体" w:hAnsi="宋体" w:eastAsia="宋体" w:cs="宋体"/>
          <w:color w:val="000000"/>
          <w:kern w:val="2"/>
          <w:sz w:val="21"/>
          <w:szCs w:val="21"/>
          <w:lang w:val="en-US" w:eastAsia="zh-CN" w:bidi="ar"/>
        </w:rPr>
        <w:t>。</w:t>
      </w:r>
    </w:p>
    <w:p w14:paraId="2D6B1E8E">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u w:val="single"/>
          <w:lang w:val="en-US"/>
        </w:rPr>
      </w:pPr>
      <w:r>
        <w:rPr>
          <w:rFonts w:hint="eastAsia" w:ascii="宋体" w:hAnsi="宋体" w:eastAsia="宋体" w:cs="宋体"/>
          <w:color w:val="000000"/>
          <w:kern w:val="2"/>
          <w:sz w:val="21"/>
          <w:szCs w:val="21"/>
          <w:lang w:val="en-US" w:eastAsia="zh-CN" w:bidi="ar"/>
        </w:rPr>
        <w:t>发包人完成审批并签发进度款支付证书的期限：</w:t>
      </w:r>
      <w:r>
        <w:rPr>
          <w:rFonts w:hint="eastAsia" w:ascii="宋体" w:hAnsi="宋体" w:eastAsia="宋体" w:cs="宋体"/>
          <w:color w:val="000000"/>
          <w:kern w:val="2"/>
          <w:sz w:val="21"/>
          <w:szCs w:val="21"/>
          <w:u w:val="single"/>
          <w:lang w:val="en-US" w:eastAsia="zh-CN" w:bidi="ar"/>
        </w:rPr>
        <w:t xml:space="preserve">        14天内    </w:t>
      </w:r>
      <w:r>
        <w:rPr>
          <w:rFonts w:hint="eastAsia" w:ascii="宋体" w:hAnsi="宋体" w:eastAsia="宋体" w:cs="宋体"/>
          <w:color w:val="000000"/>
          <w:kern w:val="2"/>
          <w:sz w:val="21"/>
          <w:szCs w:val="21"/>
          <w:lang w:val="en-US" w:eastAsia="zh-CN" w:bidi="ar"/>
        </w:rPr>
        <w:t>。</w:t>
      </w:r>
    </w:p>
    <w:p w14:paraId="0335720A">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（2）发包人支付进度款的期限：</w:t>
      </w:r>
      <w:r>
        <w:rPr>
          <w:rFonts w:hint="eastAsia" w:ascii="宋体" w:hAnsi="宋体" w:eastAsia="宋体" w:cs="宋体"/>
          <w:color w:val="000000"/>
          <w:kern w:val="2"/>
          <w:sz w:val="21"/>
          <w:szCs w:val="21"/>
          <w:u w:val="single"/>
          <w:lang w:val="en-US" w:eastAsia="zh-CN" w:bidi="ar"/>
        </w:rPr>
        <w:t xml:space="preserve">           28天内            </w:t>
      </w:r>
      <w:r>
        <w:rPr>
          <w:rFonts w:hint="eastAsia" w:ascii="宋体" w:hAnsi="宋体" w:eastAsia="宋体" w:cs="宋体"/>
          <w:color w:val="000000"/>
          <w:kern w:val="2"/>
          <w:sz w:val="21"/>
          <w:szCs w:val="21"/>
          <w:lang w:val="en-US" w:eastAsia="zh-CN" w:bidi="ar"/>
        </w:rPr>
        <w:t>。</w:t>
      </w:r>
    </w:p>
    <w:p w14:paraId="724A41DA">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发包人逾期支付进度款的违约金的计算方式：</w:t>
      </w:r>
      <w:r>
        <w:rPr>
          <w:rFonts w:hint="eastAsia" w:ascii="宋体" w:hAnsi="宋体" w:eastAsia="宋体" w:cs="宋体"/>
          <w:color w:val="000000"/>
          <w:kern w:val="2"/>
          <w:sz w:val="21"/>
          <w:szCs w:val="21"/>
          <w:u w:val="single"/>
          <w:lang w:val="en-US" w:eastAsia="zh-CN" w:bidi="ar"/>
        </w:rPr>
        <w:t xml:space="preserve">   无  。</w:t>
      </w:r>
    </w:p>
    <w:p w14:paraId="1E62E42A">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12.4.5支付分解表的编制</w:t>
      </w:r>
    </w:p>
    <w:p w14:paraId="3F1AA62B">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u w:val="single"/>
          <w:lang w:val="en-US"/>
        </w:rPr>
      </w:pPr>
      <w:r>
        <w:rPr>
          <w:rFonts w:hint="eastAsia" w:ascii="宋体" w:hAnsi="宋体" w:eastAsia="宋体" w:cs="宋体"/>
          <w:color w:val="000000"/>
          <w:kern w:val="2"/>
          <w:sz w:val="21"/>
          <w:szCs w:val="21"/>
          <w:lang w:val="en-US" w:eastAsia="zh-CN" w:bidi="ar"/>
        </w:rPr>
        <w:t>（1）总价合同支付分解表的编制与审批：</w:t>
      </w:r>
      <w:r>
        <w:rPr>
          <w:rFonts w:hint="eastAsia" w:ascii="宋体" w:hAnsi="宋体" w:eastAsia="宋体" w:cs="宋体"/>
          <w:color w:val="000000"/>
          <w:kern w:val="2"/>
          <w:sz w:val="21"/>
          <w:szCs w:val="21"/>
          <w:u w:val="single"/>
          <w:lang w:val="en-US" w:eastAsia="zh-CN" w:bidi="ar"/>
        </w:rPr>
        <w:t xml:space="preserve">      无   </w:t>
      </w:r>
      <w:r>
        <w:rPr>
          <w:rFonts w:hint="eastAsia" w:ascii="宋体" w:hAnsi="宋体" w:eastAsia="宋体" w:cs="宋体"/>
          <w:color w:val="000000"/>
          <w:kern w:val="2"/>
          <w:sz w:val="21"/>
          <w:szCs w:val="21"/>
          <w:lang w:val="en-US" w:eastAsia="zh-CN" w:bidi="ar"/>
        </w:rPr>
        <w:t>。</w:t>
      </w:r>
    </w:p>
    <w:p w14:paraId="5B1843C2">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u w:val="single"/>
          <w:lang w:val="en-US"/>
        </w:rPr>
      </w:pPr>
      <w:r>
        <w:rPr>
          <w:rFonts w:hint="eastAsia" w:ascii="宋体" w:hAnsi="宋体" w:eastAsia="宋体" w:cs="宋体"/>
          <w:color w:val="000000"/>
          <w:kern w:val="2"/>
          <w:sz w:val="21"/>
          <w:szCs w:val="21"/>
          <w:lang w:val="en-US" w:eastAsia="zh-CN" w:bidi="ar"/>
        </w:rPr>
        <w:t>（2）单价合同的总价项目支付分解表的编制与审批：总价项目不采用支付分解表的方式计算，而按《建设工程工程量清单计价标准》（GB/T 50500-2024）的规定执行。</w:t>
      </w:r>
    </w:p>
    <w:p w14:paraId="306E2F20">
      <w:pPr>
        <w:pStyle w:val="4"/>
        <w:widowControl/>
        <w:spacing w:before="0" w:beforeAutospacing="0" w:line="400" w:lineRule="exact"/>
        <w:jc w:val="both"/>
        <w:rPr>
          <w:rFonts w:hint="eastAsia" w:ascii="宋体" w:hAnsi="宋体" w:eastAsia="宋体" w:cs="宋体"/>
          <w:sz w:val="21"/>
          <w:szCs w:val="21"/>
          <w:lang w:val="en-US"/>
        </w:rPr>
      </w:pPr>
      <w:bookmarkStart w:id="666" w:name="_Toc484160285"/>
      <w:bookmarkStart w:id="667" w:name="_Toc389065318"/>
      <w:bookmarkStart w:id="668" w:name="_Toc4293"/>
      <w:bookmarkStart w:id="669" w:name="_Toc435707051"/>
      <w:bookmarkStart w:id="670" w:name="_Toc373478400"/>
      <w:bookmarkStart w:id="671" w:name="_Toc373227753"/>
      <w:bookmarkStart w:id="672" w:name="_Toc470017767"/>
      <w:bookmarkStart w:id="673" w:name="_Toc351203645"/>
      <w:bookmarkStart w:id="674" w:name="_Toc434426224"/>
      <w:bookmarkStart w:id="675" w:name="_Toc296891259"/>
      <w:bookmarkStart w:id="676" w:name="_Toc300935015"/>
      <w:bookmarkStart w:id="677" w:name="_Toc303539172"/>
      <w:bookmarkStart w:id="678" w:name="_Toc296346720"/>
      <w:bookmarkStart w:id="679" w:name="_Toc304295593"/>
      <w:bookmarkStart w:id="680" w:name="_Toc297123564"/>
      <w:bookmarkStart w:id="681" w:name="_Toc292559424"/>
      <w:bookmarkStart w:id="682" w:name="_Toc296503219"/>
      <w:bookmarkStart w:id="683" w:name="_Toc297120519"/>
      <w:bookmarkStart w:id="684" w:name="_Toc312678053"/>
      <w:bookmarkStart w:id="685" w:name="_Toc296347218"/>
      <w:bookmarkStart w:id="686" w:name="_Toc292559929"/>
      <w:bookmarkStart w:id="687" w:name="_Toc296944558"/>
      <w:bookmarkStart w:id="688" w:name="_Toc297216223"/>
      <w:bookmarkStart w:id="689" w:name="_Toc297048405"/>
      <w:bookmarkStart w:id="690" w:name="_Toc296891047"/>
      <w:r>
        <w:rPr>
          <w:rFonts w:hint="eastAsia" w:ascii="宋体" w:hAnsi="宋体" w:eastAsia="宋体" w:cs="宋体"/>
          <w:sz w:val="21"/>
          <w:szCs w:val="21"/>
          <w:lang w:val="en-US"/>
        </w:rPr>
        <w:t>13.</w:t>
      </w:r>
      <w:r>
        <w:rPr>
          <w:rFonts w:hint="eastAsia" w:ascii="宋体" w:hAnsi="宋体" w:eastAsia="宋体" w:cs="宋体"/>
          <w:sz w:val="21"/>
          <w:szCs w:val="21"/>
          <w:lang w:eastAsia="zh-CN"/>
        </w:rPr>
        <w:t>验收和工程试车</w:t>
      </w:r>
      <w:bookmarkEnd w:id="666"/>
      <w:bookmarkEnd w:id="667"/>
      <w:bookmarkEnd w:id="668"/>
      <w:bookmarkEnd w:id="669"/>
      <w:bookmarkEnd w:id="670"/>
      <w:bookmarkEnd w:id="671"/>
      <w:bookmarkEnd w:id="672"/>
      <w:bookmarkEnd w:id="673"/>
      <w:bookmarkEnd w:id="674"/>
    </w:p>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14:paraId="6D4AECFB">
      <w:pPr>
        <w:pStyle w:val="5"/>
        <w:widowControl/>
        <w:numPr>
          <w:ilvl w:val="0"/>
          <w:numId w:val="0"/>
        </w:numPr>
        <w:spacing w:line="400" w:lineRule="exact"/>
        <w:rPr>
          <w:rFonts w:hint="eastAsia" w:ascii="宋体" w:hAnsi="宋体" w:eastAsia="宋体" w:cs="宋体"/>
          <w:sz w:val="21"/>
          <w:szCs w:val="21"/>
          <w:lang w:val="en-US"/>
        </w:rPr>
      </w:pPr>
      <w:bookmarkStart w:id="691" w:name="_Toc434426225"/>
      <w:bookmarkStart w:id="692" w:name="_Toc373478401"/>
      <w:bookmarkStart w:id="693" w:name="_Toc435707052"/>
      <w:bookmarkStart w:id="694" w:name="_Toc470017768"/>
      <w:bookmarkStart w:id="695" w:name="_Toc13339"/>
      <w:bookmarkStart w:id="696" w:name="_Toc389065319"/>
      <w:bookmarkStart w:id="697" w:name="_Toc373227754"/>
      <w:bookmarkStart w:id="698" w:name="_Toc484160286"/>
      <w:r>
        <w:rPr>
          <w:rFonts w:hint="eastAsia" w:ascii="宋体" w:hAnsi="宋体" w:eastAsia="宋体" w:cs="宋体"/>
          <w:sz w:val="21"/>
          <w:szCs w:val="21"/>
          <w:lang w:val="en-US"/>
        </w:rPr>
        <w:t>13.1</w:t>
      </w:r>
      <w:r>
        <w:rPr>
          <w:rFonts w:hint="eastAsia" w:ascii="宋体" w:hAnsi="宋体" w:eastAsia="宋体" w:cs="宋体"/>
          <w:sz w:val="21"/>
          <w:szCs w:val="21"/>
          <w:lang w:eastAsia="zh-CN"/>
        </w:rPr>
        <w:t>分部分项工程验收</w:t>
      </w:r>
      <w:bookmarkEnd w:id="691"/>
      <w:bookmarkEnd w:id="692"/>
      <w:bookmarkEnd w:id="693"/>
      <w:bookmarkEnd w:id="694"/>
      <w:bookmarkEnd w:id="695"/>
      <w:bookmarkEnd w:id="696"/>
      <w:bookmarkEnd w:id="697"/>
      <w:bookmarkEnd w:id="698"/>
    </w:p>
    <w:p w14:paraId="13217743">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13.1.1监理人不能按时进行验收时，应提前</w:t>
      </w:r>
      <w:r>
        <w:rPr>
          <w:rFonts w:hint="eastAsia" w:ascii="宋体" w:hAnsi="宋体" w:eastAsia="宋体" w:cs="宋体"/>
          <w:color w:val="000000"/>
          <w:kern w:val="2"/>
          <w:sz w:val="21"/>
          <w:szCs w:val="21"/>
          <w:u w:val="single"/>
          <w:lang w:val="en-US" w:eastAsia="zh-CN" w:bidi="ar"/>
        </w:rPr>
        <w:t xml:space="preserve">   24    </w:t>
      </w:r>
      <w:r>
        <w:rPr>
          <w:rFonts w:hint="eastAsia" w:ascii="宋体" w:hAnsi="宋体" w:eastAsia="宋体" w:cs="宋体"/>
          <w:color w:val="000000"/>
          <w:kern w:val="2"/>
          <w:sz w:val="21"/>
          <w:szCs w:val="21"/>
          <w:lang w:val="en-US" w:eastAsia="zh-CN" w:bidi="ar"/>
        </w:rPr>
        <w:t>小时提交书面延期要求。</w:t>
      </w:r>
    </w:p>
    <w:p w14:paraId="772F9177">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b/>
          <w:bCs w:val="0"/>
          <w:sz w:val="21"/>
          <w:szCs w:val="21"/>
          <w:lang w:val="en-US"/>
        </w:rPr>
      </w:pPr>
      <w:r>
        <w:rPr>
          <w:rFonts w:hint="eastAsia" w:ascii="宋体" w:hAnsi="宋体" w:eastAsia="宋体" w:cs="宋体"/>
          <w:color w:val="000000"/>
          <w:kern w:val="2"/>
          <w:sz w:val="21"/>
          <w:szCs w:val="21"/>
          <w:lang w:val="en-US" w:eastAsia="zh-CN" w:bidi="ar"/>
        </w:rPr>
        <w:t>关于延期最长不得超过：</w:t>
      </w:r>
      <w:r>
        <w:rPr>
          <w:rFonts w:hint="eastAsia" w:ascii="宋体" w:hAnsi="宋体" w:eastAsia="宋体" w:cs="宋体"/>
          <w:color w:val="000000"/>
          <w:kern w:val="2"/>
          <w:sz w:val="21"/>
          <w:szCs w:val="21"/>
          <w:u w:val="single"/>
          <w:lang w:val="en-US" w:eastAsia="zh-CN" w:bidi="ar"/>
        </w:rPr>
        <w:t xml:space="preserve">    48     </w:t>
      </w:r>
      <w:r>
        <w:rPr>
          <w:rFonts w:hint="eastAsia" w:ascii="宋体" w:hAnsi="宋体" w:eastAsia="宋体" w:cs="宋体"/>
          <w:color w:val="000000"/>
          <w:kern w:val="2"/>
          <w:sz w:val="21"/>
          <w:szCs w:val="21"/>
          <w:lang w:val="en-US" w:eastAsia="zh-CN" w:bidi="ar"/>
        </w:rPr>
        <w:t>小时。</w:t>
      </w:r>
    </w:p>
    <w:p w14:paraId="27B8F694">
      <w:pPr>
        <w:pStyle w:val="5"/>
        <w:widowControl/>
        <w:numPr>
          <w:ilvl w:val="0"/>
          <w:numId w:val="0"/>
        </w:numPr>
        <w:spacing w:line="400" w:lineRule="exact"/>
        <w:rPr>
          <w:rFonts w:hint="eastAsia" w:ascii="宋体" w:hAnsi="宋体" w:eastAsia="宋体" w:cs="宋体"/>
          <w:sz w:val="21"/>
          <w:szCs w:val="21"/>
          <w:lang w:val="en-US"/>
        </w:rPr>
      </w:pPr>
      <w:bookmarkStart w:id="699" w:name="_Toc22485"/>
      <w:bookmarkStart w:id="700" w:name="_Toc484160287"/>
      <w:bookmarkStart w:id="701" w:name="_Toc373227755"/>
      <w:bookmarkStart w:id="702" w:name="_Toc470017769"/>
      <w:bookmarkStart w:id="703" w:name="_Toc373478402"/>
      <w:bookmarkStart w:id="704" w:name="_Toc389065320"/>
      <w:bookmarkStart w:id="705" w:name="_Toc435707053"/>
      <w:bookmarkStart w:id="706" w:name="_Toc434426226"/>
      <w:bookmarkStart w:id="707" w:name="_Toc312678056"/>
      <w:bookmarkStart w:id="708" w:name="_Toc296347222"/>
      <w:bookmarkStart w:id="709" w:name="_Toc297120523"/>
      <w:bookmarkStart w:id="710" w:name="_Toc300935016"/>
      <w:bookmarkStart w:id="711" w:name="_Toc297123565"/>
      <w:bookmarkStart w:id="712" w:name="_Toc296891263"/>
      <w:bookmarkStart w:id="713" w:name="_Toc292559428"/>
      <w:bookmarkStart w:id="714" w:name="_Toc304295596"/>
      <w:bookmarkStart w:id="715" w:name="_Toc292559933"/>
      <w:bookmarkStart w:id="716" w:name="_Toc296503223"/>
      <w:bookmarkStart w:id="717" w:name="_Toc296346724"/>
      <w:bookmarkStart w:id="718" w:name="_Toc297216224"/>
      <w:bookmarkStart w:id="719" w:name="_Toc297048409"/>
      <w:bookmarkStart w:id="720" w:name="_Toc296944562"/>
      <w:bookmarkStart w:id="721" w:name="_Toc296891051"/>
      <w:bookmarkStart w:id="722" w:name="_Toc303539173"/>
      <w:bookmarkStart w:id="723" w:name="_Toc267251471"/>
      <w:bookmarkStart w:id="724" w:name="_Toc267251470"/>
      <w:bookmarkStart w:id="725" w:name="_Toc267251476"/>
      <w:bookmarkStart w:id="726" w:name="_Toc267251472"/>
      <w:bookmarkStart w:id="727" w:name="_Toc267251474"/>
      <w:bookmarkStart w:id="728" w:name="_Toc267251473"/>
      <w:bookmarkStart w:id="729" w:name="_Toc267251475"/>
      <w:r>
        <w:rPr>
          <w:rFonts w:hint="eastAsia" w:ascii="宋体" w:hAnsi="宋体" w:eastAsia="宋体" w:cs="宋体"/>
          <w:sz w:val="21"/>
          <w:szCs w:val="21"/>
          <w:lang w:val="en-US"/>
        </w:rPr>
        <w:t>13.2</w:t>
      </w:r>
      <w:r>
        <w:rPr>
          <w:rFonts w:hint="eastAsia" w:ascii="宋体" w:hAnsi="宋体" w:eastAsia="宋体" w:cs="宋体"/>
          <w:sz w:val="21"/>
          <w:szCs w:val="21"/>
          <w:lang w:eastAsia="zh-CN"/>
        </w:rPr>
        <w:t>竣工验收</w:t>
      </w:r>
      <w:bookmarkEnd w:id="699"/>
      <w:bookmarkEnd w:id="700"/>
      <w:bookmarkEnd w:id="701"/>
      <w:bookmarkEnd w:id="702"/>
      <w:bookmarkEnd w:id="703"/>
      <w:bookmarkEnd w:id="704"/>
      <w:bookmarkEnd w:id="705"/>
      <w:bookmarkEnd w:id="706"/>
    </w:p>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14:paraId="406A5201">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bookmarkStart w:id="730" w:name="_Toc280868704"/>
      <w:bookmarkStart w:id="731" w:name="_Toc280868705"/>
      <w:bookmarkStart w:id="732" w:name="_Toc280868706"/>
      <w:bookmarkStart w:id="733" w:name="_Toc280868707"/>
      <w:bookmarkStart w:id="734" w:name="_Toc280868708"/>
      <w:bookmarkStart w:id="735" w:name="_Toc280868709"/>
      <w:r>
        <w:rPr>
          <w:rFonts w:hint="eastAsia" w:ascii="宋体" w:hAnsi="宋体" w:eastAsia="宋体" w:cs="宋体"/>
          <w:color w:val="000000"/>
          <w:kern w:val="2"/>
          <w:sz w:val="21"/>
          <w:szCs w:val="21"/>
          <w:lang w:val="en-US" w:eastAsia="zh-CN" w:bidi="ar"/>
        </w:rPr>
        <w:t>13.2.1竣工验收条件</w:t>
      </w:r>
    </w:p>
    <w:p w14:paraId="0400D2FE">
      <w:pPr>
        <w:keepNext w:val="0"/>
        <w:keepLines w:val="0"/>
        <w:pageBreakBefore w:val="0"/>
        <w:widowControl w:val="0"/>
        <w:kinsoku/>
        <w:wordWrap/>
        <w:overflowPunct/>
        <w:topLinePunct w:val="0"/>
        <w:autoSpaceDE/>
        <w:autoSpaceDN/>
        <w:bidi w:val="0"/>
        <w:adjustRightInd/>
        <w:snapToGrid/>
        <w:spacing w:line="400" w:lineRule="exact"/>
        <w:ind w:left="0" w:leftChars="0" w:firstLine="420" w:firstLineChars="200"/>
        <w:textAlignment w:val="auto"/>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（1）</w:t>
      </w:r>
      <w:r>
        <w:rPr>
          <w:rFonts w:hint="eastAsia" w:ascii="宋体" w:hAnsi="宋体" w:eastAsia="宋体" w:cs="宋体"/>
          <w:color w:val="auto"/>
          <w:sz w:val="21"/>
          <w:szCs w:val="21"/>
        </w:rPr>
        <w:t>承包人负责整理和提交的竣工验收资料应当符合工程所在地建设行政主管部门和(或)城市建设档案管理机构有关施工资料的要求，具体内容包括：</w:t>
      </w:r>
      <w:r>
        <w:rPr>
          <w:rFonts w:hint="eastAsia" w:ascii="宋体" w:hAnsi="宋体" w:eastAsia="宋体" w:cs="宋体"/>
          <w:color w:val="auto"/>
          <w:sz w:val="21"/>
          <w:szCs w:val="21"/>
          <w:u w:val="single"/>
        </w:rPr>
        <w:t xml:space="preserve">按照《工程建设项目竣工资料归档管理规定》的符合城建档案馆和行政质检监督部门有关要求移交项目档案 </w:t>
      </w:r>
      <w:r>
        <w:rPr>
          <w:rFonts w:hint="eastAsia" w:ascii="宋体" w:hAnsi="宋体" w:eastAsia="宋体" w:cs="宋体"/>
          <w:color w:val="auto"/>
          <w:sz w:val="21"/>
          <w:szCs w:val="21"/>
          <w:u w:val="single"/>
          <w:lang w:eastAsia="zh-CN"/>
        </w:rPr>
        <w:t>。</w:t>
      </w:r>
      <w:r>
        <w:rPr>
          <w:rFonts w:hint="eastAsia" w:ascii="宋体" w:hAnsi="宋体" w:eastAsia="宋体" w:cs="宋体"/>
          <w:color w:val="auto"/>
          <w:sz w:val="21"/>
          <w:szCs w:val="21"/>
          <w:u w:val="single"/>
        </w:rPr>
        <w:t>（</w:t>
      </w:r>
      <w:r>
        <w:rPr>
          <w:rFonts w:hint="eastAsia" w:ascii="宋体" w:hAnsi="宋体" w:eastAsia="宋体" w:cs="宋体"/>
          <w:color w:val="auto"/>
          <w:sz w:val="21"/>
          <w:szCs w:val="21"/>
          <w:u w:val="single"/>
          <w:lang w:val="en-US" w:eastAsia="zh-CN"/>
        </w:rPr>
        <w:t>2</w:t>
      </w:r>
      <w:r>
        <w:rPr>
          <w:rFonts w:hint="eastAsia" w:ascii="宋体" w:hAnsi="宋体" w:eastAsia="宋体" w:cs="宋体"/>
          <w:color w:val="auto"/>
          <w:sz w:val="21"/>
          <w:szCs w:val="21"/>
          <w:u w:val="single"/>
        </w:rPr>
        <w:t>）工程验收应通过发包人、监理人（如有）、设计单位（如有）的联合验收，验收标准以《建筑工程施工质量验收统一标准》（GB50300-2013）及本合同约定的技术标准为准。</w:t>
      </w:r>
    </w:p>
    <w:p w14:paraId="39CB10D8">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竣工验收资料的份数：</w:t>
      </w:r>
      <w:r>
        <w:rPr>
          <w:rFonts w:hint="eastAsia" w:ascii="宋体" w:hAnsi="宋体" w:eastAsia="宋体" w:cs="宋体"/>
          <w:color w:val="000000"/>
          <w:kern w:val="2"/>
          <w:sz w:val="21"/>
          <w:szCs w:val="21"/>
          <w:u w:val="single"/>
          <w:lang w:val="en-US" w:eastAsia="zh-CN" w:bidi="ar"/>
        </w:rPr>
        <w:t xml:space="preserve">    </w:t>
      </w:r>
      <w:r>
        <w:rPr>
          <w:rFonts w:hint="eastAsia" w:ascii="宋体" w:hAnsi="宋体" w:eastAsia="宋体" w:cs="宋体"/>
          <w:color w:val="000000"/>
          <w:kern w:val="2"/>
          <w:sz w:val="21"/>
          <w:szCs w:val="21"/>
          <w:highlight w:val="none"/>
          <w:u w:val="single"/>
          <w:lang w:val="en-US" w:eastAsia="zh-CN" w:bidi="ar"/>
        </w:rPr>
        <w:t xml:space="preserve">叁份 </w:t>
      </w:r>
      <w:r>
        <w:rPr>
          <w:rFonts w:hint="eastAsia" w:ascii="宋体" w:hAnsi="宋体" w:eastAsia="宋体" w:cs="宋体"/>
          <w:color w:val="000000"/>
          <w:kern w:val="2"/>
          <w:sz w:val="21"/>
          <w:szCs w:val="21"/>
          <w:u w:val="single"/>
          <w:lang w:val="en-US" w:eastAsia="zh-CN" w:bidi="ar"/>
        </w:rPr>
        <w:t xml:space="preserve">     </w:t>
      </w:r>
      <w:r>
        <w:rPr>
          <w:rFonts w:hint="eastAsia" w:ascii="宋体" w:hAnsi="宋体" w:eastAsia="宋体" w:cs="宋体"/>
          <w:color w:val="000000"/>
          <w:kern w:val="2"/>
          <w:sz w:val="21"/>
          <w:szCs w:val="21"/>
          <w:lang w:val="en-US" w:eastAsia="zh-CN" w:bidi="ar"/>
        </w:rPr>
        <w:t>。</w:t>
      </w:r>
    </w:p>
    <w:p w14:paraId="59BBEA88">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bCs/>
          <w:color w:val="000000"/>
          <w:kern w:val="2"/>
          <w:sz w:val="21"/>
          <w:szCs w:val="21"/>
          <w:lang w:val="en-US" w:eastAsia="zh-CN" w:bidi="ar"/>
        </w:rPr>
        <w:t>承包人提供竣工图的约定：</w:t>
      </w:r>
      <w:r>
        <w:rPr>
          <w:rFonts w:hint="eastAsia" w:ascii="宋体" w:hAnsi="宋体" w:eastAsia="宋体" w:cs="宋体"/>
          <w:bCs/>
          <w:color w:val="000000"/>
          <w:kern w:val="2"/>
          <w:sz w:val="21"/>
          <w:szCs w:val="21"/>
          <w:u w:val="single"/>
          <w:lang w:val="en-US" w:eastAsia="zh-CN" w:bidi="ar"/>
        </w:rPr>
        <w:t>竣工验收正式通过后5天（工程造价在500万元以下含500万元）、10天（工程造价在500万元至1000万元之间含1000万元）、15天（工程造价在1000万元以上），提供竣工图的数量分别为2套、4套、6套。</w:t>
      </w:r>
    </w:p>
    <w:p w14:paraId="24247194">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13.2.2竣工验收程序</w:t>
      </w:r>
    </w:p>
    <w:bookmarkEnd w:id="730"/>
    <w:p w14:paraId="3082413E">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u w:val="single"/>
          <w:lang w:val="en-US"/>
        </w:rPr>
      </w:pPr>
      <w:r>
        <w:rPr>
          <w:rFonts w:hint="eastAsia" w:ascii="宋体" w:hAnsi="宋体" w:eastAsia="宋体" w:cs="宋体"/>
          <w:color w:val="000000"/>
          <w:kern w:val="0"/>
          <w:sz w:val="21"/>
          <w:szCs w:val="21"/>
          <w:lang w:val="en-US" w:eastAsia="zh-CN" w:bidi="ar"/>
        </w:rPr>
        <w:t>关于竣工验收程序的约定：</w:t>
      </w:r>
      <w:r>
        <w:rPr>
          <w:rFonts w:hint="eastAsia" w:ascii="宋体" w:hAnsi="宋体" w:eastAsia="宋体" w:cs="宋体"/>
          <w:color w:val="000000"/>
          <w:kern w:val="2"/>
          <w:sz w:val="21"/>
          <w:szCs w:val="21"/>
          <w:u w:val="single"/>
          <w:lang w:val="en-US" w:eastAsia="zh-CN" w:bidi="ar"/>
        </w:rPr>
        <w:t xml:space="preserve">       执行通用条款          </w:t>
      </w:r>
      <w:r>
        <w:rPr>
          <w:rFonts w:hint="eastAsia" w:ascii="宋体" w:hAnsi="宋体" w:eastAsia="宋体" w:cs="宋体"/>
          <w:color w:val="000000"/>
          <w:kern w:val="2"/>
          <w:sz w:val="21"/>
          <w:szCs w:val="21"/>
          <w:lang w:val="en-US" w:eastAsia="zh-CN" w:bidi="ar"/>
        </w:rPr>
        <w:t>。</w:t>
      </w:r>
    </w:p>
    <w:p w14:paraId="6E1C8604">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0"/>
          <w:sz w:val="21"/>
          <w:szCs w:val="21"/>
          <w:lang w:val="en-US" w:eastAsia="zh-CN" w:bidi="ar"/>
        </w:rPr>
        <w:t>发包人不按照本项约定组织竣工验收、颁发工程接收证书的违约金的计算方法：</w:t>
      </w:r>
      <w:r>
        <w:rPr>
          <w:rFonts w:hint="eastAsia" w:ascii="宋体" w:hAnsi="宋体" w:eastAsia="宋体" w:cs="宋体"/>
          <w:color w:val="000000"/>
          <w:kern w:val="2"/>
          <w:sz w:val="21"/>
          <w:szCs w:val="21"/>
          <w:u w:val="single"/>
          <w:lang w:val="en-US" w:eastAsia="zh-CN" w:bidi="ar"/>
        </w:rPr>
        <w:t xml:space="preserve"> 无 </w:t>
      </w:r>
      <w:r>
        <w:rPr>
          <w:rFonts w:hint="eastAsia" w:ascii="宋体" w:hAnsi="宋体" w:eastAsia="宋体" w:cs="宋体"/>
          <w:color w:val="000000"/>
          <w:kern w:val="2"/>
          <w:sz w:val="21"/>
          <w:szCs w:val="21"/>
          <w:lang w:val="en-US" w:eastAsia="zh-CN" w:bidi="ar"/>
        </w:rPr>
        <w:t>。</w:t>
      </w:r>
    </w:p>
    <w:bookmarkEnd w:id="731"/>
    <w:p w14:paraId="44E44B43">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13.2.3移交、接收全部与部分工程</w:t>
      </w:r>
    </w:p>
    <w:bookmarkEnd w:id="732"/>
    <w:p w14:paraId="3BE7BA18">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kern w:val="0"/>
          <w:sz w:val="21"/>
          <w:szCs w:val="21"/>
          <w:lang w:val="en-US"/>
        </w:rPr>
      </w:pPr>
      <w:r>
        <w:rPr>
          <w:rFonts w:hint="eastAsia" w:ascii="宋体" w:hAnsi="宋体" w:eastAsia="宋体" w:cs="宋体"/>
          <w:color w:val="000000"/>
          <w:kern w:val="0"/>
          <w:sz w:val="21"/>
          <w:szCs w:val="21"/>
          <w:lang w:val="en-US" w:eastAsia="zh-CN" w:bidi="ar"/>
        </w:rPr>
        <w:t>承包人向发包人移交工程的期限：</w:t>
      </w:r>
      <w:r>
        <w:rPr>
          <w:rFonts w:hint="eastAsia" w:ascii="宋体" w:hAnsi="宋体" w:eastAsia="宋体" w:cs="宋体"/>
          <w:color w:val="000000"/>
          <w:kern w:val="2"/>
          <w:sz w:val="21"/>
          <w:szCs w:val="21"/>
          <w:u w:val="single"/>
          <w:lang w:val="en-US" w:eastAsia="zh-CN" w:bidi="ar"/>
        </w:rPr>
        <w:t xml:space="preserve">  颁发工程接收证书后 14 天内完成工程的移交 </w:t>
      </w:r>
      <w:r>
        <w:rPr>
          <w:rFonts w:hint="eastAsia" w:ascii="宋体" w:hAnsi="宋体" w:eastAsia="宋体" w:cs="宋体"/>
          <w:color w:val="000000"/>
          <w:kern w:val="2"/>
          <w:sz w:val="21"/>
          <w:szCs w:val="21"/>
          <w:lang w:val="en-US" w:eastAsia="zh-CN" w:bidi="ar"/>
        </w:rPr>
        <w:t>。</w:t>
      </w:r>
    </w:p>
    <w:p w14:paraId="1AE1BE81">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u w:val="single"/>
          <w:lang w:val="en-US"/>
        </w:rPr>
      </w:pPr>
      <w:r>
        <w:rPr>
          <w:rFonts w:hint="eastAsia" w:ascii="宋体" w:hAnsi="宋体" w:eastAsia="宋体" w:cs="宋体"/>
          <w:color w:val="000000"/>
          <w:kern w:val="0"/>
          <w:sz w:val="21"/>
          <w:szCs w:val="21"/>
          <w:lang w:val="en-US" w:eastAsia="zh-CN" w:bidi="ar"/>
        </w:rPr>
        <w:t>发包人未按本合同约定接收全部或部分工程的，违约金的计算方法为：</w:t>
      </w:r>
      <w:r>
        <w:rPr>
          <w:rFonts w:hint="eastAsia" w:ascii="宋体" w:hAnsi="宋体" w:eastAsia="宋体" w:cs="宋体"/>
          <w:color w:val="000000"/>
          <w:kern w:val="2"/>
          <w:sz w:val="21"/>
          <w:szCs w:val="21"/>
          <w:u w:val="single"/>
          <w:lang w:val="en-US" w:eastAsia="zh-CN" w:bidi="ar"/>
        </w:rPr>
        <w:t xml:space="preserve">   /       </w:t>
      </w:r>
      <w:r>
        <w:rPr>
          <w:rFonts w:hint="eastAsia" w:ascii="宋体" w:hAnsi="宋体" w:eastAsia="宋体" w:cs="宋体"/>
          <w:color w:val="000000"/>
          <w:kern w:val="2"/>
          <w:sz w:val="21"/>
          <w:szCs w:val="21"/>
          <w:lang w:val="en-US" w:eastAsia="zh-CN" w:bidi="ar"/>
        </w:rPr>
        <w:t>。</w:t>
      </w:r>
    </w:p>
    <w:bookmarkEnd w:id="733"/>
    <w:p w14:paraId="7814F0FF">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u w:val="single"/>
          <w:lang w:val="en-US"/>
        </w:rPr>
      </w:pPr>
      <w:r>
        <w:rPr>
          <w:rFonts w:hint="eastAsia" w:ascii="宋体" w:hAnsi="宋体" w:eastAsia="宋体" w:cs="宋体"/>
          <w:color w:val="000000"/>
          <w:kern w:val="2"/>
          <w:sz w:val="21"/>
          <w:szCs w:val="21"/>
          <w:lang w:val="en-US" w:eastAsia="zh-CN" w:bidi="ar"/>
        </w:rPr>
        <w:t>承包人未按时移交工程的，违约金的计算方法为：</w:t>
      </w:r>
      <w:r>
        <w:rPr>
          <w:rFonts w:hint="eastAsia" w:ascii="宋体" w:hAnsi="宋体" w:eastAsia="宋体" w:cs="宋体"/>
          <w:color w:val="000000"/>
          <w:kern w:val="2"/>
          <w:sz w:val="21"/>
          <w:szCs w:val="21"/>
          <w:u w:val="single"/>
          <w:lang w:val="en-US" w:eastAsia="zh-CN" w:bidi="ar"/>
        </w:rPr>
        <w:t xml:space="preserve"> 每逾期一天，承包人按 2000 元/天向发包人支付违约金，违约金额最高为合同价的 10% </w:t>
      </w:r>
      <w:r>
        <w:rPr>
          <w:rFonts w:hint="eastAsia" w:ascii="宋体" w:hAnsi="宋体" w:eastAsia="宋体" w:cs="宋体"/>
          <w:color w:val="000000"/>
          <w:kern w:val="2"/>
          <w:sz w:val="21"/>
          <w:szCs w:val="21"/>
          <w:lang w:val="en-US" w:eastAsia="zh-CN" w:bidi="ar"/>
        </w:rPr>
        <w:t>。</w:t>
      </w:r>
    </w:p>
    <w:p w14:paraId="1AB100FB">
      <w:pPr>
        <w:pStyle w:val="5"/>
        <w:widowControl/>
        <w:numPr>
          <w:ilvl w:val="0"/>
          <w:numId w:val="0"/>
        </w:numPr>
        <w:spacing w:line="400" w:lineRule="exact"/>
        <w:rPr>
          <w:rFonts w:hint="eastAsia" w:ascii="宋体" w:hAnsi="宋体" w:eastAsia="宋体" w:cs="宋体"/>
          <w:sz w:val="21"/>
          <w:szCs w:val="21"/>
          <w:u w:val="single"/>
          <w:lang w:val="en-US"/>
        </w:rPr>
      </w:pPr>
      <w:bookmarkStart w:id="736" w:name="_Toc3111"/>
      <w:bookmarkStart w:id="737" w:name="_Toc373227756"/>
      <w:bookmarkStart w:id="738" w:name="_Toc389065321"/>
      <w:bookmarkStart w:id="739" w:name="_Toc484160288"/>
      <w:bookmarkStart w:id="740" w:name="_Toc435707054"/>
      <w:bookmarkStart w:id="741" w:name="_Toc434426227"/>
      <w:bookmarkStart w:id="742" w:name="_Toc373478403"/>
      <w:bookmarkStart w:id="743" w:name="_Toc470017770"/>
      <w:r>
        <w:rPr>
          <w:rFonts w:hint="eastAsia" w:ascii="宋体" w:hAnsi="宋体" w:eastAsia="宋体" w:cs="宋体"/>
          <w:sz w:val="21"/>
          <w:szCs w:val="21"/>
          <w:lang w:val="en-US"/>
        </w:rPr>
        <w:t>13.3</w:t>
      </w:r>
      <w:r>
        <w:rPr>
          <w:rFonts w:hint="eastAsia" w:ascii="宋体" w:hAnsi="宋体" w:eastAsia="宋体" w:cs="宋体"/>
          <w:sz w:val="21"/>
          <w:szCs w:val="21"/>
          <w:lang w:eastAsia="zh-CN"/>
        </w:rPr>
        <w:t>工程试车</w:t>
      </w:r>
      <w:bookmarkEnd w:id="736"/>
      <w:bookmarkEnd w:id="737"/>
      <w:bookmarkEnd w:id="738"/>
      <w:bookmarkEnd w:id="739"/>
      <w:bookmarkEnd w:id="740"/>
      <w:bookmarkEnd w:id="741"/>
      <w:bookmarkEnd w:id="742"/>
      <w:bookmarkEnd w:id="743"/>
      <w:r>
        <w:rPr>
          <w:rFonts w:hint="eastAsia" w:ascii="宋体" w:hAnsi="宋体" w:eastAsia="宋体" w:cs="宋体"/>
          <w:sz w:val="21"/>
          <w:szCs w:val="21"/>
          <w:lang w:eastAsia="zh-CN"/>
        </w:rPr>
        <w:t xml:space="preserve">： </w:t>
      </w:r>
      <w:r>
        <w:rPr>
          <w:rFonts w:hint="eastAsia" w:ascii="宋体" w:hAnsi="宋体" w:eastAsia="宋体" w:cs="宋体"/>
          <w:b w:val="0"/>
          <w:bCs/>
          <w:sz w:val="21"/>
          <w:szCs w:val="21"/>
          <w:u w:val="single"/>
          <w:lang w:val="en-US"/>
        </w:rPr>
        <w:t xml:space="preserve">      /      </w:t>
      </w:r>
      <w:r>
        <w:rPr>
          <w:rFonts w:hint="eastAsia" w:ascii="宋体" w:hAnsi="宋体" w:eastAsia="宋体" w:cs="宋体"/>
          <w:b w:val="0"/>
          <w:bCs/>
          <w:sz w:val="21"/>
          <w:szCs w:val="21"/>
          <w:u w:val="single"/>
          <w:lang w:eastAsia="zh-CN"/>
        </w:rPr>
        <w:t>。</w:t>
      </w:r>
    </w:p>
    <w:bookmarkEnd w:id="734"/>
    <w:p w14:paraId="755F3F07">
      <w:pPr>
        <w:pStyle w:val="5"/>
        <w:widowControl/>
        <w:numPr>
          <w:ilvl w:val="0"/>
          <w:numId w:val="0"/>
        </w:numPr>
        <w:spacing w:line="400" w:lineRule="exact"/>
        <w:rPr>
          <w:rFonts w:hint="eastAsia" w:ascii="宋体" w:hAnsi="宋体" w:eastAsia="宋体" w:cs="宋体"/>
          <w:sz w:val="21"/>
          <w:szCs w:val="21"/>
          <w:lang w:val="en-US"/>
        </w:rPr>
      </w:pPr>
      <w:bookmarkStart w:id="744" w:name="_Toc30366"/>
      <w:bookmarkStart w:id="745" w:name="_Toc434426228"/>
      <w:bookmarkStart w:id="746" w:name="_Toc373227757"/>
      <w:bookmarkStart w:id="747" w:name="_Toc470017771"/>
      <w:bookmarkStart w:id="748" w:name="_Toc484160289"/>
      <w:bookmarkStart w:id="749" w:name="_Toc389065322"/>
      <w:bookmarkStart w:id="750" w:name="_Toc435707055"/>
      <w:bookmarkStart w:id="751" w:name="_Toc373478404"/>
      <w:r>
        <w:rPr>
          <w:rFonts w:hint="eastAsia" w:ascii="宋体" w:hAnsi="宋体" w:eastAsia="宋体" w:cs="宋体"/>
          <w:sz w:val="21"/>
          <w:szCs w:val="21"/>
          <w:lang w:val="en-US"/>
        </w:rPr>
        <w:t>13.4</w:t>
      </w:r>
      <w:r>
        <w:rPr>
          <w:rFonts w:hint="eastAsia" w:ascii="宋体" w:hAnsi="宋体" w:eastAsia="宋体" w:cs="宋体"/>
          <w:sz w:val="21"/>
          <w:szCs w:val="21"/>
          <w:lang w:eastAsia="zh-CN"/>
        </w:rPr>
        <w:t>竣工退场</w:t>
      </w:r>
      <w:bookmarkEnd w:id="744"/>
      <w:bookmarkEnd w:id="745"/>
      <w:bookmarkEnd w:id="746"/>
      <w:bookmarkEnd w:id="747"/>
      <w:bookmarkEnd w:id="748"/>
      <w:bookmarkEnd w:id="749"/>
      <w:bookmarkEnd w:id="750"/>
      <w:bookmarkEnd w:id="751"/>
    </w:p>
    <w:p w14:paraId="6D1FF8A8">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kern w:val="0"/>
          <w:sz w:val="21"/>
          <w:szCs w:val="21"/>
          <w:lang w:val="en-US"/>
        </w:rPr>
      </w:pPr>
      <w:r>
        <w:rPr>
          <w:rFonts w:hint="eastAsia" w:ascii="宋体" w:hAnsi="宋体" w:eastAsia="宋体" w:cs="宋体"/>
          <w:color w:val="000000"/>
          <w:kern w:val="0"/>
          <w:sz w:val="21"/>
          <w:szCs w:val="21"/>
          <w:lang w:val="en-US" w:eastAsia="zh-CN" w:bidi="ar"/>
        </w:rPr>
        <w:t>13.4.1 竣工退场</w:t>
      </w:r>
    </w:p>
    <w:p w14:paraId="44FCF16A">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kern w:val="0"/>
          <w:sz w:val="21"/>
          <w:szCs w:val="21"/>
          <w:lang w:val="en-US"/>
        </w:rPr>
      </w:pPr>
      <w:r>
        <w:rPr>
          <w:rFonts w:hint="eastAsia" w:ascii="宋体" w:hAnsi="宋体" w:eastAsia="宋体" w:cs="宋体"/>
          <w:color w:val="000000"/>
          <w:kern w:val="0"/>
          <w:sz w:val="21"/>
          <w:szCs w:val="21"/>
          <w:lang w:val="en-US" w:eastAsia="zh-CN" w:bidi="ar"/>
        </w:rPr>
        <w:t>承包人完成竣工退场的期限：</w:t>
      </w:r>
      <w:r>
        <w:rPr>
          <w:rFonts w:hint="eastAsia" w:ascii="宋体" w:hAnsi="宋体" w:eastAsia="宋体" w:cs="宋体"/>
          <w:color w:val="000000"/>
          <w:kern w:val="2"/>
          <w:sz w:val="21"/>
          <w:szCs w:val="21"/>
          <w:u w:val="single"/>
          <w:lang w:val="en-US" w:eastAsia="zh-CN" w:bidi="ar"/>
        </w:rPr>
        <w:t xml:space="preserve"> 颁发工程接受证书后 10 天内  </w:t>
      </w:r>
      <w:r>
        <w:rPr>
          <w:rFonts w:hint="eastAsia" w:ascii="宋体" w:hAnsi="宋体" w:eastAsia="宋体" w:cs="宋体"/>
          <w:color w:val="000000"/>
          <w:kern w:val="0"/>
          <w:sz w:val="21"/>
          <w:szCs w:val="21"/>
          <w:lang w:val="en-US" w:eastAsia="zh-CN" w:bidi="ar"/>
        </w:rPr>
        <w:t>。</w:t>
      </w:r>
    </w:p>
    <w:p w14:paraId="3D7FAB16">
      <w:pPr>
        <w:pStyle w:val="4"/>
        <w:widowControl/>
        <w:spacing w:before="0" w:beforeAutospacing="0" w:line="400" w:lineRule="exact"/>
        <w:jc w:val="both"/>
        <w:rPr>
          <w:rFonts w:hint="eastAsia" w:ascii="宋体" w:hAnsi="宋体" w:eastAsia="宋体" w:cs="宋体"/>
          <w:sz w:val="21"/>
          <w:szCs w:val="21"/>
          <w:lang w:val="en-US"/>
        </w:rPr>
      </w:pPr>
      <w:bookmarkStart w:id="752" w:name="_Toc373227758"/>
      <w:bookmarkStart w:id="753" w:name="_Toc435707056"/>
      <w:bookmarkStart w:id="754" w:name="_Toc389065323"/>
      <w:bookmarkStart w:id="755" w:name="_Toc484160290"/>
      <w:bookmarkStart w:id="756" w:name="_Toc470017772"/>
      <w:bookmarkStart w:id="757" w:name="_Toc434426229"/>
      <w:bookmarkStart w:id="758" w:name="_Toc351203646"/>
      <w:bookmarkStart w:id="759" w:name="_Toc12066"/>
      <w:bookmarkStart w:id="760" w:name="_Toc373478405"/>
      <w:r>
        <w:rPr>
          <w:rFonts w:hint="eastAsia" w:ascii="宋体" w:hAnsi="宋体" w:eastAsia="宋体" w:cs="宋体"/>
          <w:sz w:val="21"/>
          <w:szCs w:val="21"/>
          <w:lang w:val="en-US"/>
        </w:rPr>
        <w:t>14.</w:t>
      </w:r>
      <w:r>
        <w:rPr>
          <w:rFonts w:hint="eastAsia" w:ascii="宋体" w:hAnsi="宋体" w:eastAsia="宋体" w:cs="宋体"/>
          <w:sz w:val="21"/>
          <w:szCs w:val="21"/>
          <w:lang w:eastAsia="zh-CN"/>
        </w:rPr>
        <w:t>竣工结算</w:t>
      </w:r>
      <w:bookmarkEnd w:id="752"/>
      <w:bookmarkEnd w:id="753"/>
      <w:bookmarkEnd w:id="754"/>
      <w:bookmarkEnd w:id="755"/>
      <w:bookmarkEnd w:id="756"/>
      <w:bookmarkEnd w:id="757"/>
      <w:bookmarkEnd w:id="758"/>
      <w:bookmarkEnd w:id="759"/>
      <w:bookmarkEnd w:id="760"/>
    </w:p>
    <w:p w14:paraId="45F73755">
      <w:pPr>
        <w:pStyle w:val="5"/>
        <w:widowControl/>
        <w:numPr>
          <w:ilvl w:val="0"/>
          <w:numId w:val="0"/>
        </w:numPr>
        <w:spacing w:line="400" w:lineRule="exact"/>
        <w:rPr>
          <w:rFonts w:hint="eastAsia" w:ascii="宋体" w:hAnsi="宋体" w:eastAsia="宋体" w:cs="宋体"/>
          <w:sz w:val="21"/>
          <w:szCs w:val="21"/>
          <w:lang w:val="en-US"/>
        </w:rPr>
      </w:pPr>
      <w:bookmarkStart w:id="761" w:name="_Toc373478406"/>
      <w:bookmarkStart w:id="762" w:name="_Toc13138"/>
      <w:bookmarkStart w:id="763" w:name="_Toc434426230"/>
      <w:bookmarkStart w:id="764" w:name="_Toc435707057"/>
      <w:bookmarkStart w:id="765" w:name="_Toc373227759"/>
      <w:bookmarkStart w:id="766" w:name="_Toc484160291"/>
      <w:bookmarkStart w:id="767" w:name="_Toc389065324"/>
      <w:bookmarkStart w:id="768" w:name="_Toc470017773"/>
      <w:r>
        <w:rPr>
          <w:rFonts w:hint="eastAsia" w:ascii="宋体" w:hAnsi="宋体" w:eastAsia="宋体" w:cs="宋体"/>
          <w:sz w:val="21"/>
          <w:szCs w:val="21"/>
          <w:lang w:val="en-US"/>
        </w:rPr>
        <w:t>14.1</w:t>
      </w:r>
      <w:r>
        <w:rPr>
          <w:rFonts w:hint="eastAsia" w:ascii="宋体" w:hAnsi="宋体" w:eastAsia="宋体" w:cs="宋体"/>
          <w:sz w:val="21"/>
          <w:szCs w:val="21"/>
          <w:lang w:eastAsia="zh-CN"/>
        </w:rPr>
        <w:t>竣工付款申请</w:t>
      </w:r>
      <w:bookmarkEnd w:id="761"/>
      <w:bookmarkEnd w:id="762"/>
      <w:bookmarkEnd w:id="763"/>
      <w:bookmarkEnd w:id="764"/>
      <w:bookmarkEnd w:id="765"/>
      <w:bookmarkEnd w:id="766"/>
      <w:bookmarkEnd w:id="767"/>
      <w:bookmarkEnd w:id="768"/>
    </w:p>
    <w:p w14:paraId="4A36C4D4">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承包人提交竣工付款申请单的期限：</w:t>
      </w:r>
      <w:r>
        <w:rPr>
          <w:rFonts w:hint="eastAsia" w:ascii="宋体" w:hAnsi="宋体" w:eastAsia="宋体" w:cs="宋体"/>
          <w:color w:val="000000"/>
          <w:kern w:val="2"/>
          <w:sz w:val="21"/>
          <w:szCs w:val="21"/>
          <w:u w:val="single"/>
          <w:lang w:val="en-US" w:eastAsia="zh-CN" w:bidi="ar"/>
        </w:rPr>
        <w:t xml:space="preserve"> </w:t>
      </w:r>
      <w:r>
        <w:rPr>
          <w:rFonts w:hint="eastAsia" w:ascii="宋体" w:hAnsi="宋体" w:eastAsia="宋体" w:cs="宋体"/>
          <w:color w:val="auto"/>
          <w:sz w:val="21"/>
          <w:szCs w:val="21"/>
          <w:highlight w:val="none"/>
          <w:u w:val="single"/>
        </w:rPr>
        <w:t>承包人应在工程竣工验收合格之日起 2</w:t>
      </w:r>
      <w:r>
        <w:rPr>
          <w:rFonts w:hint="eastAsia" w:ascii="宋体" w:hAnsi="宋体" w:eastAsia="宋体" w:cs="宋体"/>
          <w:color w:val="auto"/>
          <w:sz w:val="21"/>
          <w:szCs w:val="21"/>
          <w:highlight w:val="none"/>
          <w:u w:val="single"/>
          <w:lang w:val="en-US" w:eastAsia="zh-CN"/>
        </w:rPr>
        <w:t>0</w:t>
      </w:r>
      <w:r>
        <w:rPr>
          <w:rFonts w:hint="eastAsia" w:ascii="宋体" w:hAnsi="宋体" w:eastAsia="宋体" w:cs="宋体"/>
          <w:color w:val="auto"/>
          <w:sz w:val="21"/>
          <w:szCs w:val="21"/>
          <w:highlight w:val="none"/>
          <w:u w:val="single"/>
        </w:rPr>
        <w:t>天内向发包人和监理人提交竣工结算申请单</w:t>
      </w:r>
      <w:r>
        <w:rPr>
          <w:rFonts w:hint="eastAsia" w:ascii="宋体" w:hAnsi="宋体" w:eastAsia="宋体" w:cs="宋体"/>
          <w:color w:val="000000"/>
          <w:kern w:val="2"/>
          <w:sz w:val="21"/>
          <w:szCs w:val="21"/>
          <w:u w:val="single"/>
          <w:lang w:val="en-US" w:eastAsia="zh-CN" w:bidi="ar"/>
        </w:rPr>
        <w:t xml:space="preserve">  </w:t>
      </w:r>
      <w:r>
        <w:rPr>
          <w:rFonts w:hint="eastAsia" w:ascii="宋体" w:hAnsi="宋体" w:eastAsia="宋体" w:cs="宋体"/>
          <w:color w:val="000000"/>
          <w:kern w:val="2"/>
          <w:sz w:val="21"/>
          <w:szCs w:val="21"/>
          <w:lang w:val="en-US" w:eastAsia="zh-CN" w:bidi="ar"/>
        </w:rPr>
        <w:t>。</w:t>
      </w:r>
    </w:p>
    <w:p w14:paraId="5D35E0E3">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u w:val="single"/>
          <w:lang w:val="en-US"/>
        </w:rPr>
      </w:pPr>
      <w:r>
        <w:rPr>
          <w:rFonts w:hint="eastAsia" w:ascii="宋体" w:hAnsi="宋体" w:eastAsia="宋体" w:cs="宋体"/>
          <w:color w:val="000000"/>
          <w:kern w:val="2"/>
          <w:sz w:val="21"/>
          <w:szCs w:val="21"/>
          <w:lang w:val="en-US" w:eastAsia="zh-CN" w:bidi="ar"/>
        </w:rPr>
        <w:t>竣工付款申请单应包括的内容：</w:t>
      </w:r>
      <w:r>
        <w:rPr>
          <w:rFonts w:hint="eastAsia" w:ascii="宋体" w:hAnsi="宋体" w:eastAsia="宋体" w:cs="宋体"/>
          <w:color w:val="000000"/>
          <w:kern w:val="2"/>
          <w:sz w:val="21"/>
          <w:szCs w:val="21"/>
          <w:u w:val="single"/>
          <w:lang w:val="en-US" w:eastAsia="zh-CN" w:bidi="ar"/>
        </w:rPr>
        <w:t xml:space="preserve">承包人所承包的全部完成内容（包括设计变更、现场签证、政策性文件变更等） </w:t>
      </w:r>
      <w:r>
        <w:rPr>
          <w:rFonts w:hint="eastAsia" w:ascii="宋体" w:hAnsi="宋体" w:eastAsia="宋体" w:cs="宋体"/>
          <w:color w:val="000000"/>
          <w:kern w:val="2"/>
          <w:sz w:val="21"/>
          <w:szCs w:val="21"/>
          <w:lang w:val="en-US" w:eastAsia="zh-CN" w:bidi="ar"/>
        </w:rPr>
        <w:t>。</w:t>
      </w:r>
    </w:p>
    <w:p w14:paraId="49E9DF01">
      <w:pPr>
        <w:pStyle w:val="5"/>
        <w:widowControl/>
        <w:numPr>
          <w:ilvl w:val="0"/>
          <w:numId w:val="0"/>
        </w:numPr>
        <w:spacing w:line="400" w:lineRule="exact"/>
        <w:rPr>
          <w:rFonts w:hint="eastAsia" w:ascii="宋体" w:hAnsi="宋体" w:eastAsia="宋体" w:cs="宋体"/>
          <w:sz w:val="21"/>
          <w:szCs w:val="21"/>
          <w:lang w:val="en-US"/>
        </w:rPr>
      </w:pPr>
      <w:bookmarkStart w:id="769" w:name="_Toc434426231"/>
      <w:bookmarkStart w:id="770" w:name="_Toc484160292"/>
      <w:bookmarkStart w:id="771" w:name="_Toc470017774"/>
      <w:bookmarkStart w:id="772" w:name="_Toc435707058"/>
      <w:bookmarkStart w:id="773" w:name="_Toc373227760"/>
      <w:bookmarkStart w:id="774" w:name="_Toc389065325"/>
      <w:bookmarkStart w:id="775" w:name="_Toc373478407"/>
      <w:bookmarkStart w:id="776" w:name="_Toc7485"/>
      <w:r>
        <w:rPr>
          <w:rFonts w:hint="eastAsia" w:ascii="宋体" w:hAnsi="宋体" w:eastAsia="宋体" w:cs="宋体"/>
          <w:sz w:val="21"/>
          <w:szCs w:val="21"/>
          <w:lang w:val="en-US"/>
        </w:rPr>
        <w:t xml:space="preserve">14.2 </w:t>
      </w:r>
      <w:r>
        <w:rPr>
          <w:rFonts w:hint="eastAsia" w:ascii="宋体" w:hAnsi="宋体" w:eastAsia="宋体" w:cs="宋体"/>
          <w:sz w:val="21"/>
          <w:szCs w:val="21"/>
          <w:lang w:eastAsia="zh-CN"/>
        </w:rPr>
        <w:t>竣工结算审核</w:t>
      </w:r>
      <w:bookmarkEnd w:id="769"/>
      <w:bookmarkEnd w:id="770"/>
      <w:bookmarkEnd w:id="771"/>
      <w:bookmarkEnd w:id="772"/>
      <w:bookmarkEnd w:id="773"/>
      <w:bookmarkEnd w:id="774"/>
      <w:bookmarkEnd w:id="775"/>
      <w:bookmarkEnd w:id="776"/>
    </w:p>
    <w:p w14:paraId="6C0B3A89">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发包人审批竣工付款申请单的期限：</w:t>
      </w:r>
    </w:p>
    <w:tbl>
      <w:tblPr>
        <w:tblStyle w:val="28"/>
        <w:tblW w:w="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2701"/>
        <w:gridCol w:w="6092"/>
      </w:tblGrid>
      <w:tr w14:paraId="72A00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7175BEF9">
            <w:pPr>
              <w:keepNext w:val="0"/>
              <w:keepLines w:val="0"/>
              <w:widowControl w:val="0"/>
              <w:suppressLineNumbers w:val="0"/>
              <w:spacing w:before="0" w:beforeAutospacing="0" w:after="0" w:afterAutospacing="0" w:line="400" w:lineRule="exact"/>
              <w:ind w:left="0" w:right="0" w:firstLine="420" w:firstLineChars="200"/>
              <w:jc w:val="center"/>
              <w:rPr>
                <w:rFonts w:hint="eastAsia" w:ascii="宋体" w:hAnsi="宋体" w:eastAsia="宋体" w:cs="宋体"/>
                <w:bCs/>
                <w:sz w:val="21"/>
                <w:szCs w:val="21"/>
                <w:lang w:val="en-US"/>
              </w:rPr>
            </w:pPr>
          </w:p>
        </w:tc>
        <w:tc>
          <w:tcPr>
            <w:tcW w:w="2701" w:type="dxa"/>
            <w:tcBorders>
              <w:top w:val="single" w:color="auto" w:sz="4" w:space="0"/>
              <w:left w:val="single" w:color="auto" w:sz="4" w:space="0"/>
              <w:bottom w:val="single" w:color="auto" w:sz="4" w:space="0"/>
              <w:right w:val="single" w:color="auto" w:sz="4" w:space="0"/>
            </w:tcBorders>
            <w:noWrap w:val="0"/>
            <w:vAlign w:val="center"/>
          </w:tcPr>
          <w:p w14:paraId="2BBE9B0B">
            <w:pPr>
              <w:keepNext w:val="0"/>
              <w:keepLines w:val="0"/>
              <w:widowControl w:val="0"/>
              <w:suppressLineNumbers w:val="0"/>
              <w:spacing w:before="0" w:beforeAutospacing="0" w:after="0" w:afterAutospacing="0" w:line="400" w:lineRule="exact"/>
              <w:ind w:left="0" w:right="0"/>
              <w:jc w:val="center"/>
              <w:rPr>
                <w:rFonts w:hint="eastAsia" w:ascii="宋体" w:hAnsi="宋体" w:eastAsia="宋体" w:cs="宋体"/>
                <w:bCs/>
                <w:sz w:val="21"/>
                <w:szCs w:val="21"/>
                <w:lang w:val="en-US"/>
              </w:rPr>
            </w:pPr>
            <w:r>
              <w:rPr>
                <w:rFonts w:hint="eastAsia" w:ascii="宋体" w:hAnsi="宋体" w:eastAsia="宋体" w:cs="宋体"/>
                <w:bCs/>
                <w:color w:val="000000"/>
                <w:kern w:val="2"/>
                <w:sz w:val="21"/>
                <w:szCs w:val="21"/>
                <w:lang w:val="en-US" w:eastAsia="zh-CN" w:bidi="ar"/>
              </w:rPr>
              <w:t>工程竣工结算报告金额</w:t>
            </w:r>
          </w:p>
        </w:tc>
        <w:tc>
          <w:tcPr>
            <w:tcW w:w="6092" w:type="dxa"/>
            <w:tcBorders>
              <w:top w:val="single" w:color="auto" w:sz="4" w:space="0"/>
              <w:left w:val="single" w:color="auto" w:sz="4" w:space="0"/>
              <w:bottom w:val="single" w:color="auto" w:sz="4" w:space="0"/>
              <w:right w:val="single" w:color="auto" w:sz="4" w:space="0"/>
            </w:tcBorders>
            <w:noWrap w:val="0"/>
            <w:vAlign w:val="center"/>
          </w:tcPr>
          <w:p w14:paraId="3E4BC04E">
            <w:pPr>
              <w:keepNext w:val="0"/>
              <w:keepLines w:val="0"/>
              <w:widowControl w:val="0"/>
              <w:suppressLineNumbers w:val="0"/>
              <w:spacing w:before="0" w:beforeAutospacing="0" w:after="0" w:afterAutospacing="0" w:line="400" w:lineRule="exact"/>
              <w:ind w:left="0" w:right="0"/>
              <w:jc w:val="center"/>
              <w:rPr>
                <w:rFonts w:hint="eastAsia" w:ascii="宋体" w:hAnsi="宋体" w:eastAsia="宋体" w:cs="宋体"/>
                <w:bCs/>
                <w:sz w:val="21"/>
                <w:szCs w:val="21"/>
                <w:lang w:val="en-US"/>
              </w:rPr>
            </w:pPr>
            <w:r>
              <w:rPr>
                <w:rFonts w:hint="eastAsia" w:ascii="宋体" w:hAnsi="宋体" w:eastAsia="宋体" w:cs="宋体"/>
                <w:bCs/>
                <w:color w:val="000000"/>
                <w:kern w:val="2"/>
                <w:sz w:val="21"/>
                <w:szCs w:val="21"/>
                <w:lang w:val="en-US" w:eastAsia="zh-CN" w:bidi="ar"/>
              </w:rPr>
              <w:t>发包人审查时间</w:t>
            </w:r>
          </w:p>
        </w:tc>
      </w:tr>
      <w:tr w14:paraId="16ECC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412D0874">
            <w:pPr>
              <w:keepNext w:val="0"/>
              <w:keepLines w:val="0"/>
              <w:widowControl w:val="0"/>
              <w:suppressLineNumbers w:val="0"/>
              <w:spacing w:before="0" w:beforeAutospacing="0" w:after="0" w:afterAutospacing="0" w:line="400" w:lineRule="exact"/>
              <w:ind w:left="0" w:right="0"/>
              <w:jc w:val="center"/>
              <w:rPr>
                <w:rFonts w:hint="eastAsia" w:ascii="宋体" w:hAnsi="宋体" w:eastAsia="宋体" w:cs="宋体"/>
                <w:bCs/>
                <w:sz w:val="21"/>
                <w:szCs w:val="21"/>
                <w:lang w:val="en-US"/>
              </w:rPr>
            </w:pPr>
            <w:r>
              <w:rPr>
                <w:rFonts w:hint="eastAsia" w:ascii="宋体" w:hAnsi="宋体" w:eastAsia="宋体" w:cs="宋体"/>
                <w:bCs/>
                <w:color w:val="000000"/>
                <w:kern w:val="2"/>
                <w:sz w:val="21"/>
                <w:szCs w:val="21"/>
                <w:lang w:val="en-US" w:eastAsia="zh-CN" w:bidi="ar"/>
              </w:rPr>
              <w:t>1</w:t>
            </w:r>
          </w:p>
        </w:tc>
        <w:tc>
          <w:tcPr>
            <w:tcW w:w="2701" w:type="dxa"/>
            <w:tcBorders>
              <w:top w:val="single" w:color="auto" w:sz="4" w:space="0"/>
              <w:left w:val="single" w:color="auto" w:sz="4" w:space="0"/>
              <w:bottom w:val="single" w:color="auto" w:sz="4" w:space="0"/>
              <w:right w:val="single" w:color="auto" w:sz="4" w:space="0"/>
            </w:tcBorders>
            <w:noWrap w:val="0"/>
            <w:vAlign w:val="center"/>
          </w:tcPr>
          <w:p w14:paraId="7E4080A0">
            <w:pPr>
              <w:keepNext w:val="0"/>
              <w:keepLines w:val="0"/>
              <w:widowControl w:val="0"/>
              <w:suppressLineNumbers w:val="0"/>
              <w:spacing w:before="0" w:beforeAutospacing="0" w:after="0" w:afterAutospacing="0" w:line="400" w:lineRule="exact"/>
              <w:ind w:left="0" w:right="0"/>
              <w:jc w:val="center"/>
              <w:rPr>
                <w:rFonts w:hint="eastAsia" w:ascii="宋体" w:hAnsi="宋体" w:eastAsia="宋体" w:cs="宋体"/>
                <w:bCs/>
                <w:sz w:val="21"/>
                <w:szCs w:val="21"/>
                <w:lang w:val="en-US"/>
              </w:rPr>
            </w:pPr>
            <w:r>
              <w:rPr>
                <w:rFonts w:hint="eastAsia" w:ascii="宋体" w:hAnsi="宋体" w:eastAsia="宋体" w:cs="宋体"/>
                <w:bCs/>
                <w:color w:val="000000"/>
                <w:kern w:val="2"/>
                <w:sz w:val="21"/>
                <w:szCs w:val="21"/>
                <w:lang w:val="en-US" w:eastAsia="zh-CN" w:bidi="ar"/>
              </w:rPr>
              <w:t>500万元以下</w:t>
            </w:r>
          </w:p>
        </w:tc>
        <w:tc>
          <w:tcPr>
            <w:tcW w:w="6092" w:type="dxa"/>
            <w:tcBorders>
              <w:top w:val="single" w:color="auto" w:sz="4" w:space="0"/>
              <w:left w:val="single" w:color="auto" w:sz="4" w:space="0"/>
              <w:bottom w:val="single" w:color="auto" w:sz="4" w:space="0"/>
              <w:right w:val="single" w:color="auto" w:sz="4" w:space="0"/>
            </w:tcBorders>
            <w:noWrap w:val="0"/>
            <w:vAlign w:val="center"/>
          </w:tcPr>
          <w:p w14:paraId="0C699436">
            <w:pPr>
              <w:keepNext w:val="0"/>
              <w:keepLines w:val="0"/>
              <w:widowControl w:val="0"/>
              <w:suppressLineNumbers w:val="0"/>
              <w:spacing w:before="0" w:beforeAutospacing="0" w:after="0" w:afterAutospacing="0" w:line="400" w:lineRule="exact"/>
              <w:ind w:left="0" w:right="0"/>
              <w:jc w:val="center"/>
              <w:rPr>
                <w:rFonts w:hint="eastAsia" w:ascii="宋体" w:hAnsi="宋体" w:eastAsia="宋体" w:cs="宋体"/>
                <w:bCs/>
                <w:sz w:val="21"/>
                <w:szCs w:val="21"/>
                <w:lang w:val="en-US"/>
              </w:rPr>
            </w:pPr>
            <w:r>
              <w:rPr>
                <w:rFonts w:hint="eastAsia" w:ascii="宋体" w:hAnsi="宋体" w:eastAsia="宋体" w:cs="宋体"/>
                <w:bCs/>
                <w:color w:val="000000"/>
                <w:kern w:val="2"/>
                <w:sz w:val="21"/>
                <w:szCs w:val="21"/>
                <w:lang w:val="en-US" w:eastAsia="zh-CN" w:bidi="ar"/>
              </w:rPr>
              <w:t>从接到竣工结算报告和完整的竣工结算资料之日起20天</w:t>
            </w:r>
          </w:p>
        </w:tc>
      </w:tr>
      <w:tr w14:paraId="53FF0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1C0748E4">
            <w:pPr>
              <w:keepNext w:val="0"/>
              <w:keepLines w:val="0"/>
              <w:widowControl w:val="0"/>
              <w:suppressLineNumbers w:val="0"/>
              <w:spacing w:before="0" w:beforeAutospacing="0" w:after="0" w:afterAutospacing="0" w:line="400" w:lineRule="exact"/>
              <w:ind w:left="0" w:right="0"/>
              <w:jc w:val="center"/>
              <w:rPr>
                <w:rFonts w:hint="eastAsia" w:ascii="宋体" w:hAnsi="宋体" w:eastAsia="宋体" w:cs="宋体"/>
                <w:bCs/>
                <w:sz w:val="21"/>
                <w:szCs w:val="21"/>
                <w:lang w:val="en-US"/>
              </w:rPr>
            </w:pPr>
            <w:r>
              <w:rPr>
                <w:rFonts w:hint="eastAsia" w:ascii="宋体" w:hAnsi="宋体" w:eastAsia="宋体" w:cs="宋体"/>
                <w:bCs/>
                <w:color w:val="000000"/>
                <w:kern w:val="2"/>
                <w:sz w:val="21"/>
                <w:szCs w:val="21"/>
                <w:lang w:val="en-US" w:eastAsia="zh-CN" w:bidi="ar"/>
              </w:rPr>
              <w:t>2</w:t>
            </w:r>
          </w:p>
        </w:tc>
        <w:tc>
          <w:tcPr>
            <w:tcW w:w="2701" w:type="dxa"/>
            <w:tcBorders>
              <w:top w:val="single" w:color="auto" w:sz="4" w:space="0"/>
              <w:left w:val="single" w:color="auto" w:sz="4" w:space="0"/>
              <w:bottom w:val="single" w:color="auto" w:sz="4" w:space="0"/>
              <w:right w:val="single" w:color="auto" w:sz="4" w:space="0"/>
            </w:tcBorders>
            <w:noWrap w:val="0"/>
            <w:vAlign w:val="center"/>
          </w:tcPr>
          <w:p w14:paraId="7272D991">
            <w:pPr>
              <w:keepNext w:val="0"/>
              <w:keepLines w:val="0"/>
              <w:widowControl w:val="0"/>
              <w:suppressLineNumbers w:val="0"/>
              <w:spacing w:before="0" w:beforeAutospacing="0" w:after="0" w:afterAutospacing="0" w:line="400" w:lineRule="exact"/>
              <w:ind w:left="0" w:right="0"/>
              <w:jc w:val="center"/>
              <w:rPr>
                <w:rFonts w:hint="eastAsia" w:ascii="宋体" w:hAnsi="宋体" w:eastAsia="宋体" w:cs="宋体"/>
                <w:bCs/>
                <w:sz w:val="21"/>
                <w:szCs w:val="21"/>
                <w:lang w:val="en-US"/>
              </w:rPr>
            </w:pPr>
            <w:r>
              <w:rPr>
                <w:rFonts w:hint="eastAsia" w:ascii="宋体" w:hAnsi="宋体" w:eastAsia="宋体" w:cs="宋体"/>
                <w:bCs/>
                <w:color w:val="000000"/>
                <w:kern w:val="2"/>
                <w:sz w:val="21"/>
                <w:szCs w:val="21"/>
                <w:lang w:val="en-US" w:eastAsia="zh-CN" w:bidi="ar"/>
              </w:rPr>
              <w:t>500万元-2000万元</w:t>
            </w:r>
          </w:p>
        </w:tc>
        <w:tc>
          <w:tcPr>
            <w:tcW w:w="6092" w:type="dxa"/>
            <w:tcBorders>
              <w:top w:val="single" w:color="auto" w:sz="4" w:space="0"/>
              <w:left w:val="single" w:color="auto" w:sz="4" w:space="0"/>
              <w:bottom w:val="single" w:color="auto" w:sz="4" w:space="0"/>
              <w:right w:val="single" w:color="auto" w:sz="4" w:space="0"/>
            </w:tcBorders>
            <w:noWrap w:val="0"/>
            <w:vAlign w:val="center"/>
          </w:tcPr>
          <w:p w14:paraId="14ED52F7">
            <w:pPr>
              <w:keepNext w:val="0"/>
              <w:keepLines w:val="0"/>
              <w:widowControl w:val="0"/>
              <w:suppressLineNumbers w:val="0"/>
              <w:spacing w:before="0" w:beforeAutospacing="0" w:after="0" w:afterAutospacing="0" w:line="400" w:lineRule="exact"/>
              <w:ind w:left="0" w:right="0"/>
              <w:jc w:val="center"/>
              <w:rPr>
                <w:rFonts w:hint="eastAsia" w:ascii="宋体" w:hAnsi="宋体" w:eastAsia="宋体" w:cs="宋体"/>
                <w:bCs/>
                <w:sz w:val="21"/>
                <w:szCs w:val="21"/>
                <w:lang w:val="en-US"/>
              </w:rPr>
            </w:pPr>
            <w:r>
              <w:rPr>
                <w:rFonts w:hint="eastAsia" w:ascii="宋体" w:hAnsi="宋体" w:eastAsia="宋体" w:cs="宋体"/>
                <w:bCs/>
                <w:color w:val="000000"/>
                <w:kern w:val="2"/>
                <w:sz w:val="21"/>
                <w:szCs w:val="21"/>
                <w:lang w:val="en-US" w:eastAsia="zh-CN" w:bidi="ar"/>
              </w:rPr>
              <w:t>从接到竣工结算报告和完整的竣工结算资料之日起30天</w:t>
            </w:r>
          </w:p>
        </w:tc>
      </w:tr>
      <w:tr w14:paraId="4EB7E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5B205F4B">
            <w:pPr>
              <w:keepNext w:val="0"/>
              <w:keepLines w:val="0"/>
              <w:widowControl w:val="0"/>
              <w:suppressLineNumbers w:val="0"/>
              <w:spacing w:before="0" w:beforeAutospacing="0" w:after="0" w:afterAutospacing="0" w:line="400" w:lineRule="exact"/>
              <w:ind w:left="0" w:right="0"/>
              <w:jc w:val="center"/>
              <w:rPr>
                <w:rFonts w:hint="eastAsia" w:ascii="宋体" w:hAnsi="宋体" w:eastAsia="宋体" w:cs="宋体"/>
                <w:bCs/>
                <w:sz w:val="21"/>
                <w:szCs w:val="21"/>
                <w:lang w:val="en-US"/>
              </w:rPr>
            </w:pPr>
            <w:r>
              <w:rPr>
                <w:rFonts w:hint="eastAsia" w:ascii="宋体" w:hAnsi="宋体" w:eastAsia="宋体" w:cs="宋体"/>
                <w:bCs/>
                <w:color w:val="000000"/>
                <w:kern w:val="2"/>
                <w:sz w:val="21"/>
                <w:szCs w:val="21"/>
                <w:lang w:val="en-US" w:eastAsia="zh-CN" w:bidi="ar"/>
              </w:rPr>
              <w:t>3</w:t>
            </w:r>
          </w:p>
        </w:tc>
        <w:tc>
          <w:tcPr>
            <w:tcW w:w="2701" w:type="dxa"/>
            <w:tcBorders>
              <w:top w:val="single" w:color="auto" w:sz="4" w:space="0"/>
              <w:left w:val="single" w:color="auto" w:sz="4" w:space="0"/>
              <w:bottom w:val="single" w:color="auto" w:sz="4" w:space="0"/>
              <w:right w:val="single" w:color="auto" w:sz="4" w:space="0"/>
            </w:tcBorders>
            <w:noWrap w:val="0"/>
            <w:vAlign w:val="center"/>
          </w:tcPr>
          <w:p w14:paraId="1A1670A3">
            <w:pPr>
              <w:keepNext w:val="0"/>
              <w:keepLines w:val="0"/>
              <w:widowControl w:val="0"/>
              <w:suppressLineNumbers w:val="0"/>
              <w:spacing w:before="0" w:beforeAutospacing="0" w:after="0" w:afterAutospacing="0" w:line="400" w:lineRule="exact"/>
              <w:ind w:left="0" w:right="0"/>
              <w:jc w:val="center"/>
              <w:rPr>
                <w:rFonts w:hint="eastAsia" w:ascii="宋体" w:hAnsi="宋体" w:eastAsia="宋体" w:cs="宋体"/>
                <w:bCs/>
                <w:sz w:val="21"/>
                <w:szCs w:val="21"/>
                <w:lang w:val="en-US"/>
              </w:rPr>
            </w:pPr>
            <w:r>
              <w:rPr>
                <w:rFonts w:hint="eastAsia" w:ascii="宋体" w:hAnsi="宋体" w:eastAsia="宋体" w:cs="宋体"/>
                <w:bCs/>
                <w:color w:val="000000"/>
                <w:kern w:val="2"/>
                <w:sz w:val="21"/>
                <w:szCs w:val="21"/>
                <w:lang w:val="en-US" w:eastAsia="zh-CN" w:bidi="ar"/>
              </w:rPr>
              <w:t>2000万元-5000万元</w:t>
            </w:r>
          </w:p>
        </w:tc>
        <w:tc>
          <w:tcPr>
            <w:tcW w:w="6092" w:type="dxa"/>
            <w:tcBorders>
              <w:top w:val="single" w:color="auto" w:sz="4" w:space="0"/>
              <w:left w:val="single" w:color="auto" w:sz="4" w:space="0"/>
              <w:bottom w:val="single" w:color="auto" w:sz="4" w:space="0"/>
              <w:right w:val="single" w:color="auto" w:sz="4" w:space="0"/>
            </w:tcBorders>
            <w:noWrap w:val="0"/>
            <w:vAlign w:val="center"/>
          </w:tcPr>
          <w:p w14:paraId="72729373">
            <w:pPr>
              <w:keepNext w:val="0"/>
              <w:keepLines w:val="0"/>
              <w:widowControl w:val="0"/>
              <w:suppressLineNumbers w:val="0"/>
              <w:spacing w:before="0" w:beforeAutospacing="0" w:after="0" w:afterAutospacing="0" w:line="400" w:lineRule="exact"/>
              <w:ind w:left="0" w:right="0"/>
              <w:jc w:val="center"/>
              <w:rPr>
                <w:rFonts w:hint="eastAsia" w:ascii="宋体" w:hAnsi="宋体" w:eastAsia="宋体" w:cs="宋体"/>
                <w:bCs/>
                <w:sz w:val="21"/>
                <w:szCs w:val="21"/>
                <w:lang w:val="en-US"/>
              </w:rPr>
            </w:pPr>
            <w:r>
              <w:rPr>
                <w:rFonts w:hint="eastAsia" w:ascii="宋体" w:hAnsi="宋体" w:eastAsia="宋体" w:cs="宋体"/>
                <w:bCs/>
                <w:color w:val="000000"/>
                <w:kern w:val="2"/>
                <w:sz w:val="21"/>
                <w:szCs w:val="21"/>
                <w:lang w:val="en-US" w:eastAsia="zh-CN" w:bidi="ar"/>
              </w:rPr>
              <w:t>从接到竣工结算报告和完整的竣工结算资料之日起45天</w:t>
            </w:r>
          </w:p>
        </w:tc>
      </w:tr>
      <w:tr w14:paraId="47337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1CD67BBF">
            <w:pPr>
              <w:keepNext w:val="0"/>
              <w:keepLines w:val="0"/>
              <w:widowControl w:val="0"/>
              <w:suppressLineNumbers w:val="0"/>
              <w:spacing w:before="0" w:beforeAutospacing="0" w:after="0" w:afterAutospacing="0" w:line="400" w:lineRule="exact"/>
              <w:ind w:left="0" w:right="0"/>
              <w:jc w:val="center"/>
              <w:rPr>
                <w:rFonts w:hint="eastAsia" w:ascii="宋体" w:hAnsi="宋体" w:eastAsia="宋体" w:cs="宋体"/>
                <w:bCs/>
                <w:sz w:val="21"/>
                <w:szCs w:val="21"/>
                <w:lang w:val="en-US"/>
              </w:rPr>
            </w:pPr>
            <w:r>
              <w:rPr>
                <w:rFonts w:hint="eastAsia" w:ascii="宋体" w:hAnsi="宋体" w:eastAsia="宋体" w:cs="宋体"/>
                <w:bCs/>
                <w:color w:val="000000"/>
                <w:kern w:val="2"/>
                <w:sz w:val="21"/>
                <w:szCs w:val="21"/>
                <w:lang w:val="en-US" w:eastAsia="zh-CN" w:bidi="ar"/>
              </w:rPr>
              <w:t>4</w:t>
            </w:r>
          </w:p>
        </w:tc>
        <w:tc>
          <w:tcPr>
            <w:tcW w:w="2701" w:type="dxa"/>
            <w:tcBorders>
              <w:top w:val="single" w:color="auto" w:sz="4" w:space="0"/>
              <w:left w:val="single" w:color="auto" w:sz="4" w:space="0"/>
              <w:bottom w:val="single" w:color="auto" w:sz="4" w:space="0"/>
              <w:right w:val="single" w:color="auto" w:sz="4" w:space="0"/>
            </w:tcBorders>
            <w:noWrap w:val="0"/>
            <w:vAlign w:val="center"/>
          </w:tcPr>
          <w:p w14:paraId="1F57D7F6">
            <w:pPr>
              <w:keepNext w:val="0"/>
              <w:keepLines w:val="0"/>
              <w:widowControl w:val="0"/>
              <w:suppressLineNumbers w:val="0"/>
              <w:spacing w:before="0" w:beforeAutospacing="0" w:after="0" w:afterAutospacing="0" w:line="400" w:lineRule="exact"/>
              <w:ind w:left="0" w:right="0"/>
              <w:jc w:val="center"/>
              <w:rPr>
                <w:rFonts w:hint="eastAsia" w:ascii="宋体" w:hAnsi="宋体" w:eastAsia="宋体" w:cs="宋体"/>
                <w:bCs/>
                <w:sz w:val="21"/>
                <w:szCs w:val="21"/>
                <w:lang w:val="en-US"/>
              </w:rPr>
            </w:pPr>
            <w:r>
              <w:rPr>
                <w:rFonts w:hint="eastAsia" w:ascii="宋体" w:hAnsi="宋体" w:eastAsia="宋体" w:cs="宋体"/>
                <w:bCs/>
                <w:color w:val="000000"/>
                <w:kern w:val="2"/>
                <w:sz w:val="21"/>
                <w:szCs w:val="21"/>
                <w:lang w:val="en-US" w:eastAsia="zh-CN" w:bidi="ar"/>
              </w:rPr>
              <w:t>5000万元以上</w:t>
            </w:r>
          </w:p>
        </w:tc>
        <w:tc>
          <w:tcPr>
            <w:tcW w:w="6092" w:type="dxa"/>
            <w:tcBorders>
              <w:top w:val="single" w:color="auto" w:sz="4" w:space="0"/>
              <w:left w:val="single" w:color="auto" w:sz="4" w:space="0"/>
              <w:bottom w:val="single" w:color="auto" w:sz="4" w:space="0"/>
              <w:right w:val="single" w:color="auto" w:sz="4" w:space="0"/>
            </w:tcBorders>
            <w:noWrap w:val="0"/>
            <w:vAlign w:val="center"/>
          </w:tcPr>
          <w:p w14:paraId="6AB426B7">
            <w:pPr>
              <w:keepNext w:val="0"/>
              <w:keepLines w:val="0"/>
              <w:widowControl w:val="0"/>
              <w:suppressLineNumbers w:val="0"/>
              <w:spacing w:before="0" w:beforeAutospacing="0" w:after="0" w:afterAutospacing="0" w:line="400" w:lineRule="exact"/>
              <w:ind w:left="0" w:right="0"/>
              <w:jc w:val="center"/>
              <w:rPr>
                <w:rFonts w:hint="eastAsia" w:ascii="宋体" w:hAnsi="宋体" w:eastAsia="宋体" w:cs="宋体"/>
                <w:bCs/>
                <w:sz w:val="21"/>
                <w:szCs w:val="21"/>
                <w:lang w:val="en-US"/>
              </w:rPr>
            </w:pPr>
            <w:r>
              <w:rPr>
                <w:rFonts w:hint="eastAsia" w:ascii="宋体" w:hAnsi="宋体" w:eastAsia="宋体" w:cs="宋体"/>
                <w:bCs/>
                <w:color w:val="000000"/>
                <w:kern w:val="2"/>
                <w:sz w:val="21"/>
                <w:szCs w:val="21"/>
                <w:lang w:val="en-US" w:eastAsia="zh-CN" w:bidi="ar"/>
              </w:rPr>
              <w:t>从接到竣工结算报告和完整的竣工结算资料之日起60天</w:t>
            </w:r>
          </w:p>
        </w:tc>
      </w:tr>
    </w:tbl>
    <w:p w14:paraId="2D0B57E0">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bCs/>
          <w:color w:val="000000"/>
          <w:kern w:val="2"/>
          <w:sz w:val="21"/>
          <w:szCs w:val="21"/>
          <w:lang w:val="en-US" w:eastAsia="zh-CN" w:bidi="ar"/>
        </w:rPr>
        <w:t>因承包人提供的结算资料不完整而需要补充或承包人不按时对账耽误时间时，审查时间应相应顺延</w:t>
      </w:r>
      <w:r>
        <w:rPr>
          <w:rFonts w:hint="eastAsia" w:ascii="宋体" w:hAnsi="宋体" w:eastAsia="宋体" w:cs="宋体"/>
          <w:color w:val="000000"/>
          <w:kern w:val="2"/>
          <w:sz w:val="21"/>
          <w:szCs w:val="21"/>
          <w:lang w:val="en-US" w:eastAsia="zh-CN" w:bidi="ar"/>
        </w:rPr>
        <w:t>。</w:t>
      </w:r>
    </w:p>
    <w:p w14:paraId="642F2ECB">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发包人完成竣工付款的期限：</w:t>
      </w:r>
      <w:r>
        <w:rPr>
          <w:rFonts w:hint="eastAsia" w:ascii="宋体" w:hAnsi="宋体" w:eastAsia="宋体" w:cs="宋体"/>
          <w:color w:val="000000"/>
          <w:kern w:val="2"/>
          <w:sz w:val="21"/>
          <w:szCs w:val="21"/>
          <w:u w:val="single"/>
          <w:lang w:val="en-US" w:eastAsia="zh-CN" w:bidi="ar"/>
        </w:rPr>
        <w:t xml:space="preserve">  工程项目竣工验收合格通过后，经中标人书面申请，在15个工作日内，一次性付清工程款项 </w:t>
      </w:r>
      <w:r>
        <w:rPr>
          <w:rFonts w:hint="eastAsia" w:ascii="宋体" w:hAnsi="宋体" w:eastAsia="宋体" w:cs="宋体"/>
          <w:color w:val="000000"/>
          <w:kern w:val="2"/>
          <w:sz w:val="21"/>
          <w:szCs w:val="21"/>
          <w:lang w:val="en-US" w:eastAsia="zh-CN" w:bidi="ar"/>
        </w:rPr>
        <w:t>。</w:t>
      </w:r>
    </w:p>
    <w:p w14:paraId="3CD70CEC">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u w:val="single"/>
          <w:lang w:val="en-US"/>
        </w:rPr>
      </w:pPr>
      <w:r>
        <w:rPr>
          <w:rFonts w:hint="eastAsia" w:ascii="宋体" w:hAnsi="宋体" w:eastAsia="宋体" w:cs="宋体"/>
          <w:color w:val="000000"/>
          <w:kern w:val="2"/>
          <w:sz w:val="21"/>
          <w:szCs w:val="21"/>
          <w:lang w:val="en-US" w:eastAsia="zh-CN" w:bidi="ar"/>
        </w:rPr>
        <w:t>关于竣工付款证书异议部分复核的方式和程序：</w:t>
      </w:r>
      <w:r>
        <w:rPr>
          <w:rFonts w:hint="eastAsia" w:ascii="宋体" w:hAnsi="宋体" w:eastAsia="宋体" w:cs="宋体"/>
          <w:color w:val="000000"/>
          <w:kern w:val="2"/>
          <w:sz w:val="21"/>
          <w:szCs w:val="21"/>
          <w:u w:val="single"/>
          <w:lang w:val="en-US" w:eastAsia="zh-CN" w:bidi="ar"/>
        </w:rPr>
        <w:t xml:space="preserve">   </w:t>
      </w:r>
      <w:r>
        <w:rPr>
          <w:rFonts w:hint="eastAsia" w:ascii="宋体" w:hAnsi="宋体" w:eastAsia="宋体" w:cs="宋体"/>
          <w:color w:val="auto"/>
          <w:sz w:val="21"/>
          <w:szCs w:val="21"/>
          <w:highlight w:val="none"/>
          <w:u w:val="single"/>
        </w:rPr>
        <w:t xml:space="preserve">承包人对发包人确认的结算价款或审核意见有异议的，应在收到发包人确认的价款或审核意见之日起 </w:t>
      </w:r>
      <w:r>
        <w:rPr>
          <w:rFonts w:hint="eastAsia" w:ascii="宋体" w:hAnsi="宋体" w:eastAsia="宋体" w:cs="宋体"/>
          <w:color w:val="auto"/>
          <w:sz w:val="21"/>
          <w:szCs w:val="21"/>
          <w:highlight w:val="none"/>
          <w:u w:val="single"/>
          <w:lang w:val="en-US" w:eastAsia="zh-CN"/>
        </w:rPr>
        <w:t>15</w:t>
      </w:r>
      <w:r>
        <w:rPr>
          <w:rFonts w:hint="eastAsia" w:ascii="宋体" w:hAnsi="宋体" w:eastAsia="宋体" w:cs="宋体"/>
          <w:color w:val="auto"/>
          <w:sz w:val="21"/>
          <w:szCs w:val="21"/>
          <w:highlight w:val="none"/>
          <w:u w:val="single"/>
        </w:rPr>
        <w:t xml:space="preserve"> 天内提出异议，必要时合同当事人要当面核对，直至完成工程竣工结算。除非有特殊情形，否则从承包人递交竣工结算报告到完成竣工结算的时间应控制在“发包人审核竣工付款申请单的期限”要求的时间范围内</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000000"/>
          <w:kern w:val="2"/>
          <w:sz w:val="21"/>
          <w:szCs w:val="21"/>
          <w:lang w:val="en-US" w:eastAsia="zh-CN" w:bidi="ar"/>
        </w:rPr>
        <w:t>。</w:t>
      </w:r>
    </w:p>
    <w:p w14:paraId="18909A9E">
      <w:pPr>
        <w:pStyle w:val="5"/>
        <w:widowControl/>
        <w:numPr>
          <w:ilvl w:val="0"/>
          <w:numId w:val="0"/>
        </w:numPr>
        <w:spacing w:line="400" w:lineRule="exact"/>
        <w:rPr>
          <w:rFonts w:hint="eastAsia" w:ascii="宋体" w:hAnsi="宋体" w:eastAsia="宋体" w:cs="宋体"/>
          <w:sz w:val="21"/>
          <w:szCs w:val="21"/>
          <w:lang w:val="en-US"/>
        </w:rPr>
      </w:pPr>
      <w:bookmarkStart w:id="777" w:name="_Toc15609"/>
      <w:bookmarkStart w:id="778" w:name="_Toc373478408"/>
      <w:bookmarkStart w:id="779" w:name="_Toc373227761"/>
      <w:bookmarkStart w:id="780" w:name="_Toc434426232"/>
      <w:bookmarkStart w:id="781" w:name="_Toc470017775"/>
      <w:bookmarkStart w:id="782" w:name="_Toc435707059"/>
      <w:bookmarkStart w:id="783" w:name="_Toc484160293"/>
      <w:bookmarkStart w:id="784" w:name="_Toc389065326"/>
      <w:r>
        <w:rPr>
          <w:rFonts w:hint="eastAsia" w:ascii="宋体" w:hAnsi="宋体" w:eastAsia="宋体" w:cs="宋体"/>
          <w:sz w:val="21"/>
          <w:szCs w:val="21"/>
          <w:lang w:val="en-US"/>
        </w:rPr>
        <w:t>14.3</w:t>
      </w:r>
      <w:r>
        <w:rPr>
          <w:rFonts w:hint="eastAsia" w:ascii="宋体" w:hAnsi="宋体" w:eastAsia="宋体" w:cs="宋体"/>
          <w:sz w:val="21"/>
          <w:szCs w:val="21"/>
          <w:lang w:eastAsia="zh-CN"/>
        </w:rPr>
        <w:t>最终结清</w:t>
      </w:r>
      <w:bookmarkEnd w:id="777"/>
      <w:bookmarkEnd w:id="778"/>
      <w:bookmarkEnd w:id="779"/>
      <w:bookmarkEnd w:id="780"/>
      <w:bookmarkEnd w:id="781"/>
      <w:bookmarkEnd w:id="782"/>
      <w:bookmarkEnd w:id="783"/>
      <w:bookmarkEnd w:id="784"/>
    </w:p>
    <w:p w14:paraId="14613055">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kern w:val="0"/>
          <w:sz w:val="21"/>
          <w:szCs w:val="21"/>
          <w:lang w:val="en-US"/>
        </w:rPr>
      </w:pPr>
      <w:r>
        <w:rPr>
          <w:rFonts w:hint="eastAsia" w:ascii="宋体" w:hAnsi="宋体" w:eastAsia="宋体" w:cs="宋体"/>
          <w:color w:val="000000"/>
          <w:kern w:val="0"/>
          <w:sz w:val="21"/>
          <w:szCs w:val="21"/>
          <w:lang w:val="en-US" w:eastAsia="zh-CN" w:bidi="ar"/>
        </w:rPr>
        <w:t>14.3.1 最终结清申请单</w:t>
      </w:r>
    </w:p>
    <w:p w14:paraId="52A837A5">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kern w:val="0"/>
          <w:sz w:val="21"/>
          <w:szCs w:val="21"/>
          <w:lang w:val="en-US"/>
        </w:rPr>
      </w:pPr>
      <w:r>
        <w:rPr>
          <w:rFonts w:hint="eastAsia" w:ascii="宋体" w:hAnsi="宋体" w:eastAsia="宋体" w:cs="宋体"/>
          <w:color w:val="000000"/>
          <w:kern w:val="0"/>
          <w:sz w:val="21"/>
          <w:szCs w:val="21"/>
          <w:lang w:val="en-US" w:eastAsia="zh-CN" w:bidi="ar"/>
        </w:rPr>
        <w:t>承包人提交最终结清申请单的份数：</w:t>
      </w:r>
      <w:r>
        <w:rPr>
          <w:rFonts w:hint="eastAsia" w:ascii="宋体" w:hAnsi="宋体" w:eastAsia="宋体" w:cs="宋体"/>
          <w:color w:val="000000"/>
          <w:kern w:val="2"/>
          <w:sz w:val="21"/>
          <w:szCs w:val="21"/>
          <w:u w:val="single"/>
          <w:lang w:val="en-US" w:eastAsia="zh-CN" w:bidi="ar"/>
        </w:rPr>
        <w:t xml:space="preserve">  </w:t>
      </w:r>
      <w:r>
        <w:rPr>
          <w:rFonts w:hint="eastAsia" w:ascii="宋体" w:hAnsi="宋体" w:eastAsia="宋体" w:cs="宋体"/>
          <w:color w:val="000000"/>
          <w:kern w:val="2"/>
          <w:sz w:val="21"/>
          <w:szCs w:val="21"/>
          <w:highlight w:val="none"/>
          <w:u w:val="single"/>
          <w:lang w:val="en-US" w:eastAsia="zh-CN" w:bidi="ar"/>
        </w:rPr>
        <w:t>叁份</w:t>
      </w:r>
      <w:r>
        <w:rPr>
          <w:rFonts w:hint="eastAsia" w:ascii="宋体" w:hAnsi="宋体" w:eastAsia="宋体" w:cs="宋体"/>
          <w:color w:val="000000"/>
          <w:kern w:val="2"/>
          <w:sz w:val="21"/>
          <w:szCs w:val="21"/>
          <w:u w:val="single"/>
          <w:lang w:val="en-US" w:eastAsia="zh-CN" w:bidi="ar"/>
        </w:rPr>
        <w:t xml:space="preserve">            </w:t>
      </w:r>
      <w:r>
        <w:rPr>
          <w:rFonts w:hint="eastAsia" w:ascii="宋体" w:hAnsi="宋体" w:eastAsia="宋体" w:cs="宋体"/>
          <w:color w:val="000000"/>
          <w:kern w:val="2"/>
          <w:sz w:val="21"/>
          <w:szCs w:val="21"/>
          <w:lang w:val="en-US" w:eastAsia="zh-CN" w:bidi="ar"/>
        </w:rPr>
        <w:t>。</w:t>
      </w:r>
    </w:p>
    <w:p w14:paraId="47759D1D">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0"/>
          <w:sz w:val="21"/>
          <w:szCs w:val="21"/>
          <w:lang w:val="en-US" w:eastAsia="zh-CN" w:bidi="ar"/>
        </w:rPr>
        <w:t>承包人提交最终结算申请单的期限：</w:t>
      </w:r>
      <w:r>
        <w:rPr>
          <w:rFonts w:hint="eastAsia" w:ascii="宋体" w:hAnsi="宋体" w:eastAsia="宋体" w:cs="宋体"/>
          <w:color w:val="000000"/>
          <w:kern w:val="2"/>
          <w:sz w:val="21"/>
          <w:szCs w:val="21"/>
          <w:u w:val="single"/>
          <w:lang w:val="en-US" w:eastAsia="zh-CN" w:bidi="ar"/>
        </w:rPr>
        <w:t xml:space="preserve"> </w:t>
      </w:r>
      <w:r>
        <w:rPr>
          <w:rFonts w:hint="eastAsia" w:ascii="宋体" w:hAnsi="宋体" w:eastAsia="宋体" w:cs="宋体"/>
          <w:color w:val="auto"/>
          <w:sz w:val="21"/>
          <w:szCs w:val="21"/>
          <w:highlight w:val="none"/>
          <w:u w:val="single"/>
        </w:rPr>
        <w:t>应在缺陷责任期终止证书颁发之日起</w:t>
      </w:r>
      <w:r>
        <w:rPr>
          <w:rFonts w:hint="eastAsia" w:ascii="宋体" w:hAnsi="宋体" w:eastAsia="宋体" w:cs="宋体"/>
          <w:color w:val="auto"/>
          <w:sz w:val="21"/>
          <w:szCs w:val="21"/>
          <w:highlight w:val="none"/>
          <w:u w:val="single"/>
          <w:lang w:val="en-US" w:eastAsia="zh-CN"/>
        </w:rPr>
        <w:t>15</w:t>
      </w:r>
      <w:r>
        <w:rPr>
          <w:rFonts w:hint="eastAsia" w:ascii="宋体" w:hAnsi="宋体" w:eastAsia="宋体" w:cs="宋体"/>
          <w:color w:val="auto"/>
          <w:sz w:val="21"/>
          <w:szCs w:val="21"/>
          <w:highlight w:val="none"/>
          <w:u w:val="single"/>
        </w:rPr>
        <w:t>天内</w:t>
      </w:r>
      <w:r>
        <w:rPr>
          <w:rFonts w:hint="eastAsia" w:ascii="宋体" w:hAnsi="宋体" w:eastAsia="宋体" w:cs="宋体"/>
          <w:color w:val="auto"/>
          <w:sz w:val="21"/>
          <w:szCs w:val="21"/>
          <w:highlight w:val="none"/>
          <w:u w:val="single"/>
          <w:lang w:val="en-US" w:eastAsia="zh-CN"/>
        </w:rPr>
        <w:t>提交</w:t>
      </w:r>
      <w:r>
        <w:rPr>
          <w:rFonts w:hint="eastAsia" w:ascii="宋体" w:hAnsi="宋体" w:eastAsia="宋体" w:cs="宋体"/>
          <w:color w:val="000000"/>
          <w:kern w:val="2"/>
          <w:sz w:val="21"/>
          <w:szCs w:val="21"/>
          <w:lang w:val="en-US" w:eastAsia="zh-CN" w:bidi="ar"/>
        </w:rPr>
        <w:t xml:space="preserve">。 </w:t>
      </w:r>
    </w:p>
    <w:p w14:paraId="505F3463">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14.3.2 最终结清证书和支付</w:t>
      </w:r>
    </w:p>
    <w:p w14:paraId="60B9319A">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eastAsia="zh-CN"/>
        </w:rPr>
      </w:pPr>
      <w:r>
        <w:rPr>
          <w:rFonts w:hint="eastAsia" w:ascii="宋体" w:hAnsi="宋体" w:eastAsia="宋体" w:cs="宋体"/>
          <w:color w:val="000000"/>
          <w:kern w:val="2"/>
          <w:sz w:val="21"/>
          <w:szCs w:val="21"/>
          <w:lang w:val="en-US" w:eastAsia="zh-CN" w:bidi="ar"/>
        </w:rPr>
        <w:t>（1）发包人完成最终结清申请单的审批并颁发最终结清证书的期限：</w:t>
      </w:r>
      <w:r>
        <w:rPr>
          <w:rFonts w:hint="eastAsia" w:ascii="宋体" w:hAnsi="宋体" w:eastAsia="宋体" w:cs="宋体"/>
          <w:color w:val="auto"/>
          <w:sz w:val="21"/>
          <w:szCs w:val="21"/>
          <w:highlight w:val="none"/>
          <w:u w:val="single"/>
        </w:rPr>
        <w:t>发包人应在收到承包人提交的最终结清申请单之日起</w:t>
      </w:r>
      <w:r>
        <w:rPr>
          <w:rFonts w:hint="eastAsia" w:ascii="宋体" w:hAnsi="宋体" w:eastAsia="宋体" w:cs="宋体"/>
          <w:color w:val="auto"/>
          <w:sz w:val="21"/>
          <w:szCs w:val="21"/>
          <w:highlight w:val="none"/>
          <w:u w:val="single"/>
          <w:lang w:val="en-US" w:eastAsia="zh-CN"/>
        </w:rPr>
        <w:t>15</w:t>
      </w:r>
      <w:r>
        <w:rPr>
          <w:rFonts w:hint="eastAsia" w:ascii="宋体" w:hAnsi="宋体" w:eastAsia="宋体" w:cs="宋体"/>
          <w:color w:val="auto"/>
          <w:sz w:val="21"/>
          <w:szCs w:val="21"/>
          <w:highlight w:val="none"/>
          <w:u w:val="single"/>
        </w:rPr>
        <w:t>天内完成审批并向承包人颁发最终结清证书</w:t>
      </w:r>
      <w:r>
        <w:rPr>
          <w:rFonts w:hint="eastAsia" w:ascii="宋体" w:hAnsi="宋体" w:eastAsia="宋体" w:cs="宋体"/>
          <w:color w:val="auto"/>
          <w:sz w:val="21"/>
          <w:szCs w:val="21"/>
          <w:highlight w:val="none"/>
          <w:u w:val="single"/>
          <w:lang w:eastAsia="zh-CN"/>
        </w:rPr>
        <w:t>。</w:t>
      </w:r>
    </w:p>
    <w:p w14:paraId="36EDA9AA">
      <w:pPr>
        <w:pStyle w:val="11"/>
        <w:rPr>
          <w:rFonts w:hint="eastAsia" w:ascii="宋体" w:hAnsi="宋体" w:eastAsia="宋体" w:cs="宋体"/>
          <w:sz w:val="21"/>
          <w:szCs w:val="21"/>
          <w:lang w:eastAsia="zh-CN"/>
        </w:rPr>
      </w:pPr>
      <w:r>
        <w:rPr>
          <w:rFonts w:hint="eastAsia" w:ascii="宋体" w:hAnsi="宋体" w:eastAsia="宋体" w:cs="宋体"/>
          <w:color w:val="000000"/>
          <w:kern w:val="2"/>
          <w:sz w:val="21"/>
          <w:szCs w:val="21"/>
          <w:lang w:val="en-US" w:eastAsia="zh-CN" w:bidi="ar"/>
        </w:rPr>
        <w:t>（2）发包人完成支付的期限：</w:t>
      </w:r>
      <w:r>
        <w:rPr>
          <w:rFonts w:hint="eastAsia" w:ascii="宋体" w:hAnsi="宋体" w:eastAsia="宋体" w:cs="宋体"/>
          <w:color w:val="auto"/>
          <w:sz w:val="21"/>
          <w:szCs w:val="21"/>
          <w:highlight w:val="none"/>
          <w:u w:val="single"/>
        </w:rPr>
        <w:t>发包人应在颁发最终结清证书</w:t>
      </w:r>
      <w:r>
        <w:rPr>
          <w:rFonts w:hint="eastAsia" w:ascii="宋体" w:hAnsi="宋体" w:eastAsia="宋体" w:cs="宋体"/>
          <w:color w:val="auto"/>
          <w:sz w:val="21"/>
          <w:szCs w:val="21"/>
          <w:highlight w:val="none"/>
          <w:u w:val="single"/>
          <w:lang w:val="en-US" w:eastAsia="zh-CN"/>
        </w:rPr>
        <w:t>起15天内</w:t>
      </w:r>
      <w:r>
        <w:rPr>
          <w:rFonts w:hint="eastAsia" w:ascii="宋体" w:hAnsi="宋体" w:eastAsia="宋体" w:cs="宋体"/>
          <w:color w:val="auto"/>
          <w:sz w:val="21"/>
          <w:szCs w:val="21"/>
          <w:highlight w:val="none"/>
          <w:u w:val="single"/>
        </w:rPr>
        <w:t>审批完成支付</w:t>
      </w:r>
      <w:r>
        <w:rPr>
          <w:rFonts w:hint="eastAsia" w:ascii="宋体" w:hAnsi="宋体" w:eastAsia="宋体" w:cs="宋体"/>
          <w:color w:val="auto"/>
          <w:sz w:val="21"/>
          <w:szCs w:val="21"/>
          <w:highlight w:val="none"/>
          <w:u w:val="single"/>
          <w:lang w:eastAsia="zh-CN"/>
        </w:rPr>
        <w:t>。</w:t>
      </w:r>
    </w:p>
    <w:bookmarkEnd w:id="723"/>
    <w:bookmarkEnd w:id="724"/>
    <w:bookmarkEnd w:id="725"/>
    <w:bookmarkEnd w:id="726"/>
    <w:bookmarkEnd w:id="727"/>
    <w:bookmarkEnd w:id="728"/>
    <w:bookmarkEnd w:id="729"/>
    <w:bookmarkEnd w:id="735"/>
    <w:p w14:paraId="6CD3DA02">
      <w:pPr>
        <w:pStyle w:val="4"/>
        <w:pageBreakBefore w:val="0"/>
        <w:widowControl/>
        <w:kinsoku/>
        <w:wordWrap/>
        <w:overflowPunct/>
        <w:topLinePunct w:val="0"/>
        <w:autoSpaceDE/>
        <w:autoSpaceDN/>
        <w:bidi w:val="0"/>
        <w:adjustRightInd/>
        <w:snapToGrid/>
        <w:spacing w:before="0" w:beforeAutospacing="0" w:line="400" w:lineRule="exact"/>
        <w:jc w:val="both"/>
        <w:textAlignment w:val="auto"/>
        <w:rPr>
          <w:rFonts w:hint="eastAsia" w:ascii="宋体" w:hAnsi="宋体" w:eastAsia="宋体" w:cs="宋体"/>
          <w:sz w:val="21"/>
          <w:szCs w:val="21"/>
          <w:lang w:eastAsia="zh-CN"/>
        </w:rPr>
      </w:pPr>
      <w:bookmarkStart w:id="785" w:name="_Toc373478409"/>
      <w:bookmarkStart w:id="786" w:name="_Toc470017776"/>
      <w:bookmarkStart w:id="787" w:name="_Toc484160294"/>
      <w:bookmarkStart w:id="788" w:name="_Toc373227762"/>
      <w:bookmarkStart w:id="789" w:name="_Toc351203647"/>
      <w:bookmarkStart w:id="790" w:name="_Toc17021"/>
      <w:bookmarkStart w:id="791" w:name="_Toc435707060"/>
      <w:bookmarkStart w:id="792" w:name="_Toc389065327"/>
      <w:bookmarkStart w:id="793" w:name="_Toc434426233"/>
      <w:bookmarkStart w:id="794" w:name="_Toc267251483"/>
      <w:bookmarkStart w:id="795" w:name="_Toc267251484"/>
      <w:bookmarkStart w:id="796" w:name="_Toc267251482"/>
      <w:bookmarkStart w:id="797" w:name="_Toc267251485"/>
      <w:bookmarkStart w:id="798" w:name="_Toc267251490"/>
      <w:bookmarkStart w:id="799" w:name="_Toc267251486"/>
      <w:bookmarkStart w:id="800" w:name="_Toc267251488"/>
      <w:bookmarkStart w:id="801" w:name="_Toc267251489"/>
      <w:bookmarkStart w:id="802" w:name="_Toc267251498"/>
      <w:bookmarkStart w:id="803" w:name="_Toc267251492"/>
      <w:bookmarkStart w:id="804" w:name="_Toc267251503"/>
      <w:bookmarkStart w:id="805" w:name="_Toc267251493"/>
      <w:bookmarkStart w:id="806" w:name="_Toc267251497"/>
      <w:bookmarkStart w:id="807" w:name="_Toc267251495"/>
      <w:bookmarkStart w:id="808" w:name="_Toc267251494"/>
      <w:bookmarkStart w:id="809" w:name="_Toc267251501"/>
      <w:bookmarkStart w:id="810" w:name="_Toc267251496"/>
      <w:bookmarkStart w:id="811" w:name="_Toc267251499"/>
      <w:bookmarkStart w:id="812" w:name="_Toc267251491"/>
      <w:bookmarkStart w:id="813" w:name="_Toc267251502"/>
      <w:bookmarkStart w:id="814" w:name="_Toc267251506"/>
      <w:bookmarkStart w:id="815" w:name="_Toc267251504"/>
      <w:bookmarkStart w:id="816" w:name="_Toc267251507"/>
      <w:bookmarkStart w:id="817" w:name="_Toc267251508"/>
      <w:bookmarkStart w:id="818" w:name="_Toc267251513"/>
      <w:bookmarkStart w:id="819" w:name="_Toc267251509"/>
      <w:bookmarkStart w:id="820" w:name="_Toc267251511"/>
      <w:bookmarkStart w:id="821" w:name="_Toc267251514"/>
      <w:bookmarkStart w:id="822" w:name="_Toc267251510"/>
      <w:bookmarkStart w:id="823" w:name="_Toc267251515"/>
      <w:r>
        <w:rPr>
          <w:rFonts w:hint="eastAsia" w:ascii="宋体" w:hAnsi="宋体" w:eastAsia="宋体" w:cs="宋体"/>
          <w:sz w:val="21"/>
          <w:szCs w:val="21"/>
          <w:lang w:val="en-US"/>
        </w:rPr>
        <w:t>15.</w:t>
      </w:r>
      <w:r>
        <w:rPr>
          <w:rFonts w:hint="eastAsia" w:ascii="宋体" w:hAnsi="宋体" w:eastAsia="宋体" w:cs="宋体"/>
          <w:sz w:val="21"/>
          <w:szCs w:val="21"/>
          <w:lang w:eastAsia="zh-CN"/>
        </w:rPr>
        <w:t>缺陷责任期与保修</w:t>
      </w:r>
      <w:bookmarkEnd w:id="785"/>
      <w:bookmarkEnd w:id="786"/>
      <w:bookmarkEnd w:id="787"/>
      <w:bookmarkEnd w:id="788"/>
      <w:bookmarkEnd w:id="789"/>
      <w:bookmarkEnd w:id="790"/>
      <w:bookmarkEnd w:id="791"/>
      <w:bookmarkEnd w:id="792"/>
      <w:bookmarkEnd w:id="793"/>
      <w:bookmarkStart w:id="824" w:name="_Toc434426234"/>
      <w:bookmarkStart w:id="825" w:name="_Toc373227763"/>
      <w:bookmarkStart w:id="826" w:name="_Toc435707061"/>
      <w:bookmarkStart w:id="827" w:name="_Toc373478410"/>
      <w:bookmarkStart w:id="828" w:name="_Toc19514"/>
      <w:bookmarkStart w:id="829" w:name="_Toc484160295"/>
      <w:bookmarkStart w:id="830" w:name="_Toc389065328"/>
      <w:bookmarkStart w:id="831" w:name="_Toc470017777"/>
    </w:p>
    <w:p w14:paraId="37A414A5">
      <w:pPr>
        <w:pStyle w:val="4"/>
        <w:pageBreakBefore w:val="0"/>
        <w:widowControl/>
        <w:kinsoku/>
        <w:wordWrap/>
        <w:overflowPunct/>
        <w:topLinePunct w:val="0"/>
        <w:autoSpaceDE/>
        <w:autoSpaceDN/>
        <w:bidi w:val="0"/>
        <w:adjustRightInd/>
        <w:snapToGrid/>
        <w:spacing w:before="0" w:beforeAutospacing="0" w:line="400" w:lineRule="exact"/>
        <w:jc w:val="both"/>
        <w:textAlignment w:val="auto"/>
        <w:rPr>
          <w:rFonts w:hint="eastAsia" w:ascii="宋体" w:hAnsi="宋体" w:eastAsia="宋体" w:cs="宋体"/>
          <w:sz w:val="21"/>
          <w:szCs w:val="21"/>
          <w:lang w:val="en-US"/>
        </w:rPr>
      </w:pPr>
      <w:r>
        <w:rPr>
          <w:rFonts w:hint="eastAsia" w:ascii="宋体" w:hAnsi="宋体" w:eastAsia="宋体" w:cs="宋体"/>
          <w:sz w:val="21"/>
          <w:szCs w:val="21"/>
          <w:lang w:val="en-US"/>
        </w:rPr>
        <w:t>15.1</w:t>
      </w:r>
      <w:r>
        <w:rPr>
          <w:rFonts w:hint="eastAsia" w:ascii="宋体" w:hAnsi="宋体" w:eastAsia="宋体" w:cs="宋体"/>
          <w:sz w:val="21"/>
          <w:szCs w:val="21"/>
          <w:lang w:eastAsia="zh-CN"/>
        </w:rPr>
        <w:t>缺陷责任期</w:t>
      </w:r>
      <w:bookmarkEnd w:id="794"/>
      <w:bookmarkEnd w:id="824"/>
      <w:bookmarkEnd w:id="825"/>
      <w:bookmarkEnd w:id="826"/>
      <w:bookmarkEnd w:id="827"/>
      <w:bookmarkEnd w:id="828"/>
      <w:bookmarkEnd w:id="829"/>
      <w:bookmarkEnd w:id="830"/>
      <w:bookmarkEnd w:id="831"/>
    </w:p>
    <w:p w14:paraId="29A934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420" w:firstLineChars="200"/>
        <w:jc w:val="left"/>
        <w:textAlignment w:val="auto"/>
        <w:rPr>
          <w:rFonts w:hint="eastAsia" w:ascii="宋体" w:hAnsi="宋体" w:eastAsia="宋体" w:cs="宋体"/>
          <w:sz w:val="21"/>
          <w:szCs w:val="21"/>
          <w:u w:val="single"/>
          <w:lang w:val="en-US"/>
        </w:rPr>
      </w:pPr>
      <w:r>
        <w:rPr>
          <w:rFonts w:hint="eastAsia" w:ascii="宋体" w:hAnsi="宋体" w:eastAsia="宋体" w:cs="宋体"/>
          <w:color w:val="000000"/>
          <w:kern w:val="2"/>
          <w:sz w:val="21"/>
          <w:szCs w:val="21"/>
          <w:lang w:val="en-US" w:eastAsia="zh-CN" w:bidi="ar"/>
        </w:rPr>
        <w:t>缺陷责任期的具体期限：</w:t>
      </w:r>
      <w:r>
        <w:rPr>
          <w:rFonts w:hint="eastAsia" w:ascii="宋体" w:hAnsi="宋体" w:eastAsia="宋体" w:cs="宋体"/>
          <w:color w:val="000000"/>
          <w:kern w:val="0"/>
          <w:sz w:val="21"/>
          <w:szCs w:val="21"/>
          <w:u w:val="single"/>
          <w:lang w:val="en-US" w:eastAsia="zh-CN" w:bidi="ar"/>
        </w:rPr>
        <w:t xml:space="preserve"> 24个月  </w:t>
      </w:r>
      <w:r>
        <w:rPr>
          <w:rFonts w:hint="eastAsia" w:ascii="宋体" w:hAnsi="宋体" w:eastAsia="宋体" w:cs="宋体"/>
          <w:color w:val="000000"/>
          <w:kern w:val="2"/>
          <w:sz w:val="21"/>
          <w:szCs w:val="21"/>
          <w:lang w:val="en-US" w:eastAsia="zh-CN" w:bidi="ar"/>
        </w:rPr>
        <w:t>。</w:t>
      </w:r>
    </w:p>
    <w:bookmarkEnd w:id="795"/>
    <w:bookmarkEnd w:id="796"/>
    <w:p w14:paraId="4B291D30">
      <w:pPr>
        <w:pStyle w:val="5"/>
        <w:pageBreakBefore w:val="0"/>
        <w:widowControl/>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kern w:val="2"/>
          <w:sz w:val="21"/>
          <w:szCs w:val="21"/>
          <w:lang w:val="en-US"/>
        </w:rPr>
      </w:pPr>
      <w:bookmarkStart w:id="832" w:name="_Toc484160297"/>
      <w:bookmarkStart w:id="833" w:name="_Toc389065330"/>
      <w:bookmarkStart w:id="834" w:name="_Toc434426236"/>
      <w:bookmarkStart w:id="835" w:name="_Toc373478412"/>
      <w:bookmarkStart w:id="836" w:name="_Toc18133"/>
      <w:bookmarkStart w:id="837" w:name="_Toc373227765"/>
      <w:bookmarkStart w:id="838" w:name="_Toc435707063"/>
      <w:bookmarkStart w:id="839" w:name="_Toc470017779"/>
      <w:r>
        <w:rPr>
          <w:rFonts w:hint="eastAsia" w:ascii="宋体" w:hAnsi="宋体" w:eastAsia="宋体" w:cs="宋体"/>
          <w:sz w:val="21"/>
          <w:szCs w:val="21"/>
          <w:lang w:val="en-US"/>
        </w:rPr>
        <w:t>15.2</w:t>
      </w:r>
      <w:r>
        <w:rPr>
          <w:rFonts w:hint="eastAsia" w:ascii="宋体" w:hAnsi="宋体" w:eastAsia="宋体" w:cs="宋体"/>
          <w:sz w:val="21"/>
          <w:szCs w:val="21"/>
          <w:lang w:eastAsia="zh-CN"/>
        </w:rPr>
        <w:t>保修</w:t>
      </w:r>
      <w:bookmarkEnd w:id="832"/>
      <w:bookmarkEnd w:id="833"/>
      <w:bookmarkEnd w:id="834"/>
      <w:bookmarkEnd w:id="835"/>
      <w:bookmarkEnd w:id="836"/>
      <w:bookmarkEnd w:id="837"/>
      <w:bookmarkEnd w:id="838"/>
      <w:bookmarkEnd w:id="839"/>
    </w:p>
    <w:bookmarkEnd w:id="797"/>
    <w:p w14:paraId="08EBBA1A">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15.2.1保修责任</w:t>
      </w:r>
    </w:p>
    <w:p w14:paraId="17D4A723">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kern w:val="0"/>
          <w:sz w:val="21"/>
          <w:szCs w:val="21"/>
          <w:u w:val="single"/>
          <w:lang w:val="en-US"/>
        </w:rPr>
      </w:pPr>
      <w:r>
        <w:rPr>
          <w:rFonts w:hint="eastAsia" w:ascii="宋体" w:hAnsi="宋体" w:eastAsia="宋体" w:cs="宋体"/>
          <w:color w:val="000000"/>
          <w:kern w:val="2"/>
          <w:sz w:val="21"/>
          <w:szCs w:val="21"/>
          <w:lang w:val="en-US" w:eastAsia="zh-CN" w:bidi="ar"/>
        </w:rPr>
        <w:t>工程保修期为：</w:t>
      </w:r>
      <w:r>
        <w:rPr>
          <w:rFonts w:hint="eastAsia" w:ascii="宋体" w:hAnsi="宋体" w:eastAsia="宋体" w:cs="宋体"/>
          <w:color w:val="000000"/>
          <w:kern w:val="0"/>
          <w:sz w:val="21"/>
          <w:szCs w:val="21"/>
          <w:u w:val="single"/>
          <w:lang w:val="en-US" w:eastAsia="zh-CN" w:bidi="ar"/>
        </w:rPr>
        <w:t xml:space="preserve"> 按工程质量保修期承诺执行   </w:t>
      </w:r>
      <w:r>
        <w:rPr>
          <w:rFonts w:hint="eastAsia" w:ascii="宋体" w:hAnsi="宋体" w:eastAsia="宋体" w:cs="宋体"/>
          <w:color w:val="000000"/>
          <w:kern w:val="0"/>
          <w:sz w:val="21"/>
          <w:szCs w:val="21"/>
          <w:lang w:val="en-US" w:eastAsia="zh-CN" w:bidi="ar"/>
        </w:rPr>
        <w:t>。</w:t>
      </w:r>
    </w:p>
    <w:p w14:paraId="6A1C173D">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kern w:val="0"/>
          <w:sz w:val="21"/>
          <w:szCs w:val="21"/>
          <w:u w:val="single"/>
          <w:lang w:val="en-US"/>
        </w:rPr>
      </w:pPr>
      <w:r>
        <w:rPr>
          <w:rFonts w:hint="eastAsia" w:ascii="宋体" w:hAnsi="宋体" w:eastAsia="宋体" w:cs="宋体"/>
          <w:color w:val="000000"/>
          <w:kern w:val="2"/>
          <w:sz w:val="21"/>
          <w:szCs w:val="21"/>
          <w:lang w:val="en-US" w:eastAsia="zh-CN" w:bidi="ar"/>
        </w:rPr>
        <w:t>工程保修书具体内容见合同附件1。</w:t>
      </w:r>
    </w:p>
    <w:p w14:paraId="2A3D4C50">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15.2.2 修复通知</w:t>
      </w:r>
    </w:p>
    <w:p w14:paraId="42152277">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kern w:val="0"/>
          <w:sz w:val="21"/>
          <w:szCs w:val="21"/>
          <w:u w:val="single"/>
          <w:lang w:val="en-US"/>
        </w:rPr>
      </w:pPr>
      <w:r>
        <w:rPr>
          <w:rFonts w:hint="eastAsia" w:ascii="宋体" w:hAnsi="宋体" w:eastAsia="宋体" w:cs="宋体"/>
          <w:color w:val="000000"/>
          <w:kern w:val="0"/>
          <w:sz w:val="21"/>
          <w:szCs w:val="21"/>
          <w:lang w:val="en-US" w:eastAsia="zh-CN" w:bidi="ar"/>
        </w:rPr>
        <w:t>承包人收到保修通知并到达工程现场的合理时间：</w:t>
      </w:r>
      <w:r>
        <w:rPr>
          <w:rFonts w:hint="eastAsia" w:ascii="宋体" w:hAnsi="宋体" w:eastAsia="宋体" w:cs="宋体"/>
          <w:color w:val="000000"/>
          <w:kern w:val="0"/>
          <w:sz w:val="21"/>
          <w:szCs w:val="21"/>
          <w:u w:val="single"/>
          <w:lang w:val="en-US" w:eastAsia="zh-CN" w:bidi="ar"/>
        </w:rPr>
        <w:t xml:space="preserve">24 小时内  </w:t>
      </w:r>
      <w:r>
        <w:rPr>
          <w:rFonts w:hint="eastAsia" w:ascii="宋体" w:hAnsi="宋体" w:eastAsia="宋体" w:cs="宋体"/>
          <w:color w:val="000000"/>
          <w:kern w:val="0"/>
          <w:sz w:val="21"/>
          <w:szCs w:val="21"/>
          <w:lang w:val="en-US" w:eastAsia="zh-CN" w:bidi="ar"/>
        </w:rPr>
        <w:t>。</w:t>
      </w:r>
    </w:p>
    <w:bookmarkEnd w:id="798"/>
    <w:bookmarkEnd w:id="799"/>
    <w:bookmarkEnd w:id="800"/>
    <w:bookmarkEnd w:id="801"/>
    <w:p w14:paraId="10D482EB">
      <w:pPr>
        <w:pStyle w:val="4"/>
        <w:widowControl/>
        <w:spacing w:before="0" w:beforeAutospacing="0" w:line="400" w:lineRule="exact"/>
        <w:jc w:val="both"/>
        <w:rPr>
          <w:rFonts w:hint="eastAsia" w:ascii="宋体" w:hAnsi="宋体" w:eastAsia="宋体" w:cs="宋体"/>
          <w:sz w:val="21"/>
          <w:szCs w:val="21"/>
          <w:lang w:val="en-US"/>
        </w:rPr>
      </w:pPr>
      <w:bookmarkStart w:id="840" w:name="_Toc484160298"/>
      <w:bookmarkStart w:id="841" w:name="_Toc373227766"/>
      <w:bookmarkStart w:id="842" w:name="_Toc389065331"/>
      <w:bookmarkStart w:id="843" w:name="_Toc373478413"/>
      <w:bookmarkStart w:id="844" w:name="_Toc434426237"/>
      <w:bookmarkStart w:id="845" w:name="_Toc435707064"/>
      <w:bookmarkStart w:id="846" w:name="_Toc351203648"/>
      <w:bookmarkStart w:id="847" w:name="_Toc470017780"/>
      <w:bookmarkStart w:id="848" w:name="_Toc7037"/>
      <w:bookmarkStart w:id="849" w:name="_Toc280868717"/>
      <w:bookmarkStart w:id="850" w:name="_Toc280868718"/>
      <w:r>
        <w:rPr>
          <w:rFonts w:hint="eastAsia" w:ascii="宋体" w:hAnsi="宋体" w:eastAsia="宋体" w:cs="宋体"/>
          <w:sz w:val="21"/>
          <w:szCs w:val="21"/>
          <w:lang w:val="en-US"/>
        </w:rPr>
        <w:t>16.</w:t>
      </w:r>
      <w:r>
        <w:rPr>
          <w:rFonts w:hint="eastAsia" w:ascii="宋体" w:hAnsi="宋体" w:eastAsia="宋体" w:cs="宋体"/>
          <w:sz w:val="21"/>
          <w:szCs w:val="21"/>
          <w:lang w:eastAsia="zh-CN"/>
        </w:rPr>
        <w:t>违约</w:t>
      </w:r>
      <w:bookmarkEnd w:id="840"/>
      <w:bookmarkEnd w:id="841"/>
      <w:bookmarkEnd w:id="842"/>
      <w:bookmarkEnd w:id="843"/>
      <w:bookmarkEnd w:id="844"/>
      <w:bookmarkEnd w:id="845"/>
      <w:bookmarkEnd w:id="846"/>
      <w:bookmarkEnd w:id="847"/>
      <w:bookmarkEnd w:id="848"/>
    </w:p>
    <w:p w14:paraId="569EAF24">
      <w:pPr>
        <w:pStyle w:val="5"/>
        <w:widowControl/>
        <w:numPr>
          <w:ilvl w:val="0"/>
          <w:numId w:val="0"/>
        </w:numPr>
        <w:spacing w:line="400" w:lineRule="exact"/>
        <w:rPr>
          <w:rFonts w:hint="eastAsia" w:ascii="宋体" w:hAnsi="宋体" w:eastAsia="宋体" w:cs="宋体"/>
          <w:sz w:val="21"/>
          <w:szCs w:val="21"/>
          <w:lang w:val="en-US"/>
        </w:rPr>
      </w:pPr>
      <w:bookmarkStart w:id="851" w:name="_Toc373478414"/>
      <w:bookmarkStart w:id="852" w:name="_Toc389065332"/>
      <w:bookmarkStart w:id="853" w:name="_Toc435707065"/>
      <w:bookmarkStart w:id="854" w:name="_Toc373227767"/>
      <w:bookmarkStart w:id="855" w:name="_Toc484160299"/>
      <w:bookmarkStart w:id="856" w:name="_Toc470017781"/>
      <w:bookmarkStart w:id="857" w:name="_Toc27723"/>
      <w:bookmarkStart w:id="858" w:name="_Toc434426238"/>
      <w:r>
        <w:rPr>
          <w:rFonts w:hint="eastAsia" w:ascii="宋体" w:hAnsi="宋体" w:eastAsia="宋体" w:cs="宋体"/>
          <w:sz w:val="21"/>
          <w:szCs w:val="21"/>
          <w:lang w:val="en-US"/>
        </w:rPr>
        <w:t>16.1</w:t>
      </w:r>
      <w:r>
        <w:rPr>
          <w:rFonts w:hint="eastAsia" w:ascii="宋体" w:hAnsi="宋体" w:eastAsia="宋体" w:cs="宋体"/>
          <w:sz w:val="21"/>
          <w:szCs w:val="21"/>
          <w:lang w:eastAsia="zh-CN"/>
        </w:rPr>
        <w:t>发包人违约</w:t>
      </w:r>
      <w:bookmarkEnd w:id="851"/>
      <w:bookmarkEnd w:id="852"/>
      <w:bookmarkEnd w:id="853"/>
      <w:bookmarkEnd w:id="854"/>
      <w:bookmarkEnd w:id="855"/>
      <w:bookmarkEnd w:id="856"/>
      <w:bookmarkEnd w:id="857"/>
      <w:bookmarkEnd w:id="858"/>
    </w:p>
    <w:p w14:paraId="3A03A259">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16.1.1发包人违约的情形</w:t>
      </w:r>
    </w:p>
    <w:p w14:paraId="1B5543B1">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kern w:val="0"/>
          <w:sz w:val="21"/>
          <w:szCs w:val="21"/>
          <w:lang w:val="en-US"/>
        </w:rPr>
      </w:pPr>
      <w:r>
        <w:rPr>
          <w:rFonts w:hint="eastAsia" w:ascii="宋体" w:hAnsi="宋体" w:eastAsia="宋体" w:cs="宋体"/>
          <w:color w:val="000000"/>
          <w:kern w:val="0"/>
          <w:sz w:val="21"/>
          <w:szCs w:val="21"/>
          <w:lang w:val="en-US" w:eastAsia="zh-CN" w:bidi="ar"/>
        </w:rPr>
        <w:t>发包人违约的其他情形：</w:t>
      </w:r>
      <w:r>
        <w:rPr>
          <w:rFonts w:hint="eastAsia" w:ascii="宋体" w:hAnsi="宋体" w:eastAsia="宋体" w:cs="宋体"/>
          <w:color w:val="000000"/>
          <w:kern w:val="0"/>
          <w:sz w:val="21"/>
          <w:szCs w:val="21"/>
          <w:u w:val="single"/>
          <w:lang w:val="en-US" w:eastAsia="zh-CN" w:bidi="ar"/>
        </w:rPr>
        <w:t xml:space="preserve">   /   </w:t>
      </w:r>
      <w:r>
        <w:rPr>
          <w:rFonts w:hint="eastAsia" w:ascii="宋体" w:hAnsi="宋体" w:eastAsia="宋体" w:cs="宋体"/>
          <w:color w:val="000000"/>
          <w:kern w:val="0"/>
          <w:sz w:val="21"/>
          <w:szCs w:val="21"/>
          <w:lang w:val="en-US" w:eastAsia="zh-CN" w:bidi="ar"/>
        </w:rPr>
        <w:t>。</w:t>
      </w:r>
    </w:p>
    <w:p w14:paraId="1FCBF70E">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kern w:val="0"/>
          <w:sz w:val="21"/>
          <w:szCs w:val="21"/>
          <w:lang w:val="en-US"/>
        </w:rPr>
      </w:pPr>
      <w:r>
        <w:rPr>
          <w:rFonts w:hint="eastAsia" w:ascii="宋体" w:hAnsi="宋体" w:eastAsia="宋体" w:cs="宋体"/>
          <w:color w:val="000000"/>
          <w:kern w:val="0"/>
          <w:sz w:val="21"/>
          <w:szCs w:val="21"/>
          <w:lang w:val="en-US" w:eastAsia="zh-CN" w:bidi="ar"/>
        </w:rPr>
        <w:t>16.1.2发包人违约的责任</w:t>
      </w:r>
    </w:p>
    <w:p w14:paraId="244E1BC8">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kern w:val="0"/>
          <w:sz w:val="21"/>
          <w:szCs w:val="21"/>
          <w:lang w:val="en-US"/>
        </w:rPr>
      </w:pPr>
      <w:r>
        <w:rPr>
          <w:rFonts w:hint="eastAsia" w:ascii="宋体" w:hAnsi="宋体" w:eastAsia="宋体" w:cs="宋体"/>
          <w:color w:val="000000"/>
          <w:kern w:val="0"/>
          <w:sz w:val="21"/>
          <w:szCs w:val="21"/>
          <w:lang w:val="en-US" w:eastAsia="zh-CN" w:bidi="ar"/>
        </w:rPr>
        <w:t>发包人违约责任的承担方式和计算方法：</w:t>
      </w:r>
    </w:p>
    <w:p w14:paraId="7DE3DCEB">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kern w:val="0"/>
          <w:sz w:val="21"/>
          <w:szCs w:val="21"/>
          <w:u w:val="single"/>
          <w:lang w:val="en-US"/>
        </w:rPr>
      </w:pPr>
      <w:r>
        <w:rPr>
          <w:rFonts w:hint="eastAsia" w:ascii="宋体" w:hAnsi="宋体" w:eastAsia="宋体" w:cs="宋体"/>
          <w:color w:val="000000"/>
          <w:kern w:val="0"/>
          <w:sz w:val="21"/>
          <w:szCs w:val="21"/>
          <w:lang w:val="en-US" w:eastAsia="zh-CN" w:bidi="ar"/>
        </w:rPr>
        <w:t>（1）因发包人原因未能在计划开工日期前7天内下达开工通知的违约责任：</w:t>
      </w:r>
      <w:r>
        <w:rPr>
          <w:rFonts w:hint="eastAsia" w:ascii="宋体" w:hAnsi="宋体" w:eastAsia="宋体" w:cs="宋体"/>
          <w:color w:val="000000"/>
          <w:kern w:val="0"/>
          <w:sz w:val="21"/>
          <w:szCs w:val="21"/>
          <w:u w:val="single"/>
          <w:lang w:val="en-US" w:eastAsia="zh-CN" w:bidi="ar"/>
        </w:rPr>
        <w:t xml:space="preserve">  </w:t>
      </w:r>
      <w:r>
        <w:rPr>
          <w:rFonts w:hint="eastAsia" w:ascii="宋体" w:hAnsi="宋体" w:eastAsia="宋体" w:cs="宋体"/>
          <w:sz w:val="21"/>
          <w:szCs w:val="21"/>
          <w:u w:val="single"/>
          <w:lang w:val="en-US" w:eastAsia="zh-CN"/>
        </w:rPr>
        <w:t>工程开工日期延误则工期顺延，由发包人自行承担责任</w:t>
      </w:r>
      <w:r>
        <w:rPr>
          <w:rFonts w:hint="eastAsia" w:ascii="宋体" w:hAnsi="宋体" w:eastAsia="宋体" w:cs="宋体"/>
          <w:color w:val="000000"/>
          <w:kern w:val="0"/>
          <w:sz w:val="21"/>
          <w:szCs w:val="21"/>
          <w:u w:val="single"/>
          <w:lang w:val="en-US" w:eastAsia="zh-CN" w:bidi="ar"/>
        </w:rPr>
        <w:t xml:space="preserve"> 。</w:t>
      </w:r>
    </w:p>
    <w:p w14:paraId="563690A6">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kern w:val="0"/>
          <w:sz w:val="21"/>
          <w:szCs w:val="21"/>
          <w:lang w:val="en-US"/>
        </w:rPr>
      </w:pPr>
      <w:r>
        <w:rPr>
          <w:rFonts w:hint="eastAsia" w:ascii="宋体" w:hAnsi="宋体" w:eastAsia="宋体" w:cs="宋体"/>
          <w:color w:val="000000"/>
          <w:kern w:val="0"/>
          <w:sz w:val="21"/>
          <w:szCs w:val="21"/>
          <w:lang w:val="en-US" w:eastAsia="zh-CN" w:bidi="ar"/>
        </w:rPr>
        <w:t>（2）因发包人原因未能按合同约定支付合同价款的违约责任：</w:t>
      </w:r>
      <w:r>
        <w:rPr>
          <w:rFonts w:hint="eastAsia" w:ascii="宋体" w:hAnsi="宋体" w:eastAsia="宋体" w:cs="宋体"/>
          <w:color w:val="000000"/>
          <w:kern w:val="0"/>
          <w:sz w:val="21"/>
          <w:szCs w:val="21"/>
          <w:u w:val="single"/>
          <w:lang w:val="en-US" w:eastAsia="zh-CN" w:bidi="ar"/>
        </w:rPr>
        <w:t xml:space="preserve">      /    </w:t>
      </w:r>
      <w:r>
        <w:rPr>
          <w:rFonts w:hint="eastAsia" w:ascii="宋体" w:hAnsi="宋体" w:eastAsia="宋体" w:cs="宋体"/>
          <w:color w:val="000000"/>
          <w:kern w:val="0"/>
          <w:sz w:val="21"/>
          <w:szCs w:val="21"/>
          <w:lang w:val="en-US" w:eastAsia="zh-CN" w:bidi="ar"/>
        </w:rPr>
        <w:t>。</w:t>
      </w:r>
    </w:p>
    <w:p w14:paraId="5588D211">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kern w:val="0"/>
          <w:sz w:val="21"/>
          <w:szCs w:val="21"/>
          <w:lang w:val="en-US"/>
        </w:rPr>
      </w:pPr>
      <w:r>
        <w:rPr>
          <w:rFonts w:hint="eastAsia" w:ascii="宋体" w:hAnsi="宋体" w:eastAsia="宋体" w:cs="宋体"/>
          <w:color w:val="000000"/>
          <w:kern w:val="0"/>
          <w:sz w:val="21"/>
          <w:szCs w:val="21"/>
          <w:lang w:val="en-US" w:eastAsia="zh-CN" w:bidi="ar"/>
        </w:rPr>
        <w:t>（3）发包人违反第10.1款〔变更的范围〕第（2）项约定，自行实施被取消的工作或转由他人实施的违约责任：</w:t>
      </w:r>
      <w:r>
        <w:rPr>
          <w:rFonts w:hint="eastAsia" w:ascii="宋体" w:hAnsi="宋体" w:eastAsia="宋体" w:cs="宋体"/>
          <w:color w:val="000000"/>
          <w:kern w:val="0"/>
          <w:sz w:val="21"/>
          <w:szCs w:val="21"/>
          <w:u w:val="single"/>
          <w:lang w:val="en-US" w:eastAsia="zh-CN" w:bidi="ar"/>
        </w:rPr>
        <w:t xml:space="preserve">     /     </w:t>
      </w:r>
      <w:r>
        <w:rPr>
          <w:rFonts w:hint="eastAsia" w:ascii="宋体" w:hAnsi="宋体" w:eastAsia="宋体" w:cs="宋体"/>
          <w:color w:val="000000"/>
          <w:kern w:val="0"/>
          <w:sz w:val="21"/>
          <w:szCs w:val="21"/>
          <w:lang w:val="en-US" w:eastAsia="zh-CN" w:bidi="ar"/>
        </w:rPr>
        <w:t>。</w:t>
      </w:r>
    </w:p>
    <w:p w14:paraId="2B222DA9">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kern w:val="0"/>
          <w:sz w:val="21"/>
          <w:szCs w:val="21"/>
          <w:lang w:val="en-US"/>
        </w:rPr>
      </w:pPr>
      <w:r>
        <w:rPr>
          <w:rFonts w:hint="eastAsia" w:ascii="宋体" w:hAnsi="宋体" w:eastAsia="宋体" w:cs="宋体"/>
          <w:color w:val="000000"/>
          <w:kern w:val="0"/>
          <w:sz w:val="21"/>
          <w:szCs w:val="21"/>
          <w:lang w:val="en-US" w:eastAsia="zh-CN" w:bidi="ar"/>
        </w:rPr>
        <w:t>（4）发包人提供的材料、工程设备的规格、数量或质量不符合合同约定，或因发包人原因导致交货日期延误或交货地点变更等情况的违约责任：</w:t>
      </w:r>
      <w:r>
        <w:rPr>
          <w:rFonts w:hint="eastAsia" w:ascii="宋体" w:hAnsi="宋体" w:eastAsia="宋体" w:cs="宋体"/>
          <w:color w:val="000000"/>
          <w:kern w:val="0"/>
          <w:sz w:val="21"/>
          <w:szCs w:val="21"/>
          <w:u w:val="single"/>
          <w:lang w:val="en-US" w:eastAsia="zh-CN" w:bidi="ar"/>
        </w:rPr>
        <w:t xml:space="preserve">     /  </w:t>
      </w:r>
      <w:r>
        <w:rPr>
          <w:rFonts w:hint="eastAsia" w:ascii="宋体" w:hAnsi="宋体" w:eastAsia="宋体" w:cs="宋体"/>
          <w:color w:val="000000"/>
          <w:kern w:val="0"/>
          <w:sz w:val="21"/>
          <w:szCs w:val="21"/>
          <w:lang w:val="en-US" w:eastAsia="zh-CN" w:bidi="ar"/>
        </w:rPr>
        <w:t>。</w:t>
      </w:r>
    </w:p>
    <w:p w14:paraId="34263DB5">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kern w:val="0"/>
          <w:sz w:val="21"/>
          <w:szCs w:val="21"/>
          <w:u w:val="single"/>
          <w:lang w:val="en-US"/>
        </w:rPr>
      </w:pPr>
      <w:r>
        <w:rPr>
          <w:rFonts w:hint="eastAsia" w:ascii="宋体" w:hAnsi="宋体" w:eastAsia="宋体" w:cs="宋体"/>
          <w:color w:val="000000"/>
          <w:kern w:val="0"/>
          <w:sz w:val="21"/>
          <w:szCs w:val="21"/>
          <w:lang w:val="en-US" w:eastAsia="zh-CN" w:bidi="ar"/>
        </w:rPr>
        <w:t>（5）因发包人违反合同约定造成暂停施工的违约责任：</w:t>
      </w:r>
      <w:r>
        <w:rPr>
          <w:rFonts w:hint="eastAsia" w:ascii="宋体" w:hAnsi="宋体" w:eastAsia="宋体" w:cs="宋体"/>
          <w:color w:val="000000"/>
          <w:kern w:val="0"/>
          <w:sz w:val="21"/>
          <w:szCs w:val="21"/>
          <w:u w:val="single"/>
          <w:lang w:val="en-US" w:eastAsia="zh-CN" w:bidi="ar"/>
        </w:rPr>
        <w:t xml:space="preserve">      /   </w:t>
      </w:r>
      <w:r>
        <w:rPr>
          <w:rFonts w:hint="eastAsia" w:ascii="宋体" w:hAnsi="宋体" w:eastAsia="宋体" w:cs="宋体"/>
          <w:color w:val="000000"/>
          <w:kern w:val="0"/>
          <w:sz w:val="21"/>
          <w:szCs w:val="21"/>
          <w:lang w:val="en-US" w:eastAsia="zh-CN" w:bidi="ar"/>
        </w:rPr>
        <w:t>。</w:t>
      </w:r>
    </w:p>
    <w:p w14:paraId="002AE088">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kern w:val="0"/>
          <w:sz w:val="21"/>
          <w:szCs w:val="21"/>
          <w:lang w:val="en-US"/>
        </w:rPr>
      </w:pPr>
      <w:r>
        <w:rPr>
          <w:rFonts w:hint="eastAsia" w:ascii="宋体" w:hAnsi="宋体" w:eastAsia="宋体" w:cs="宋体"/>
          <w:color w:val="000000"/>
          <w:kern w:val="0"/>
          <w:sz w:val="21"/>
          <w:szCs w:val="21"/>
          <w:lang w:val="en-US" w:eastAsia="zh-CN" w:bidi="ar"/>
        </w:rPr>
        <w:t>（6）发包人无正当理由没有在约定期限内发出复工指示，导致承包人无法复工的违约责任：</w:t>
      </w:r>
      <w:r>
        <w:rPr>
          <w:rFonts w:hint="eastAsia" w:ascii="宋体" w:hAnsi="宋体" w:eastAsia="宋体" w:cs="宋体"/>
          <w:color w:val="000000"/>
          <w:kern w:val="0"/>
          <w:sz w:val="21"/>
          <w:szCs w:val="21"/>
          <w:u w:val="single"/>
          <w:lang w:val="en-US" w:eastAsia="zh-CN" w:bidi="ar"/>
        </w:rPr>
        <w:t xml:space="preserve">      /        </w:t>
      </w:r>
      <w:r>
        <w:rPr>
          <w:rFonts w:hint="eastAsia" w:ascii="宋体" w:hAnsi="宋体" w:eastAsia="宋体" w:cs="宋体"/>
          <w:color w:val="000000"/>
          <w:kern w:val="0"/>
          <w:sz w:val="21"/>
          <w:szCs w:val="21"/>
          <w:lang w:val="en-US" w:eastAsia="zh-CN" w:bidi="ar"/>
        </w:rPr>
        <w:t>。</w:t>
      </w:r>
    </w:p>
    <w:p w14:paraId="5C5F8D65">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kern w:val="0"/>
          <w:sz w:val="21"/>
          <w:szCs w:val="21"/>
          <w:lang w:val="en-US"/>
        </w:rPr>
      </w:pPr>
      <w:r>
        <w:rPr>
          <w:rFonts w:hint="eastAsia" w:ascii="宋体" w:hAnsi="宋体" w:eastAsia="宋体" w:cs="宋体"/>
          <w:color w:val="000000"/>
          <w:kern w:val="0"/>
          <w:sz w:val="21"/>
          <w:szCs w:val="21"/>
          <w:lang w:val="en-US" w:eastAsia="zh-CN" w:bidi="ar"/>
        </w:rPr>
        <w:t>（7）其他：</w:t>
      </w:r>
      <w:r>
        <w:rPr>
          <w:rFonts w:hint="eastAsia" w:ascii="宋体" w:hAnsi="宋体" w:eastAsia="宋体" w:cs="宋体"/>
          <w:color w:val="000000"/>
          <w:kern w:val="0"/>
          <w:sz w:val="21"/>
          <w:szCs w:val="21"/>
          <w:u w:val="single"/>
          <w:lang w:val="en-US" w:eastAsia="zh-CN" w:bidi="ar"/>
        </w:rPr>
        <w:t xml:space="preserve">   /    </w:t>
      </w:r>
      <w:r>
        <w:rPr>
          <w:rFonts w:hint="eastAsia" w:ascii="宋体" w:hAnsi="宋体" w:eastAsia="宋体" w:cs="宋体"/>
          <w:color w:val="000000"/>
          <w:kern w:val="0"/>
          <w:sz w:val="21"/>
          <w:szCs w:val="21"/>
          <w:lang w:val="en-US" w:eastAsia="zh-CN" w:bidi="ar"/>
        </w:rPr>
        <w:t>。</w:t>
      </w:r>
    </w:p>
    <w:p w14:paraId="16FAF26D">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16.1.3因发包人违约解除合同</w:t>
      </w:r>
    </w:p>
    <w:p w14:paraId="51F14647">
      <w:pPr>
        <w:keepNext w:val="0"/>
        <w:keepLines w:val="0"/>
        <w:widowControl w:val="0"/>
        <w:suppressLineNumbers w:val="0"/>
        <w:autoSpaceDE w:val="0"/>
        <w:autoSpaceDN w:val="0"/>
        <w:adjustRightInd w:val="0"/>
        <w:spacing w:before="0" w:beforeAutospacing="0" w:after="0" w:afterAutospacing="0" w:line="400" w:lineRule="exact"/>
        <w:ind w:left="0" w:right="0" w:firstLine="420" w:firstLineChars="200"/>
        <w:jc w:val="left"/>
        <w:rPr>
          <w:rFonts w:hint="eastAsia" w:ascii="宋体" w:hAnsi="宋体" w:eastAsia="宋体" w:cs="宋体"/>
          <w:kern w:val="0"/>
          <w:sz w:val="21"/>
          <w:szCs w:val="21"/>
          <w:lang w:val="en-US"/>
        </w:rPr>
      </w:pPr>
      <w:r>
        <w:rPr>
          <w:rFonts w:hint="eastAsia" w:ascii="宋体" w:hAnsi="宋体" w:eastAsia="宋体" w:cs="宋体"/>
          <w:color w:val="000000"/>
          <w:kern w:val="0"/>
          <w:sz w:val="21"/>
          <w:szCs w:val="21"/>
          <w:lang w:val="en-US" w:eastAsia="zh-CN" w:bidi="ar"/>
        </w:rPr>
        <w:t>承包人按</w:t>
      </w:r>
      <w:r>
        <w:rPr>
          <w:rFonts w:hint="eastAsia" w:ascii="宋体" w:hAnsi="宋体" w:eastAsia="宋体" w:cs="宋体"/>
          <w:color w:val="000000"/>
          <w:kern w:val="0"/>
          <w:sz w:val="21"/>
          <w:szCs w:val="21"/>
          <w:u w:val="single"/>
          <w:lang w:val="en-US" w:eastAsia="zh-CN" w:bidi="ar"/>
        </w:rPr>
        <w:t>16.1.1项〔发包人违约的情形〕</w:t>
      </w:r>
      <w:r>
        <w:rPr>
          <w:rFonts w:hint="eastAsia" w:ascii="宋体" w:hAnsi="宋体" w:eastAsia="宋体" w:cs="宋体"/>
          <w:color w:val="000000"/>
          <w:kern w:val="0"/>
          <w:sz w:val="21"/>
          <w:szCs w:val="21"/>
          <w:lang w:val="en-US" w:eastAsia="zh-CN" w:bidi="ar"/>
        </w:rPr>
        <w:t>约定暂停施工满</w:t>
      </w:r>
      <w:r>
        <w:rPr>
          <w:rFonts w:hint="eastAsia" w:ascii="宋体" w:hAnsi="宋体" w:eastAsia="宋体" w:cs="宋体"/>
          <w:color w:val="000000"/>
          <w:kern w:val="0"/>
          <w:sz w:val="21"/>
          <w:szCs w:val="21"/>
          <w:u w:val="single"/>
          <w:lang w:val="en-US" w:eastAsia="zh-CN" w:bidi="ar"/>
        </w:rPr>
        <w:t xml:space="preserve">  30  </w:t>
      </w:r>
      <w:r>
        <w:rPr>
          <w:rFonts w:hint="eastAsia" w:ascii="宋体" w:hAnsi="宋体" w:eastAsia="宋体" w:cs="宋体"/>
          <w:color w:val="000000"/>
          <w:kern w:val="0"/>
          <w:sz w:val="21"/>
          <w:szCs w:val="21"/>
          <w:lang w:val="en-US" w:eastAsia="zh-CN" w:bidi="ar"/>
        </w:rPr>
        <w:t>天后发包人仍不纠正其违约行为并致使合同目的不能实现的，承包人有权解除合同。</w:t>
      </w:r>
    </w:p>
    <w:p w14:paraId="10EB3200">
      <w:pPr>
        <w:pStyle w:val="5"/>
        <w:widowControl/>
        <w:numPr>
          <w:ilvl w:val="0"/>
          <w:numId w:val="0"/>
        </w:numPr>
        <w:spacing w:line="400" w:lineRule="exact"/>
        <w:rPr>
          <w:rFonts w:hint="eastAsia" w:ascii="宋体" w:hAnsi="宋体" w:eastAsia="宋体" w:cs="宋体"/>
          <w:kern w:val="2"/>
          <w:sz w:val="21"/>
          <w:szCs w:val="21"/>
          <w:lang w:val="en-US"/>
        </w:rPr>
      </w:pPr>
      <w:bookmarkStart w:id="859" w:name="_Toc435707066"/>
      <w:bookmarkStart w:id="860" w:name="_Toc434426239"/>
      <w:bookmarkStart w:id="861" w:name="_Toc30980"/>
      <w:bookmarkStart w:id="862" w:name="_Toc373227768"/>
      <w:bookmarkStart w:id="863" w:name="_Toc373478415"/>
      <w:bookmarkStart w:id="864" w:name="_Toc389065333"/>
      <w:bookmarkStart w:id="865" w:name="_Toc484160300"/>
      <w:bookmarkStart w:id="866" w:name="_Toc470017782"/>
      <w:r>
        <w:rPr>
          <w:rFonts w:hint="eastAsia" w:ascii="宋体" w:hAnsi="宋体" w:eastAsia="宋体" w:cs="宋体"/>
          <w:sz w:val="21"/>
          <w:szCs w:val="21"/>
          <w:lang w:val="en-US"/>
        </w:rPr>
        <w:t>16.2</w:t>
      </w:r>
      <w:r>
        <w:rPr>
          <w:rFonts w:hint="eastAsia" w:ascii="宋体" w:hAnsi="宋体" w:eastAsia="宋体" w:cs="宋体"/>
          <w:sz w:val="21"/>
          <w:szCs w:val="21"/>
          <w:lang w:eastAsia="zh-CN"/>
        </w:rPr>
        <w:t>承包人违约</w:t>
      </w:r>
      <w:bookmarkEnd w:id="859"/>
      <w:bookmarkEnd w:id="860"/>
      <w:bookmarkEnd w:id="861"/>
      <w:bookmarkEnd w:id="862"/>
      <w:bookmarkEnd w:id="863"/>
      <w:bookmarkEnd w:id="864"/>
      <w:bookmarkEnd w:id="865"/>
      <w:bookmarkEnd w:id="866"/>
    </w:p>
    <w:p w14:paraId="020F6B5E">
      <w:pPr>
        <w:keepNext w:val="0"/>
        <w:keepLines w:val="0"/>
        <w:widowControl w:val="0"/>
        <w:suppressLineNumbers w:val="0"/>
        <w:spacing w:before="0" w:beforeAutospacing="0" w:after="0" w:afterAutospacing="0" w:line="400" w:lineRule="exact"/>
        <w:ind w:left="0" w:right="0" w:firstLine="420" w:firstLineChars="200"/>
        <w:jc w:val="left"/>
        <w:outlineLvl w:val="0"/>
        <w:rPr>
          <w:rFonts w:hint="eastAsia" w:ascii="宋体" w:hAnsi="宋体" w:eastAsia="宋体" w:cs="宋体"/>
          <w:kern w:val="0"/>
          <w:sz w:val="21"/>
          <w:szCs w:val="21"/>
          <w:lang w:val="en-US"/>
        </w:rPr>
      </w:pPr>
      <w:bookmarkStart w:id="867" w:name="_Toc470017783"/>
      <w:bookmarkStart w:id="868" w:name="_Toc2622"/>
      <w:bookmarkStart w:id="869" w:name="_Toc484160301"/>
      <w:bookmarkStart w:id="870" w:name="_Toc29839"/>
      <w:bookmarkStart w:id="871" w:name="_Toc21278"/>
      <w:bookmarkStart w:id="872" w:name="_Toc3105"/>
      <w:bookmarkStart w:id="873" w:name="_Toc435707067"/>
      <w:r>
        <w:rPr>
          <w:rFonts w:hint="eastAsia" w:ascii="宋体" w:hAnsi="宋体" w:eastAsia="宋体" w:cs="宋体"/>
          <w:color w:val="000000"/>
          <w:kern w:val="0"/>
          <w:sz w:val="21"/>
          <w:szCs w:val="21"/>
          <w:lang w:val="en-US" w:eastAsia="zh-CN" w:bidi="ar"/>
        </w:rPr>
        <w:t>16.2.1承包人违约的情形</w:t>
      </w:r>
      <w:bookmarkEnd w:id="867"/>
      <w:bookmarkEnd w:id="868"/>
      <w:bookmarkEnd w:id="869"/>
      <w:bookmarkEnd w:id="870"/>
      <w:bookmarkEnd w:id="871"/>
      <w:bookmarkEnd w:id="872"/>
      <w:bookmarkEnd w:id="873"/>
    </w:p>
    <w:p w14:paraId="66E3B943">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kern w:val="0"/>
          <w:sz w:val="21"/>
          <w:szCs w:val="21"/>
          <w:u w:val="single"/>
          <w:lang w:val="en-US"/>
        </w:rPr>
      </w:pPr>
      <w:r>
        <w:rPr>
          <w:rFonts w:hint="eastAsia" w:ascii="宋体" w:hAnsi="宋体" w:eastAsia="宋体" w:cs="宋体"/>
          <w:color w:val="000000"/>
          <w:kern w:val="0"/>
          <w:sz w:val="21"/>
          <w:szCs w:val="21"/>
          <w:lang w:val="en-US" w:eastAsia="zh-CN" w:bidi="ar"/>
        </w:rPr>
        <w:t>承包人违约的其他情形：</w:t>
      </w:r>
      <w:r>
        <w:rPr>
          <w:rFonts w:hint="eastAsia" w:ascii="宋体" w:hAnsi="宋体" w:eastAsia="宋体" w:cs="宋体"/>
          <w:color w:val="000000"/>
          <w:kern w:val="0"/>
          <w:sz w:val="21"/>
          <w:szCs w:val="21"/>
          <w:u w:val="single"/>
          <w:lang w:val="en-US" w:eastAsia="zh-CN" w:bidi="ar"/>
        </w:rPr>
        <w:t xml:space="preserve">   按通用条款执行   </w:t>
      </w:r>
      <w:r>
        <w:rPr>
          <w:rFonts w:hint="eastAsia" w:ascii="宋体" w:hAnsi="宋体" w:eastAsia="宋体" w:cs="宋体"/>
          <w:color w:val="000000"/>
          <w:kern w:val="0"/>
          <w:sz w:val="21"/>
          <w:szCs w:val="21"/>
          <w:lang w:val="en-US" w:eastAsia="zh-CN" w:bidi="ar"/>
        </w:rPr>
        <w:t>。</w:t>
      </w:r>
    </w:p>
    <w:p w14:paraId="1067AE72">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kern w:val="0"/>
          <w:sz w:val="21"/>
          <w:szCs w:val="21"/>
          <w:lang w:val="en-US"/>
        </w:rPr>
      </w:pPr>
      <w:r>
        <w:rPr>
          <w:rFonts w:hint="eastAsia" w:ascii="宋体" w:hAnsi="宋体" w:eastAsia="宋体" w:cs="宋体"/>
          <w:color w:val="000000"/>
          <w:kern w:val="0"/>
          <w:sz w:val="21"/>
          <w:szCs w:val="21"/>
          <w:lang w:val="en-US" w:eastAsia="zh-CN" w:bidi="ar"/>
        </w:rPr>
        <w:t>16.2.2承包人违约的责任</w:t>
      </w:r>
    </w:p>
    <w:p w14:paraId="3DA9360B">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kern w:val="0"/>
          <w:sz w:val="21"/>
          <w:szCs w:val="21"/>
          <w:lang w:val="en-US"/>
        </w:rPr>
      </w:pPr>
      <w:r>
        <w:rPr>
          <w:rFonts w:hint="eastAsia" w:ascii="宋体" w:hAnsi="宋体" w:eastAsia="宋体" w:cs="宋体"/>
          <w:color w:val="000000"/>
          <w:kern w:val="0"/>
          <w:sz w:val="21"/>
          <w:szCs w:val="21"/>
          <w:lang w:val="en-US" w:eastAsia="zh-CN" w:bidi="ar"/>
        </w:rPr>
        <w:t>承包人违约责任的承担方式和计算方法：</w:t>
      </w:r>
    </w:p>
    <w:p w14:paraId="509FF98A">
      <w:pPr>
        <w:pageBreakBefore w:val="0"/>
        <w:widowControl w:val="0"/>
        <w:kinsoku/>
        <w:wordWrap/>
        <w:overflowPunct/>
        <w:topLinePunct w:val="0"/>
        <w:bidi w:val="0"/>
        <w:spacing w:line="400" w:lineRule="exact"/>
        <w:ind w:left="0" w:leftChars="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承包人未按本合同通用条款第16.2.1（2）、（3）条内容完成的，承包人无条件返工处理，修复至工程质量要求并承担相关费用，并在发包人规定的时间内完成返工，否则发包人有权扣罚该分项工程10%的工程款作为处罚。若该违约金不足以弥补发包人因此遭受的实际损失（包括但不限于重新委托第三方修复的费用、检测费、鉴定费及由此造成的其他直接损失），承包人还应予以赔偿。若该违约金不足以弥补发包人因此遭受的实际损失（包括但不限于重新委托第三方修复的费用、检测费、鉴定费及由此造成的其他直接损失），承包人还应予以赔偿。</w:t>
      </w:r>
    </w:p>
    <w:p w14:paraId="0E12BF79">
      <w:pPr>
        <w:pageBreakBefore w:val="0"/>
        <w:widowControl w:val="0"/>
        <w:kinsoku/>
        <w:wordWrap/>
        <w:overflowPunct/>
        <w:topLinePunct w:val="0"/>
        <w:bidi w:val="0"/>
        <w:spacing w:line="400" w:lineRule="exact"/>
        <w:ind w:left="0" w:leftChars="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（2）承包人有本合同通用条款第</w:t>
      </w:r>
      <w:r>
        <w:rPr>
          <w:rFonts w:hint="eastAsia" w:ascii="宋体" w:hAnsi="宋体" w:eastAsia="宋体" w:cs="宋体"/>
          <w:color w:val="auto"/>
          <w:kern w:val="0"/>
          <w:sz w:val="21"/>
          <w:szCs w:val="21"/>
          <w:u w:val="single"/>
        </w:rPr>
        <w:t>16.2.1（6）</w:t>
      </w:r>
      <w:r>
        <w:rPr>
          <w:rFonts w:hint="eastAsia" w:ascii="宋体" w:hAnsi="宋体" w:eastAsia="宋体" w:cs="宋体"/>
          <w:color w:val="auto"/>
          <w:kern w:val="0"/>
          <w:sz w:val="21"/>
          <w:szCs w:val="21"/>
        </w:rPr>
        <w:t>条情形的，或经监理人检验认为修复质量不合格而承包人拒绝再进行修补的，承包人</w:t>
      </w:r>
      <w:r>
        <w:rPr>
          <w:rFonts w:hint="eastAsia" w:ascii="宋体" w:hAnsi="宋体" w:eastAsia="宋体" w:cs="宋体"/>
          <w:color w:val="auto"/>
          <w:kern w:val="0"/>
          <w:sz w:val="21"/>
          <w:szCs w:val="21"/>
          <w:lang w:val="en-US" w:eastAsia="zh-CN"/>
        </w:rPr>
        <w:t>将发包人支付合同金额20%的违约金</w:t>
      </w:r>
      <w:r>
        <w:rPr>
          <w:rFonts w:hint="eastAsia" w:ascii="宋体" w:hAnsi="宋体" w:eastAsia="宋体" w:cs="宋体"/>
          <w:color w:val="auto"/>
          <w:kern w:val="0"/>
          <w:sz w:val="21"/>
          <w:szCs w:val="21"/>
        </w:rPr>
        <w:t>。</w:t>
      </w:r>
    </w:p>
    <w:p w14:paraId="7948B5C5">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kern w:val="0"/>
          <w:sz w:val="21"/>
          <w:szCs w:val="21"/>
          <w:lang w:val="en-US"/>
        </w:rPr>
      </w:pPr>
      <w:r>
        <w:rPr>
          <w:rFonts w:hint="eastAsia" w:ascii="宋体" w:hAnsi="宋体" w:eastAsia="宋体" w:cs="宋体"/>
          <w:color w:val="auto"/>
          <w:kern w:val="0"/>
          <w:sz w:val="21"/>
          <w:szCs w:val="21"/>
        </w:rPr>
        <w:t>（3）承包人有本专用合同条款</w:t>
      </w:r>
      <w:r>
        <w:rPr>
          <w:rFonts w:hint="eastAsia" w:ascii="宋体" w:hAnsi="宋体" w:eastAsia="宋体" w:cs="宋体"/>
          <w:color w:val="auto"/>
          <w:kern w:val="0"/>
          <w:sz w:val="21"/>
          <w:szCs w:val="21"/>
          <w:u w:val="single"/>
        </w:rPr>
        <w:t>3.2、3.3</w:t>
      </w:r>
      <w:r>
        <w:rPr>
          <w:rFonts w:hint="eastAsia" w:ascii="宋体" w:hAnsi="宋体" w:eastAsia="宋体" w:cs="宋体"/>
          <w:color w:val="auto"/>
          <w:kern w:val="0"/>
          <w:sz w:val="21"/>
          <w:szCs w:val="21"/>
        </w:rPr>
        <w:t>条违约责任的，发包人有权扣除承包人的违约金。</w:t>
      </w:r>
      <w:r>
        <w:rPr>
          <w:rFonts w:hint="eastAsia" w:ascii="宋体" w:hAnsi="宋体" w:eastAsia="宋体" w:cs="宋体"/>
          <w:color w:val="auto"/>
          <w:kern w:val="0"/>
          <w:sz w:val="21"/>
          <w:szCs w:val="21"/>
          <w:lang w:val="en-US" w:eastAsia="zh-CN"/>
        </w:rPr>
        <w:t>鉴于本工程未收取履约保证金，违约金直接从应付工程款中扣除。发包人应预先下发含有违约处理意向的书面指令，如承包人在收到指令后十五天内未采取有效措施纠正或未提出合理书面异议，则</w:t>
      </w:r>
      <w:r>
        <w:rPr>
          <w:rFonts w:hint="eastAsia" w:ascii="宋体" w:hAnsi="宋体" w:eastAsia="宋体" w:cs="宋体"/>
          <w:color w:val="auto"/>
          <w:kern w:val="0"/>
          <w:sz w:val="21"/>
          <w:szCs w:val="21"/>
          <w:lang w:eastAsia="zh-CN"/>
        </w:rPr>
        <w:t>发包</w:t>
      </w:r>
      <w:r>
        <w:rPr>
          <w:rFonts w:hint="eastAsia" w:ascii="宋体" w:hAnsi="宋体" w:eastAsia="宋体" w:cs="宋体"/>
          <w:color w:val="auto"/>
          <w:kern w:val="0"/>
          <w:sz w:val="21"/>
          <w:szCs w:val="21"/>
          <w:lang w:val="en-US" w:eastAsia="zh-CN"/>
        </w:rPr>
        <w:t>人</w:t>
      </w:r>
      <w:r>
        <w:rPr>
          <w:rFonts w:hint="eastAsia" w:ascii="宋体" w:hAnsi="宋体" w:eastAsia="宋体" w:cs="宋体"/>
          <w:color w:val="auto"/>
          <w:kern w:val="0"/>
          <w:sz w:val="21"/>
          <w:szCs w:val="21"/>
          <w:lang w:eastAsia="zh-CN"/>
        </w:rPr>
        <w:t>可下发违约金扣除通知书。承包人在合同期内，完成合同规</w:t>
      </w:r>
      <w:r>
        <w:rPr>
          <w:rFonts w:hint="eastAsia" w:ascii="宋体" w:hAnsi="宋体" w:eastAsia="宋体" w:cs="宋体"/>
          <w:color w:val="auto"/>
          <w:kern w:val="0"/>
          <w:sz w:val="21"/>
          <w:szCs w:val="21"/>
        </w:rPr>
        <w:t>定的全部工程，且质量合格，在本工程施工竣工验收后十五天内可申请返还全部或部分罚款，返还金额由发包人</w:t>
      </w:r>
      <w:r>
        <w:rPr>
          <w:rFonts w:hint="eastAsia" w:ascii="宋体" w:hAnsi="宋体" w:eastAsia="宋体" w:cs="宋体"/>
          <w:color w:val="auto"/>
          <w:kern w:val="0"/>
          <w:sz w:val="21"/>
          <w:szCs w:val="21"/>
          <w:lang w:val="en-US" w:eastAsia="zh-CN"/>
        </w:rPr>
        <w:t>审核、</w:t>
      </w:r>
      <w:r>
        <w:rPr>
          <w:rFonts w:hint="eastAsia" w:ascii="宋体" w:hAnsi="宋体" w:eastAsia="宋体" w:cs="宋体"/>
          <w:color w:val="auto"/>
          <w:kern w:val="0"/>
          <w:sz w:val="21"/>
          <w:szCs w:val="21"/>
        </w:rPr>
        <w:t>批准。罚款金额返还时不包括银行利息。</w:t>
      </w:r>
    </w:p>
    <w:p w14:paraId="374385A0">
      <w:pPr>
        <w:keepNext w:val="0"/>
        <w:keepLines w:val="0"/>
        <w:widowControl w:val="0"/>
        <w:suppressLineNumbers w:val="0"/>
        <w:spacing w:before="0" w:beforeAutospacing="0" w:after="0" w:afterAutospacing="0" w:line="400" w:lineRule="exact"/>
        <w:ind w:left="0" w:right="0" w:firstLine="420" w:firstLineChars="200"/>
        <w:jc w:val="left"/>
        <w:outlineLvl w:val="0"/>
        <w:rPr>
          <w:rFonts w:hint="eastAsia" w:ascii="宋体" w:hAnsi="宋体" w:eastAsia="宋体" w:cs="宋体"/>
          <w:sz w:val="21"/>
          <w:szCs w:val="21"/>
          <w:lang w:val="en-US"/>
        </w:rPr>
      </w:pPr>
      <w:bookmarkStart w:id="874" w:name="_Toc484160302"/>
      <w:bookmarkStart w:id="875" w:name="_Toc25923"/>
      <w:bookmarkStart w:id="876" w:name="_Toc470017784"/>
      <w:bookmarkStart w:id="877" w:name="_Toc435707068"/>
      <w:bookmarkStart w:id="878" w:name="_Toc2801"/>
      <w:bookmarkStart w:id="879" w:name="_Toc5162"/>
      <w:bookmarkStart w:id="880" w:name="_Toc19972"/>
      <w:r>
        <w:rPr>
          <w:rFonts w:hint="eastAsia" w:ascii="宋体" w:hAnsi="宋体" w:eastAsia="宋体" w:cs="宋体"/>
          <w:color w:val="000000"/>
          <w:kern w:val="2"/>
          <w:sz w:val="21"/>
          <w:szCs w:val="21"/>
          <w:lang w:val="en-US" w:eastAsia="zh-CN" w:bidi="ar"/>
        </w:rPr>
        <w:t>16.2.3因承包人违约解除合同</w:t>
      </w:r>
      <w:bookmarkEnd w:id="874"/>
      <w:bookmarkEnd w:id="875"/>
      <w:bookmarkEnd w:id="876"/>
      <w:bookmarkEnd w:id="877"/>
      <w:bookmarkEnd w:id="878"/>
      <w:bookmarkEnd w:id="879"/>
      <w:bookmarkEnd w:id="880"/>
    </w:p>
    <w:p w14:paraId="6A3E6F0B">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kern w:val="0"/>
          <w:sz w:val="21"/>
          <w:szCs w:val="21"/>
          <w:lang w:val="en-US"/>
        </w:rPr>
      </w:pPr>
      <w:r>
        <w:rPr>
          <w:rFonts w:hint="eastAsia" w:ascii="宋体" w:hAnsi="宋体" w:eastAsia="宋体" w:cs="宋体"/>
          <w:color w:val="000000"/>
          <w:kern w:val="0"/>
          <w:sz w:val="21"/>
          <w:szCs w:val="21"/>
          <w:lang w:val="en-US" w:eastAsia="zh-CN" w:bidi="ar"/>
        </w:rPr>
        <w:t>关于承包人违约解除合同的特别约定：</w:t>
      </w:r>
      <w:r>
        <w:rPr>
          <w:rFonts w:hint="eastAsia" w:ascii="宋体" w:hAnsi="宋体" w:eastAsia="宋体" w:cs="宋体"/>
          <w:color w:val="000000"/>
          <w:kern w:val="0"/>
          <w:sz w:val="21"/>
          <w:szCs w:val="21"/>
          <w:u w:val="single"/>
          <w:lang w:val="en-US" w:eastAsia="zh-CN" w:bidi="ar"/>
        </w:rPr>
        <w:t>承包人有违反以下情况之一的，发包人有权解除合同</w:t>
      </w:r>
      <w:r>
        <w:rPr>
          <w:rFonts w:hint="eastAsia" w:ascii="宋体" w:hAnsi="宋体" w:eastAsia="宋体" w:cs="宋体"/>
          <w:color w:val="000000"/>
          <w:kern w:val="0"/>
          <w:sz w:val="21"/>
          <w:szCs w:val="21"/>
          <w:lang w:val="en-US" w:eastAsia="zh-CN" w:bidi="ar"/>
        </w:rPr>
        <w:t>。</w:t>
      </w:r>
    </w:p>
    <w:p w14:paraId="396DBBCC">
      <w:pPr>
        <w:pageBreakBefore w:val="0"/>
        <w:widowControl w:val="0"/>
        <w:kinsoku/>
        <w:wordWrap/>
        <w:overflowPunct/>
        <w:topLinePunct w:val="0"/>
        <w:bidi w:val="0"/>
        <w:spacing w:line="400" w:lineRule="exact"/>
        <w:ind w:left="0" w:leftChars="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000000"/>
          <w:kern w:val="0"/>
          <w:sz w:val="21"/>
          <w:szCs w:val="21"/>
          <w:lang w:val="en-US" w:eastAsia="zh-CN" w:bidi="ar"/>
        </w:rPr>
        <w:t>（1）</w:t>
      </w:r>
      <w:r>
        <w:rPr>
          <w:rFonts w:hint="eastAsia" w:ascii="宋体" w:hAnsi="宋体" w:eastAsia="宋体" w:cs="宋体"/>
          <w:color w:val="auto"/>
          <w:kern w:val="0"/>
          <w:sz w:val="21"/>
          <w:szCs w:val="21"/>
        </w:rPr>
        <w:t>承包人无正当理由不按开工通知的要求及时进场组织施工和不按签订协议书时商定的进度计划有效地开展施工准备，造成工期延误的；</w:t>
      </w:r>
    </w:p>
    <w:p w14:paraId="5B681293">
      <w:pPr>
        <w:pageBreakBefore w:val="0"/>
        <w:widowControl w:val="0"/>
        <w:kinsoku/>
        <w:wordWrap/>
        <w:overflowPunct/>
        <w:topLinePunct w:val="0"/>
        <w:bidi w:val="0"/>
        <w:spacing w:line="400" w:lineRule="exact"/>
        <w:ind w:left="0" w:leftChars="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lang w:val="en-US" w:eastAsia="zh-CN"/>
        </w:rPr>
        <w:t>2</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t>承包人违反本合同通用条款第</w:t>
      </w:r>
      <w:r>
        <w:rPr>
          <w:rFonts w:hint="eastAsia" w:ascii="宋体" w:hAnsi="宋体" w:eastAsia="宋体" w:cs="宋体"/>
          <w:color w:val="auto"/>
          <w:kern w:val="0"/>
          <w:sz w:val="21"/>
          <w:szCs w:val="21"/>
          <w:lang w:val="en-US" w:eastAsia="zh-CN"/>
        </w:rPr>
        <w:t>3.4</w:t>
      </w:r>
      <w:r>
        <w:rPr>
          <w:rFonts w:hint="eastAsia" w:ascii="宋体" w:hAnsi="宋体" w:eastAsia="宋体" w:cs="宋体"/>
          <w:color w:val="auto"/>
          <w:kern w:val="0"/>
          <w:sz w:val="21"/>
          <w:szCs w:val="21"/>
        </w:rPr>
        <w:t>条规定私自将合同或合同的任何部分或任何权利转让给其他人，或私自将工程或工程的一部分分包出去的；</w:t>
      </w:r>
    </w:p>
    <w:p w14:paraId="29333DA9">
      <w:pPr>
        <w:pageBreakBefore w:val="0"/>
        <w:widowControl w:val="0"/>
        <w:kinsoku/>
        <w:wordWrap/>
        <w:overflowPunct/>
        <w:topLinePunct w:val="0"/>
        <w:bidi w:val="0"/>
        <w:spacing w:line="400" w:lineRule="exact"/>
        <w:ind w:left="0" w:leftChars="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lang w:val="en-US" w:eastAsia="zh-CN"/>
        </w:rPr>
        <w:t>3</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t>未经监理人批准，承包人私自将已按响应文件承诺进入工地的工程设备、施工设备、临时工程或材料撤离工地的；</w:t>
      </w:r>
    </w:p>
    <w:p w14:paraId="1EB4DF6E">
      <w:pPr>
        <w:pageBreakBefore w:val="0"/>
        <w:widowControl w:val="0"/>
        <w:kinsoku/>
        <w:wordWrap/>
        <w:overflowPunct/>
        <w:topLinePunct w:val="0"/>
        <w:bidi w:val="0"/>
        <w:spacing w:line="400" w:lineRule="exact"/>
        <w:ind w:left="0" w:leftChars="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lang w:val="en-US" w:eastAsia="zh-CN"/>
        </w:rPr>
        <w:t>4</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t>由于承包人原因拒绝按合同进度计划及时完成合同规定的工程，而又未采取有效措施赶上进度，造成工期延误的；</w:t>
      </w:r>
    </w:p>
    <w:p w14:paraId="508D0BB5">
      <w:pPr>
        <w:pageBreakBefore w:val="0"/>
        <w:widowControl w:val="0"/>
        <w:kinsoku/>
        <w:wordWrap/>
        <w:overflowPunct/>
        <w:topLinePunct w:val="0"/>
        <w:bidi w:val="0"/>
        <w:spacing w:line="400" w:lineRule="exact"/>
        <w:ind w:left="0" w:leftChars="0" w:firstLine="420" w:firstLineChars="200"/>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lang w:val="en-US" w:eastAsia="zh-CN"/>
        </w:rPr>
        <w:t>5</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t>承包人否认合同有效或拒绝履行合同规定的承包人义务，或由于法律、财务等原因导致承包人无法继续履行或实质上已停止履行合同的义务的；</w:t>
      </w:r>
    </w:p>
    <w:p w14:paraId="1787C634">
      <w:pPr>
        <w:pageBreakBefore w:val="0"/>
        <w:widowControl w:val="0"/>
        <w:kinsoku/>
        <w:wordWrap/>
        <w:overflowPunct/>
        <w:topLinePunct w:val="0"/>
        <w:bidi w:val="0"/>
        <w:spacing w:line="400" w:lineRule="exact"/>
        <w:ind w:left="0" w:leftChars="0" w:firstLine="420" w:firstLineChars="200"/>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lang w:val="en-US" w:eastAsia="zh-CN"/>
        </w:rPr>
        <w:t>6</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t>合同签订之日起十五日内，承包人无法按合同规定及响应文件的承诺进场经监理工程师认可的全部人员和机械的。</w:t>
      </w:r>
    </w:p>
    <w:p w14:paraId="164BE0D1">
      <w:pPr>
        <w:pageBreakBefore w:val="0"/>
        <w:widowControl w:val="0"/>
        <w:kinsoku/>
        <w:wordWrap/>
        <w:overflowPunct/>
        <w:topLinePunct w:val="0"/>
        <w:bidi w:val="0"/>
        <w:spacing w:line="400" w:lineRule="exact"/>
        <w:ind w:left="0" w:leftChars="0" w:firstLine="420" w:firstLineChars="200"/>
        <w:rPr>
          <w:rFonts w:hint="eastAsia" w:ascii="宋体" w:hAnsi="宋体" w:eastAsia="宋体" w:cs="宋体"/>
          <w:kern w:val="0"/>
          <w:sz w:val="21"/>
          <w:szCs w:val="21"/>
          <w:lang w:val="en-US"/>
        </w:rPr>
      </w:pPr>
      <w:r>
        <w:rPr>
          <w:rFonts w:hint="eastAsia" w:ascii="宋体" w:hAnsi="宋体" w:eastAsia="宋体" w:cs="宋体"/>
          <w:color w:val="auto"/>
          <w:kern w:val="0"/>
          <w:sz w:val="21"/>
          <w:szCs w:val="21"/>
        </w:rPr>
        <w:t>发包人继续使用承包人在施工现场的材料、设备、临时工程、承包人文件和由承包人或以其名义编制的其他文件的费用承担方式：</w:t>
      </w:r>
      <w:r>
        <w:rPr>
          <w:rFonts w:hint="eastAsia" w:ascii="宋体" w:hAnsi="宋体" w:eastAsia="宋体" w:cs="宋体"/>
          <w:color w:val="auto"/>
          <w:kern w:val="0"/>
          <w:sz w:val="21"/>
          <w:szCs w:val="21"/>
          <w:u w:val="single"/>
        </w:rPr>
        <w:t xml:space="preserve">  按双方另</w:t>
      </w:r>
      <w:r>
        <w:rPr>
          <w:rFonts w:hint="eastAsia" w:ascii="宋体" w:hAnsi="宋体" w:eastAsia="宋体" w:cs="宋体"/>
          <w:color w:val="auto"/>
          <w:kern w:val="0"/>
          <w:sz w:val="21"/>
          <w:szCs w:val="21"/>
          <w:u w:val="single"/>
          <w:lang w:val="en-US" w:eastAsia="zh-CN"/>
        </w:rPr>
        <w:t>行</w:t>
      </w:r>
      <w:r>
        <w:rPr>
          <w:rFonts w:hint="eastAsia" w:ascii="宋体" w:hAnsi="宋体" w:eastAsia="宋体" w:cs="宋体"/>
          <w:color w:val="auto"/>
          <w:kern w:val="0"/>
          <w:sz w:val="21"/>
          <w:szCs w:val="21"/>
          <w:u w:val="single"/>
        </w:rPr>
        <w:t xml:space="preserve">约定执行 </w:t>
      </w:r>
      <w:r>
        <w:rPr>
          <w:rFonts w:hint="eastAsia" w:ascii="宋体" w:hAnsi="宋体" w:eastAsia="宋体" w:cs="宋体"/>
          <w:color w:val="auto"/>
          <w:kern w:val="0"/>
          <w:sz w:val="21"/>
          <w:szCs w:val="21"/>
        </w:rPr>
        <w:t>。</w:t>
      </w:r>
    </w:p>
    <w:p w14:paraId="65301C72">
      <w:pPr>
        <w:pStyle w:val="4"/>
        <w:keepNext/>
        <w:keepLines/>
        <w:pageBreakBefore w:val="0"/>
        <w:widowControl/>
        <w:kinsoku/>
        <w:wordWrap/>
        <w:overflowPunct/>
        <w:topLinePunct w:val="0"/>
        <w:autoSpaceDE/>
        <w:autoSpaceDN/>
        <w:bidi w:val="0"/>
        <w:adjustRightInd/>
        <w:snapToGrid/>
        <w:spacing w:before="0" w:beforeAutospacing="0" w:line="240" w:lineRule="auto"/>
        <w:jc w:val="both"/>
        <w:textAlignment w:val="auto"/>
        <w:rPr>
          <w:rFonts w:hint="eastAsia" w:ascii="宋体" w:hAnsi="宋体" w:eastAsia="宋体" w:cs="宋体"/>
          <w:sz w:val="21"/>
          <w:szCs w:val="21"/>
          <w:lang w:val="en-US"/>
        </w:rPr>
      </w:pPr>
      <w:bookmarkStart w:id="881" w:name="_Toc31813"/>
      <w:bookmarkStart w:id="882" w:name="_Toc484160303"/>
      <w:bookmarkStart w:id="883" w:name="_Toc435707069"/>
      <w:bookmarkStart w:id="884" w:name="_Toc434426240"/>
      <w:bookmarkStart w:id="885" w:name="_Toc351203649"/>
      <w:bookmarkStart w:id="886" w:name="_Toc373478416"/>
      <w:bookmarkStart w:id="887" w:name="_Toc470017785"/>
      <w:bookmarkStart w:id="888" w:name="_Toc389065334"/>
      <w:bookmarkStart w:id="889" w:name="_Toc373227769"/>
      <w:r>
        <w:rPr>
          <w:rFonts w:hint="eastAsia" w:ascii="宋体" w:hAnsi="宋体" w:eastAsia="宋体" w:cs="宋体"/>
          <w:sz w:val="21"/>
          <w:szCs w:val="21"/>
          <w:lang w:val="en-US"/>
        </w:rPr>
        <w:t xml:space="preserve">17. </w:t>
      </w:r>
      <w:r>
        <w:rPr>
          <w:rFonts w:hint="eastAsia" w:ascii="宋体" w:hAnsi="宋体" w:eastAsia="宋体" w:cs="宋体"/>
          <w:sz w:val="21"/>
          <w:szCs w:val="21"/>
          <w:lang w:eastAsia="zh-CN"/>
        </w:rPr>
        <w:t>不可抗力</w:t>
      </w:r>
      <w:bookmarkEnd w:id="881"/>
      <w:bookmarkEnd w:id="882"/>
      <w:bookmarkEnd w:id="883"/>
      <w:bookmarkEnd w:id="884"/>
      <w:bookmarkEnd w:id="885"/>
      <w:bookmarkEnd w:id="886"/>
      <w:bookmarkEnd w:id="887"/>
      <w:bookmarkEnd w:id="888"/>
      <w:bookmarkEnd w:id="889"/>
      <w:r>
        <w:rPr>
          <w:rFonts w:hint="eastAsia" w:ascii="宋体" w:hAnsi="宋体" w:eastAsia="宋体" w:cs="宋体"/>
          <w:sz w:val="21"/>
          <w:szCs w:val="21"/>
          <w:lang w:eastAsia="zh-CN"/>
        </w:rPr>
        <w:t xml:space="preserve"> </w:t>
      </w:r>
      <w:bookmarkEnd w:id="849"/>
    </w:p>
    <w:p w14:paraId="088C61A8">
      <w:pPr>
        <w:pStyle w:val="5"/>
        <w:keepNext/>
        <w:keepLines/>
        <w:pageBreakBefore w:val="0"/>
        <w:widowControl/>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rPr>
      </w:pPr>
      <w:bookmarkStart w:id="890" w:name="_Toc389065335"/>
      <w:bookmarkStart w:id="891" w:name="_Toc434426241"/>
      <w:bookmarkStart w:id="892" w:name="_Toc373227770"/>
      <w:bookmarkStart w:id="893" w:name="_Toc373478417"/>
      <w:bookmarkStart w:id="894" w:name="_Toc484160304"/>
      <w:bookmarkStart w:id="895" w:name="_Toc23633"/>
      <w:bookmarkStart w:id="896" w:name="_Toc470017786"/>
      <w:bookmarkStart w:id="897" w:name="_Toc435707070"/>
      <w:r>
        <w:rPr>
          <w:rFonts w:hint="eastAsia" w:ascii="宋体" w:hAnsi="宋体" w:eastAsia="宋体" w:cs="宋体"/>
          <w:sz w:val="21"/>
          <w:szCs w:val="21"/>
          <w:lang w:val="en-US"/>
        </w:rPr>
        <w:t xml:space="preserve">17.1 </w:t>
      </w:r>
      <w:r>
        <w:rPr>
          <w:rFonts w:hint="eastAsia" w:ascii="宋体" w:hAnsi="宋体" w:eastAsia="宋体" w:cs="宋体"/>
          <w:sz w:val="21"/>
          <w:szCs w:val="21"/>
          <w:lang w:eastAsia="zh-CN"/>
        </w:rPr>
        <w:t>不可抗力的确认</w:t>
      </w:r>
      <w:bookmarkEnd w:id="890"/>
      <w:bookmarkEnd w:id="891"/>
      <w:bookmarkEnd w:id="892"/>
      <w:bookmarkEnd w:id="893"/>
      <w:bookmarkEnd w:id="894"/>
      <w:bookmarkEnd w:id="895"/>
      <w:bookmarkEnd w:id="896"/>
      <w:bookmarkEnd w:id="897"/>
    </w:p>
    <w:p w14:paraId="2650F0C7">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kern w:val="0"/>
          <w:sz w:val="21"/>
          <w:szCs w:val="21"/>
          <w:u w:val="single"/>
          <w:lang w:val="en-US"/>
        </w:rPr>
      </w:pPr>
      <w:r>
        <w:rPr>
          <w:rFonts w:hint="eastAsia" w:ascii="宋体" w:hAnsi="宋体" w:eastAsia="宋体" w:cs="宋体"/>
          <w:color w:val="000000"/>
          <w:kern w:val="2"/>
          <w:sz w:val="21"/>
          <w:szCs w:val="21"/>
          <w:lang w:val="en-US" w:eastAsia="zh-CN" w:bidi="ar"/>
        </w:rPr>
        <w:t>除通用合同条款约定的不可抗力事件之外，视为不可抗力的其他情形：</w:t>
      </w:r>
      <w:r>
        <w:rPr>
          <w:rFonts w:hint="eastAsia" w:ascii="宋体" w:hAnsi="宋体" w:eastAsia="宋体" w:cs="宋体"/>
          <w:color w:val="000000"/>
          <w:kern w:val="0"/>
          <w:sz w:val="21"/>
          <w:szCs w:val="21"/>
          <w:u w:val="single"/>
          <w:lang w:val="en-US" w:eastAsia="zh-CN" w:bidi="ar"/>
        </w:rPr>
        <w:t xml:space="preserve"> 一、自然原因，如洪水、台风、暴雨、冰雹、雷电、地震、高温、干旱等；二、政府行为，如政府禁令、禁运及其他政府行为 ；三、社会异常事件，如瘟疫、骚乱、戒严、暴动、战争等。工程遭遇不可抗力事件时，发承包双方应共同调查确认不可抗力事件的性质及其损害程度，并收集不可抗力造成损失的证明材料。双方对不可抗力的认定或对其损害程度的意见不一致发生争议时，按争议的约定处理  </w:t>
      </w:r>
      <w:r>
        <w:rPr>
          <w:rFonts w:hint="eastAsia" w:ascii="宋体" w:hAnsi="宋体" w:eastAsia="宋体" w:cs="宋体"/>
          <w:color w:val="000000"/>
          <w:kern w:val="0"/>
          <w:sz w:val="21"/>
          <w:szCs w:val="21"/>
          <w:lang w:val="en-US" w:eastAsia="zh-CN" w:bidi="ar"/>
        </w:rPr>
        <w:t>。</w:t>
      </w:r>
    </w:p>
    <w:p w14:paraId="60C4D8EE">
      <w:pPr>
        <w:pStyle w:val="5"/>
        <w:widowControl/>
        <w:numPr>
          <w:ilvl w:val="0"/>
          <w:numId w:val="0"/>
        </w:numPr>
        <w:spacing w:line="400" w:lineRule="exact"/>
        <w:rPr>
          <w:rFonts w:hint="eastAsia" w:ascii="宋体" w:hAnsi="宋体" w:eastAsia="宋体" w:cs="宋体"/>
          <w:kern w:val="2"/>
          <w:sz w:val="21"/>
          <w:szCs w:val="21"/>
          <w:lang w:val="en-US"/>
        </w:rPr>
      </w:pPr>
      <w:bookmarkStart w:id="898" w:name="_Toc25795"/>
      <w:bookmarkStart w:id="899" w:name="_Toc373227771"/>
      <w:bookmarkStart w:id="900" w:name="_Toc434426242"/>
      <w:bookmarkStart w:id="901" w:name="_Toc470017787"/>
      <w:bookmarkStart w:id="902" w:name="_Toc389065336"/>
      <w:bookmarkStart w:id="903" w:name="_Toc484160305"/>
      <w:bookmarkStart w:id="904" w:name="_Toc435707071"/>
      <w:bookmarkStart w:id="905" w:name="_Toc373478418"/>
      <w:r>
        <w:rPr>
          <w:rFonts w:hint="eastAsia" w:ascii="宋体" w:hAnsi="宋体" w:eastAsia="宋体" w:cs="宋体"/>
          <w:sz w:val="21"/>
          <w:szCs w:val="21"/>
          <w:lang w:val="en-US"/>
        </w:rPr>
        <w:t>17.2</w:t>
      </w:r>
      <w:r>
        <w:rPr>
          <w:rFonts w:hint="eastAsia" w:ascii="宋体" w:hAnsi="宋体" w:eastAsia="宋体" w:cs="宋体"/>
          <w:sz w:val="21"/>
          <w:szCs w:val="21"/>
          <w:lang w:eastAsia="zh-CN"/>
        </w:rPr>
        <w:t>因不可抗力解除合同</w:t>
      </w:r>
      <w:bookmarkEnd w:id="898"/>
      <w:bookmarkEnd w:id="899"/>
      <w:bookmarkEnd w:id="900"/>
      <w:bookmarkEnd w:id="901"/>
      <w:bookmarkEnd w:id="902"/>
      <w:bookmarkEnd w:id="903"/>
      <w:bookmarkEnd w:id="904"/>
      <w:bookmarkEnd w:id="905"/>
    </w:p>
    <w:p w14:paraId="162ED779">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合同解除后，发包人应在商定或确定发包人应支付款项后</w:t>
      </w:r>
      <w:r>
        <w:rPr>
          <w:rFonts w:hint="eastAsia" w:ascii="宋体" w:hAnsi="宋体" w:eastAsia="宋体" w:cs="宋体"/>
          <w:color w:val="000000"/>
          <w:kern w:val="2"/>
          <w:sz w:val="21"/>
          <w:szCs w:val="21"/>
          <w:u w:val="single"/>
          <w:lang w:val="en-US" w:eastAsia="zh-CN" w:bidi="ar"/>
        </w:rPr>
        <w:t xml:space="preserve">  28 </w:t>
      </w:r>
      <w:r>
        <w:rPr>
          <w:rFonts w:hint="eastAsia" w:ascii="宋体" w:hAnsi="宋体" w:eastAsia="宋体" w:cs="宋体"/>
          <w:color w:val="000000"/>
          <w:kern w:val="2"/>
          <w:sz w:val="21"/>
          <w:szCs w:val="21"/>
          <w:lang w:val="en-US" w:eastAsia="zh-CN" w:bidi="ar"/>
        </w:rPr>
        <w:t>天内完成款项的支付。</w:t>
      </w:r>
    </w:p>
    <w:p w14:paraId="0E97E10C">
      <w:pPr>
        <w:pStyle w:val="4"/>
        <w:widowControl/>
        <w:spacing w:before="0" w:beforeAutospacing="0" w:line="240" w:lineRule="auto"/>
        <w:jc w:val="both"/>
        <w:rPr>
          <w:rFonts w:hint="eastAsia" w:ascii="宋体" w:hAnsi="宋体" w:eastAsia="宋体" w:cs="宋体"/>
          <w:sz w:val="21"/>
          <w:szCs w:val="21"/>
          <w:lang w:val="en-US"/>
        </w:rPr>
      </w:pPr>
      <w:bookmarkStart w:id="906" w:name="_Toc470017788"/>
      <w:bookmarkStart w:id="907" w:name="_Toc389065337"/>
      <w:bookmarkStart w:id="908" w:name="_Toc373478419"/>
      <w:bookmarkStart w:id="909" w:name="_Toc434426243"/>
      <w:bookmarkStart w:id="910" w:name="_Toc484160306"/>
      <w:bookmarkStart w:id="911" w:name="_Toc373227772"/>
      <w:bookmarkStart w:id="912" w:name="_Toc351203650"/>
      <w:bookmarkStart w:id="913" w:name="_Toc17313"/>
      <w:bookmarkStart w:id="914" w:name="_Toc435707072"/>
      <w:r>
        <w:rPr>
          <w:rFonts w:hint="eastAsia" w:ascii="宋体" w:hAnsi="宋体" w:eastAsia="宋体" w:cs="宋体"/>
          <w:sz w:val="21"/>
          <w:szCs w:val="21"/>
          <w:lang w:val="en-US"/>
        </w:rPr>
        <w:t>18.</w:t>
      </w:r>
      <w:r>
        <w:rPr>
          <w:rFonts w:hint="eastAsia" w:ascii="宋体" w:hAnsi="宋体" w:eastAsia="宋体" w:cs="宋体"/>
          <w:sz w:val="21"/>
          <w:szCs w:val="21"/>
          <w:lang w:eastAsia="zh-CN"/>
        </w:rPr>
        <w:t>保险</w:t>
      </w:r>
      <w:bookmarkEnd w:id="906"/>
      <w:bookmarkEnd w:id="907"/>
      <w:bookmarkEnd w:id="908"/>
      <w:bookmarkEnd w:id="909"/>
      <w:bookmarkEnd w:id="910"/>
      <w:bookmarkEnd w:id="911"/>
      <w:bookmarkEnd w:id="912"/>
      <w:bookmarkEnd w:id="913"/>
      <w:bookmarkEnd w:id="914"/>
    </w:p>
    <w:bookmarkEnd w:id="850"/>
    <w:p w14:paraId="04F4ADB6">
      <w:pPr>
        <w:pStyle w:val="5"/>
        <w:widowControl/>
        <w:numPr>
          <w:ilvl w:val="0"/>
          <w:numId w:val="0"/>
        </w:numPr>
        <w:spacing w:line="400" w:lineRule="exact"/>
        <w:rPr>
          <w:rFonts w:hint="eastAsia" w:ascii="宋体" w:hAnsi="宋体" w:eastAsia="宋体" w:cs="宋体"/>
          <w:sz w:val="21"/>
          <w:szCs w:val="21"/>
          <w:lang w:val="en-US"/>
        </w:rPr>
      </w:pPr>
      <w:bookmarkStart w:id="915" w:name="_Toc435707073"/>
      <w:bookmarkStart w:id="916" w:name="_Toc373478420"/>
      <w:bookmarkStart w:id="917" w:name="_Toc389065338"/>
      <w:bookmarkStart w:id="918" w:name="_Toc470017789"/>
      <w:bookmarkStart w:id="919" w:name="_Toc373227773"/>
      <w:bookmarkStart w:id="920" w:name="_Toc10391"/>
      <w:bookmarkStart w:id="921" w:name="_Toc434426244"/>
      <w:bookmarkStart w:id="922" w:name="_Toc484160307"/>
      <w:r>
        <w:rPr>
          <w:rFonts w:hint="eastAsia" w:ascii="宋体" w:hAnsi="宋体" w:eastAsia="宋体" w:cs="宋体"/>
          <w:sz w:val="21"/>
          <w:szCs w:val="21"/>
          <w:lang w:val="en-US"/>
        </w:rPr>
        <w:t>18.1</w:t>
      </w:r>
      <w:r>
        <w:rPr>
          <w:rFonts w:hint="eastAsia" w:ascii="宋体" w:hAnsi="宋体" w:eastAsia="宋体" w:cs="宋体"/>
          <w:sz w:val="21"/>
          <w:szCs w:val="21"/>
          <w:lang w:eastAsia="zh-CN"/>
        </w:rPr>
        <w:t>工程保险</w:t>
      </w:r>
      <w:bookmarkEnd w:id="915"/>
      <w:bookmarkEnd w:id="916"/>
      <w:bookmarkEnd w:id="917"/>
      <w:bookmarkEnd w:id="918"/>
      <w:bookmarkEnd w:id="919"/>
      <w:bookmarkEnd w:id="920"/>
      <w:bookmarkEnd w:id="921"/>
      <w:bookmarkEnd w:id="922"/>
    </w:p>
    <w:p w14:paraId="5F1ECCBF">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关于工保险的特别约定：</w:t>
      </w:r>
      <w:r>
        <w:rPr>
          <w:rFonts w:hint="eastAsia" w:ascii="宋体" w:hAnsi="宋体" w:eastAsia="宋体" w:cs="宋体"/>
          <w:color w:val="000000"/>
          <w:kern w:val="0"/>
          <w:sz w:val="21"/>
          <w:szCs w:val="21"/>
          <w:u w:val="single"/>
          <w:lang w:val="en-US" w:eastAsia="zh-CN" w:bidi="ar"/>
        </w:rPr>
        <w:t xml:space="preserve"> 按相关要求     </w:t>
      </w:r>
      <w:r>
        <w:rPr>
          <w:rFonts w:hint="eastAsia" w:ascii="宋体" w:hAnsi="宋体" w:eastAsia="宋体" w:cs="宋体"/>
          <w:color w:val="000000"/>
          <w:kern w:val="0"/>
          <w:sz w:val="21"/>
          <w:szCs w:val="21"/>
          <w:lang w:val="en-US" w:eastAsia="zh-CN" w:bidi="ar"/>
        </w:rPr>
        <w:t>。</w:t>
      </w:r>
    </w:p>
    <w:p w14:paraId="7271B221">
      <w:pPr>
        <w:pStyle w:val="5"/>
        <w:widowControl/>
        <w:numPr>
          <w:ilvl w:val="0"/>
          <w:numId w:val="0"/>
        </w:numPr>
        <w:spacing w:line="400" w:lineRule="exact"/>
        <w:rPr>
          <w:rFonts w:hint="eastAsia" w:ascii="宋体" w:hAnsi="宋体" w:eastAsia="宋体" w:cs="宋体"/>
          <w:sz w:val="21"/>
          <w:szCs w:val="21"/>
          <w:lang w:val="en-US"/>
        </w:rPr>
      </w:pPr>
      <w:bookmarkStart w:id="923" w:name="_Toc435707074"/>
      <w:bookmarkStart w:id="924" w:name="_Toc484160308"/>
      <w:bookmarkStart w:id="925" w:name="_Toc389065339"/>
      <w:bookmarkStart w:id="926" w:name="_Toc373478421"/>
      <w:bookmarkStart w:id="927" w:name="_Toc373227774"/>
      <w:bookmarkStart w:id="928" w:name="_Toc434426245"/>
      <w:bookmarkStart w:id="929" w:name="_Toc470017790"/>
      <w:bookmarkStart w:id="930" w:name="_Toc30321"/>
      <w:r>
        <w:rPr>
          <w:rFonts w:hint="eastAsia" w:ascii="宋体" w:hAnsi="宋体" w:eastAsia="宋体" w:cs="宋体"/>
          <w:sz w:val="21"/>
          <w:szCs w:val="21"/>
          <w:lang w:val="en-US"/>
        </w:rPr>
        <w:t>18.2</w:t>
      </w:r>
      <w:r>
        <w:rPr>
          <w:rFonts w:hint="eastAsia" w:ascii="宋体" w:hAnsi="宋体" w:eastAsia="宋体" w:cs="宋体"/>
          <w:sz w:val="21"/>
          <w:szCs w:val="21"/>
          <w:lang w:eastAsia="zh-CN"/>
        </w:rPr>
        <w:t>其他保险</w:t>
      </w:r>
      <w:bookmarkEnd w:id="923"/>
      <w:bookmarkEnd w:id="924"/>
      <w:bookmarkEnd w:id="925"/>
      <w:bookmarkEnd w:id="926"/>
      <w:bookmarkEnd w:id="927"/>
      <w:bookmarkEnd w:id="928"/>
      <w:bookmarkEnd w:id="929"/>
      <w:bookmarkEnd w:id="930"/>
    </w:p>
    <w:p w14:paraId="0D4712F5">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kern w:val="0"/>
          <w:sz w:val="21"/>
          <w:szCs w:val="21"/>
          <w:lang w:val="en-US"/>
        </w:rPr>
      </w:pPr>
      <w:r>
        <w:rPr>
          <w:rFonts w:hint="eastAsia" w:ascii="宋体" w:hAnsi="宋体" w:eastAsia="宋体" w:cs="宋体"/>
          <w:color w:val="000000"/>
          <w:kern w:val="2"/>
          <w:sz w:val="21"/>
          <w:szCs w:val="21"/>
          <w:lang w:val="en-US" w:eastAsia="zh-CN" w:bidi="ar"/>
        </w:rPr>
        <w:t>关于其他保险的约定：</w:t>
      </w:r>
      <w:r>
        <w:rPr>
          <w:rFonts w:hint="eastAsia" w:ascii="宋体" w:hAnsi="宋体" w:eastAsia="宋体" w:cs="宋体"/>
          <w:bCs/>
          <w:color w:val="000000"/>
          <w:kern w:val="2"/>
          <w:sz w:val="21"/>
          <w:szCs w:val="21"/>
          <w:u w:val="single"/>
          <w:lang w:val="en-US" w:eastAsia="zh-CN" w:bidi="ar"/>
        </w:rPr>
        <w:t xml:space="preserve">  工人人身伤害保险由承包方自行购买  </w:t>
      </w:r>
      <w:r>
        <w:rPr>
          <w:rFonts w:hint="eastAsia" w:ascii="宋体" w:hAnsi="宋体" w:eastAsia="宋体" w:cs="宋体"/>
          <w:bCs/>
          <w:color w:val="000000"/>
          <w:kern w:val="2"/>
          <w:sz w:val="21"/>
          <w:szCs w:val="21"/>
          <w:lang w:val="en-US" w:eastAsia="zh-CN" w:bidi="ar"/>
        </w:rPr>
        <w:t>。</w:t>
      </w:r>
    </w:p>
    <w:p w14:paraId="4B0A1C3E">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u w:val="single"/>
          <w:lang w:val="en-US"/>
        </w:rPr>
      </w:pPr>
      <w:r>
        <w:rPr>
          <w:rFonts w:hint="eastAsia" w:ascii="宋体" w:hAnsi="宋体" w:eastAsia="宋体" w:cs="宋体"/>
          <w:color w:val="000000"/>
          <w:kern w:val="2"/>
          <w:sz w:val="21"/>
          <w:szCs w:val="21"/>
          <w:lang w:val="en-US" w:eastAsia="zh-CN" w:bidi="ar"/>
        </w:rPr>
        <w:t>承包人是否应为其施工设备等办理财产保险：</w:t>
      </w:r>
      <w:r>
        <w:rPr>
          <w:rFonts w:hint="eastAsia" w:ascii="宋体" w:hAnsi="宋体" w:eastAsia="宋体" w:cs="宋体"/>
          <w:color w:val="000000"/>
          <w:kern w:val="2"/>
          <w:sz w:val="21"/>
          <w:szCs w:val="21"/>
          <w:u w:val="single"/>
          <w:lang w:val="en-US" w:eastAsia="zh-CN" w:bidi="ar"/>
        </w:rPr>
        <w:t xml:space="preserve">  由承包方自行决定     </w:t>
      </w:r>
      <w:r>
        <w:rPr>
          <w:rFonts w:hint="eastAsia" w:ascii="宋体" w:hAnsi="宋体" w:eastAsia="宋体" w:cs="宋体"/>
          <w:color w:val="000000"/>
          <w:kern w:val="2"/>
          <w:sz w:val="21"/>
          <w:szCs w:val="21"/>
          <w:lang w:val="en-US" w:eastAsia="zh-CN" w:bidi="ar"/>
        </w:rPr>
        <w:t>。</w:t>
      </w:r>
    </w:p>
    <w:p w14:paraId="47C0C25A">
      <w:pPr>
        <w:pStyle w:val="5"/>
        <w:widowControl/>
        <w:numPr>
          <w:ilvl w:val="0"/>
          <w:numId w:val="0"/>
        </w:numPr>
        <w:spacing w:line="400" w:lineRule="exact"/>
        <w:rPr>
          <w:rFonts w:hint="eastAsia" w:ascii="宋体" w:hAnsi="宋体" w:eastAsia="宋体" w:cs="宋体"/>
          <w:sz w:val="21"/>
          <w:szCs w:val="21"/>
          <w:lang w:val="en-US"/>
        </w:rPr>
      </w:pPr>
      <w:bookmarkStart w:id="931" w:name="_Toc484160309"/>
      <w:bookmarkStart w:id="932" w:name="_Toc470017791"/>
      <w:bookmarkStart w:id="933" w:name="_Toc435707075"/>
      <w:bookmarkStart w:id="934" w:name="_Toc373227775"/>
      <w:bookmarkStart w:id="935" w:name="_Toc389065340"/>
      <w:bookmarkStart w:id="936" w:name="_Toc21090"/>
      <w:bookmarkStart w:id="937" w:name="_Toc373478422"/>
      <w:bookmarkStart w:id="938" w:name="_Toc434426246"/>
      <w:r>
        <w:rPr>
          <w:rFonts w:hint="eastAsia" w:ascii="宋体" w:hAnsi="宋体" w:eastAsia="宋体" w:cs="宋体"/>
          <w:sz w:val="21"/>
          <w:szCs w:val="21"/>
          <w:lang w:val="en-US"/>
        </w:rPr>
        <w:t>18.3</w:t>
      </w:r>
      <w:r>
        <w:rPr>
          <w:rFonts w:hint="eastAsia" w:ascii="宋体" w:hAnsi="宋体" w:eastAsia="宋体" w:cs="宋体"/>
          <w:sz w:val="21"/>
          <w:szCs w:val="21"/>
          <w:lang w:eastAsia="zh-CN"/>
        </w:rPr>
        <w:t>通知义务</w:t>
      </w:r>
      <w:bookmarkEnd w:id="931"/>
      <w:bookmarkEnd w:id="932"/>
      <w:bookmarkEnd w:id="933"/>
      <w:bookmarkEnd w:id="934"/>
      <w:bookmarkEnd w:id="935"/>
      <w:bookmarkEnd w:id="936"/>
      <w:bookmarkEnd w:id="937"/>
      <w:bookmarkEnd w:id="938"/>
    </w:p>
    <w:p w14:paraId="7A4EE95E">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u w:val="single"/>
          <w:lang w:val="en-US"/>
        </w:rPr>
      </w:pPr>
      <w:r>
        <w:rPr>
          <w:rFonts w:hint="eastAsia" w:ascii="宋体" w:hAnsi="宋体" w:eastAsia="宋体" w:cs="宋体"/>
          <w:color w:val="000000"/>
          <w:kern w:val="0"/>
          <w:sz w:val="21"/>
          <w:szCs w:val="21"/>
          <w:lang w:val="en-US" w:eastAsia="zh-CN" w:bidi="ar"/>
        </w:rPr>
        <w:t>关于变更保险合同时的通知义务的约定：</w:t>
      </w:r>
      <w:r>
        <w:rPr>
          <w:rFonts w:hint="eastAsia" w:ascii="宋体" w:hAnsi="宋体" w:eastAsia="宋体" w:cs="宋体"/>
          <w:color w:val="000000"/>
          <w:kern w:val="2"/>
          <w:sz w:val="21"/>
          <w:szCs w:val="21"/>
          <w:u w:val="single"/>
          <w:lang w:val="en-US" w:eastAsia="zh-CN" w:bidi="ar"/>
        </w:rPr>
        <w:t xml:space="preserve">       /           </w:t>
      </w:r>
      <w:r>
        <w:rPr>
          <w:rFonts w:hint="eastAsia" w:ascii="宋体" w:hAnsi="宋体" w:eastAsia="宋体" w:cs="宋体"/>
          <w:color w:val="000000"/>
          <w:kern w:val="2"/>
          <w:sz w:val="21"/>
          <w:szCs w:val="21"/>
          <w:lang w:val="en-US" w:eastAsia="zh-CN" w:bidi="ar"/>
        </w:rPr>
        <w:t>。</w:t>
      </w:r>
    </w:p>
    <w:bookmarkEnd w:id="802"/>
    <w:bookmarkEnd w:id="803"/>
    <w:bookmarkEnd w:id="804"/>
    <w:bookmarkEnd w:id="805"/>
    <w:bookmarkEnd w:id="806"/>
    <w:bookmarkEnd w:id="807"/>
    <w:bookmarkEnd w:id="808"/>
    <w:bookmarkEnd w:id="809"/>
    <w:bookmarkEnd w:id="810"/>
    <w:bookmarkEnd w:id="811"/>
    <w:bookmarkEnd w:id="812"/>
    <w:bookmarkEnd w:id="813"/>
    <w:p w14:paraId="31F85A8D">
      <w:pPr>
        <w:pStyle w:val="4"/>
        <w:widowControl/>
        <w:spacing w:before="0" w:beforeAutospacing="0" w:line="400" w:lineRule="exact"/>
        <w:jc w:val="both"/>
        <w:rPr>
          <w:rFonts w:hint="eastAsia" w:ascii="宋体" w:hAnsi="宋体" w:eastAsia="宋体" w:cs="宋体"/>
          <w:sz w:val="21"/>
          <w:szCs w:val="21"/>
          <w:lang w:val="en-US"/>
        </w:rPr>
      </w:pPr>
      <w:bookmarkStart w:id="939" w:name="_Toc470017792"/>
      <w:bookmarkStart w:id="940" w:name="_Toc484160310"/>
      <w:bookmarkStart w:id="941" w:name="_Toc434426247"/>
      <w:bookmarkStart w:id="942" w:name="_Toc31492"/>
      <w:bookmarkStart w:id="943" w:name="_Toc351203651"/>
      <w:bookmarkStart w:id="944" w:name="_Toc373227776"/>
      <w:bookmarkStart w:id="945" w:name="_Toc373478423"/>
      <w:bookmarkStart w:id="946" w:name="_Toc435707076"/>
      <w:bookmarkStart w:id="947" w:name="_Toc389065341"/>
      <w:r>
        <w:rPr>
          <w:rFonts w:hint="eastAsia" w:ascii="宋体" w:hAnsi="宋体" w:eastAsia="宋体" w:cs="宋体"/>
          <w:sz w:val="21"/>
          <w:szCs w:val="21"/>
          <w:lang w:val="en-US" w:eastAsia="zh-CN"/>
        </w:rPr>
        <w:t>19</w:t>
      </w:r>
      <w:r>
        <w:rPr>
          <w:rFonts w:hint="eastAsia" w:ascii="宋体" w:hAnsi="宋体" w:eastAsia="宋体" w:cs="宋体"/>
          <w:sz w:val="21"/>
          <w:szCs w:val="21"/>
          <w:lang w:val="en-US"/>
        </w:rPr>
        <w:t>.</w:t>
      </w:r>
      <w:r>
        <w:rPr>
          <w:rFonts w:hint="eastAsia" w:ascii="宋体" w:hAnsi="宋体" w:eastAsia="宋体" w:cs="宋体"/>
          <w:sz w:val="21"/>
          <w:szCs w:val="21"/>
          <w:lang w:eastAsia="zh-CN"/>
        </w:rPr>
        <w:t>争议解决</w:t>
      </w:r>
      <w:bookmarkEnd w:id="939"/>
      <w:bookmarkEnd w:id="940"/>
      <w:bookmarkEnd w:id="941"/>
      <w:bookmarkEnd w:id="942"/>
      <w:bookmarkEnd w:id="943"/>
      <w:bookmarkEnd w:id="944"/>
      <w:bookmarkEnd w:id="945"/>
      <w:bookmarkEnd w:id="946"/>
      <w:bookmarkEnd w:id="947"/>
    </w:p>
    <w:bookmarkEnd w:id="814"/>
    <w:bookmarkEnd w:id="815"/>
    <w:p w14:paraId="219896EC">
      <w:pPr>
        <w:pStyle w:val="5"/>
        <w:widowControl/>
        <w:numPr>
          <w:ilvl w:val="0"/>
          <w:numId w:val="0"/>
        </w:numPr>
        <w:spacing w:line="400" w:lineRule="exact"/>
        <w:ind w:left="420" w:leftChars="200" w:firstLine="0"/>
        <w:rPr>
          <w:rFonts w:hint="eastAsia" w:ascii="宋体" w:hAnsi="宋体" w:eastAsia="宋体" w:cs="宋体"/>
          <w:sz w:val="21"/>
          <w:szCs w:val="21"/>
          <w:lang w:val="en-US"/>
        </w:rPr>
      </w:pPr>
      <w:bookmarkStart w:id="948" w:name="_Toc25839"/>
      <w:bookmarkStart w:id="949" w:name="_Toc373478424"/>
      <w:bookmarkStart w:id="950" w:name="_Toc434426248"/>
      <w:bookmarkStart w:id="951" w:name="_Toc373227777"/>
      <w:bookmarkStart w:id="952" w:name="_Toc470017793"/>
      <w:bookmarkStart w:id="953" w:name="_Toc389065342"/>
      <w:bookmarkStart w:id="954" w:name="_Toc484160311"/>
      <w:bookmarkStart w:id="955" w:name="_Toc435707077"/>
      <w:r>
        <w:rPr>
          <w:rFonts w:hint="eastAsia" w:ascii="宋体" w:hAnsi="宋体" w:eastAsia="宋体" w:cs="宋体"/>
          <w:sz w:val="21"/>
          <w:szCs w:val="21"/>
          <w:lang w:val="en-US" w:eastAsia="zh-CN"/>
        </w:rPr>
        <w:t>19</w:t>
      </w:r>
      <w:r>
        <w:rPr>
          <w:rFonts w:hint="eastAsia" w:ascii="宋体" w:hAnsi="宋体" w:eastAsia="宋体" w:cs="宋体"/>
          <w:sz w:val="21"/>
          <w:szCs w:val="21"/>
          <w:lang w:val="en-US"/>
        </w:rPr>
        <w:t>.1</w:t>
      </w:r>
      <w:r>
        <w:rPr>
          <w:rFonts w:hint="eastAsia" w:ascii="宋体" w:hAnsi="宋体" w:eastAsia="宋体" w:cs="宋体"/>
          <w:sz w:val="21"/>
          <w:szCs w:val="21"/>
          <w:lang w:eastAsia="zh-CN"/>
        </w:rPr>
        <w:t>争</w:t>
      </w:r>
      <w:bookmarkEnd w:id="816"/>
      <w:r>
        <w:rPr>
          <w:rFonts w:hint="eastAsia" w:ascii="宋体" w:hAnsi="宋体" w:eastAsia="宋体" w:cs="宋体"/>
          <w:sz w:val="21"/>
          <w:szCs w:val="21"/>
          <w:lang w:eastAsia="zh-CN"/>
        </w:rPr>
        <w:t>议评审</w:t>
      </w:r>
      <w:bookmarkEnd w:id="948"/>
      <w:bookmarkEnd w:id="949"/>
      <w:bookmarkEnd w:id="950"/>
      <w:bookmarkEnd w:id="951"/>
      <w:bookmarkEnd w:id="952"/>
      <w:bookmarkEnd w:id="953"/>
      <w:bookmarkEnd w:id="954"/>
      <w:bookmarkEnd w:id="955"/>
    </w:p>
    <w:p w14:paraId="00A3D1CE">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u w:val="single"/>
          <w:lang w:val="en-US"/>
        </w:rPr>
      </w:pPr>
      <w:r>
        <w:rPr>
          <w:rFonts w:hint="eastAsia" w:ascii="宋体" w:hAnsi="宋体" w:eastAsia="宋体" w:cs="宋体"/>
          <w:color w:val="000000"/>
          <w:kern w:val="2"/>
          <w:sz w:val="21"/>
          <w:szCs w:val="21"/>
          <w:lang w:val="en-US" w:eastAsia="zh-CN" w:bidi="ar"/>
        </w:rPr>
        <w:t>合同当事人是否同意将工程争议提交争议评审小组决定：</w:t>
      </w:r>
      <w:r>
        <w:rPr>
          <w:rFonts w:hint="eastAsia" w:ascii="宋体" w:hAnsi="宋体" w:eastAsia="宋体" w:cs="宋体"/>
          <w:color w:val="000000"/>
          <w:kern w:val="2"/>
          <w:sz w:val="21"/>
          <w:szCs w:val="21"/>
          <w:u w:val="single"/>
          <w:lang w:val="en-US" w:eastAsia="zh-CN" w:bidi="ar"/>
        </w:rPr>
        <w:t xml:space="preserve">        否    </w:t>
      </w:r>
      <w:r>
        <w:rPr>
          <w:rFonts w:hint="eastAsia" w:ascii="宋体" w:hAnsi="宋体" w:eastAsia="宋体" w:cs="宋体"/>
          <w:color w:val="000000"/>
          <w:kern w:val="2"/>
          <w:sz w:val="21"/>
          <w:szCs w:val="21"/>
          <w:lang w:val="en-US" w:eastAsia="zh-CN" w:bidi="ar"/>
        </w:rPr>
        <w:t>。</w:t>
      </w:r>
    </w:p>
    <w:p w14:paraId="5BB1AFCF">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20.1.1 争议评审小组的确定</w:t>
      </w:r>
    </w:p>
    <w:p w14:paraId="3487860A">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u w:val="single"/>
          <w:lang w:val="en-US"/>
        </w:rPr>
      </w:pPr>
      <w:r>
        <w:rPr>
          <w:rFonts w:hint="eastAsia" w:ascii="宋体" w:hAnsi="宋体" w:eastAsia="宋体" w:cs="宋体"/>
          <w:color w:val="000000"/>
          <w:kern w:val="2"/>
          <w:sz w:val="21"/>
          <w:szCs w:val="21"/>
          <w:lang w:val="en-US" w:eastAsia="zh-CN" w:bidi="ar"/>
        </w:rPr>
        <w:t>争议评审小组成员的确定：</w:t>
      </w:r>
      <w:r>
        <w:rPr>
          <w:rFonts w:hint="eastAsia" w:ascii="宋体" w:hAnsi="宋体" w:eastAsia="宋体" w:cs="宋体"/>
          <w:color w:val="000000"/>
          <w:kern w:val="2"/>
          <w:sz w:val="21"/>
          <w:szCs w:val="21"/>
          <w:u w:val="single"/>
          <w:lang w:val="en-US" w:eastAsia="zh-CN" w:bidi="ar"/>
        </w:rPr>
        <w:t xml:space="preserve">         /                    </w:t>
      </w:r>
      <w:r>
        <w:rPr>
          <w:rFonts w:hint="eastAsia" w:ascii="宋体" w:hAnsi="宋体" w:eastAsia="宋体" w:cs="宋体"/>
          <w:color w:val="000000"/>
          <w:kern w:val="2"/>
          <w:sz w:val="21"/>
          <w:szCs w:val="21"/>
          <w:lang w:val="en-US" w:eastAsia="zh-CN" w:bidi="ar"/>
        </w:rPr>
        <w:t>。</w:t>
      </w:r>
    </w:p>
    <w:p w14:paraId="21B23A57">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选定争议评审员的期限：</w:t>
      </w:r>
      <w:r>
        <w:rPr>
          <w:rFonts w:hint="eastAsia" w:ascii="宋体" w:hAnsi="宋体" w:eastAsia="宋体" w:cs="宋体"/>
          <w:color w:val="000000"/>
          <w:kern w:val="2"/>
          <w:sz w:val="21"/>
          <w:szCs w:val="21"/>
          <w:u w:val="single"/>
          <w:lang w:val="en-US" w:eastAsia="zh-CN" w:bidi="ar"/>
        </w:rPr>
        <w:t xml:space="preserve">             /                  </w:t>
      </w:r>
      <w:r>
        <w:rPr>
          <w:rFonts w:hint="eastAsia" w:ascii="宋体" w:hAnsi="宋体" w:eastAsia="宋体" w:cs="宋体"/>
          <w:color w:val="000000"/>
          <w:kern w:val="2"/>
          <w:sz w:val="21"/>
          <w:szCs w:val="21"/>
          <w:lang w:val="en-US" w:eastAsia="zh-CN" w:bidi="ar"/>
        </w:rPr>
        <w:t>。</w:t>
      </w:r>
    </w:p>
    <w:p w14:paraId="723DAC5E">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争议评审小组成员的报酬承担方式：</w:t>
      </w:r>
      <w:r>
        <w:rPr>
          <w:rFonts w:hint="eastAsia" w:ascii="宋体" w:hAnsi="宋体" w:eastAsia="宋体" w:cs="宋体"/>
          <w:color w:val="000000"/>
          <w:kern w:val="2"/>
          <w:sz w:val="21"/>
          <w:szCs w:val="21"/>
          <w:u w:val="single"/>
          <w:lang w:val="en-US" w:eastAsia="zh-CN" w:bidi="ar"/>
        </w:rPr>
        <w:t xml:space="preserve">     /                </w:t>
      </w:r>
      <w:r>
        <w:rPr>
          <w:rFonts w:hint="eastAsia" w:ascii="宋体" w:hAnsi="宋体" w:eastAsia="宋体" w:cs="宋体"/>
          <w:color w:val="000000"/>
          <w:kern w:val="2"/>
          <w:sz w:val="21"/>
          <w:szCs w:val="21"/>
          <w:lang w:val="en-US" w:eastAsia="zh-CN" w:bidi="ar"/>
        </w:rPr>
        <w:t>。</w:t>
      </w:r>
    </w:p>
    <w:p w14:paraId="04FB2930">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其他事项的约定：</w:t>
      </w:r>
      <w:r>
        <w:rPr>
          <w:rFonts w:hint="eastAsia" w:ascii="宋体" w:hAnsi="宋体" w:eastAsia="宋体" w:cs="宋体"/>
          <w:color w:val="000000"/>
          <w:kern w:val="2"/>
          <w:sz w:val="21"/>
          <w:szCs w:val="21"/>
          <w:u w:val="single"/>
          <w:lang w:val="en-US" w:eastAsia="zh-CN" w:bidi="ar"/>
        </w:rPr>
        <w:t xml:space="preserve">                     /                </w:t>
      </w:r>
      <w:r>
        <w:rPr>
          <w:rFonts w:hint="eastAsia" w:ascii="宋体" w:hAnsi="宋体" w:eastAsia="宋体" w:cs="宋体"/>
          <w:color w:val="000000"/>
          <w:kern w:val="2"/>
          <w:sz w:val="21"/>
          <w:szCs w:val="21"/>
          <w:lang w:val="en-US" w:eastAsia="zh-CN" w:bidi="ar"/>
        </w:rPr>
        <w:t>。</w:t>
      </w:r>
    </w:p>
    <w:p w14:paraId="6796E756">
      <w:pPr>
        <w:keepNext w:val="0"/>
        <w:keepLines w:val="0"/>
        <w:widowControl w:val="0"/>
        <w:suppressLineNumbers w:val="0"/>
        <w:autoSpaceDE w:val="0"/>
        <w:autoSpaceDN w:val="0"/>
        <w:adjustRightInd w:val="0"/>
        <w:spacing w:before="0" w:beforeAutospacing="0" w:after="0" w:afterAutospacing="0" w:line="400" w:lineRule="exact"/>
        <w:ind w:left="0" w:right="0" w:firstLine="420" w:firstLineChars="200"/>
        <w:jc w:val="left"/>
        <w:outlineLvl w:val="0"/>
        <w:rPr>
          <w:rFonts w:hint="eastAsia" w:ascii="宋体" w:hAnsi="宋体" w:eastAsia="宋体" w:cs="宋体"/>
          <w:kern w:val="0"/>
          <w:sz w:val="21"/>
          <w:szCs w:val="21"/>
          <w:lang w:val="en-US"/>
        </w:rPr>
      </w:pPr>
      <w:bookmarkStart w:id="956" w:name="_Toc2401"/>
      <w:bookmarkStart w:id="957" w:name="_Toc435707078"/>
      <w:bookmarkStart w:id="958" w:name="_Toc484160312"/>
      <w:bookmarkStart w:id="959" w:name="_Toc3723"/>
      <w:bookmarkStart w:id="960" w:name="_Toc470017794"/>
      <w:bookmarkStart w:id="961" w:name="_Toc12807"/>
      <w:bookmarkStart w:id="962" w:name="_Toc28713"/>
      <w:r>
        <w:rPr>
          <w:rFonts w:hint="eastAsia" w:ascii="宋体" w:hAnsi="宋体" w:eastAsia="宋体" w:cs="宋体"/>
          <w:color w:val="000000"/>
          <w:kern w:val="0"/>
          <w:sz w:val="21"/>
          <w:szCs w:val="21"/>
          <w:lang w:val="en-US" w:eastAsia="zh-CN" w:bidi="ar"/>
        </w:rPr>
        <w:t>20.1.2 争议评审小组的决定</w:t>
      </w:r>
      <w:bookmarkEnd w:id="956"/>
      <w:bookmarkEnd w:id="957"/>
      <w:bookmarkEnd w:id="958"/>
      <w:bookmarkEnd w:id="959"/>
      <w:bookmarkEnd w:id="960"/>
      <w:bookmarkEnd w:id="961"/>
      <w:bookmarkEnd w:id="962"/>
    </w:p>
    <w:p w14:paraId="4287CCFF">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合同当事人关于本项的约定：</w:t>
      </w:r>
      <w:r>
        <w:rPr>
          <w:rFonts w:hint="eastAsia" w:ascii="宋体" w:hAnsi="宋体" w:eastAsia="宋体" w:cs="宋体"/>
          <w:color w:val="000000"/>
          <w:kern w:val="2"/>
          <w:sz w:val="21"/>
          <w:szCs w:val="21"/>
          <w:u w:val="single"/>
          <w:lang w:val="en-US" w:eastAsia="zh-CN" w:bidi="ar"/>
        </w:rPr>
        <w:t xml:space="preserve">         /                  </w:t>
      </w:r>
      <w:r>
        <w:rPr>
          <w:rFonts w:hint="eastAsia" w:ascii="宋体" w:hAnsi="宋体" w:eastAsia="宋体" w:cs="宋体"/>
          <w:color w:val="000000"/>
          <w:kern w:val="2"/>
          <w:sz w:val="21"/>
          <w:szCs w:val="21"/>
          <w:lang w:val="en-US" w:eastAsia="zh-CN" w:bidi="ar"/>
        </w:rPr>
        <w:t>。</w:t>
      </w:r>
    </w:p>
    <w:p w14:paraId="58876F10">
      <w:pPr>
        <w:pStyle w:val="5"/>
        <w:widowControl/>
        <w:numPr>
          <w:ilvl w:val="0"/>
          <w:numId w:val="0"/>
        </w:numPr>
        <w:spacing w:line="400" w:lineRule="exact"/>
        <w:ind w:left="420" w:leftChars="200" w:firstLine="0"/>
        <w:rPr>
          <w:rFonts w:hint="eastAsia" w:ascii="宋体" w:hAnsi="宋体" w:eastAsia="宋体" w:cs="宋体"/>
          <w:sz w:val="21"/>
          <w:szCs w:val="21"/>
          <w:lang w:val="en-US"/>
        </w:rPr>
      </w:pPr>
      <w:bookmarkStart w:id="963" w:name="_Toc435707079"/>
      <w:bookmarkStart w:id="964" w:name="_Toc470017795"/>
      <w:bookmarkStart w:id="965" w:name="_Toc373478425"/>
      <w:bookmarkStart w:id="966" w:name="_Toc22079"/>
      <w:bookmarkStart w:id="967" w:name="_Toc484160313"/>
      <w:bookmarkStart w:id="968" w:name="_Toc389065343"/>
      <w:bookmarkStart w:id="969" w:name="_Toc434426249"/>
      <w:bookmarkStart w:id="970" w:name="_Toc373227778"/>
      <w:r>
        <w:rPr>
          <w:rFonts w:hint="eastAsia" w:ascii="宋体" w:hAnsi="宋体" w:eastAsia="宋体" w:cs="宋体"/>
          <w:sz w:val="21"/>
          <w:szCs w:val="21"/>
          <w:lang w:val="en-US" w:eastAsia="zh-CN"/>
        </w:rPr>
        <w:t>19</w:t>
      </w:r>
      <w:r>
        <w:rPr>
          <w:rFonts w:hint="eastAsia" w:ascii="宋体" w:hAnsi="宋体" w:eastAsia="宋体" w:cs="宋体"/>
          <w:sz w:val="21"/>
          <w:szCs w:val="21"/>
          <w:lang w:val="en-US"/>
        </w:rPr>
        <w:t>.</w:t>
      </w:r>
      <w:r>
        <w:rPr>
          <w:rFonts w:hint="eastAsia" w:ascii="宋体" w:hAnsi="宋体" w:eastAsia="宋体" w:cs="宋体"/>
          <w:sz w:val="21"/>
          <w:szCs w:val="21"/>
          <w:lang w:val="en-US" w:eastAsia="zh-CN"/>
        </w:rPr>
        <w:t>2</w:t>
      </w:r>
      <w:r>
        <w:rPr>
          <w:rFonts w:hint="eastAsia" w:ascii="宋体" w:hAnsi="宋体" w:eastAsia="宋体" w:cs="宋体"/>
          <w:sz w:val="21"/>
          <w:szCs w:val="21"/>
          <w:lang w:eastAsia="zh-CN"/>
        </w:rPr>
        <w:t>仲裁或诉讼</w:t>
      </w:r>
      <w:bookmarkEnd w:id="817"/>
      <w:bookmarkEnd w:id="963"/>
      <w:bookmarkEnd w:id="964"/>
      <w:bookmarkEnd w:id="965"/>
      <w:bookmarkEnd w:id="966"/>
      <w:bookmarkEnd w:id="967"/>
      <w:bookmarkEnd w:id="968"/>
      <w:bookmarkEnd w:id="969"/>
      <w:bookmarkEnd w:id="970"/>
    </w:p>
    <w:p w14:paraId="48E2CB70">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因合同及合同有关事项发生的争议，按下列第</w:t>
      </w:r>
      <w:r>
        <w:rPr>
          <w:rFonts w:hint="eastAsia" w:ascii="宋体" w:hAnsi="宋体" w:eastAsia="宋体" w:cs="宋体"/>
          <w:color w:val="000000"/>
          <w:kern w:val="2"/>
          <w:sz w:val="21"/>
          <w:szCs w:val="21"/>
          <w:u w:val="single"/>
          <w:lang w:val="en-US" w:eastAsia="zh-CN" w:bidi="ar"/>
        </w:rPr>
        <w:t xml:space="preserve">（2） </w:t>
      </w:r>
      <w:r>
        <w:rPr>
          <w:rFonts w:hint="eastAsia" w:ascii="宋体" w:hAnsi="宋体" w:eastAsia="宋体" w:cs="宋体"/>
          <w:color w:val="000000"/>
          <w:kern w:val="2"/>
          <w:sz w:val="21"/>
          <w:szCs w:val="21"/>
          <w:lang w:val="en-US" w:eastAsia="zh-CN" w:bidi="ar"/>
        </w:rPr>
        <w:t>种方式解决：</w:t>
      </w:r>
    </w:p>
    <w:p w14:paraId="4085354A">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（1）提请</w:t>
      </w:r>
      <w:r>
        <w:rPr>
          <w:rFonts w:hint="eastAsia" w:ascii="宋体" w:hAnsi="宋体" w:eastAsia="宋体" w:cs="宋体"/>
          <w:color w:val="000000"/>
          <w:kern w:val="2"/>
          <w:sz w:val="21"/>
          <w:szCs w:val="21"/>
          <w:u w:val="single"/>
          <w:lang w:val="en-US" w:eastAsia="zh-CN" w:bidi="ar"/>
        </w:rPr>
        <w:t xml:space="preserve">  /   </w:t>
      </w:r>
      <w:r>
        <w:rPr>
          <w:rFonts w:hint="eastAsia" w:ascii="宋体" w:hAnsi="宋体" w:eastAsia="宋体" w:cs="宋体"/>
          <w:color w:val="000000"/>
          <w:kern w:val="2"/>
          <w:sz w:val="21"/>
          <w:szCs w:val="21"/>
          <w:lang w:val="en-US" w:eastAsia="zh-CN" w:bidi="ar"/>
        </w:rPr>
        <w:t>仲裁委员会按照该会仲裁规则进行仲裁，仲裁裁决是终局的，对合同双方均有约束力。</w:t>
      </w:r>
    </w:p>
    <w:p w14:paraId="449E343A">
      <w:pPr>
        <w:keepNext w:val="0"/>
        <w:keepLines w:val="0"/>
        <w:widowControl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（2）向</w:t>
      </w:r>
      <w:r>
        <w:rPr>
          <w:rFonts w:hint="eastAsia" w:ascii="宋体" w:hAnsi="宋体" w:eastAsia="宋体" w:cs="宋体"/>
          <w:color w:val="000000"/>
          <w:kern w:val="2"/>
          <w:sz w:val="21"/>
          <w:szCs w:val="21"/>
          <w:u w:val="single"/>
          <w:lang w:val="en-US" w:eastAsia="zh-CN" w:bidi="ar"/>
        </w:rPr>
        <w:t xml:space="preserve"> 陆川县 </w:t>
      </w:r>
      <w:r>
        <w:rPr>
          <w:rFonts w:hint="eastAsia" w:ascii="宋体" w:hAnsi="宋体" w:eastAsia="宋体" w:cs="宋体"/>
          <w:color w:val="000000"/>
          <w:kern w:val="2"/>
          <w:sz w:val="21"/>
          <w:szCs w:val="21"/>
          <w:lang w:val="en-US" w:eastAsia="zh-CN" w:bidi="ar"/>
        </w:rPr>
        <w:t>人民法院起诉。</w:t>
      </w:r>
      <w:bookmarkEnd w:id="818"/>
      <w:bookmarkEnd w:id="819"/>
      <w:bookmarkEnd w:id="820"/>
      <w:bookmarkEnd w:id="821"/>
      <w:bookmarkEnd w:id="822"/>
      <w:bookmarkEnd w:id="823"/>
    </w:p>
    <w:p w14:paraId="7CA92736">
      <w:pPr>
        <w:pStyle w:val="4"/>
        <w:widowControl/>
        <w:spacing w:before="0" w:beforeAutospacing="0" w:line="400" w:lineRule="exact"/>
        <w:ind w:left="0" w:firstLine="420" w:firstLineChars="200"/>
        <w:jc w:val="both"/>
        <w:rPr>
          <w:rFonts w:hint="eastAsia" w:ascii="宋体" w:hAnsi="宋体" w:eastAsia="宋体" w:cs="宋体"/>
          <w:sz w:val="21"/>
          <w:szCs w:val="21"/>
          <w:lang w:val="en-US"/>
        </w:rPr>
      </w:pPr>
      <w:bookmarkStart w:id="971" w:name="_Toc470017796"/>
      <w:bookmarkStart w:id="972" w:name="_Toc389065344"/>
      <w:bookmarkStart w:id="973" w:name="_Toc484160314"/>
      <w:bookmarkStart w:id="974" w:name="_Toc435707080"/>
      <w:bookmarkStart w:id="975" w:name="_Toc9373"/>
      <w:bookmarkStart w:id="976" w:name="_Toc373478426"/>
      <w:bookmarkStart w:id="977" w:name="_Toc373227779"/>
      <w:bookmarkStart w:id="978" w:name="_Toc434426250"/>
      <w:r>
        <w:rPr>
          <w:rFonts w:hint="eastAsia" w:ascii="宋体" w:hAnsi="宋体" w:eastAsia="宋体" w:cs="宋体"/>
          <w:sz w:val="21"/>
          <w:szCs w:val="21"/>
          <w:lang w:val="en-US"/>
        </w:rPr>
        <w:t>2</w:t>
      </w:r>
      <w:r>
        <w:rPr>
          <w:rFonts w:hint="eastAsia" w:ascii="宋体" w:hAnsi="宋体" w:eastAsia="宋体" w:cs="宋体"/>
          <w:sz w:val="21"/>
          <w:szCs w:val="21"/>
          <w:lang w:val="en-US" w:eastAsia="zh-CN"/>
        </w:rPr>
        <w:t>0</w:t>
      </w:r>
      <w:r>
        <w:rPr>
          <w:rFonts w:hint="eastAsia" w:ascii="宋体" w:hAnsi="宋体" w:eastAsia="宋体" w:cs="宋体"/>
          <w:sz w:val="21"/>
          <w:szCs w:val="21"/>
          <w:lang w:val="en-US"/>
        </w:rPr>
        <w:t>.</w:t>
      </w:r>
      <w:r>
        <w:rPr>
          <w:rFonts w:hint="eastAsia" w:ascii="宋体" w:hAnsi="宋体" w:eastAsia="宋体" w:cs="宋体"/>
          <w:sz w:val="21"/>
          <w:szCs w:val="21"/>
          <w:lang w:eastAsia="zh-CN"/>
        </w:rPr>
        <w:t>补充条款</w:t>
      </w:r>
      <w:bookmarkEnd w:id="971"/>
      <w:bookmarkEnd w:id="972"/>
      <w:bookmarkEnd w:id="973"/>
      <w:bookmarkEnd w:id="974"/>
      <w:bookmarkEnd w:id="975"/>
      <w:bookmarkEnd w:id="976"/>
      <w:bookmarkEnd w:id="977"/>
      <w:bookmarkEnd w:id="978"/>
    </w:p>
    <w:p w14:paraId="563E343F">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sz w:val="21"/>
          <w:szCs w:val="21"/>
          <w:lang w:val="en-US"/>
        </w:rPr>
      </w:pPr>
      <w:r>
        <w:rPr>
          <w:rFonts w:hint="eastAsia" w:ascii="宋体" w:hAnsi="宋体" w:eastAsia="宋体" w:cs="宋体"/>
          <w:color w:val="000000"/>
          <w:kern w:val="2"/>
          <w:sz w:val="21"/>
          <w:szCs w:val="21"/>
          <w:lang w:val="en-US" w:eastAsia="zh-CN" w:bidi="ar"/>
        </w:rPr>
        <w:t>20.1承包人雇佣人员必须符合国家劳动法律法规，禁止使用未满16周岁的劳动者。承包人应确保所有进场人员持有真实有效的身份证明及职业资格证件。</w:t>
      </w:r>
    </w:p>
    <w:p w14:paraId="07AEAE8F">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color w:val="000000"/>
          <w:kern w:val="2"/>
          <w:sz w:val="21"/>
          <w:szCs w:val="21"/>
          <w:lang w:val="en-US" w:eastAsia="zh-CN" w:bidi="ar"/>
        </w:rPr>
      </w:pPr>
      <w:r>
        <w:rPr>
          <w:rFonts w:hint="eastAsia" w:ascii="宋体" w:hAnsi="宋体" w:eastAsia="宋体" w:cs="宋体"/>
          <w:color w:val="000000"/>
          <w:kern w:val="2"/>
          <w:sz w:val="21"/>
          <w:szCs w:val="21"/>
          <w:lang w:val="en-US" w:eastAsia="zh-CN" w:bidi="ar"/>
        </w:rPr>
        <w:t>20.2 本专用合同条款如有不详之处，由发包人、承包人双方具体商定。</w:t>
      </w:r>
    </w:p>
    <w:p w14:paraId="5199BBC4">
      <w:pPr>
        <w:rPr>
          <w:rFonts w:hint="eastAsia" w:ascii="宋体" w:hAnsi="宋体" w:eastAsia="宋体" w:cs="宋体"/>
          <w:sz w:val="21"/>
          <w:szCs w:val="21"/>
        </w:rPr>
      </w:pPr>
    </w:p>
    <w:p w14:paraId="72FCFD37">
      <w:pPr>
        <w:rPr>
          <w:rFonts w:hint="eastAsia" w:ascii="宋体" w:hAnsi="宋体" w:eastAsia="宋体" w:cs="宋体"/>
          <w:sz w:val="21"/>
          <w:szCs w:val="21"/>
        </w:rPr>
      </w:pPr>
    </w:p>
    <w:bookmarkEnd w:id="218"/>
    <w:p w14:paraId="28BFF37B">
      <w:pPr>
        <w:spacing w:line="440" w:lineRule="exact"/>
        <w:rPr>
          <w:rFonts w:hint="eastAsia" w:ascii="宋体" w:hAnsi="宋体" w:eastAsia="宋体" w:cs="宋体"/>
          <w:color w:val="auto"/>
          <w:sz w:val="21"/>
          <w:szCs w:val="21"/>
        </w:rPr>
      </w:pPr>
    </w:p>
    <w:p w14:paraId="0523A149">
      <w:pPr>
        <w:spacing w:line="440" w:lineRule="exact"/>
        <w:rPr>
          <w:rFonts w:hint="eastAsia" w:ascii="宋体" w:hAnsi="宋体" w:eastAsia="宋体" w:cs="宋体"/>
          <w:color w:val="auto"/>
          <w:sz w:val="21"/>
          <w:szCs w:val="21"/>
        </w:rPr>
      </w:pPr>
    </w:p>
    <w:p w14:paraId="39100672">
      <w:pPr>
        <w:spacing w:line="440" w:lineRule="exact"/>
        <w:rPr>
          <w:rFonts w:hint="eastAsia" w:ascii="宋体" w:hAnsi="宋体" w:eastAsia="宋体" w:cs="宋体"/>
          <w:color w:val="auto"/>
          <w:sz w:val="21"/>
          <w:szCs w:val="21"/>
        </w:rPr>
      </w:pPr>
    </w:p>
    <w:p w14:paraId="33FDE5BD">
      <w:pPr>
        <w:spacing w:line="440" w:lineRule="exact"/>
        <w:rPr>
          <w:rFonts w:hint="eastAsia" w:ascii="宋体" w:hAnsi="宋体" w:eastAsia="宋体" w:cs="宋体"/>
          <w:color w:val="auto"/>
          <w:sz w:val="21"/>
          <w:szCs w:val="21"/>
        </w:rPr>
      </w:pPr>
    </w:p>
    <w:p w14:paraId="02C9494E">
      <w:pPr>
        <w:spacing w:line="440" w:lineRule="exact"/>
        <w:rPr>
          <w:rFonts w:hint="eastAsia" w:ascii="宋体" w:hAnsi="宋体" w:eastAsia="宋体" w:cs="宋体"/>
          <w:color w:val="auto"/>
          <w:sz w:val="21"/>
          <w:szCs w:val="21"/>
        </w:rPr>
      </w:pPr>
    </w:p>
    <w:p w14:paraId="029620FB">
      <w:pPr>
        <w:spacing w:line="440" w:lineRule="exact"/>
        <w:rPr>
          <w:rFonts w:hint="eastAsia" w:ascii="宋体" w:hAnsi="宋体" w:eastAsia="宋体" w:cs="宋体"/>
          <w:color w:val="auto"/>
          <w:sz w:val="21"/>
          <w:szCs w:val="21"/>
        </w:rPr>
      </w:pPr>
    </w:p>
    <w:p w14:paraId="2EAA6020">
      <w:pPr>
        <w:spacing w:line="440" w:lineRule="exact"/>
        <w:rPr>
          <w:rFonts w:hint="eastAsia" w:ascii="宋体" w:hAnsi="宋体" w:eastAsia="宋体" w:cs="宋体"/>
          <w:color w:val="auto"/>
          <w:sz w:val="21"/>
          <w:szCs w:val="21"/>
        </w:rPr>
      </w:pPr>
    </w:p>
    <w:p w14:paraId="794B909E">
      <w:pPr>
        <w:spacing w:line="440" w:lineRule="exact"/>
        <w:rPr>
          <w:rFonts w:hint="eastAsia" w:ascii="宋体" w:hAnsi="宋体" w:eastAsia="宋体" w:cs="宋体"/>
          <w:color w:val="auto"/>
          <w:sz w:val="21"/>
          <w:szCs w:val="21"/>
        </w:rPr>
      </w:pPr>
    </w:p>
    <w:p w14:paraId="454F0E11">
      <w:pPr>
        <w:spacing w:line="440" w:lineRule="exact"/>
        <w:rPr>
          <w:rFonts w:hint="eastAsia" w:ascii="宋体" w:hAnsi="宋体" w:eastAsia="宋体" w:cs="宋体"/>
          <w:color w:val="auto"/>
          <w:sz w:val="21"/>
          <w:szCs w:val="21"/>
        </w:rPr>
      </w:pPr>
    </w:p>
    <w:p w14:paraId="2307C255">
      <w:pPr>
        <w:spacing w:line="440" w:lineRule="exact"/>
        <w:rPr>
          <w:rFonts w:hint="eastAsia" w:ascii="宋体" w:hAnsi="宋体" w:eastAsia="宋体" w:cs="宋体"/>
          <w:color w:val="auto"/>
          <w:sz w:val="21"/>
          <w:szCs w:val="21"/>
        </w:rPr>
      </w:pPr>
    </w:p>
    <w:p w14:paraId="41626CC2">
      <w:pPr>
        <w:spacing w:line="440" w:lineRule="exact"/>
        <w:rPr>
          <w:rFonts w:hint="eastAsia" w:ascii="宋体" w:hAnsi="宋体" w:eastAsia="宋体" w:cs="宋体"/>
          <w:color w:val="auto"/>
          <w:sz w:val="21"/>
          <w:szCs w:val="21"/>
        </w:rPr>
      </w:pPr>
    </w:p>
    <w:p w14:paraId="3859BC9C">
      <w:pPr>
        <w:spacing w:line="440" w:lineRule="exact"/>
        <w:rPr>
          <w:rFonts w:hint="eastAsia" w:ascii="宋体" w:hAnsi="宋体" w:eastAsia="宋体" w:cs="宋体"/>
          <w:color w:val="auto"/>
          <w:sz w:val="21"/>
          <w:szCs w:val="21"/>
        </w:rPr>
      </w:pPr>
    </w:p>
    <w:p w14:paraId="663C9A76">
      <w:pPr>
        <w:spacing w:line="440" w:lineRule="exact"/>
        <w:rPr>
          <w:rFonts w:hint="eastAsia" w:ascii="宋体" w:hAnsi="宋体" w:eastAsia="宋体" w:cs="宋体"/>
          <w:color w:val="auto"/>
          <w:sz w:val="21"/>
          <w:szCs w:val="21"/>
        </w:rPr>
      </w:pPr>
    </w:p>
    <w:p w14:paraId="7740A84D">
      <w:pPr>
        <w:spacing w:line="440" w:lineRule="exact"/>
        <w:rPr>
          <w:rFonts w:hint="eastAsia" w:ascii="宋体" w:hAnsi="宋体" w:eastAsia="宋体" w:cs="宋体"/>
          <w:color w:val="auto"/>
          <w:sz w:val="21"/>
          <w:szCs w:val="21"/>
        </w:rPr>
      </w:pPr>
    </w:p>
    <w:p w14:paraId="3C8F2852">
      <w:pPr>
        <w:spacing w:line="440" w:lineRule="exact"/>
        <w:rPr>
          <w:rFonts w:hint="eastAsia" w:ascii="宋体" w:hAnsi="宋体" w:eastAsia="宋体" w:cs="宋体"/>
          <w:color w:val="auto"/>
          <w:sz w:val="21"/>
          <w:szCs w:val="21"/>
        </w:rPr>
      </w:pPr>
    </w:p>
    <w:p w14:paraId="06EB5E6B">
      <w:pPr>
        <w:spacing w:line="440" w:lineRule="exact"/>
        <w:rPr>
          <w:rFonts w:hint="eastAsia" w:ascii="宋体" w:hAnsi="宋体" w:eastAsia="宋体" w:cs="宋体"/>
          <w:color w:val="auto"/>
          <w:sz w:val="21"/>
          <w:szCs w:val="21"/>
        </w:rPr>
      </w:pPr>
    </w:p>
    <w:p w14:paraId="61EC5729">
      <w:pPr>
        <w:spacing w:line="440" w:lineRule="exact"/>
        <w:rPr>
          <w:rFonts w:hint="eastAsia" w:ascii="宋体" w:hAnsi="宋体" w:eastAsia="宋体" w:cs="宋体"/>
          <w:color w:val="auto"/>
          <w:sz w:val="21"/>
          <w:szCs w:val="21"/>
        </w:rPr>
      </w:pPr>
    </w:p>
    <w:p w14:paraId="5D599655">
      <w:pPr>
        <w:spacing w:line="440" w:lineRule="exact"/>
        <w:rPr>
          <w:rFonts w:hint="eastAsia" w:ascii="宋体" w:hAnsi="宋体" w:eastAsia="宋体" w:cs="宋体"/>
          <w:color w:val="auto"/>
          <w:sz w:val="21"/>
          <w:szCs w:val="21"/>
        </w:rPr>
      </w:pPr>
    </w:p>
    <w:p w14:paraId="590D97AD">
      <w:pPr>
        <w:spacing w:line="440" w:lineRule="exact"/>
        <w:rPr>
          <w:rFonts w:hint="eastAsia" w:ascii="宋体" w:hAnsi="宋体" w:eastAsia="宋体" w:cs="宋体"/>
          <w:color w:val="auto"/>
          <w:sz w:val="21"/>
          <w:szCs w:val="21"/>
        </w:rPr>
      </w:pPr>
    </w:p>
    <w:p w14:paraId="6C76E96A">
      <w:pPr>
        <w:spacing w:line="440" w:lineRule="exact"/>
        <w:rPr>
          <w:rFonts w:hint="eastAsia" w:ascii="宋体" w:hAnsi="宋体" w:eastAsia="宋体" w:cs="宋体"/>
          <w:color w:val="auto"/>
          <w:sz w:val="21"/>
          <w:szCs w:val="21"/>
        </w:rPr>
      </w:pPr>
    </w:p>
    <w:p w14:paraId="699ECDC2">
      <w:pPr>
        <w:spacing w:line="440" w:lineRule="exact"/>
        <w:rPr>
          <w:rFonts w:hint="eastAsia" w:ascii="宋体" w:hAnsi="宋体" w:eastAsia="宋体" w:cs="宋体"/>
          <w:color w:val="auto"/>
          <w:sz w:val="21"/>
          <w:szCs w:val="21"/>
        </w:rPr>
      </w:pPr>
    </w:p>
    <w:p w14:paraId="014E1BF8">
      <w:pPr>
        <w:spacing w:line="440" w:lineRule="exact"/>
        <w:rPr>
          <w:rFonts w:hint="eastAsia" w:ascii="宋体" w:hAnsi="宋体" w:eastAsia="宋体" w:cs="宋体"/>
          <w:color w:val="auto"/>
          <w:sz w:val="21"/>
          <w:szCs w:val="21"/>
        </w:rPr>
      </w:pPr>
    </w:p>
    <w:p w14:paraId="538261EF">
      <w:pPr>
        <w:spacing w:line="440" w:lineRule="exact"/>
        <w:rPr>
          <w:rFonts w:hint="eastAsia" w:ascii="宋体" w:hAnsi="宋体" w:eastAsia="宋体" w:cs="宋体"/>
          <w:color w:val="auto"/>
          <w:sz w:val="21"/>
          <w:szCs w:val="21"/>
        </w:rPr>
      </w:pPr>
    </w:p>
    <w:p w14:paraId="13BBFBA1">
      <w:pPr>
        <w:spacing w:line="440" w:lineRule="exact"/>
        <w:rPr>
          <w:rFonts w:hint="eastAsia" w:ascii="宋体" w:hAnsi="宋体" w:eastAsia="宋体" w:cs="宋体"/>
          <w:color w:val="auto"/>
          <w:sz w:val="21"/>
          <w:szCs w:val="21"/>
        </w:rPr>
      </w:pPr>
    </w:p>
    <w:p w14:paraId="7365185D">
      <w:pPr>
        <w:spacing w:line="440" w:lineRule="exact"/>
        <w:rPr>
          <w:rFonts w:hint="eastAsia" w:ascii="宋体" w:hAnsi="宋体" w:eastAsia="宋体" w:cs="宋体"/>
          <w:color w:val="auto"/>
          <w:sz w:val="21"/>
          <w:szCs w:val="21"/>
        </w:rPr>
      </w:pPr>
    </w:p>
    <w:p w14:paraId="3885561A">
      <w:pPr>
        <w:spacing w:line="440" w:lineRule="exact"/>
        <w:rPr>
          <w:rFonts w:hint="eastAsia" w:ascii="宋体" w:hAnsi="宋体" w:eastAsia="宋体" w:cs="宋体"/>
          <w:color w:val="auto"/>
          <w:sz w:val="21"/>
          <w:szCs w:val="21"/>
        </w:rPr>
      </w:pPr>
    </w:p>
    <w:p w14:paraId="5AE6EBB1">
      <w:pPr>
        <w:spacing w:line="440" w:lineRule="exact"/>
        <w:rPr>
          <w:rFonts w:hint="eastAsia" w:ascii="宋体" w:hAnsi="宋体" w:eastAsia="宋体" w:cs="宋体"/>
          <w:color w:val="auto"/>
          <w:sz w:val="21"/>
          <w:szCs w:val="21"/>
        </w:rPr>
      </w:pPr>
    </w:p>
    <w:p w14:paraId="2D9E7DFA">
      <w:pPr>
        <w:spacing w:line="440" w:lineRule="exact"/>
        <w:rPr>
          <w:rFonts w:hint="eastAsia" w:ascii="宋体" w:hAnsi="宋体" w:eastAsia="宋体" w:cs="宋体"/>
          <w:color w:val="auto"/>
          <w:sz w:val="21"/>
          <w:szCs w:val="21"/>
        </w:rPr>
      </w:pPr>
    </w:p>
    <w:p w14:paraId="1A69CB1C">
      <w:pPr>
        <w:spacing w:line="440" w:lineRule="exact"/>
        <w:rPr>
          <w:rFonts w:hint="eastAsia" w:ascii="宋体" w:hAnsi="宋体" w:eastAsia="宋体" w:cs="宋体"/>
          <w:color w:val="auto"/>
          <w:sz w:val="21"/>
          <w:szCs w:val="21"/>
        </w:rPr>
      </w:pPr>
      <w:r>
        <w:rPr>
          <w:rFonts w:hint="eastAsia" w:ascii="宋体" w:hAnsi="宋体" w:eastAsia="宋体" w:cs="宋体"/>
          <w:color w:val="auto"/>
          <w:sz w:val="21"/>
          <w:szCs w:val="21"/>
        </w:rPr>
        <w:t>附</w:t>
      </w:r>
      <w:bookmarkStart w:id="979" w:name="_Toc296346727"/>
      <w:bookmarkStart w:id="980" w:name="_Toc296503226"/>
      <w:bookmarkStart w:id="981" w:name="_Toc267261693"/>
      <w:bookmarkStart w:id="982" w:name="_Toc296944565"/>
      <w:bookmarkStart w:id="983" w:name="_Toc296347225"/>
      <w:bookmarkStart w:id="984" w:name="_Toc296891054"/>
      <w:bookmarkStart w:id="985" w:name="_Toc296891266"/>
      <w:r>
        <w:rPr>
          <w:rFonts w:hint="eastAsia" w:ascii="宋体" w:hAnsi="宋体" w:eastAsia="宋体" w:cs="宋体"/>
          <w:color w:val="auto"/>
          <w:sz w:val="21"/>
          <w:szCs w:val="21"/>
        </w:rPr>
        <w:t>件1：</w:t>
      </w:r>
      <w:bookmarkEnd w:id="979"/>
      <w:bookmarkEnd w:id="980"/>
      <w:bookmarkEnd w:id="981"/>
      <w:bookmarkEnd w:id="982"/>
      <w:bookmarkEnd w:id="983"/>
      <w:bookmarkEnd w:id="984"/>
      <w:bookmarkEnd w:id="985"/>
    </w:p>
    <w:p w14:paraId="3419E52A">
      <w:pPr>
        <w:spacing w:before="156" w:beforeLines="50" w:after="156" w:afterLines="50" w:line="44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工程质量保修书</w:t>
      </w:r>
    </w:p>
    <w:p w14:paraId="37BB15C2">
      <w:pPr>
        <w:pStyle w:val="16"/>
        <w:spacing w:line="360" w:lineRule="auto"/>
        <w:ind w:firstLine="540"/>
        <w:rPr>
          <w:rFonts w:hint="eastAsia" w:ascii="宋体" w:hAnsi="宋体" w:eastAsia="宋体" w:cs="宋体"/>
          <w:color w:val="auto"/>
          <w:sz w:val="21"/>
          <w:szCs w:val="21"/>
          <w:u w:val="single"/>
        </w:rPr>
      </w:pPr>
      <w:r>
        <w:rPr>
          <w:rFonts w:hint="eastAsia" w:ascii="宋体" w:hAnsi="宋体" w:eastAsia="宋体" w:cs="宋体"/>
          <w:color w:val="auto"/>
          <w:sz w:val="21"/>
          <w:szCs w:val="21"/>
        </w:rPr>
        <w:t>发包人(全称)：</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u w:val="single"/>
        </w:rPr>
        <w:t xml:space="preserve">    </w:t>
      </w:r>
    </w:p>
    <w:p w14:paraId="16AF53A4">
      <w:pPr>
        <w:pStyle w:val="16"/>
        <w:spacing w:line="360" w:lineRule="auto"/>
        <w:ind w:firstLine="540"/>
        <w:rPr>
          <w:rFonts w:hint="eastAsia" w:ascii="宋体" w:hAnsi="宋体" w:eastAsia="宋体" w:cs="宋体"/>
          <w:color w:val="auto"/>
          <w:sz w:val="21"/>
          <w:szCs w:val="21"/>
          <w:u w:val="single"/>
        </w:rPr>
      </w:pPr>
      <w:r>
        <w:rPr>
          <w:rFonts w:hint="eastAsia" w:ascii="宋体" w:hAnsi="宋体" w:eastAsia="宋体" w:cs="宋体"/>
          <w:color w:val="auto"/>
          <w:sz w:val="21"/>
          <w:szCs w:val="21"/>
        </w:rPr>
        <w:t>承包人(全称)：</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u w:val="single"/>
        </w:rPr>
        <w:t xml:space="preserve">  </w:t>
      </w:r>
    </w:p>
    <w:p w14:paraId="576CA7CB">
      <w:pPr>
        <w:pStyle w:val="16"/>
        <w:spacing w:line="360" w:lineRule="auto"/>
        <w:ind w:firstLine="540"/>
        <w:rPr>
          <w:rFonts w:hint="eastAsia" w:ascii="宋体" w:hAnsi="宋体" w:eastAsia="宋体" w:cs="宋体"/>
          <w:color w:val="auto"/>
          <w:sz w:val="21"/>
          <w:szCs w:val="21"/>
        </w:rPr>
      </w:pPr>
      <w:r>
        <w:rPr>
          <w:rFonts w:hint="eastAsia" w:ascii="宋体" w:hAnsi="宋体" w:eastAsia="宋体" w:cs="宋体"/>
          <w:color w:val="auto"/>
          <w:sz w:val="21"/>
          <w:szCs w:val="21"/>
        </w:rPr>
        <w:t>为保证</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(工程名称)在合理使用期限内正常使用，发包人</w:t>
      </w:r>
      <w:r>
        <w:rPr>
          <w:rFonts w:hint="eastAsia" w:ascii="宋体" w:hAnsi="宋体" w:eastAsia="宋体" w:cs="宋体"/>
          <w:color w:val="auto"/>
          <w:sz w:val="21"/>
          <w:szCs w:val="21"/>
          <w:lang w:val="en-US" w:eastAsia="zh-CN"/>
        </w:rPr>
        <w:t>与</w:t>
      </w:r>
      <w:r>
        <w:rPr>
          <w:rFonts w:hint="eastAsia" w:ascii="宋体" w:hAnsi="宋体" w:eastAsia="宋体" w:cs="宋体"/>
          <w:color w:val="auto"/>
          <w:sz w:val="21"/>
          <w:szCs w:val="21"/>
        </w:rPr>
        <w:t>承包人协商一致签订工程质量保修书。承包人在质量保修期内按照有关管理规定及双方约定承担工程质量保修责任。</w:t>
      </w:r>
    </w:p>
    <w:p w14:paraId="0FFDFCDA">
      <w:pPr>
        <w:pStyle w:val="16"/>
        <w:spacing w:line="360" w:lineRule="auto"/>
        <w:rPr>
          <w:rFonts w:hint="eastAsia" w:ascii="宋体" w:hAnsi="宋体" w:eastAsia="宋体" w:cs="宋体"/>
          <w:b/>
          <w:bCs/>
          <w:color w:val="auto"/>
          <w:sz w:val="21"/>
          <w:szCs w:val="21"/>
        </w:rPr>
      </w:pPr>
      <w:r>
        <w:rPr>
          <w:rFonts w:hint="eastAsia" w:ascii="宋体" w:hAnsi="宋体" w:eastAsia="宋体" w:cs="宋体"/>
          <w:b/>
          <w:bCs/>
          <w:color w:val="auto"/>
          <w:sz w:val="21"/>
          <w:szCs w:val="21"/>
        </w:rPr>
        <w:t>一、工程质量保修范围和内容</w:t>
      </w:r>
    </w:p>
    <w:p w14:paraId="5A93B2FA">
      <w:pPr>
        <w:pStyle w:val="16"/>
        <w:spacing w:line="360" w:lineRule="auto"/>
        <w:ind w:firstLine="540"/>
        <w:rPr>
          <w:rFonts w:hint="eastAsia" w:ascii="宋体" w:hAnsi="宋体" w:eastAsia="宋体" w:cs="宋体"/>
          <w:color w:val="auto"/>
          <w:sz w:val="21"/>
          <w:szCs w:val="21"/>
        </w:rPr>
      </w:pPr>
      <w:r>
        <w:rPr>
          <w:rFonts w:hint="eastAsia" w:ascii="宋体" w:hAnsi="宋体" w:eastAsia="宋体" w:cs="宋体"/>
          <w:color w:val="auto"/>
          <w:sz w:val="21"/>
          <w:szCs w:val="21"/>
        </w:rPr>
        <w:t>质承包人在质量保修期内，按照有关法律规定和合同约定，承担工程质量保修责任。</w:t>
      </w:r>
    </w:p>
    <w:p w14:paraId="511186D3">
      <w:pPr>
        <w:pStyle w:val="16"/>
        <w:spacing w:line="360" w:lineRule="auto"/>
        <w:ind w:firstLine="540"/>
        <w:rPr>
          <w:rFonts w:hint="eastAsia" w:ascii="宋体" w:hAnsi="宋体" w:eastAsia="宋体" w:cs="宋体"/>
          <w:color w:val="auto"/>
          <w:sz w:val="21"/>
          <w:szCs w:val="21"/>
        </w:rPr>
      </w:pPr>
      <w:r>
        <w:rPr>
          <w:rFonts w:hint="eastAsia" w:ascii="宋体" w:hAnsi="宋体" w:eastAsia="宋体" w:cs="宋体"/>
          <w:color w:val="auto"/>
          <w:sz w:val="21"/>
          <w:szCs w:val="21"/>
        </w:rPr>
        <w:t>质量保修范围包括</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rPr>
        <w:t xml:space="preserve"> ，以及双方约定的其他项目。具体保修的内容，双方约定如下：</w:t>
      </w:r>
    </w:p>
    <w:p w14:paraId="2113BE92">
      <w:pPr>
        <w:pStyle w:val="16"/>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二、质量保修期</w:t>
      </w:r>
    </w:p>
    <w:p w14:paraId="5B43F6B5">
      <w:pPr>
        <w:pStyle w:val="16"/>
        <w:spacing w:line="360" w:lineRule="auto"/>
        <w:ind w:firstLine="540"/>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t>质量保修期从工程实际竣工之日算起。分单项竣工验收的工程，按单项工程分别计算质量保修期。</w:t>
      </w:r>
    </w:p>
    <w:p w14:paraId="71E20733">
      <w:pPr>
        <w:pStyle w:val="16"/>
        <w:spacing w:line="360" w:lineRule="auto"/>
        <w:ind w:firstLine="540"/>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t>双方根据国家有关规定，结合具体工程约定质量保修期如下：</w:t>
      </w:r>
    </w:p>
    <w:p w14:paraId="3E98F294">
      <w:pPr>
        <w:pStyle w:val="16"/>
        <w:numPr>
          <w:ilvl w:val="0"/>
          <w:numId w:val="8"/>
        </w:numPr>
        <w:spacing w:line="360" w:lineRule="auto"/>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t>地基基础工程、主体结构工程为设计文件规定的合理使用年限;</w:t>
      </w:r>
    </w:p>
    <w:p w14:paraId="44D525B9">
      <w:pPr>
        <w:pStyle w:val="16"/>
        <w:numPr>
          <w:ilvl w:val="0"/>
          <w:numId w:val="8"/>
        </w:numPr>
        <w:spacing w:line="360" w:lineRule="auto"/>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t>屋面防水工程、有防水要求的卫生间、房间和外墙面的防渗漏为</w:t>
      </w:r>
      <w:r>
        <w:rPr>
          <w:rFonts w:hint="eastAsia" w:ascii="宋体" w:hAnsi="宋体" w:eastAsia="宋体" w:cs="宋体"/>
          <w:b w:val="0"/>
          <w:bCs/>
          <w:color w:val="auto"/>
          <w:sz w:val="21"/>
          <w:szCs w:val="21"/>
          <w:u w:val="single"/>
        </w:rPr>
        <w:t>5</w:t>
      </w:r>
      <w:r>
        <w:rPr>
          <w:rFonts w:hint="eastAsia" w:ascii="宋体" w:hAnsi="宋体" w:eastAsia="宋体" w:cs="宋体"/>
          <w:b w:val="0"/>
          <w:bCs/>
          <w:color w:val="auto"/>
          <w:sz w:val="21"/>
          <w:szCs w:val="21"/>
        </w:rPr>
        <w:t>年;</w:t>
      </w:r>
    </w:p>
    <w:p w14:paraId="69CE4DE4">
      <w:pPr>
        <w:pStyle w:val="16"/>
        <w:spacing w:line="360" w:lineRule="auto"/>
        <w:ind w:firstLine="540"/>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t>3、供热及供冷系统为</w:t>
      </w:r>
      <w:r>
        <w:rPr>
          <w:rFonts w:hint="eastAsia" w:ascii="宋体" w:hAnsi="宋体" w:eastAsia="宋体" w:cs="宋体"/>
          <w:b w:val="0"/>
          <w:bCs/>
          <w:color w:val="auto"/>
          <w:sz w:val="21"/>
          <w:szCs w:val="21"/>
          <w:u w:val="single"/>
        </w:rPr>
        <w:t xml:space="preserve"> 2 </w:t>
      </w:r>
      <w:r>
        <w:rPr>
          <w:rFonts w:hint="eastAsia" w:ascii="宋体" w:hAnsi="宋体" w:eastAsia="宋体" w:cs="宋体"/>
          <w:b w:val="0"/>
          <w:bCs/>
          <w:color w:val="auto"/>
          <w:sz w:val="21"/>
          <w:szCs w:val="21"/>
        </w:rPr>
        <w:t>个采暖期及供冷期；</w:t>
      </w:r>
    </w:p>
    <w:p w14:paraId="5C3195F1">
      <w:pPr>
        <w:pStyle w:val="16"/>
        <w:spacing w:line="360" w:lineRule="auto"/>
        <w:ind w:firstLine="540"/>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t>4、电气管线、给排水管道、设备安装为</w:t>
      </w:r>
      <w:r>
        <w:rPr>
          <w:rFonts w:hint="eastAsia" w:ascii="宋体" w:hAnsi="宋体" w:eastAsia="宋体" w:cs="宋体"/>
          <w:b w:val="0"/>
          <w:bCs/>
          <w:color w:val="auto"/>
          <w:sz w:val="21"/>
          <w:szCs w:val="21"/>
          <w:u w:val="single"/>
        </w:rPr>
        <w:t xml:space="preserve"> 2 </w:t>
      </w:r>
      <w:r>
        <w:rPr>
          <w:rFonts w:hint="eastAsia" w:ascii="宋体" w:hAnsi="宋体" w:eastAsia="宋体" w:cs="宋体"/>
          <w:b w:val="0"/>
          <w:bCs/>
          <w:color w:val="auto"/>
          <w:sz w:val="21"/>
          <w:szCs w:val="21"/>
        </w:rPr>
        <w:t>年；</w:t>
      </w:r>
    </w:p>
    <w:p w14:paraId="5DEABF90">
      <w:pPr>
        <w:pStyle w:val="16"/>
        <w:spacing w:line="360" w:lineRule="auto"/>
        <w:ind w:firstLine="540"/>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t>5、装修工程为</w:t>
      </w:r>
      <w:r>
        <w:rPr>
          <w:rFonts w:hint="eastAsia" w:ascii="宋体" w:hAnsi="宋体" w:eastAsia="宋体" w:cs="宋体"/>
          <w:b w:val="0"/>
          <w:bCs/>
          <w:color w:val="auto"/>
          <w:sz w:val="21"/>
          <w:szCs w:val="21"/>
          <w:u w:val="single"/>
        </w:rPr>
        <w:t xml:space="preserve"> 1 </w:t>
      </w:r>
      <w:r>
        <w:rPr>
          <w:rFonts w:hint="eastAsia" w:ascii="宋体" w:hAnsi="宋体" w:eastAsia="宋体" w:cs="宋体"/>
          <w:b w:val="0"/>
          <w:bCs/>
          <w:color w:val="auto"/>
          <w:sz w:val="21"/>
          <w:szCs w:val="21"/>
        </w:rPr>
        <w:t xml:space="preserve"> 年；</w:t>
      </w:r>
    </w:p>
    <w:p w14:paraId="782089F5">
      <w:pPr>
        <w:pStyle w:val="16"/>
        <w:spacing w:line="360" w:lineRule="auto"/>
        <w:ind w:firstLine="540"/>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t>6、室外的上下水和小区道路等市政公用工程为</w:t>
      </w:r>
      <w:r>
        <w:rPr>
          <w:rFonts w:hint="eastAsia" w:ascii="宋体" w:hAnsi="宋体" w:eastAsia="宋体" w:cs="宋体"/>
          <w:b w:val="0"/>
          <w:bCs/>
          <w:color w:val="auto"/>
          <w:sz w:val="21"/>
          <w:szCs w:val="21"/>
          <w:u w:val="single"/>
        </w:rPr>
        <w:t xml:space="preserve">  1  </w:t>
      </w:r>
      <w:r>
        <w:rPr>
          <w:rFonts w:hint="eastAsia" w:ascii="宋体" w:hAnsi="宋体" w:eastAsia="宋体" w:cs="宋体"/>
          <w:b w:val="0"/>
          <w:bCs/>
          <w:color w:val="auto"/>
          <w:sz w:val="21"/>
          <w:szCs w:val="21"/>
        </w:rPr>
        <w:t>年；</w:t>
      </w:r>
    </w:p>
    <w:p w14:paraId="52261290">
      <w:pPr>
        <w:pStyle w:val="16"/>
        <w:spacing w:line="360" w:lineRule="auto"/>
        <w:ind w:firstLine="540"/>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t>7、 在没有明文规定下，参照建设工程质量保修条例，双方协商为设计文件规定的该工程的合理使用年限内保修；</w:t>
      </w:r>
    </w:p>
    <w:p w14:paraId="0AA77B05">
      <w:pPr>
        <w:pStyle w:val="16"/>
        <w:spacing w:line="360" w:lineRule="auto"/>
        <w:ind w:firstLine="540"/>
        <w:rPr>
          <w:rFonts w:hint="eastAsia" w:ascii="宋体" w:hAnsi="宋体" w:eastAsia="宋体" w:cs="宋体"/>
          <w:b w:val="0"/>
          <w:bCs/>
          <w:color w:val="auto"/>
          <w:sz w:val="21"/>
          <w:szCs w:val="21"/>
          <w:lang w:val="en-US" w:eastAsia="zh-CN"/>
        </w:rPr>
      </w:pPr>
      <w:r>
        <w:rPr>
          <w:rFonts w:hint="eastAsia" w:ascii="宋体" w:hAnsi="宋体" w:eastAsia="宋体" w:cs="宋体"/>
          <w:b w:val="0"/>
          <w:bCs/>
          <w:color w:val="auto"/>
          <w:sz w:val="21"/>
          <w:szCs w:val="21"/>
        </w:rPr>
        <w:t>8、其他约定：</w:t>
      </w:r>
      <w:r>
        <w:rPr>
          <w:rFonts w:hint="eastAsia" w:ascii="宋体" w:hAnsi="宋体" w:eastAsia="宋体" w:cs="宋体"/>
          <w:b w:val="0"/>
          <w:bCs/>
          <w:color w:val="auto"/>
          <w:sz w:val="21"/>
          <w:szCs w:val="21"/>
          <w:lang w:val="en-US" w:eastAsia="zh-CN"/>
        </w:rPr>
        <w:t>/</w:t>
      </w:r>
    </w:p>
    <w:p w14:paraId="2F76120A">
      <w:pPr>
        <w:pStyle w:val="16"/>
        <w:spacing w:line="360" w:lineRule="auto"/>
        <w:rPr>
          <w:rFonts w:hint="eastAsia" w:ascii="宋体" w:hAnsi="宋体" w:eastAsia="宋体" w:cs="宋体"/>
          <w:b/>
          <w:bCs/>
          <w:color w:val="auto"/>
          <w:sz w:val="21"/>
          <w:szCs w:val="21"/>
        </w:rPr>
      </w:pPr>
      <w:r>
        <w:rPr>
          <w:rFonts w:hint="eastAsia" w:ascii="宋体" w:hAnsi="宋体" w:eastAsia="宋体" w:cs="宋体"/>
          <w:b/>
          <w:bCs/>
          <w:color w:val="auto"/>
          <w:sz w:val="21"/>
          <w:szCs w:val="21"/>
        </w:rPr>
        <w:t>三、质量保修责任</w:t>
      </w:r>
    </w:p>
    <w:p w14:paraId="703F21B2">
      <w:pPr>
        <w:pStyle w:val="16"/>
        <w:spacing w:line="360" w:lineRule="auto"/>
        <w:ind w:firstLine="540"/>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color w:val="auto"/>
          <w:sz w:val="21"/>
          <w:szCs w:val="21"/>
          <w:lang w:val="en-US" w:eastAsia="zh-CN"/>
        </w:rPr>
        <w:t>属于保修范围和内容的项目，承包人应在接到修理通知之日后24小时内派人修理。若发生严重渗漏危及建筑安全或影响医院正常运营的紧急抢修事故，承包人应在接到通知后4小时内到达现场抢修。承包人不在约定期限内派人修理或到达现场的，发包人可委托其他人员修理，由此产生的费用及损失由承包人承担。</w:t>
      </w:r>
    </w:p>
    <w:p w14:paraId="454F7181">
      <w:pPr>
        <w:pStyle w:val="16"/>
        <w:spacing w:line="360" w:lineRule="auto"/>
        <w:ind w:firstLine="540"/>
        <w:rPr>
          <w:rFonts w:hint="eastAsia" w:ascii="宋体" w:hAnsi="宋体" w:eastAsia="宋体" w:cs="宋体"/>
          <w:color w:val="auto"/>
          <w:sz w:val="21"/>
          <w:szCs w:val="21"/>
        </w:rPr>
      </w:pPr>
      <w:r>
        <w:rPr>
          <w:rFonts w:hint="eastAsia" w:ascii="宋体" w:hAnsi="宋体" w:eastAsia="宋体" w:cs="宋体"/>
          <w:color w:val="auto"/>
          <w:sz w:val="21"/>
          <w:szCs w:val="21"/>
        </w:rPr>
        <w:t>2、发生须紧急抢修事故(如上水跑水、暖气漏水漏气、燃气漏气等)，承包人接到事故通知后，应立即到达事故现场抢修。非承包人施工质量引起的事故，抢修费用由发包人承担。</w:t>
      </w:r>
    </w:p>
    <w:p w14:paraId="6145739A">
      <w:pPr>
        <w:pStyle w:val="16"/>
        <w:spacing w:line="360" w:lineRule="auto"/>
        <w:ind w:firstLine="540"/>
        <w:rPr>
          <w:rFonts w:hint="eastAsia" w:ascii="宋体" w:hAnsi="宋体" w:eastAsia="宋体" w:cs="宋体"/>
          <w:color w:val="auto"/>
          <w:sz w:val="21"/>
          <w:szCs w:val="21"/>
        </w:rPr>
      </w:pPr>
      <w:r>
        <w:rPr>
          <w:rFonts w:hint="eastAsia" w:ascii="宋体" w:hAnsi="宋体" w:eastAsia="宋体" w:cs="宋体"/>
          <w:color w:val="auto"/>
          <w:sz w:val="21"/>
          <w:szCs w:val="21"/>
        </w:rPr>
        <w:t>3、在国家规定的工程合理使用期限内，承包人确保地基基础工程和主体结构的质量。因承包人原因致使工程在合理使用期限内造成人身和财产损害的，承包人应承担损害赔偿责任。</w:t>
      </w:r>
    </w:p>
    <w:p w14:paraId="21558807">
      <w:pPr>
        <w:pStyle w:val="16"/>
        <w:spacing w:line="360" w:lineRule="auto"/>
        <w:rPr>
          <w:rFonts w:hint="eastAsia" w:ascii="宋体" w:hAnsi="宋体" w:eastAsia="宋体" w:cs="宋体"/>
          <w:b/>
          <w:bCs/>
          <w:color w:val="auto"/>
          <w:sz w:val="21"/>
          <w:szCs w:val="21"/>
        </w:rPr>
      </w:pPr>
      <w:r>
        <w:rPr>
          <w:rFonts w:hint="eastAsia" w:ascii="宋体" w:hAnsi="宋体" w:eastAsia="宋体" w:cs="宋体"/>
          <w:b/>
          <w:bCs/>
          <w:color w:val="auto"/>
          <w:sz w:val="21"/>
          <w:szCs w:val="21"/>
          <w:lang w:val="en-US" w:eastAsia="zh-CN"/>
        </w:rPr>
        <w:t>四</w:t>
      </w:r>
      <w:r>
        <w:rPr>
          <w:rFonts w:hint="eastAsia" w:ascii="宋体" w:hAnsi="宋体" w:eastAsia="宋体" w:cs="宋体"/>
          <w:b/>
          <w:bCs/>
          <w:color w:val="auto"/>
          <w:sz w:val="21"/>
          <w:szCs w:val="21"/>
        </w:rPr>
        <w:t>、质量保修金的支付</w:t>
      </w:r>
    </w:p>
    <w:p w14:paraId="0D2C54DB">
      <w:pPr>
        <w:pStyle w:val="16"/>
        <w:spacing w:line="40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本工程约定的工程质量保修金为施工结算价的</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u w:val="single"/>
          <w:lang w:val="en-US" w:eastAsia="zh-CN"/>
        </w:rPr>
        <w:t>0</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w:t>
      </w:r>
    </w:p>
    <w:p w14:paraId="73FDA62E">
      <w:pPr>
        <w:pStyle w:val="16"/>
        <w:spacing w:line="400" w:lineRule="exact"/>
        <w:ind w:firstLine="540"/>
        <w:rPr>
          <w:rFonts w:hint="eastAsia" w:ascii="宋体" w:hAnsi="宋体" w:eastAsia="宋体" w:cs="宋体"/>
          <w:sz w:val="21"/>
          <w:szCs w:val="21"/>
        </w:rPr>
      </w:pPr>
      <w:r>
        <w:rPr>
          <w:rFonts w:hint="eastAsia" w:ascii="宋体" w:hAnsi="宋体" w:eastAsia="宋体" w:cs="宋体"/>
          <w:color w:val="auto"/>
          <w:sz w:val="21"/>
          <w:szCs w:val="21"/>
        </w:rPr>
        <w:t>质量保修金银行利率为零。</w:t>
      </w:r>
    </w:p>
    <w:p w14:paraId="364E7561">
      <w:pPr>
        <w:pStyle w:val="16"/>
        <w:pageBreakBefore w:val="0"/>
        <w:widowControl w:val="0"/>
        <w:kinsoku/>
        <w:wordWrap/>
        <w:overflowPunct/>
        <w:topLinePunct w:val="0"/>
        <w:bidi w:val="0"/>
        <w:spacing w:line="400" w:lineRule="exact"/>
        <w:rPr>
          <w:rFonts w:hint="eastAsia" w:ascii="宋体" w:hAnsi="宋体" w:eastAsia="宋体" w:cs="宋体"/>
          <w:b/>
          <w:bCs/>
          <w:color w:val="auto"/>
          <w:sz w:val="21"/>
          <w:szCs w:val="21"/>
        </w:rPr>
      </w:pPr>
      <w:r>
        <w:rPr>
          <w:rFonts w:hint="eastAsia" w:ascii="宋体" w:hAnsi="宋体" w:eastAsia="宋体" w:cs="宋体"/>
          <w:b/>
          <w:bCs/>
          <w:color w:val="auto"/>
          <w:sz w:val="21"/>
          <w:szCs w:val="21"/>
        </w:rPr>
        <w:t>五、质量保修金的返还</w:t>
      </w:r>
    </w:p>
    <w:p w14:paraId="709CD0D8">
      <w:pPr>
        <w:pStyle w:val="16"/>
        <w:pageBreakBefore w:val="0"/>
        <w:widowControl w:val="0"/>
        <w:kinsoku/>
        <w:wordWrap/>
        <w:overflowPunct/>
        <w:topLinePunct w:val="0"/>
        <w:bidi w:val="0"/>
        <w:spacing w:line="40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发包人在应付款中扣出，在工程竣工保修期满后，将保修金（不计利息）退回承包人。在保修期内承包人应按保修内容进行保修，若承包人接到发包人保修通知书在二天内未派人进行修理的，发包人则安排其它公司修理，在保修期内发生的修理费用由承包人负责或由发包人从保修金中扣出。</w:t>
      </w:r>
    </w:p>
    <w:p w14:paraId="610E9156">
      <w:pPr>
        <w:pStyle w:val="16"/>
        <w:pageBreakBefore w:val="0"/>
        <w:widowControl w:val="0"/>
        <w:kinsoku/>
        <w:wordWrap/>
        <w:overflowPunct/>
        <w:topLinePunct w:val="0"/>
        <w:bidi w:val="0"/>
        <w:spacing w:line="400" w:lineRule="exact"/>
        <w:rPr>
          <w:rFonts w:hint="eastAsia" w:ascii="宋体" w:hAnsi="宋体" w:eastAsia="宋体" w:cs="宋体"/>
          <w:b/>
          <w:bCs/>
          <w:color w:val="auto"/>
          <w:sz w:val="21"/>
          <w:szCs w:val="21"/>
        </w:rPr>
      </w:pPr>
      <w:r>
        <w:rPr>
          <w:rFonts w:hint="eastAsia" w:ascii="宋体" w:hAnsi="宋体" w:eastAsia="宋体" w:cs="宋体"/>
          <w:b/>
          <w:bCs/>
          <w:color w:val="auto"/>
          <w:sz w:val="21"/>
          <w:szCs w:val="21"/>
        </w:rPr>
        <w:t>六、其他</w:t>
      </w:r>
    </w:p>
    <w:p w14:paraId="194E8A9A">
      <w:pPr>
        <w:pStyle w:val="16"/>
        <w:pageBreakBefore w:val="0"/>
        <w:widowControl w:val="0"/>
        <w:kinsoku/>
        <w:wordWrap/>
        <w:overflowPunct/>
        <w:topLinePunct w:val="0"/>
        <w:bidi w:val="0"/>
        <w:spacing w:line="400" w:lineRule="exact"/>
        <w:ind w:firstLine="540"/>
        <w:rPr>
          <w:rFonts w:hint="eastAsia" w:ascii="宋体" w:hAnsi="宋体" w:eastAsia="宋体" w:cs="宋体"/>
          <w:color w:val="auto"/>
          <w:sz w:val="21"/>
          <w:szCs w:val="21"/>
        </w:rPr>
      </w:pPr>
      <w:r>
        <w:rPr>
          <w:rFonts w:hint="eastAsia" w:ascii="宋体" w:hAnsi="宋体" w:eastAsia="宋体" w:cs="宋体"/>
          <w:color w:val="auto"/>
          <w:sz w:val="21"/>
          <w:szCs w:val="21"/>
        </w:rPr>
        <w:t>双方约定的其他工程质量保修事项：</w:t>
      </w:r>
    </w:p>
    <w:p w14:paraId="31ECB335">
      <w:pPr>
        <w:pStyle w:val="16"/>
        <w:pageBreakBefore w:val="0"/>
        <w:widowControl w:val="0"/>
        <w:kinsoku/>
        <w:wordWrap/>
        <w:overflowPunct/>
        <w:topLinePunct w:val="0"/>
        <w:bidi w:val="0"/>
        <w:spacing w:line="400" w:lineRule="exact"/>
        <w:ind w:firstLine="540"/>
        <w:rPr>
          <w:rFonts w:hint="eastAsia" w:ascii="宋体" w:hAnsi="宋体" w:eastAsia="宋体" w:cs="宋体"/>
          <w:sz w:val="21"/>
          <w:szCs w:val="21"/>
        </w:rPr>
      </w:pPr>
      <w:r>
        <w:rPr>
          <w:rFonts w:hint="eastAsia" w:ascii="宋体" w:hAnsi="宋体" w:eastAsia="宋体" w:cs="宋体"/>
          <w:color w:val="auto"/>
          <w:sz w:val="21"/>
          <w:szCs w:val="21"/>
        </w:rPr>
        <w:t>本工程质量保修书作为施工合同附件，由施工合同发包人承包人双方共同签署。</w:t>
      </w:r>
    </w:p>
    <w:p w14:paraId="70A6755B">
      <w:pPr>
        <w:pStyle w:val="14"/>
        <w:rPr>
          <w:rFonts w:hint="eastAsia" w:ascii="宋体" w:hAnsi="宋体" w:eastAsia="宋体" w:cs="宋体"/>
          <w:sz w:val="21"/>
          <w:szCs w:val="21"/>
        </w:rPr>
      </w:pPr>
    </w:p>
    <w:p w14:paraId="18FA26E4">
      <w:pPr>
        <w:rPr>
          <w:rFonts w:hint="eastAsia" w:ascii="宋体" w:hAnsi="宋体" w:eastAsia="宋体" w:cs="宋体"/>
          <w:sz w:val="21"/>
          <w:szCs w:val="21"/>
        </w:rPr>
      </w:pPr>
    </w:p>
    <w:p w14:paraId="64ACCB8F">
      <w:pPr>
        <w:spacing w:line="420" w:lineRule="exact"/>
        <w:ind w:left="-178" w:leftChars="-85" w:firstLine="525" w:firstLineChars="250"/>
        <w:rPr>
          <w:rFonts w:hint="eastAsia" w:ascii="宋体" w:hAnsi="宋体" w:eastAsia="宋体" w:cs="宋体"/>
          <w:sz w:val="21"/>
          <w:szCs w:val="21"/>
        </w:rPr>
      </w:pPr>
      <w:r>
        <w:rPr>
          <w:rFonts w:hint="eastAsia" w:ascii="宋体" w:hAnsi="宋体" w:eastAsia="宋体" w:cs="宋体"/>
          <w:sz w:val="21"/>
          <w:szCs w:val="21"/>
        </w:rPr>
        <w:t xml:space="preserve">发包人：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承包人：</w:t>
      </w:r>
    </w:p>
    <w:p w14:paraId="7C207715">
      <w:pPr>
        <w:spacing w:line="500" w:lineRule="exact"/>
        <w:rPr>
          <w:rFonts w:hint="eastAsia" w:ascii="宋体" w:hAnsi="宋体" w:eastAsia="宋体" w:cs="宋体"/>
          <w:sz w:val="21"/>
          <w:szCs w:val="21"/>
          <w:u w:val="single"/>
        </w:rPr>
      </w:pPr>
      <w:r>
        <w:rPr>
          <w:rFonts w:hint="eastAsia" w:ascii="宋体" w:hAnsi="宋体" w:eastAsia="宋体" w:cs="宋体"/>
          <w:sz w:val="21"/>
          <w:szCs w:val="21"/>
        </w:rPr>
        <w:t xml:space="preserve">   (公章)                                   (公章)</w:t>
      </w:r>
    </w:p>
    <w:p w14:paraId="3C71E7EE">
      <w:pPr>
        <w:pStyle w:val="16"/>
        <w:tabs>
          <w:tab w:val="left" w:pos="4500"/>
        </w:tabs>
        <w:spacing w:line="400" w:lineRule="exact"/>
        <w:ind w:firstLine="540"/>
        <w:rPr>
          <w:rFonts w:hint="eastAsia" w:ascii="宋体" w:hAnsi="宋体" w:eastAsia="宋体" w:cs="宋体"/>
          <w:color w:val="auto"/>
          <w:sz w:val="21"/>
          <w:szCs w:val="21"/>
        </w:rPr>
      </w:pPr>
    </w:p>
    <w:p w14:paraId="3825804E">
      <w:pPr>
        <w:pStyle w:val="16"/>
        <w:tabs>
          <w:tab w:val="left" w:pos="4500"/>
        </w:tabs>
        <w:spacing w:line="400" w:lineRule="exact"/>
        <w:ind w:firstLine="210" w:firstLineChars="10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法定代表人(签字)：</w:t>
      </w:r>
      <w:r>
        <w:rPr>
          <w:rFonts w:hint="eastAsia" w:ascii="宋体" w:hAnsi="宋体" w:eastAsia="宋体" w:cs="宋体"/>
          <w:color w:val="auto"/>
          <w:sz w:val="21"/>
          <w:szCs w:val="21"/>
          <w:lang w:val="en-US" w:eastAsia="zh-CN"/>
        </w:rPr>
        <w:t xml:space="preserve">                       </w:t>
      </w:r>
      <w:r>
        <w:rPr>
          <w:rFonts w:hint="eastAsia" w:hAnsi="宋体" w:cs="宋体"/>
          <w:color w:val="auto"/>
          <w:sz w:val="21"/>
          <w:szCs w:val="21"/>
          <w:lang w:val="en-US" w:eastAsia="zh-CN"/>
        </w:rPr>
        <w:t xml:space="preserve"> </w:t>
      </w:r>
      <w:r>
        <w:rPr>
          <w:rFonts w:hint="eastAsia" w:ascii="宋体" w:hAnsi="宋体" w:eastAsia="宋体" w:cs="宋体"/>
          <w:color w:val="auto"/>
          <w:sz w:val="21"/>
          <w:szCs w:val="21"/>
          <w:lang w:val="en-US" w:eastAsia="zh-CN"/>
        </w:rPr>
        <w:t>法定代表人(签字)：</w:t>
      </w:r>
    </w:p>
    <w:p w14:paraId="162790EC">
      <w:pPr>
        <w:pStyle w:val="16"/>
        <w:tabs>
          <w:tab w:val="left" w:pos="4500"/>
        </w:tabs>
        <w:spacing w:line="400" w:lineRule="exact"/>
        <w:ind w:firstLine="540"/>
        <w:rPr>
          <w:rFonts w:hint="eastAsia" w:ascii="宋体" w:hAnsi="宋体" w:eastAsia="宋体" w:cs="宋体"/>
          <w:color w:val="auto"/>
          <w:sz w:val="21"/>
          <w:szCs w:val="21"/>
          <w:lang w:val="en-US" w:eastAsia="zh-CN"/>
        </w:rPr>
      </w:pPr>
    </w:p>
    <w:p w14:paraId="70F10AD9">
      <w:pPr>
        <w:pStyle w:val="16"/>
        <w:tabs>
          <w:tab w:val="left" w:pos="4500"/>
        </w:tabs>
        <w:spacing w:line="400" w:lineRule="exact"/>
        <w:ind w:firstLine="210" w:firstLineChars="100"/>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或委托代理人（签字）：</w:t>
      </w:r>
      <w:r>
        <w:rPr>
          <w:rFonts w:hint="eastAsia" w:ascii="宋体" w:hAnsi="宋体" w:eastAsia="宋体" w:cs="宋体"/>
          <w:color w:val="auto"/>
          <w:sz w:val="21"/>
          <w:szCs w:val="21"/>
        </w:rPr>
        <w:t xml:space="preserve"> </w:t>
      </w:r>
      <w:r>
        <w:rPr>
          <w:rFonts w:hint="eastAsia" w:ascii="宋体" w:hAnsi="宋体" w:eastAsia="宋体" w:cs="宋体"/>
          <w:color w:val="auto"/>
          <w:sz w:val="21"/>
          <w:szCs w:val="21"/>
        </w:rPr>
        <w:tab/>
      </w:r>
      <w:r>
        <w:rPr>
          <w:rFonts w:hint="eastAsia" w:ascii="宋体" w:hAnsi="宋体" w:eastAsia="宋体" w:cs="宋体"/>
          <w:color w:val="auto"/>
          <w:sz w:val="21"/>
          <w:szCs w:val="21"/>
        </w:rPr>
        <w:t xml:space="preserve"> </w:t>
      </w:r>
      <w:r>
        <w:rPr>
          <w:rFonts w:hint="eastAsia" w:ascii="宋体" w:hAnsi="宋体" w:eastAsia="宋体" w:cs="宋体"/>
          <w:color w:val="auto"/>
          <w:sz w:val="21"/>
          <w:szCs w:val="21"/>
          <w:lang w:val="en-US" w:eastAsia="zh-CN"/>
        </w:rPr>
        <w:t>或委托代理人（签字）：</w:t>
      </w:r>
    </w:p>
    <w:p w14:paraId="34BD50E6">
      <w:pPr>
        <w:pStyle w:val="16"/>
        <w:tabs>
          <w:tab w:val="left" w:pos="4500"/>
        </w:tabs>
        <w:spacing w:line="400" w:lineRule="exact"/>
        <w:ind w:firstLine="540"/>
        <w:rPr>
          <w:rFonts w:hint="eastAsia" w:ascii="宋体" w:hAnsi="宋体" w:eastAsia="宋体" w:cs="宋体"/>
          <w:color w:val="auto"/>
          <w:sz w:val="21"/>
          <w:szCs w:val="21"/>
        </w:rPr>
      </w:pPr>
    </w:p>
    <w:p w14:paraId="00F4D61E">
      <w:pPr>
        <w:pStyle w:val="16"/>
        <w:tabs>
          <w:tab w:val="left" w:pos="5130"/>
        </w:tabs>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年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日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年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日   </w:t>
      </w:r>
    </w:p>
    <w:p w14:paraId="59881280">
      <w:pPr>
        <w:pageBreakBefore w:val="0"/>
        <w:widowControl w:val="0"/>
        <w:kinsoku/>
        <w:wordWrap/>
        <w:overflowPunct/>
        <w:topLinePunct w:val="0"/>
        <w:autoSpaceDE/>
        <w:autoSpaceDN/>
        <w:bidi w:val="0"/>
        <w:snapToGrid w:val="0"/>
        <w:spacing w:line="360" w:lineRule="exact"/>
        <w:ind w:firstLine="480" w:firstLineChars="200"/>
        <w:jc w:val="left"/>
        <w:textAlignment w:val="baseline"/>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 </w:t>
      </w:r>
    </w:p>
    <w:p w14:paraId="0188AF03">
      <w:pPr>
        <w:pStyle w:val="52"/>
        <w:pageBreakBefore w:val="0"/>
        <w:kinsoku/>
        <w:overflowPunct/>
        <w:topLinePunct w:val="0"/>
        <w:autoSpaceDE/>
        <w:autoSpaceDN/>
        <w:bidi w:val="0"/>
        <w:adjustRightInd/>
        <w:spacing w:line="560" w:lineRule="exact"/>
        <w:jc w:val="left"/>
        <w:textAlignment w:val="auto"/>
        <w:outlineLvl w:val="0"/>
        <w:rPr>
          <w:rFonts w:hint="eastAsia" w:ascii="宋体" w:hAnsi="宋体" w:eastAsia="宋体" w:cs="宋体"/>
          <w:color w:val="auto"/>
          <w:sz w:val="24"/>
          <w:szCs w:val="24"/>
        </w:rPr>
      </w:pPr>
    </w:p>
    <w:sectPr>
      <w:footerReference r:id="rId15" w:type="first"/>
      <w:footerReference r:id="rId14" w:type="default"/>
      <w:pgSz w:w="11906" w:h="16838"/>
      <w:pgMar w:top="1134" w:right="1140" w:bottom="1134" w:left="1140" w:header="709" w:footer="709" w:gutter="0"/>
      <w:pgNumType w:fmt="decimal"/>
      <w:cols w:space="720" w:num="1"/>
      <w:titlePg/>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roman"/>
    <w:pitch w:val="default"/>
    <w:sig w:usb0="00000000" w:usb1="00000000" w:usb2="0000003F" w:usb3="00000000" w:csb0="603F01FF" w:csb1="FFFF0000"/>
  </w:font>
  <w:font w:name="方正小标宋简体">
    <w:altName w:val="黑体"/>
    <w:panose1 w:val="00000000000000000000"/>
    <w:charset w:val="86"/>
    <w:family w:val="script"/>
    <w:pitch w:val="default"/>
    <w:sig w:usb0="00000000" w:usb1="00000000" w:usb2="00000010" w:usb3="00000000" w:csb0="00040000" w:csb1="00000000"/>
  </w:font>
  <w:font w:name="KSOFE44F9426">
    <w:panose1 w:val="02010609060101010101"/>
    <w:charset w:val="86"/>
    <w:family w:val="auto"/>
    <w:pitch w:val="default"/>
    <w:sig w:usb0="00000001" w:usb1="00000000" w:usb2="00000000" w:usb3="00000000" w:csb0="00040001" w:csb1="00000000"/>
  </w:font>
  <w:font w:name="KSOF439EEF50">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5BBE1C">
    <w:pPr>
      <w:pStyle w:val="18"/>
      <w:tabs>
        <w:tab w:val="center" w:pos="4873"/>
        <w:tab w:val="clear" w:pos="4153"/>
      </w:tabs>
    </w:pP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E3833D">
    <w:pPr>
      <w:pStyle w:val="18"/>
      <w:rPr>
        <w:rFonts w:hint="eastAsia" w:ascii="仿宋" w:hAnsi="仿宋" w:eastAsia="仿宋" w:cs="仿宋"/>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E26983">
                          <w:pPr>
                            <w:pStyle w:val="18"/>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0E26983">
                    <w:pPr>
                      <w:pStyle w:val="18"/>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FB9907">
    <w:pPr>
      <w:pStyle w:val="18"/>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9BB477">
                          <w:pPr>
                            <w:pStyle w:val="1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489BB477">
                    <w:pPr>
                      <w:pStyle w:val="18"/>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85341">
    <w:pPr>
      <w:pStyle w:val="18"/>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92CF3C">
                          <w:pPr>
                            <w:pStyle w:val="1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6E92CF3C">
                    <w:pPr>
                      <w:pStyle w:val="1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086457">
    <w:pPr>
      <w:pStyle w:val="18"/>
      <w:framePr w:wrap="around" w:vAnchor="text" w:hAnchor="margin" w:xAlign="center" w:y="1"/>
      <w:rPr>
        <w:rStyle w:val="32"/>
        <w:rFonts w:eastAsia="宋体"/>
      </w:rPr>
    </w:pPr>
    <w:r>
      <w:rPr>
        <w:rStyle w:val="32"/>
        <w:rFonts w:eastAsia="宋体"/>
      </w:rPr>
      <w:fldChar w:fldCharType="begin"/>
    </w:r>
    <w:r>
      <w:rPr>
        <w:rStyle w:val="32"/>
        <w:rFonts w:eastAsia="宋体"/>
      </w:rPr>
      <w:instrText xml:space="preserve">PAGE  </w:instrText>
    </w:r>
    <w:r>
      <w:rPr>
        <w:rStyle w:val="32"/>
        <w:rFonts w:eastAsia="宋体"/>
      </w:rPr>
      <w:fldChar w:fldCharType="separate"/>
    </w:r>
    <w:r>
      <w:rPr>
        <w:rStyle w:val="32"/>
        <w:rFonts w:eastAsia="宋体"/>
      </w:rPr>
      <w:fldChar w:fldCharType="end"/>
    </w:r>
  </w:p>
  <w:p w14:paraId="7A8E4A56">
    <w:pPr>
      <w:pStyle w:val="18"/>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8EB15A">
    <w:pPr>
      <w:pStyle w:val="18"/>
      <w:rPr>
        <w:rFonts w:hint="eastAsia" w:ascii="仿宋" w:hAnsi="仿宋" w:eastAsia="仿宋" w:cs="仿宋"/>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65BC54">
                          <w:pPr>
                            <w:pStyle w:val="18"/>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0265BC54">
                    <w:pPr>
                      <w:pStyle w:val="18"/>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64AE2B">
    <w:pPr>
      <w:pStyle w:val="18"/>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ADBCBA">
                          <w:pPr>
                            <w:pStyle w:val="18"/>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65ADBCBA">
                    <w:pPr>
                      <w:pStyle w:val="18"/>
                    </w:pPr>
                    <w:r>
                      <w:fldChar w:fldCharType="begin"/>
                    </w:r>
                    <w:r>
                      <w:instrText xml:space="preserve"> PAGE  \* MERGEFORMAT </w:instrText>
                    </w:r>
                    <w:r>
                      <w:fldChar w:fldCharType="separate"/>
                    </w:r>
                    <w:r>
                      <w:t>8</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5208D4">
    <w:pPr>
      <w:pStyle w:val="20"/>
      <w:pBdr>
        <w:bottom w:val="none" w:color="auto" w:sz="0" w:space="1"/>
      </w:pBdr>
      <w:wordWrap w:val="0"/>
      <w:jc w:val="both"/>
      <w:rPr>
        <w:rFonts w:hint="eastAsia" w:ascii="仿宋" w:hAnsi="仿宋" w:eastAsia="仿宋" w:cs="仿宋"/>
        <w:sz w:val="21"/>
        <w:szCs w:val="21"/>
        <w:u w:val="single"/>
        <w:lang w:eastAsia="zh-CN"/>
      </w:rPr>
    </w:pPr>
    <w:r>
      <w:rPr>
        <w:rFonts w:hint="eastAsia" w:ascii="仿宋" w:hAnsi="仿宋" w:eastAsia="仿宋" w:cs="仿宋"/>
        <w:sz w:val="21"/>
        <w:szCs w:val="21"/>
        <w:u w:val="single"/>
        <w:lang w:val="en-US" w:eastAsia="zh-CN"/>
      </w:rPr>
      <w:t xml:space="preserve"> </w:t>
    </w:r>
    <w:r>
      <w:rPr>
        <w:rFonts w:hint="eastAsia" w:ascii="Times New Roman" w:hAnsi="Times New Roman" w:cs="Times New Roman"/>
        <w:color w:val="000000"/>
        <w:kern w:val="2"/>
        <w:sz w:val="20"/>
        <w:szCs w:val="20"/>
        <w:u w:val="single"/>
        <w:lang w:val="en-US" w:eastAsia="zh-CN" w:bidi="ar-SA"/>
      </w:rPr>
      <w:t>陆川县人民医院高压、低压供电系统改造工程项目</w:t>
    </w:r>
    <w:r>
      <w:rPr>
        <w:rFonts w:hint="eastAsia" w:ascii="Times New Roman" w:hAnsi="Times New Roman" w:eastAsia="宋体" w:cs="Times New Roman"/>
        <w:color w:val="000000"/>
        <w:kern w:val="2"/>
        <w:sz w:val="20"/>
        <w:szCs w:val="20"/>
        <w:u w:val="single"/>
        <w:lang w:val="en-US" w:eastAsia="zh-CN" w:bidi="ar-SA"/>
      </w:rPr>
      <w:t xml:space="preserve">                                   </w:t>
    </w:r>
    <w:r>
      <w:rPr>
        <w:rFonts w:hint="eastAsia" w:ascii="Times New Roman" w:hAnsi="Times New Roman" w:cs="Times New Roman"/>
        <w:color w:val="000000"/>
        <w:kern w:val="2"/>
        <w:sz w:val="20"/>
        <w:szCs w:val="20"/>
        <w:u w:val="single"/>
        <w:lang w:val="en-US" w:eastAsia="zh-CN" w:bidi="ar-SA"/>
      </w:rPr>
      <w:t xml:space="preserve">          </w:t>
    </w:r>
    <w:r>
      <w:rPr>
        <w:rFonts w:hint="eastAsia" w:ascii="Times New Roman" w:hAnsi="Times New Roman" w:eastAsia="宋体" w:cs="Times New Roman"/>
        <w:color w:val="000000"/>
        <w:kern w:val="2"/>
        <w:sz w:val="20"/>
        <w:szCs w:val="20"/>
        <w:u w:val="single"/>
        <w:lang w:val="en-US" w:eastAsia="zh-CN" w:bidi="ar-SA"/>
      </w:rPr>
      <w:t xml:space="preserve"> 竞争性磋商文件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4DE16A">
    <w:pPr>
      <w:pStyle w:val="20"/>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4DE3B4">
    <w:pPr>
      <w:pStyle w:val="20"/>
      <w:pBdr>
        <w:bottom w:val="none" w:color="auto" w:sz="0" w:space="1"/>
      </w:pBdr>
      <w:wordWrap w:val="0"/>
      <w:jc w:val="both"/>
      <w:rPr>
        <w:rFonts w:hint="eastAsia" w:ascii="宋体" w:hAnsi="宋体" w:eastAsia="宋体" w:cs="宋体"/>
        <w:sz w:val="18"/>
        <w:szCs w:val="18"/>
        <w:u w:val="single"/>
        <w:lang w:val="en-US" w:eastAsia="zh-CN"/>
      </w:rPr>
    </w:pPr>
  </w:p>
  <w:p w14:paraId="7B6C1A05">
    <w:pPr>
      <w:pStyle w:val="20"/>
      <w:pBdr>
        <w:bottom w:val="none" w:color="auto" w:sz="0" w:space="1"/>
      </w:pBdr>
      <w:wordWrap w:val="0"/>
      <w:jc w:val="both"/>
      <w:rPr>
        <w:rFonts w:hint="eastAsia" w:ascii="仿宋" w:hAnsi="仿宋" w:eastAsia="仿宋" w:cs="仿宋"/>
        <w:sz w:val="18"/>
        <w:szCs w:val="18"/>
        <w:u w:val="single"/>
        <w:lang w:eastAsia="zh-CN"/>
      </w:rPr>
    </w:pPr>
    <w:r>
      <w:rPr>
        <w:rFonts w:hint="eastAsia" w:hAnsi="宋体" w:cs="宋体"/>
        <w:color w:val="000000"/>
        <w:kern w:val="2"/>
        <w:sz w:val="18"/>
        <w:szCs w:val="18"/>
        <w:u w:val="single"/>
        <w:lang w:val="en-US" w:eastAsia="zh-CN" w:bidi="ar-SA"/>
      </w:rPr>
      <w:t>陆川县人民医院高压、低压供电系统改造工程项目</w:t>
    </w:r>
    <w:r>
      <w:rPr>
        <w:rFonts w:hint="eastAsia" w:ascii="Times New Roman" w:hAnsi="Times New Roman" w:eastAsia="宋体" w:cs="Times New Roman"/>
        <w:color w:val="000000"/>
        <w:kern w:val="2"/>
        <w:sz w:val="18"/>
        <w:szCs w:val="18"/>
        <w:u w:val="single"/>
        <w:lang w:val="en-US" w:eastAsia="zh-CN" w:bidi="ar-SA"/>
      </w:rPr>
      <w:t xml:space="preserve">  </w:t>
    </w:r>
    <w:r>
      <w:rPr>
        <w:rFonts w:hint="eastAsia" w:ascii="Times New Roman" w:hAnsi="Times New Roman" w:cs="Times New Roman"/>
        <w:color w:val="000000"/>
        <w:kern w:val="2"/>
        <w:sz w:val="18"/>
        <w:szCs w:val="18"/>
        <w:u w:val="single"/>
        <w:lang w:val="en-US" w:eastAsia="zh-CN" w:bidi="ar-SA"/>
      </w:rPr>
      <w:t xml:space="preserve">                                               </w:t>
    </w:r>
    <w:r>
      <w:rPr>
        <w:rFonts w:hint="eastAsia" w:ascii="Times New Roman" w:hAnsi="Times New Roman" w:eastAsia="宋体" w:cs="Times New Roman"/>
        <w:color w:val="000000"/>
        <w:kern w:val="2"/>
        <w:sz w:val="18"/>
        <w:szCs w:val="18"/>
        <w:u w:val="single"/>
        <w:lang w:val="en-US" w:eastAsia="zh-CN" w:bidi="ar-SA"/>
      </w:rPr>
      <w:t xml:space="preserve"> 竞争性磋商文件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19DDAF">
    <w:pPr>
      <w:pStyle w:val="20"/>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E16CC">
    <w:pPr>
      <w:pStyle w:val="20"/>
      <w:pBdr>
        <w:bottom w:val="none" w:color="auto" w:sz="0" w:space="1"/>
      </w:pBdr>
      <w:wordWrap w:val="0"/>
      <w:jc w:val="both"/>
      <w:rPr>
        <w:rFonts w:hint="eastAsia" w:ascii="宋体" w:hAnsi="宋体" w:eastAsia="宋体" w:cs="宋体"/>
        <w:sz w:val="18"/>
        <w:szCs w:val="18"/>
        <w:u w:val="single"/>
        <w:lang w:val="en-US" w:eastAsia="zh-CN"/>
      </w:rPr>
    </w:pPr>
  </w:p>
  <w:p w14:paraId="0684823E">
    <w:pPr>
      <w:pStyle w:val="20"/>
      <w:pBdr>
        <w:bottom w:val="none" w:color="auto" w:sz="0" w:space="1"/>
      </w:pBdr>
      <w:wordWrap w:val="0"/>
      <w:jc w:val="both"/>
      <w:rPr>
        <w:rFonts w:hint="eastAsia" w:ascii="仿宋" w:hAnsi="仿宋" w:eastAsia="仿宋" w:cs="仿宋"/>
        <w:sz w:val="18"/>
        <w:szCs w:val="18"/>
        <w:u w:val="single"/>
        <w:lang w:eastAsia="zh-CN"/>
      </w:rPr>
    </w:pPr>
    <w:r>
      <w:rPr>
        <w:rFonts w:hint="eastAsia" w:hAnsi="宋体" w:cs="宋体"/>
        <w:color w:val="000000"/>
        <w:kern w:val="2"/>
        <w:sz w:val="18"/>
        <w:szCs w:val="18"/>
        <w:u w:val="single"/>
        <w:lang w:val="en-US" w:eastAsia="zh-CN" w:bidi="ar-SA"/>
      </w:rPr>
      <w:t>陆川县人民医院高压、低压供电系统改造工程项目</w:t>
    </w:r>
    <w:r>
      <w:rPr>
        <w:rFonts w:hint="eastAsia" w:ascii="Times New Roman" w:hAnsi="Times New Roman" w:eastAsia="宋体" w:cs="Times New Roman"/>
        <w:color w:val="000000"/>
        <w:kern w:val="2"/>
        <w:sz w:val="18"/>
        <w:szCs w:val="18"/>
        <w:u w:val="single"/>
        <w:lang w:val="en-US" w:eastAsia="zh-CN" w:bidi="ar-SA"/>
      </w:rPr>
      <w:t xml:space="preserve">  </w:t>
    </w:r>
    <w:r>
      <w:rPr>
        <w:rFonts w:hint="eastAsia" w:ascii="Times New Roman" w:hAnsi="Times New Roman" w:cs="Times New Roman"/>
        <w:color w:val="000000"/>
        <w:kern w:val="2"/>
        <w:sz w:val="18"/>
        <w:szCs w:val="18"/>
        <w:u w:val="single"/>
        <w:lang w:val="en-US" w:eastAsia="zh-CN" w:bidi="ar-SA"/>
      </w:rPr>
      <w:t xml:space="preserve">                                               </w:t>
    </w:r>
    <w:r>
      <w:rPr>
        <w:rFonts w:hint="eastAsia" w:ascii="Times New Roman" w:hAnsi="Times New Roman" w:eastAsia="宋体" w:cs="Times New Roman"/>
        <w:color w:val="000000"/>
        <w:kern w:val="2"/>
        <w:sz w:val="18"/>
        <w:szCs w:val="18"/>
        <w:u w:val="single"/>
        <w:lang w:val="en-US" w:eastAsia="zh-CN" w:bidi="ar-SA"/>
      </w:rPr>
      <w:t xml:space="preserve"> 竞争性磋商文件</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D35835">
    <w:pPr>
      <w:pStyle w:val="2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15C9B1"/>
    <w:multiLevelType w:val="singleLevel"/>
    <w:tmpl w:val="9015C9B1"/>
    <w:lvl w:ilvl="0" w:tentative="0">
      <w:start w:val="1"/>
      <w:numFmt w:val="decimal"/>
      <w:pStyle w:val="10"/>
      <w:lvlText w:val="%1."/>
      <w:lvlJc w:val="left"/>
      <w:pPr>
        <w:tabs>
          <w:tab w:val="left" w:pos="360"/>
        </w:tabs>
        <w:ind w:left="360" w:hanging="360"/>
      </w:pPr>
    </w:lvl>
  </w:abstractNum>
  <w:abstractNum w:abstractNumId="1">
    <w:nsid w:val="CAE612B8"/>
    <w:multiLevelType w:val="singleLevel"/>
    <w:tmpl w:val="CAE612B8"/>
    <w:lvl w:ilvl="0" w:tentative="0">
      <w:start w:val="8"/>
      <w:numFmt w:val="decimal"/>
      <w:lvlText w:val="%1."/>
      <w:lvlJc w:val="left"/>
      <w:pPr>
        <w:tabs>
          <w:tab w:val="left" w:pos="312"/>
        </w:tabs>
      </w:pPr>
    </w:lvl>
  </w:abstractNum>
  <w:abstractNum w:abstractNumId="2">
    <w:nsid w:val="0000000A"/>
    <w:multiLevelType w:val="multilevel"/>
    <w:tmpl w:val="0000000A"/>
    <w:lvl w:ilvl="0" w:tentative="0">
      <w:start w:val="3"/>
      <w:numFmt w:val="chineseCountingThousand"/>
      <w:suff w:val="nothing"/>
      <w:lvlText w:val="第%1章"/>
      <w:lvlJc w:val="left"/>
      <w:pPr>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pStyle w:val="6"/>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3">
    <w:nsid w:val="113DBF7C"/>
    <w:multiLevelType w:val="singleLevel"/>
    <w:tmpl w:val="113DBF7C"/>
    <w:lvl w:ilvl="0" w:tentative="0">
      <w:start w:val="4"/>
      <w:numFmt w:val="chineseCounting"/>
      <w:suff w:val="nothing"/>
      <w:lvlText w:val="%1、"/>
      <w:lvlJc w:val="left"/>
      <w:rPr>
        <w:rFonts w:hint="eastAsia"/>
      </w:rPr>
    </w:lvl>
  </w:abstractNum>
  <w:abstractNum w:abstractNumId="4">
    <w:nsid w:val="1657E06D"/>
    <w:multiLevelType w:val="singleLevel"/>
    <w:tmpl w:val="1657E06D"/>
    <w:lvl w:ilvl="0" w:tentative="0">
      <w:start w:val="2"/>
      <w:numFmt w:val="decimal"/>
      <w:suff w:val="nothing"/>
      <w:lvlText w:val="（%1）"/>
      <w:lvlJc w:val="left"/>
    </w:lvl>
  </w:abstractNum>
  <w:abstractNum w:abstractNumId="5">
    <w:nsid w:val="32714F5E"/>
    <w:multiLevelType w:val="multilevel"/>
    <w:tmpl w:val="32714F5E"/>
    <w:lvl w:ilvl="0" w:tentative="0">
      <w:start w:val="1"/>
      <w:numFmt w:val="chineseCountingThousand"/>
      <w:suff w:val="nothing"/>
      <w:lvlText w:val="第%1章"/>
      <w:lvlJc w:val="left"/>
      <w:pPr>
        <w:ind w:left="0" w:firstLine="0"/>
      </w:pPr>
      <w:rPr>
        <w:rFonts w:hint="eastAsia" w:ascii="仿宋_GB2312" w:eastAsia="仿宋_GB2312"/>
        <w:sz w:val="44"/>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pStyle w:val="7"/>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6">
    <w:nsid w:val="4455C122"/>
    <w:multiLevelType w:val="singleLevel"/>
    <w:tmpl w:val="4455C122"/>
    <w:lvl w:ilvl="0" w:tentative="0">
      <w:start w:val="3"/>
      <w:numFmt w:val="chineseCounting"/>
      <w:suff w:val="nothing"/>
      <w:lvlText w:val="%1、"/>
      <w:lvlJc w:val="left"/>
      <w:rPr>
        <w:rFonts w:hint="eastAsia"/>
      </w:rPr>
    </w:lvl>
  </w:abstractNum>
  <w:abstractNum w:abstractNumId="7">
    <w:nsid w:val="71BD23B3"/>
    <w:multiLevelType w:val="multilevel"/>
    <w:tmpl w:val="71BD23B3"/>
    <w:lvl w:ilvl="0" w:tentative="0">
      <w:start w:val="1"/>
      <w:numFmt w:val="decimal"/>
      <w:lvlText w:val="%1、"/>
      <w:lvlJc w:val="left"/>
      <w:pPr>
        <w:tabs>
          <w:tab w:val="left" w:pos="900"/>
        </w:tabs>
        <w:ind w:left="900" w:hanging="360"/>
      </w:pPr>
      <w:rPr>
        <w:rFonts w:hint="eastAsia"/>
      </w:rPr>
    </w:lvl>
    <w:lvl w:ilvl="1" w:tentative="0">
      <w:start w:val="1"/>
      <w:numFmt w:val="lowerLetter"/>
      <w:lvlText w:val="%2)"/>
      <w:lvlJc w:val="left"/>
      <w:pPr>
        <w:tabs>
          <w:tab w:val="left" w:pos="1380"/>
        </w:tabs>
        <w:ind w:left="1380" w:hanging="420"/>
      </w:pPr>
    </w:lvl>
    <w:lvl w:ilvl="2" w:tentative="0">
      <w:start w:val="1"/>
      <w:numFmt w:val="lowerRoman"/>
      <w:lvlText w:val="%3."/>
      <w:lvlJc w:val="right"/>
      <w:pPr>
        <w:tabs>
          <w:tab w:val="left" w:pos="1800"/>
        </w:tabs>
        <w:ind w:left="1800" w:hanging="420"/>
      </w:pPr>
    </w:lvl>
    <w:lvl w:ilvl="3" w:tentative="0">
      <w:start w:val="1"/>
      <w:numFmt w:val="decimal"/>
      <w:lvlText w:val="%4."/>
      <w:lvlJc w:val="left"/>
      <w:pPr>
        <w:tabs>
          <w:tab w:val="left" w:pos="2220"/>
        </w:tabs>
        <w:ind w:left="2220" w:hanging="420"/>
      </w:pPr>
    </w:lvl>
    <w:lvl w:ilvl="4" w:tentative="0">
      <w:start w:val="1"/>
      <w:numFmt w:val="lowerLetter"/>
      <w:lvlText w:val="%5)"/>
      <w:lvlJc w:val="left"/>
      <w:pPr>
        <w:tabs>
          <w:tab w:val="left" w:pos="2640"/>
        </w:tabs>
        <w:ind w:left="2640" w:hanging="420"/>
      </w:pPr>
    </w:lvl>
    <w:lvl w:ilvl="5" w:tentative="0">
      <w:start w:val="1"/>
      <w:numFmt w:val="lowerRoman"/>
      <w:lvlText w:val="%6."/>
      <w:lvlJc w:val="right"/>
      <w:pPr>
        <w:tabs>
          <w:tab w:val="left" w:pos="3060"/>
        </w:tabs>
        <w:ind w:left="3060" w:hanging="420"/>
      </w:pPr>
    </w:lvl>
    <w:lvl w:ilvl="6" w:tentative="0">
      <w:start w:val="1"/>
      <w:numFmt w:val="decimal"/>
      <w:lvlText w:val="%7."/>
      <w:lvlJc w:val="left"/>
      <w:pPr>
        <w:tabs>
          <w:tab w:val="left" w:pos="3480"/>
        </w:tabs>
        <w:ind w:left="3480" w:hanging="420"/>
      </w:pPr>
    </w:lvl>
    <w:lvl w:ilvl="7" w:tentative="0">
      <w:start w:val="1"/>
      <w:numFmt w:val="lowerLetter"/>
      <w:lvlText w:val="%8)"/>
      <w:lvlJc w:val="left"/>
      <w:pPr>
        <w:tabs>
          <w:tab w:val="left" w:pos="3900"/>
        </w:tabs>
        <w:ind w:left="3900" w:hanging="420"/>
      </w:pPr>
    </w:lvl>
    <w:lvl w:ilvl="8" w:tentative="0">
      <w:start w:val="1"/>
      <w:numFmt w:val="lowerRoman"/>
      <w:lvlText w:val="%9."/>
      <w:lvlJc w:val="right"/>
      <w:pPr>
        <w:tabs>
          <w:tab w:val="left" w:pos="4320"/>
        </w:tabs>
        <w:ind w:left="4320" w:hanging="420"/>
      </w:pPr>
    </w:lvl>
  </w:abstractNum>
  <w:num w:numId="1">
    <w:abstractNumId w:val="2"/>
  </w:num>
  <w:num w:numId="2">
    <w:abstractNumId w:val="5"/>
  </w:num>
  <w:num w:numId="3">
    <w:abstractNumId w:val="0"/>
  </w:num>
  <w:num w:numId="4">
    <w:abstractNumId w:val="3"/>
  </w:num>
  <w:num w:numId="5">
    <w:abstractNumId w:val="1"/>
  </w:num>
  <w:num w:numId="6">
    <w:abstractNumId w:val="4"/>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dit="forms" w:enforcement="1" w:cryptProviderType="rsaFull" w:cryptAlgorithmClass="hash" w:cryptAlgorithmType="typeAny" w:cryptAlgorithmSid="4" w:cryptSpinCount="0" w:hash="M6YFDh1e02HX43TLHFmKF8wZ/30=" w:salt="h4+RVC/LC3WpikINcveSDg=="/>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g2OTI5MzRhYjk4NTBiNjk2MTE2ZjY4MWZkM2JmZTEifQ=="/>
  </w:docVars>
  <w:rsids>
    <w:rsidRoot w:val="694E3676"/>
    <w:rsid w:val="000118A6"/>
    <w:rsid w:val="003A6B66"/>
    <w:rsid w:val="004C0647"/>
    <w:rsid w:val="00522102"/>
    <w:rsid w:val="0058523E"/>
    <w:rsid w:val="00593A04"/>
    <w:rsid w:val="00724E62"/>
    <w:rsid w:val="00784799"/>
    <w:rsid w:val="00846033"/>
    <w:rsid w:val="008B1170"/>
    <w:rsid w:val="008B73C2"/>
    <w:rsid w:val="00A6244D"/>
    <w:rsid w:val="00A87F74"/>
    <w:rsid w:val="00BC757B"/>
    <w:rsid w:val="00BE1545"/>
    <w:rsid w:val="00C50B26"/>
    <w:rsid w:val="00CA7EEA"/>
    <w:rsid w:val="011B0745"/>
    <w:rsid w:val="011B6997"/>
    <w:rsid w:val="01394CDE"/>
    <w:rsid w:val="01454539"/>
    <w:rsid w:val="014B7B3B"/>
    <w:rsid w:val="015C46CF"/>
    <w:rsid w:val="016A0CCB"/>
    <w:rsid w:val="01853E11"/>
    <w:rsid w:val="01891B53"/>
    <w:rsid w:val="0191207F"/>
    <w:rsid w:val="0195514C"/>
    <w:rsid w:val="01964270"/>
    <w:rsid w:val="01981D96"/>
    <w:rsid w:val="01A91993"/>
    <w:rsid w:val="01B33237"/>
    <w:rsid w:val="01BD126D"/>
    <w:rsid w:val="01C0309B"/>
    <w:rsid w:val="01D37272"/>
    <w:rsid w:val="01E52B01"/>
    <w:rsid w:val="01E90844"/>
    <w:rsid w:val="020531A4"/>
    <w:rsid w:val="021138F7"/>
    <w:rsid w:val="021D673F"/>
    <w:rsid w:val="022C0A8A"/>
    <w:rsid w:val="022D16AF"/>
    <w:rsid w:val="02351C6D"/>
    <w:rsid w:val="02353A89"/>
    <w:rsid w:val="024B505A"/>
    <w:rsid w:val="02571C51"/>
    <w:rsid w:val="025A704C"/>
    <w:rsid w:val="02820350"/>
    <w:rsid w:val="029167E5"/>
    <w:rsid w:val="02A10B59"/>
    <w:rsid w:val="02B54D98"/>
    <w:rsid w:val="02CC0F3B"/>
    <w:rsid w:val="02D7012A"/>
    <w:rsid w:val="02DF57A3"/>
    <w:rsid w:val="03084CFA"/>
    <w:rsid w:val="03091FD2"/>
    <w:rsid w:val="03166B78"/>
    <w:rsid w:val="03172610"/>
    <w:rsid w:val="034473BB"/>
    <w:rsid w:val="035E4919"/>
    <w:rsid w:val="03653EFA"/>
    <w:rsid w:val="036C7261"/>
    <w:rsid w:val="03863E70"/>
    <w:rsid w:val="03914CEF"/>
    <w:rsid w:val="039D7B38"/>
    <w:rsid w:val="039E11BA"/>
    <w:rsid w:val="039F4141"/>
    <w:rsid w:val="03BD3D36"/>
    <w:rsid w:val="03C71E5A"/>
    <w:rsid w:val="03DF1EFE"/>
    <w:rsid w:val="03E870E6"/>
    <w:rsid w:val="0402799B"/>
    <w:rsid w:val="040D07F6"/>
    <w:rsid w:val="042446F9"/>
    <w:rsid w:val="042B5143"/>
    <w:rsid w:val="043F299D"/>
    <w:rsid w:val="04425FE9"/>
    <w:rsid w:val="046248DD"/>
    <w:rsid w:val="04762DCC"/>
    <w:rsid w:val="04966335"/>
    <w:rsid w:val="049A7BD3"/>
    <w:rsid w:val="04A71B2E"/>
    <w:rsid w:val="04B07CB0"/>
    <w:rsid w:val="04B8362B"/>
    <w:rsid w:val="04D56E5D"/>
    <w:rsid w:val="05080FE1"/>
    <w:rsid w:val="051536FE"/>
    <w:rsid w:val="051554AC"/>
    <w:rsid w:val="052851DF"/>
    <w:rsid w:val="05463E0D"/>
    <w:rsid w:val="0569054C"/>
    <w:rsid w:val="056D353A"/>
    <w:rsid w:val="05883ED0"/>
    <w:rsid w:val="05A63E97"/>
    <w:rsid w:val="05C3315A"/>
    <w:rsid w:val="05D215EF"/>
    <w:rsid w:val="05EE467B"/>
    <w:rsid w:val="05EF21A1"/>
    <w:rsid w:val="05FF4CF8"/>
    <w:rsid w:val="062A4F87"/>
    <w:rsid w:val="0630252B"/>
    <w:rsid w:val="064E5119"/>
    <w:rsid w:val="065C14C2"/>
    <w:rsid w:val="06700957"/>
    <w:rsid w:val="0688128A"/>
    <w:rsid w:val="06897EFF"/>
    <w:rsid w:val="068D6FDD"/>
    <w:rsid w:val="06BA0E7C"/>
    <w:rsid w:val="06C07699"/>
    <w:rsid w:val="06F23CF7"/>
    <w:rsid w:val="06F96EC4"/>
    <w:rsid w:val="07061550"/>
    <w:rsid w:val="07126147"/>
    <w:rsid w:val="071C6FC5"/>
    <w:rsid w:val="072E6CF9"/>
    <w:rsid w:val="075449B1"/>
    <w:rsid w:val="077566D6"/>
    <w:rsid w:val="07786736"/>
    <w:rsid w:val="078E51B9"/>
    <w:rsid w:val="07966D78"/>
    <w:rsid w:val="07A31495"/>
    <w:rsid w:val="07BA73E3"/>
    <w:rsid w:val="07D64EDE"/>
    <w:rsid w:val="07D8668E"/>
    <w:rsid w:val="07E80381"/>
    <w:rsid w:val="081C5B30"/>
    <w:rsid w:val="08275C22"/>
    <w:rsid w:val="08430582"/>
    <w:rsid w:val="085602B5"/>
    <w:rsid w:val="0858227F"/>
    <w:rsid w:val="0865674A"/>
    <w:rsid w:val="086A1FB2"/>
    <w:rsid w:val="08836BD0"/>
    <w:rsid w:val="08892439"/>
    <w:rsid w:val="089B03BE"/>
    <w:rsid w:val="08CC67C9"/>
    <w:rsid w:val="08D308B5"/>
    <w:rsid w:val="08DE0208"/>
    <w:rsid w:val="09061CDB"/>
    <w:rsid w:val="091343F8"/>
    <w:rsid w:val="092175CA"/>
    <w:rsid w:val="0926237D"/>
    <w:rsid w:val="093D3223"/>
    <w:rsid w:val="09420839"/>
    <w:rsid w:val="09463911"/>
    <w:rsid w:val="095742E5"/>
    <w:rsid w:val="097053A7"/>
    <w:rsid w:val="097F383C"/>
    <w:rsid w:val="09AB63DF"/>
    <w:rsid w:val="09C15C02"/>
    <w:rsid w:val="09D73678"/>
    <w:rsid w:val="09ED4C49"/>
    <w:rsid w:val="0A0C0215"/>
    <w:rsid w:val="0A0D0E47"/>
    <w:rsid w:val="0A0E1C34"/>
    <w:rsid w:val="0A0F2E11"/>
    <w:rsid w:val="0A1026E6"/>
    <w:rsid w:val="0A2F0DBE"/>
    <w:rsid w:val="0A2F2177"/>
    <w:rsid w:val="0A342100"/>
    <w:rsid w:val="0A4F76B2"/>
    <w:rsid w:val="0A6E5D8A"/>
    <w:rsid w:val="0A7D7D7B"/>
    <w:rsid w:val="0A892207"/>
    <w:rsid w:val="0A9B6453"/>
    <w:rsid w:val="0AA12CA0"/>
    <w:rsid w:val="0AB15C77"/>
    <w:rsid w:val="0AB94B2B"/>
    <w:rsid w:val="0AC37758"/>
    <w:rsid w:val="0ACC2AB1"/>
    <w:rsid w:val="0AF02C43"/>
    <w:rsid w:val="0AF73FD1"/>
    <w:rsid w:val="0B00275A"/>
    <w:rsid w:val="0B0C7351"/>
    <w:rsid w:val="0B204BAA"/>
    <w:rsid w:val="0B275F39"/>
    <w:rsid w:val="0B297F03"/>
    <w:rsid w:val="0B3A3EBE"/>
    <w:rsid w:val="0B6161A3"/>
    <w:rsid w:val="0B642CE9"/>
    <w:rsid w:val="0B7332FE"/>
    <w:rsid w:val="0B9B566C"/>
    <w:rsid w:val="0BA8707A"/>
    <w:rsid w:val="0BB7198C"/>
    <w:rsid w:val="0BEB340A"/>
    <w:rsid w:val="0C0B7609"/>
    <w:rsid w:val="0C1F4E62"/>
    <w:rsid w:val="0C3152C1"/>
    <w:rsid w:val="0C394176"/>
    <w:rsid w:val="0C547201"/>
    <w:rsid w:val="0C62191E"/>
    <w:rsid w:val="0C696A7E"/>
    <w:rsid w:val="0C811298"/>
    <w:rsid w:val="0C8353F1"/>
    <w:rsid w:val="0C886EAB"/>
    <w:rsid w:val="0C9B273A"/>
    <w:rsid w:val="0CA710DF"/>
    <w:rsid w:val="0CD36378"/>
    <w:rsid w:val="0CD518E9"/>
    <w:rsid w:val="0CD97582"/>
    <w:rsid w:val="0CF67C2C"/>
    <w:rsid w:val="0CF75CB5"/>
    <w:rsid w:val="0CFC245B"/>
    <w:rsid w:val="0D156991"/>
    <w:rsid w:val="0D1F67DA"/>
    <w:rsid w:val="0D4E59FF"/>
    <w:rsid w:val="0D995D7A"/>
    <w:rsid w:val="0D9A01E0"/>
    <w:rsid w:val="0DA73361"/>
    <w:rsid w:val="0DD368FF"/>
    <w:rsid w:val="0DD71E98"/>
    <w:rsid w:val="0DE16873"/>
    <w:rsid w:val="0E046358"/>
    <w:rsid w:val="0E107158"/>
    <w:rsid w:val="0E2624D8"/>
    <w:rsid w:val="0E2A619D"/>
    <w:rsid w:val="0E342E47"/>
    <w:rsid w:val="0E35096D"/>
    <w:rsid w:val="0E39220B"/>
    <w:rsid w:val="0E43308A"/>
    <w:rsid w:val="0E451A23"/>
    <w:rsid w:val="0E4E34C9"/>
    <w:rsid w:val="0E60079A"/>
    <w:rsid w:val="0E715E49"/>
    <w:rsid w:val="0E7C7503"/>
    <w:rsid w:val="0EAE5132"/>
    <w:rsid w:val="0EC75A69"/>
    <w:rsid w:val="0ED41F2A"/>
    <w:rsid w:val="0EDD3AC8"/>
    <w:rsid w:val="0EDF1DC9"/>
    <w:rsid w:val="0EE303C9"/>
    <w:rsid w:val="0EEF4FBF"/>
    <w:rsid w:val="0F152C78"/>
    <w:rsid w:val="0F1B4006"/>
    <w:rsid w:val="0F274759"/>
    <w:rsid w:val="0F2B249C"/>
    <w:rsid w:val="0F3F3E2C"/>
    <w:rsid w:val="0F4672D5"/>
    <w:rsid w:val="0F476BAA"/>
    <w:rsid w:val="0F501F02"/>
    <w:rsid w:val="0F533D19"/>
    <w:rsid w:val="0F5A68DD"/>
    <w:rsid w:val="0F707EAE"/>
    <w:rsid w:val="0F783207"/>
    <w:rsid w:val="0F890F70"/>
    <w:rsid w:val="0F8E485D"/>
    <w:rsid w:val="0F985657"/>
    <w:rsid w:val="0FB00BF3"/>
    <w:rsid w:val="0FCF1A1F"/>
    <w:rsid w:val="0FD348E1"/>
    <w:rsid w:val="0FDA17CC"/>
    <w:rsid w:val="0FDD306A"/>
    <w:rsid w:val="0FFE195E"/>
    <w:rsid w:val="10002664"/>
    <w:rsid w:val="100B00D7"/>
    <w:rsid w:val="10134CDE"/>
    <w:rsid w:val="1024127E"/>
    <w:rsid w:val="10294501"/>
    <w:rsid w:val="102E38C6"/>
    <w:rsid w:val="10596B94"/>
    <w:rsid w:val="105C62FE"/>
    <w:rsid w:val="10790FE5"/>
    <w:rsid w:val="10A5002C"/>
    <w:rsid w:val="10BF78A7"/>
    <w:rsid w:val="10C5247C"/>
    <w:rsid w:val="10E02E12"/>
    <w:rsid w:val="10EA5A3E"/>
    <w:rsid w:val="10EC7A09"/>
    <w:rsid w:val="10F62606"/>
    <w:rsid w:val="111A3F67"/>
    <w:rsid w:val="11353965"/>
    <w:rsid w:val="116E41C5"/>
    <w:rsid w:val="1186357B"/>
    <w:rsid w:val="1191737B"/>
    <w:rsid w:val="119836EC"/>
    <w:rsid w:val="119C228C"/>
    <w:rsid w:val="11D230A2"/>
    <w:rsid w:val="11E64458"/>
    <w:rsid w:val="11EE77B0"/>
    <w:rsid w:val="12080872"/>
    <w:rsid w:val="12105979"/>
    <w:rsid w:val="12241424"/>
    <w:rsid w:val="12323B41"/>
    <w:rsid w:val="12407683"/>
    <w:rsid w:val="124762E8"/>
    <w:rsid w:val="12505D75"/>
    <w:rsid w:val="127777A6"/>
    <w:rsid w:val="127F665A"/>
    <w:rsid w:val="128679E9"/>
    <w:rsid w:val="129C0FBA"/>
    <w:rsid w:val="12BF58DE"/>
    <w:rsid w:val="12C66037"/>
    <w:rsid w:val="12D1335A"/>
    <w:rsid w:val="12D70244"/>
    <w:rsid w:val="12E50BB3"/>
    <w:rsid w:val="12F9465F"/>
    <w:rsid w:val="13001549"/>
    <w:rsid w:val="13052701"/>
    <w:rsid w:val="1312127D"/>
    <w:rsid w:val="131B2827"/>
    <w:rsid w:val="1340009F"/>
    <w:rsid w:val="13427DB4"/>
    <w:rsid w:val="134700E9"/>
    <w:rsid w:val="134F427F"/>
    <w:rsid w:val="13531FC1"/>
    <w:rsid w:val="1356560D"/>
    <w:rsid w:val="13653AA2"/>
    <w:rsid w:val="137B1518"/>
    <w:rsid w:val="139647DD"/>
    <w:rsid w:val="139A199E"/>
    <w:rsid w:val="13A91BE1"/>
    <w:rsid w:val="13B54A2A"/>
    <w:rsid w:val="13C22CA3"/>
    <w:rsid w:val="13D34EB0"/>
    <w:rsid w:val="13F111A4"/>
    <w:rsid w:val="13F310AE"/>
    <w:rsid w:val="13F60B9E"/>
    <w:rsid w:val="13FC4407"/>
    <w:rsid w:val="14072DAB"/>
    <w:rsid w:val="14331CB2"/>
    <w:rsid w:val="145C4EA5"/>
    <w:rsid w:val="145F6743"/>
    <w:rsid w:val="146E3A58"/>
    <w:rsid w:val="14787805"/>
    <w:rsid w:val="148B578A"/>
    <w:rsid w:val="14916941"/>
    <w:rsid w:val="14991C55"/>
    <w:rsid w:val="14AB3737"/>
    <w:rsid w:val="14C12F5A"/>
    <w:rsid w:val="14CF6317"/>
    <w:rsid w:val="14E96948"/>
    <w:rsid w:val="14F41A64"/>
    <w:rsid w:val="15001CD4"/>
    <w:rsid w:val="15145780"/>
    <w:rsid w:val="151B6B0E"/>
    <w:rsid w:val="151C4634"/>
    <w:rsid w:val="15253E18"/>
    <w:rsid w:val="15543DCE"/>
    <w:rsid w:val="15724254"/>
    <w:rsid w:val="15764CC6"/>
    <w:rsid w:val="15A00DC2"/>
    <w:rsid w:val="15A05265"/>
    <w:rsid w:val="15B95A53"/>
    <w:rsid w:val="15DA0777"/>
    <w:rsid w:val="15EC3507"/>
    <w:rsid w:val="1603092B"/>
    <w:rsid w:val="16041EF6"/>
    <w:rsid w:val="160F6C00"/>
    <w:rsid w:val="16133C89"/>
    <w:rsid w:val="1641578F"/>
    <w:rsid w:val="16480CAC"/>
    <w:rsid w:val="164E081E"/>
    <w:rsid w:val="16680A46"/>
    <w:rsid w:val="167504A0"/>
    <w:rsid w:val="16831C06"/>
    <w:rsid w:val="168626AD"/>
    <w:rsid w:val="16AD12B7"/>
    <w:rsid w:val="16D231FD"/>
    <w:rsid w:val="16E15B36"/>
    <w:rsid w:val="17000FF0"/>
    <w:rsid w:val="17057BF5"/>
    <w:rsid w:val="17237EFC"/>
    <w:rsid w:val="17464B70"/>
    <w:rsid w:val="1763654B"/>
    <w:rsid w:val="176C3651"/>
    <w:rsid w:val="17AD77C6"/>
    <w:rsid w:val="17C4348D"/>
    <w:rsid w:val="17C71556"/>
    <w:rsid w:val="17E70F2A"/>
    <w:rsid w:val="17F618C4"/>
    <w:rsid w:val="180E64B6"/>
    <w:rsid w:val="18147845"/>
    <w:rsid w:val="18181992"/>
    <w:rsid w:val="181A3AAB"/>
    <w:rsid w:val="181B7D6E"/>
    <w:rsid w:val="183C74C7"/>
    <w:rsid w:val="183D061D"/>
    <w:rsid w:val="185B5474"/>
    <w:rsid w:val="186C763D"/>
    <w:rsid w:val="18714C97"/>
    <w:rsid w:val="18754787"/>
    <w:rsid w:val="188E5849"/>
    <w:rsid w:val="189C1D14"/>
    <w:rsid w:val="18AD3F21"/>
    <w:rsid w:val="18C64FE3"/>
    <w:rsid w:val="18C82B09"/>
    <w:rsid w:val="18ED431E"/>
    <w:rsid w:val="18FE3F48"/>
    <w:rsid w:val="1912647A"/>
    <w:rsid w:val="191C10A7"/>
    <w:rsid w:val="194F4FD8"/>
    <w:rsid w:val="196964A3"/>
    <w:rsid w:val="198804EA"/>
    <w:rsid w:val="198A4263"/>
    <w:rsid w:val="19947A33"/>
    <w:rsid w:val="199F4BEF"/>
    <w:rsid w:val="19A03A86"/>
    <w:rsid w:val="19A54BF8"/>
    <w:rsid w:val="19A71620"/>
    <w:rsid w:val="19B337B9"/>
    <w:rsid w:val="1A0062D3"/>
    <w:rsid w:val="1A0E09F0"/>
    <w:rsid w:val="1A0F6516"/>
    <w:rsid w:val="1A3F6FD0"/>
    <w:rsid w:val="1A815666"/>
    <w:rsid w:val="1A98650B"/>
    <w:rsid w:val="1A9F3D3E"/>
    <w:rsid w:val="1AB64BE3"/>
    <w:rsid w:val="1ABD5F72"/>
    <w:rsid w:val="1ABE15F4"/>
    <w:rsid w:val="1AD27C6F"/>
    <w:rsid w:val="1AE06CAF"/>
    <w:rsid w:val="1AE747FC"/>
    <w:rsid w:val="1AEE1F9A"/>
    <w:rsid w:val="1B0E7E5A"/>
    <w:rsid w:val="1B143444"/>
    <w:rsid w:val="1B1A46CC"/>
    <w:rsid w:val="1B242DC3"/>
    <w:rsid w:val="1B261D69"/>
    <w:rsid w:val="1B3E70B3"/>
    <w:rsid w:val="1B59213E"/>
    <w:rsid w:val="1B5A3204"/>
    <w:rsid w:val="1B6B3C20"/>
    <w:rsid w:val="1B6D5BEA"/>
    <w:rsid w:val="1B6F3710"/>
    <w:rsid w:val="1B740D26"/>
    <w:rsid w:val="1B9F0853"/>
    <w:rsid w:val="1BAA299A"/>
    <w:rsid w:val="1BBE036A"/>
    <w:rsid w:val="1BF43C15"/>
    <w:rsid w:val="1C00080C"/>
    <w:rsid w:val="1C0A168B"/>
    <w:rsid w:val="1C3E30E2"/>
    <w:rsid w:val="1C490AD1"/>
    <w:rsid w:val="1C511068"/>
    <w:rsid w:val="1C6C5EA1"/>
    <w:rsid w:val="1C850D11"/>
    <w:rsid w:val="1C8C6544"/>
    <w:rsid w:val="1CA92C52"/>
    <w:rsid w:val="1CAA0778"/>
    <w:rsid w:val="1CBA393A"/>
    <w:rsid w:val="1CC7132A"/>
    <w:rsid w:val="1CC83CEF"/>
    <w:rsid w:val="1CD22153"/>
    <w:rsid w:val="1CD35F20"/>
    <w:rsid w:val="1CF57C45"/>
    <w:rsid w:val="1D0E51AB"/>
    <w:rsid w:val="1D1502E7"/>
    <w:rsid w:val="1D350989"/>
    <w:rsid w:val="1D464944"/>
    <w:rsid w:val="1D681FD3"/>
    <w:rsid w:val="1D7768AC"/>
    <w:rsid w:val="1D78713B"/>
    <w:rsid w:val="1D9D57AA"/>
    <w:rsid w:val="1D9E65C6"/>
    <w:rsid w:val="1DAC03EC"/>
    <w:rsid w:val="1DC075CA"/>
    <w:rsid w:val="1DD71A40"/>
    <w:rsid w:val="1DD91315"/>
    <w:rsid w:val="1DE84488"/>
    <w:rsid w:val="1DF3687A"/>
    <w:rsid w:val="1DFB1E95"/>
    <w:rsid w:val="1E190976"/>
    <w:rsid w:val="1E1D0E76"/>
    <w:rsid w:val="1E3E73CA"/>
    <w:rsid w:val="1E401394"/>
    <w:rsid w:val="1E5B61CE"/>
    <w:rsid w:val="1E7D4396"/>
    <w:rsid w:val="1E990AA4"/>
    <w:rsid w:val="1EA243B9"/>
    <w:rsid w:val="1EAB405A"/>
    <w:rsid w:val="1EAC4C7B"/>
    <w:rsid w:val="1EAE454F"/>
    <w:rsid w:val="1EC31A53"/>
    <w:rsid w:val="1EC43FBB"/>
    <w:rsid w:val="1ED80850"/>
    <w:rsid w:val="1EEC32CA"/>
    <w:rsid w:val="1F114ADE"/>
    <w:rsid w:val="1F1545CE"/>
    <w:rsid w:val="1F3A2287"/>
    <w:rsid w:val="1F3D58D3"/>
    <w:rsid w:val="1F5275D0"/>
    <w:rsid w:val="1F7F659E"/>
    <w:rsid w:val="1F84126A"/>
    <w:rsid w:val="1F923788"/>
    <w:rsid w:val="1F933745"/>
    <w:rsid w:val="1FA45952"/>
    <w:rsid w:val="1FDA349D"/>
    <w:rsid w:val="1FF64F88"/>
    <w:rsid w:val="20052811"/>
    <w:rsid w:val="20160FBA"/>
    <w:rsid w:val="20895274"/>
    <w:rsid w:val="20915ED7"/>
    <w:rsid w:val="209239FD"/>
    <w:rsid w:val="20971013"/>
    <w:rsid w:val="209A4306"/>
    <w:rsid w:val="209D487B"/>
    <w:rsid w:val="20A0611A"/>
    <w:rsid w:val="20A3345E"/>
    <w:rsid w:val="20A51982"/>
    <w:rsid w:val="20BB41A0"/>
    <w:rsid w:val="20BB73F7"/>
    <w:rsid w:val="20D52A5A"/>
    <w:rsid w:val="20DF6424"/>
    <w:rsid w:val="20FA3A7C"/>
    <w:rsid w:val="211C60E8"/>
    <w:rsid w:val="211D776A"/>
    <w:rsid w:val="214116AB"/>
    <w:rsid w:val="214E5B76"/>
    <w:rsid w:val="215A451A"/>
    <w:rsid w:val="215E21B4"/>
    <w:rsid w:val="21635AC5"/>
    <w:rsid w:val="216D3574"/>
    <w:rsid w:val="21886A3B"/>
    <w:rsid w:val="21905D83"/>
    <w:rsid w:val="21921F06"/>
    <w:rsid w:val="21B1257A"/>
    <w:rsid w:val="21E8421C"/>
    <w:rsid w:val="21F3097B"/>
    <w:rsid w:val="21FE64EE"/>
    <w:rsid w:val="22066531"/>
    <w:rsid w:val="221C5C74"/>
    <w:rsid w:val="222526EF"/>
    <w:rsid w:val="2228286B"/>
    <w:rsid w:val="226118D9"/>
    <w:rsid w:val="227419B5"/>
    <w:rsid w:val="22806203"/>
    <w:rsid w:val="22AC349C"/>
    <w:rsid w:val="22B52EE5"/>
    <w:rsid w:val="22BD7457"/>
    <w:rsid w:val="22CD29F8"/>
    <w:rsid w:val="22CF0F38"/>
    <w:rsid w:val="22E22A19"/>
    <w:rsid w:val="22E91FFA"/>
    <w:rsid w:val="22EC1A1D"/>
    <w:rsid w:val="230010F2"/>
    <w:rsid w:val="23344139"/>
    <w:rsid w:val="23360FB7"/>
    <w:rsid w:val="234B4683"/>
    <w:rsid w:val="237B192E"/>
    <w:rsid w:val="2380427B"/>
    <w:rsid w:val="239F4DAE"/>
    <w:rsid w:val="23AF4BB2"/>
    <w:rsid w:val="23B7196E"/>
    <w:rsid w:val="23BC547F"/>
    <w:rsid w:val="23D83E1C"/>
    <w:rsid w:val="23E27848"/>
    <w:rsid w:val="23ED1676"/>
    <w:rsid w:val="23F8626D"/>
    <w:rsid w:val="241237D2"/>
    <w:rsid w:val="241C1F5B"/>
    <w:rsid w:val="241E038C"/>
    <w:rsid w:val="2426102C"/>
    <w:rsid w:val="24370B7B"/>
    <w:rsid w:val="244871F4"/>
    <w:rsid w:val="244942AA"/>
    <w:rsid w:val="245B6F27"/>
    <w:rsid w:val="248A3369"/>
    <w:rsid w:val="248D41FB"/>
    <w:rsid w:val="24994A1C"/>
    <w:rsid w:val="24B14D99"/>
    <w:rsid w:val="24BC27E6"/>
    <w:rsid w:val="24CA5E5B"/>
    <w:rsid w:val="24D523A7"/>
    <w:rsid w:val="24DF7846"/>
    <w:rsid w:val="24ED38F7"/>
    <w:rsid w:val="25164BFC"/>
    <w:rsid w:val="251B2BA7"/>
    <w:rsid w:val="25232A7A"/>
    <w:rsid w:val="25320969"/>
    <w:rsid w:val="255A1523"/>
    <w:rsid w:val="255B6BAA"/>
    <w:rsid w:val="255E5BD0"/>
    <w:rsid w:val="25761ED8"/>
    <w:rsid w:val="257B4CC6"/>
    <w:rsid w:val="25815CE3"/>
    <w:rsid w:val="2584600A"/>
    <w:rsid w:val="259049AF"/>
    <w:rsid w:val="25D30D3F"/>
    <w:rsid w:val="25F56F08"/>
    <w:rsid w:val="26064DF3"/>
    <w:rsid w:val="261D1FBA"/>
    <w:rsid w:val="26243349"/>
    <w:rsid w:val="262A522E"/>
    <w:rsid w:val="2637344B"/>
    <w:rsid w:val="263942ED"/>
    <w:rsid w:val="263A2B6C"/>
    <w:rsid w:val="263E318C"/>
    <w:rsid w:val="26631F5D"/>
    <w:rsid w:val="269229A8"/>
    <w:rsid w:val="26B24DF9"/>
    <w:rsid w:val="26B75F6B"/>
    <w:rsid w:val="26B77A91"/>
    <w:rsid w:val="26C2328E"/>
    <w:rsid w:val="26E61A60"/>
    <w:rsid w:val="26EA6341"/>
    <w:rsid w:val="26F40F6D"/>
    <w:rsid w:val="26FB22FC"/>
    <w:rsid w:val="271635D9"/>
    <w:rsid w:val="271C5387"/>
    <w:rsid w:val="272A0E33"/>
    <w:rsid w:val="27455C6D"/>
    <w:rsid w:val="27565784"/>
    <w:rsid w:val="275F6D2E"/>
    <w:rsid w:val="277F2F2D"/>
    <w:rsid w:val="27A110F5"/>
    <w:rsid w:val="27B119B4"/>
    <w:rsid w:val="27B150B0"/>
    <w:rsid w:val="27B33C90"/>
    <w:rsid w:val="27C43035"/>
    <w:rsid w:val="27D843EB"/>
    <w:rsid w:val="27DF1C1D"/>
    <w:rsid w:val="27FF3DA5"/>
    <w:rsid w:val="280C6C60"/>
    <w:rsid w:val="280E42B1"/>
    <w:rsid w:val="281F25B1"/>
    <w:rsid w:val="28215D92"/>
    <w:rsid w:val="28461C9C"/>
    <w:rsid w:val="28577A06"/>
    <w:rsid w:val="286363AA"/>
    <w:rsid w:val="286E6AFD"/>
    <w:rsid w:val="2886653D"/>
    <w:rsid w:val="288B3B53"/>
    <w:rsid w:val="28AC4754"/>
    <w:rsid w:val="28B10F71"/>
    <w:rsid w:val="28B44E58"/>
    <w:rsid w:val="28B70862"/>
    <w:rsid w:val="28C055AB"/>
    <w:rsid w:val="28C606E7"/>
    <w:rsid w:val="28C826B1"/>
    <w:rsid w:val="28CB3926"/>
    <w:rsid w:val="28D92B11"/>
    <w:rsid w:val="28F06D67"/>
    <w:rsid w:val="28FD019E"/>
    <w:rsid w:val="29194CBB"/>
    <w:rsid w:val="29211DC2"/>
    <w:rsid w:val="292673D8"/>
    <w:rsid w:val="292A6EC8"/>
    <w:rsid w:val="293715BB"/>
    <w:rsid w:val="29371F90"/>
    <w:rsid w:val="293B7327"/>
    <w:rsid w:val="29567CBD"/>
    <w:rsid w:val="29605CF1"/>
    <w:rsid w:val="296A5517"/>
    <w:rsid w:val="297445E7"/>
    <w:rsid w:val="29752839"/>
    <w:rsid w:val="297E7006"/>
    <w:rsid w:val="2984426B"/>
    <w:rsid w:val="298E7457"/>
    <w:rsid w:val="299B7DC6"/>
    <w:rsid w:val="299D58EC"/>
    <w:rsid w:val="29AF73CD"/>
    <w:rsid w:val="29C410CB"/>
    <w:rsid w:val="29D62BAC"/>
    <w:rsid w:val="29E467B7"/>
    <w:rsid w:val="29EA390C"/>
    <w:rsid w:val="29FC6AB7"/>
    <w:rsid w:val="2A1132FB"/>
    <w:rsid w:val="2A232A65"/>
    <w:rsid w:val="2A2B739C"/>
    <w:rsid w:val="2A321A45"/>
    <w:rsid w:val="2A336250"/>
    <w:rsid w:val="2A467D32"/>
    <w:rsid w:val="2A5A558B"/>
    <w:rsid w:val="2AB5302F"/>
    <w:rsid w:val="2AF43C32"/>
    <w:rsid w:val="2AFB5F62"/>
    <w:rsid w:val="2B0025D7"/>
    <w:rsid w:val="2B065713"/>
    <w:rsid w:val="2B0B2D29"/>
    <w:rsid w:val="2B1114D4"/>
    <w:rsid w:val="2B4F70BA"/>
    <w:rsid w:val="2B582436"/>
    <w:rsid w:val="2B5E649A"/>
    <w:rsid w:val="2B6C5576"/>
    <w:rsid w:val="2B8A3D12"/>
    <w:rsid w:val="2B8D373E"/>
    <w:rsid w:val="2BA271EA"/>
    <w:rsid w:val="2BDB26FC"/>
    <w:rsid w:val="2BDD3FF4"/>
    <w:rsid w:val="2BF33EE9"/>
    <w:rsid w:val="2C002162"/>
    <w:rsid w:val="2C0E487F"/>
    <w:rsid w:val="2C151290"/>
    <w:rsid w:val="2C295D59"/>
    <w:rsid w:val="2C3A5674"/>
    <w:rsid w:val="2C535312"/>
    <w:rsid w:val="2C7A0167"/>
    <w:rsid w:val="2C7D5862"/>
    <w:rsid w:val="2C8D2AB6"/>
    <w:rsid w:val="2C9C41FE"/>
    <w:rsid w:val="2CA63A0C"/>
    <w:rsid w:val="2CA80956"/>
    <w:rsid w:val="2CAD22EA"/>
    <w:rsid w:val="2CAF6062"/>
    <w:rsid w:val="2CD86C3B"/>
    <w:rsid w:val="2CDF446E"/>
    <w:rsid w:val="2CDF7B40"/>
    <w:rsid w:val="2D104627"/>
    <w:rsid w:val="2D1F486A"/>
    <w:rsid w:val="2D2C5FB8"/>
    <w:rsid w:val="2D393B7E"/>
    <w:rsid w:val="2D5B7F98"/>
    <w:rsid w:val="2D6230D5"/>
    <w:rsid w:val="2D6B7AAF"/>
    <w:rsid w:val="2D6C3F53"/>
    <w:rsid w:val="2D887326"/>
    <w:rsid w:val="2D9A60D9"/>
    <w:rsid w:val="2DAE5E11"/>
    <w:rsid w:val="2DBB4593"/>
    <w:rsid w:val="2DBD655D"/>
    <w:rsid w:val="2DEA190A"/>
    <w:rsid w:val="2DEE4968"/>
    <w:rsid w:val="2DF57369"/>
    <w:rsid w:val="2E00644A"/>
    <w:rsid w:val="2E13617D"/>
    <w:rsid w:val="2E181C50"/>
    <w:rsid w:val="2E3B56D4"/>
    <w:rsid w:val="2E50117F"/>
    <w:rsid w:val="2E6E3B96"/>
    <w:rsid w:val="2E7C09DF"/>
    <w:rsid w:val="2E8A0DE4"/>
    <w:rsid w:val="2E960B5C"/>
    <w:rsid w:val="2EA20D1E"/>
    <w:rsid w:val="2EDA6C9B"/>
    <w:rsid w:val="2EE4774E"/>
    <w:rsid w:val="2EE63891"/>
    <w:rsid w:val="2F1542D3"/>
    <w:rsid w:val="2F19273E"/>
    <w:rsid w:val="2F5C3B54"/>
    <w:rsid w:val="2F673E2F"/>
    <w:rsid w:val="2F6E51EC"/>
    <w:rsid w:val="2FA2210D"/>
    <w:rsid w:val="2FAB0637"/>
    <w:rsid w:val="2FBE480E"/>
    <w:rsid w:val="2FCD4A51"/>
    <w:rsid w:val="2FDD4C94"/>
    <w:rsid w:val="2FF664C4"/>
    <w:rsid w:val="30120F5C"/>
    <w:rsid w:val="30137621"/>
    <w:rsid w:val="301C02EE"/>
    <w:rsid w:val="303633D2"/>
    <w:rsid w:val="303F0AD8"/>
    <w:rsid w:val="30420F9B"/>
    <w:rsid w:val="30561E5F"/>
    <w:rsid w:val="30622FEF"/>
    <w:rsid w:val="306A22A0"/>
    <w:rsid w:val="307B6271"/>
    <w:rsid w:val="307F795E"/>
    <w:rsid w:val="307F7AFA"/>
    <w:rsid w:val="30A734F4"/>
    <w:rsid w:val="30B40117"/>
    <w:rsid w:val="30C97D27"/>
    <w:rsid w:val="30DB7678"/>
    <w:rsid w:val="30FC4AEC"/>
    <w:rsid w:val="310A6DB4"/>
    <w:rsid w:val="310D2353"/>
    <w:rsid w:val="31132938"/>
    <w:rsid w:val="316867E0"/>
    <w:rsid w:val="317F1D7B"/>
    <w:rsid w:val="3183186B"/>
    <w:rsid w:val="3186135C"/>
    <w:rsid w:val="31893719"/>
    <w:rsid w:val="318F1FBE"/>
    <w:rsid w:val="319E0453"/>
    <w:rsid w:val="31BE28A4"/>
    <w:rsid w:val="31C3610C"/>
    <w:rsid w:val="31CF2D03"/>
    <w:rsid w:val="31D10829"/>
    <w:rsid w:val="31E06CBE"/>
    <w:rsid w:val="31EA18EB"/>
    <w:rsid w:val="31F42567"/>
    <w:rsid w:val="320D55D9"/>
    <w:rsid w:val="32103170"/>
    <w:rsid w:val="3240150B"/>
    <w:rsid w:val="32560D2E"/>
    <w:rsid w:val="32754A82"/>
    <w:rsid w:val="32820442"/>
    <w:rsid w:val="32841682"/>
    <w:rsid w:val="328A3B1A"/>
    <w:rsid w:val="32990C1B"/>
    <w:rsid w:val="32A25D21"/>
    <w:rsid w:val="32B61940"/>
    <w:rsid w:val="32CB5278"/>
    <w:rsid w:val="32D14858"/>
    <w:rsid w:val="33075200"/>
    <w:rsid w:val="33154745"/>
    <w:rsid w:val="332826CA"/>
    <w:rsid w:val="33413EDE"/>
    <w:rsid w:val="33784BF7"/>
    <w:rsid w:val="3381460F"/>
    <w:rsid w:val="338748EA"/>
    <w:rsid w:val="33995376"/>
    <w:rsid w:val="339B682A"/>
    <w:rsid w:val="339C4E66"/>
    <w:rsid w:val="339C6C14"/>
    <w:rsid w:val="33A902AB"/>
    <w:rsid w:val="33ED7470"/>
    <w:rsid w:val="33F407FF"/>
    <w:rsid w:val="340D18C0"/>
    <w:rsid w:val="341B5D8B"/>
    <w:rsid w:val="341C4BE7"/>
    <w:rsid w:val="343230D5"/>
    <w:rsid w:val="343F6D1F"/>
    <w:rsid w:val="34441786"/>
    <w:rsid w:val="34651714"/>
    <w:rsid w:val="34684D49"/>
    <w:rsid w:val="346C0203"/>
    <w:rsid w:val="34763909"/>
    <w:rsid w:val="34833930"/>
    <w:rsid w:val="34965153"/>
    <w:rsid w:val="34A264AC"/>
    <w:rsid w:val="34B52527"/>
    <w:rsid w:val="34BF705E"/>
    <w:rsid w:val="34CF7CCA"/>
    <w:rsid w:val="34D348B8"/>
    <w:rsid w:val="34E16FD5"/>
    <w:rsid w:val="34E22D4D"/>
    <w:rsid w:val="34E73EBF"/>
    <w:rsid w:val="3538471B"/>
    <w:rsid w:val="35435B71"/>
    <w:rsid w:val="354B2100"/>
    <w:rsid w:val="356419B4"/>
    <w:rsid w:val="3567711E"/>
    <w:rsid w:val="35702107"/>
    <w:rsid w:val="3587296A"/>
    <w:rsid w:val="35C661CB"/>
    <w:rsid w:val="35C91817"/>
    <w:rsid w:val="35CF2D60"/>
    <w:rsid w:val="35D42696"/>
    <w:rsid w:val="35E84393"/>
    <w:rsid w:val="35E86141"/>
    <w:rsid w:val="35F51433"/>
    <w:rsid w:val="363870C8"/>
    <w:rsid w:val="36392E40"/>
    <w:rsid w:val="36405F7D"/>
    <w:rsid w:val="36877708"/>
    <w:rsid w:val="36944C84"/>
    <w:rsid w:val="36A36628"/>
    <w:rsid w:val="36AA6330"/>
    <w:rsid w:val="36AC3612"/>
    <w:rsid w:val="36B50719"/>
    <w:rsid w:val="36B536E8"/>
    <w:rsid w:val="36CB1FBD"/>
    <w:rsid w:val="36D641EB"/>
    <w:rsid w:val="36E06CFA"/>
    <w:rsid w:val="37037608"/>
    <w:rsid w:val="37094D9B"/>
    <w:rsid w:val="370E1BD7"/>
    <w:rsid w:val="374324BD"/>
    <w:rsid w:val="374B6987"/>
    <w:rsid w:val="374E6478"/>
    <w:rsid w:val="377203B8"/>
    <w:rsid w:val="37734130"/>
    <w:rsid w:val="378F4EB7"/>
    <w:rsid w:val="37980C01"/>
    <w:rsid w:val="379F4F25"/>
    <w:rsid w:val="37AF4771"/>
    <w:rsid w:val="37BA3B0D"/>
    <w:rsid w:val="37CB1876"/>
    <w:rsid w:val="3810372D"/>
    <w:rsid w:val="38170F5F"/>
    <w:rsid w:val="382974C8"/>
    <w:rsid w:val="383218F5"/>
    <w:rsid w:val="383B4C4E"/>
    <w:rsid w:val="383C4522"/>
    <w:rsid w:val="3853709A"/>
    <w:rsid w:val="385B0E4C"/>
    <w:rsid w:val="387719FE"/>
    <w:rsid w:val="388C36FB"/>
    <w:rsid w:val="38983E4E"/>
    <w:rsid w:val="38AF2F46"/>
    <w:rsid w:val="38D97FC3"/>
    <w:rsid w:val="38E075A3"/>
    <w:rsid w:val="390239BE"/>
    <w:rsid w:val="390B742C"/>
    <w:rsid w:val="39205BF2"/>
    <w:rsid w:val="39522A4F"/>
    <w:rsid w:val="395835DE"/>
    <w:rsid w:val="3960563F"/>
    <w:rsid w:val="39665CFB"/>
    <w:rsid w:val="398E78CA"/>
    <w:rsid w:val="3995213C"/>
    <w:rsid w:val="39CA46E3"/>
    <w:rsid w:val="39CB2002"/>
    <w:rsid w:val="39D37108"/>
    <w:rsid w:val="3A092B2A"/>
    <w:rsid w:val="3A173499"/>
    <w:rsid w:val="3A424D31"/>
    <w:rsid w:val="3A445910"/>
    <w:rsid w:val="3A540249"/>
    <w:rsid w:val="3A886068"/>
    <w:rsid w:val="3A89534A"/>
    <w:rsid w:val="3A9248CD"/>
    <w:rsid w:val="3AAA60BB"/>
    <w:rsid w:val="3AB331C1"/>
    <w:rsid w:val="3AC16F61"/>
    <w:rsid w:val="3ADB0022"/>
    <w:rsid w:val="3ADF335C"/>
    <w:rsid w:val="3AFE1F63"/>
    <w:rsid w:val="3B024015"/>
    <w:rsid w:val="3B077069"/>
    <w:rsid w:val="3B083F8B"/>
    <w:rsid w:val="3B1E43B3"/>
    <w:rsid w:val="3B225C51"/>
    <w:rsid w:val="3B37375B"/>
    <w:rsid w:val="3B5878C5"/>
    <w:rsid w:val="3B8E32E7"/>
    <w:rsid w:val="3BA26D92"/>
    <w:rsid w:val="3BB23479"/>
    <w:rsid w:val="3BCD02B3"/>
    <w:rsid w:val="3BCD0413"/>
    <w:rsid w:val="3BCE7B87"/>
    <w:rsid w:val="3BD340EA"/>
    <w:rsid w:val="3BD602EF"/>
    <w:rsid w:val="3BE70C49"/>
    <w:rsid w:val="3C0A04E7"/>
    <w:rsid w:val="3C0A2960"/>
    <w:rsid w:val="3C106156"/>
    <w:rsid w:val="3C153A08"/>
    <w:rsid w:val="3C1732DC"/>
    <w:rsid w:val="3C1A596C"/>
    <w:rsid w:val="3C2105FF"/>
    <w:rsid w:val="3C3C47FA"/>
    <w:rsid w:val="3C616C4D"/>
    <w:rsid w:val="3C667DC0"/>
    <w:rsid w:val="3C6A6406"/>
    <w:rsid w:val="3C6D55F2"/>
    <w:rsid w:val="3C776471"/>
    <w:rsid w:val="3C8E0F9D"/>
    <w:rsid w:val="3CB56181"/>
    <w:rsid w:val="3CB86A89"/>
    <w:rsid w:val="3CBA010B"/>
    <w:rsid w:val="3CC60375"/>
    <w:rsid w:val="3CD70CBD"/>
    <w:rsid w:val="3CDE029E"/>
    <w:rsid w:val="3CE4475D"/>
    <w:rsid w:val="3D0C4E0B"/>
    <w:rsid w:val="3D406863"/>
    <w:rsid w:val="3D583BAC"/>
    <w:rsid w:val="3D744F35"/>
    <w:rsid w:val="3D7B5AED"/>
    <w:rsid w:val="3D803103"/>
    <w:rsid w:val="3D94095C"/>
    <w:rsid w:val="3DB64D77"/>
    <w:rsid w:val="3DBF3C2B"/>
    <w:rsid w:val="3DCE20C0"/>
    <w:rsid w:val="3DD21D54"/>
    <w:rsid w:val="3DF064DB"/>
    <w:rsid w:val="3E0728CE"/>
    <w:rsid w:val="3E154DAD"/>
    <w:rsid w:val="3E310BD1"/>
    <w:rsid w:val="3E4800C5"/>
    <w:rsid w:val="3E6C6689"/>
    <w:rsid w:val="3E6D7B2B"/>
    <w:rsid w:val="3E787981"/>
    <w:rsid w:val="3E7C44A5"/>
    <w:rsid w:val="3E88226F"/>
    <w:rsid w:val="3E927592"/>
    <w:rsid w:val="3EA03A5D"/>
    <w:rsid w:val="3EB72B54"/>
    <w:rsid w:val="3ED6747E"/>
    <w:rsid w:val="3ED76E6D"/>
    <w:rsid w:val="3EDF3E59"/>
    <w:rsid w:val="3EF94F1B"/>
    <w:rsid w:val="3EFC5866"/>
    <w:rsid w:val="3EFE0783"/>
    <w:rsid w:val="3F361630"/>
    <w:rsid w:val="3F3C12AC"/>
    <w:rsid w:val="3F41262A"/>
    <w:rsid w:val="3F4C7741"/>
    <w:rsid w:val="3F5751EC"/>
    <w:rsid w:val="3F8F762D"/>
    <w:rsid w:val="3F982986"/>
    <w:rsid w:val="3F9966FE"/>
    <w:rsid w:val="3FA94B93"/>
    <w:rsid w:val="3FAD415A"/>
    <w:rsid w:val="400D3374"/>
    <w:rsid w:val="400D65EC"/>
    <w:rsid w:val="401C5365"/>
    <w:rsid w:val="40267F92"/>
    <w:rsid w:val="40464190"/>
    <w:rsid w:val="405930EC"/>
    <w:rsid w:val="40704BED"/>
    <w:rsid w:val="4081341A"/>
    <w:rsid w:val="40884808"/>
    <w:rsid w:val="40890521"/>
    <w:rsid w:val="408D1DBF"/>
    <w:rsid w:val="40B557B9"/>
    <w:rsid w:val="40BF3F42"/>
    <w:rsid w:val="40DD6794"/>
    <w:rsid w:val="40E340D5"/>
    <w:rsid w:val="40FA15B8"/>
    <w:rsid w:val="40FE2CBD"/>
    <w:rsid w:val="410F4ECA"/>
    <w:rsid w:val="41285F8B"/>
    <w:rsid w:val="41384ACC"/>
    <w:rsid w:val="41401283"/>
    <w:rsid w:val="41594397"/>
    <w:rsid w:val="416B7C26"/>
    <w:rsid w:val="416C231C"/>
    <w:rsid w:val="416D1BF0"/>
    <w:rsid w:val="41734075"/>
    <w:rsid w:val="417C1E33"/>
    <w:rsid w:val="41962EF5"/>
    <w:rsid w:val="42004812"/>
    <w:rsid w:val="42134546"/>
    <w:rsid w:val="422B2058"/>
    <w:rsid w:val="422C1AAB"/>
    <w:rsid w:val="42707BEA"/>
    <w:rsid w:val="427F2929"/>
    <w:rsid w:val="42903DE8"/>
    <w:rsid w:val="42914900"/>
    <w:rsid w:val="42932E0A"/>
    <w:rsid w:val="429562DA"/>
    <w:rsid w:val="42A41642"/>
    <w:rsid w:val="42AB29D0"/>
    <w:rsid w:val="42AB6E74"/>
    <w:rsid w:val="42B86E9B"/>
    <w:rsid w:val="42BF647C"/>
    <w:rsid w:val="42C26EBB"/>
    <w:rsid w:val="42C447F4"/>
    <w:rsid w:val="42E163F2"/>
    <w:rsid w:val="42F27ED7"/>
    <w:rsid w:val="42F44377"/>
    <w:rsid w:val="42F8373B"/>
    <w:rsid w:val="42FB23EF"/>
    <w:rsid w:val="43052685"/>
    <w:rsid w:val="43140575"/>
    <w:rsid w:val="434075BC"/>
    <w:rsid w:val="43562D62"/>
    <w:rsid w:val="437E00E5"/>
    <w:rsid w:val="43805C0B"/>
    <w:rsid w:val="43970784"/>
    <w:rsid w:val="43980E0E"/>
    <w:rsid w:val="43A75D32"/>
    <w:rsid w:val="43B27D8E"/>
    <w:rsid w:val="43B34232"/>
    <w:rsid w:val="43E048FB"/>
    <w:rsid w:val="43E837B0"/>
    <w:rsid w:val="43FC6264"/>
    <w:rsid w:val="4414507B"/>
    <w:rsid w:val="4441183E"/>
    <w:rsid w:val="44580936"/>
    <w:rsid w:val="447B4624"/>
    <w:rsid w:val="447C0AC8"/>
    <w:rsid w:val="4493196E"/>
    <w:rsid w:val="449D27EC"/>
    <w:rsid w:val="44C164DB"/>
    <w:rsid w:val="44DE20BF"/>
    <w:rsid w:val="450B3BFA"/>
    <w:rsid w:val="452627E2"/>
    <w:rsid w:val="45283D54"/>
    <w:rsid w:val="456A4DC4"/>
    <w:rsid w:val="45B20519"/>
    <w:rsid w:val="45C02C36"/>
    <w:rsid w:val="45CB161E"/>
    <w:rsid w:val="45D264C6"/>
    <w:rsid w:val="46132D66"/>
    <w:rsid w:val="46255B1F"/>
    <w:rsid w:val="463351B6"/>
    <w:rsid w:val="46445615"/>
    <w:rsid w:val="46492C2C"/>
    <w:rsid w:val="466C2476"/>
    <w:rsid w:val="46780E1B"/>
    <w:rsid w:val="469F284C"/>
    <w:rsid w:val="46A67FEE"/>
    <w:rsid w:val="46B06807"/>
    <w:rsid w:val="46B52BB6"/>
    <w:rsid w:val="46E26BDC"/>
    <w:rsid w:val="46F5427E"/>
    <w:rsid w:val="46FA2178"/>
    <w:rsid w:val="47072195"/>
    <w:rsid w:val="47172FCE"/>
    <w:rsid w:val="47176886"/>
    <w:rsid w:val="471E420C"/>
    <w:rsid w:val="4761706C"/>
    <w:rsid w:val="4763687F"/>
    <w:rsid w:val="477B5067"/>
    <w:rsid w:val="477F61D9"/>
    <w:rsid w:val="47817449"/>
    <w:rsid w:val="4783216D"/>
    <w:rsid w:val="4798402A"/>
    <w:rsid w:val="479E2205"/>
    <w:rsid w:val="47A766F5"/>
    <w:rsid w:val="47AF4D11"/>
    <w:rsid w:val="47EA7AF7"/>
    <w:rsid w:val="47F646ED"/>
    <w:rsid w:val="47FC5A7C"/>
    <w:rsid w:val="4803505C"/>
    <w:rsid w:val="480A1F47"/>
    <w:rsid w:val="48142DC6"/>
    <w:rsid w:val="481825A2"/>
    <w:rsid w:val="482A4397"/>
    <w:rsid w:val="48376AB4"/>
    <w:rsid w:val="483B65A4"/>
    <w:rsid w:val="48403BBB"/>
    <w:rsid w:val="484F02A2"/>
    <w:rsid w:val="486C2C02"/>
    <w:rsid w:val="48710218"/>
    <w:rsid w:val="487446A9"/>
    <w:rsid w:val="487675DC"/>
    <w:rsid w:val="487D6BBD"/>
    <w:rsid w:val="488066AD"/>
    <w:rsid w:val="488C5FF8"/>
    <w:rsid w:val="48A01144"/>
    <w:rsid w:val="48A91760"/>
    <w:rsid w:val="48A979B2"/>
    <w:rsid w:val="48AA54D8"/>
    <w:rsid w:val="48AC1250"/>
    <w:rsid w:val="48AE3F11"/>
    <w:rsid w:val="48BD530E"/>
    <w:rsid w:val="48DD58AD"/>
    <w:rsid w:val="48DF1625"/>
    <w:rsid w:val="48E4097A"/>
    <w:rsid w:val="4904108C"/>
    <w:rsid w:val="4928358B"/>
    <w:rsid w:val="49303C2F"/>
    <w:rsid w:val="493C4382"/>
    <w:rsid w:val="494D2A33"/>
    <w:rsid w:val="49667651"/>
    <w:rsid w:val="49A962E3"/>
    <w:rsid w:val="49AA1C33"/>
    <w:rsid w:val="49AC3B47"/>
    <w:rsid w:val="49AF0FF8"/>
    <w:rsid w:val="49BB5BEF"/>
    <w:rsid w:val="49CB3958"/>
    <w:rsid w:val="49D2118A"/>
    <w:rsid w:val="49DE368B"/>
    <w:rsid w:val="49EF5898"/>
    <w:rsid w:val="49FE5ADB"/>
    <w:rsid w:val="4A696166"/>
    <w:rsid w:val="4A8E50B1"/>
    <w:rsid w:val="4A9357E4"/>
    <w:rsid w:val="4AA5064D"/>
    <w:rsid w:val="4AB81212"/>
    <w:rsid w:val="4AD870BB"/>
    <w:rsid w:val="4ADE5503"/>
    <w:rsid w:val="4AF64A04"/>
    <w:rsid w:val="4AFF7D5D"/>
    <w:rsid w:val="4B1355B6"/>
    <w:rsid w:val="4B137364"/>
    <w:rsid w:val="4B14769A"/>
    <w:rsid w:val="4B1B446B"/>
    <w:rsid w:val="4B241572"/>
    <w:rsid w:val="4B2477C4"/>
    <w:rsid w:val="4B47151E"/>
    <w:rsid w:val="4B5E0F27"/>
    <w:rsid w:val="4B616322"/>
    <w:rsid w:val="4B7818BD"/>
    <w:rsid w:val="4B977B4C"/>
    <w:rsid w:val="4BAD77B9"/>
    <w:rsid w:val="4BB26B7D"/>
    <w:rsid w:val="4BB5041C"/>
    <w:rsid w:val="4BC82845"/>
    <w:rsid w:val="4BCB3861"/>
    <w:rsid w:val="4BDC33B4"/>
    <w:rsid w:val="4BE86A43"/>
    <w:rsid w:val="4BF76B91"/>
    <w:rsid w:val="4C066EC9"/>
    <w:rsid w:val="4C14451D"/>
    <w:rsid w:val="4C1635B0"/>
    <w:rsid w:val="4C243449"/>
    <w:rsid w:val="4C3E6663"/>
    <w:rsid w:val="4CB60D7D"/>
    <w:rsid w:val="4CCD02B2"/>
    <w:rsid w:val="4CDF1BF4"/>
    <w:rsid w:val="4CE0771A"/>
    <w:rsid w:val="4CEC13D1"/>
    <w:rsid w:val="4CEE62DB"/>
    <w:rsid w:val="4D6E7AD9"/>
    <w:rsid w:val="4D704F42"/>
    <w:rsid w:val="4D7560B4"/>
    <w:rsid w:val="4D7F6F33"/>
    <w:rsid w:val="4DDC66B4"/>
    <w:rsid w:val="4DDE24C4"/>
    <w:rsid w:val="4DE00B2A"/>
    <w:rsid w:val="4DE35714"/>
    <w:rsid w:val="4DEB2042"/>
    <w:rsid w:val="4DF647A7"/>
    <w:rsid w:val="4DF711BF"/>
    <w:rsid w:val="4E0A1360"/>
    <w:rsid w:val="4E0B07C7"/>
    <w:rsid w:val="4E121B55"/>
    <w:rsid w:val="4E1F7D62"/>
    <w:rsid w:val="4E2D4BE1"/>
    <w:rsid w:val="4E3E6DEE"/>
    <w:rsid w:val="4E434405"/>
    <w:rsid w:val="4E526C20"/>
    <w:rsid w:val="4E5352BB"/>
    <w:rsid w:val="4E697925"/>
    <w:rsid w:val="4E6B74B7"/>
    <w:rsid w:val="4E83361B"/>
    <w:rsid w:val="4E944C60"/>
    <w:rsid w:val="4E946A0E"/>
    <w:rsid w:val="4EC15F85"/>
    <w:rsid w:val="4EDE5EDB"/>
    <w:rsid w:val="4EE259CC"/>
    <w:rsid w:val="4EEE716C"/>
    <w:rsid w:val="4F1D2EA8"/>
    <w:rsid w:val="4F204746"/>
    <w:rsid w:val="4F2F6737"/>
    <w:rsid w:val="4F3124AF"/>
    <w:rsid w:val="4F3B332E"/>
    <w:rsid w:val="4F3D572A"/>
    <w:rsid w:val="4F475AAF"/>
    <w:rsid w:val="4F716D4F"/>
    <w:rsid w:val="4F734876"/>
    <w:rsid w:val="4FAA6EA7"/>
    <w:rsid w:val="4FB235F0"/>
    <w:rsid w:val="4FBA24A4"/>
    <w:rsid w:val="4FE94B38"/>
    <w:rsid w:val="4FF5172F"/>
    <w:rsid w:val="4FFE6835"/>
    <w:rsid w:val="500951DA"/>
    <w:rsid w:val="501A56F4"/>
    <w:rsid w:val="50285660"/>
    <w:rsid w:val="502B5150"/>
    <w:rsid w:val="502F2E92"/>
    <w:rsid w:val="503F29AA"/>
    <w:rsid w:val="505E1082"/>
    <w:rsid w:val="507D7C99"/>
    <w:rsid w:val="507F3C4C"/>
    <w:rsid w:val="508567BA"/>
    <w:rsid w:val="508F3931"/>
    <w:rsid w:val="5095081C"/>
    <w:rsid w:val="50B74C36"/>
    <w:rsid w:val="50B97362"/>
    <w:rsid w:val="50BD049E"/>
    <w:rsid w:val="50ED0658"/>
    <w:rsid w:val="50F645C0"/>
    <w:rsid w:val="511922CC"/>
    <w:rsid w:val="51344B3B"/>
    <w:rsid w:val="51360251"/>
    <w:rsid w:val="513F5357"/>
    <w:rsid w:val="51976F41"/>
    <w:rsid w:val="519F5DF6"/>
    <w:rsid w:val="51A11B6E"/>
    <w:rsid w:val="51CD2963"/>
    <w:rsid w:val="51D84E64"/>
    <w:rsid w:val="520143BB"/>
    <w:rsid w:val="52296714"/>
    <w:rsid w:val="522B58DB"/>
    <w:rsid w:val="52350BA2"/>
    <w:rsid w:val="523D116B"/>
    <w:rsid w:val="525210BA"/>
    <w:rsid w:val="525A1D1D"/>
    <w:rsid w:val="52644E71"/>
    <w:rsid w:val="52662470"/>
    <w:rsid w:val="52754DA9"/>
    <w:rsid w:val="52760EC8"/>
    <w:rsid w:val="52786D8B"/>
    <w:rsid w:val="529671F9"/>
    <w:rsid w:val="52B21B59"/>
    <w:rsid w:val="52C13B4A"/>
    <w:rsid w:val="530B5CD4"/>
    <w:rsid w:val="531225F7"/>
    <w:rsid w:val="53346A12"/>
    <w:rsid w:val="53426A39"/>
    <w:rsid w:val="5345477B"/>
    <w:rsid w:val="53465AE9"/>
    <w:rsid w:val="535952E5"/>
    <w:rsid w:val="535D7D17"/>
    <w:rsid w:val="536410A5"/>
    <w:rsid w:val="538857C5"/>
    <w:rsid w:val="53A94D0A"/>
    <w:rsid w:val="53B13BBE"/>
    <w:rsid w:val="53C720F6"/>
    <w:rsid w:val="53CC09F8"/>
    <w:rsid w:val="53DB785D"/>
    <w:rsid w:val="53E144A4"/>
    <w:rsid w:val="53E2646E"/>
    <w:rsid w:val="54106B37"/>
    <w:rsid w:val="541F1E2F"/>
    <w:rsid w:val="542004D9"/>
    <w:rsid w:val="5422686A"/>
    <w:rsid w:val="54316AAD"/>
    <w:rsid w:val="54414F42"/>
    <w:rsid w:val="54422A68"/>
    <w:rsid w:val="54484523"/>
    <w:rsid w:val="5449029B"/>
    <w:rsid w:val="545021E6"/>
    <w:rsid w:val="54674583"/>
    <w:rsid w:val="54751090"/>
    <w:rsid w:val="549079CA"/>
    <w:rsid w:val="54907C78"/>
    <w:rsid w:val="549B4D55"/>
    <w:rsid w:val="54ED3084"/>
    <w:rsid w:val="55066AD1"/>
    <w:rsid w:val="55083CB2"/>
    <w:rsid w:val="550A3375"/>
    <w:rsid w:val="55191A1B"/>
    <w:rsid w:val="553625CD"/>
    <w:rsid w:val="553E3E9A"/>
    <w:rsid w:val="55482300"/>
    <w:rsid w:val="555A5F3E"/>
    <w:rsid w:val="555B4829"/>
    <w:rsid w:val="55651104"/>
    <w:rsid w:val="556C2493"/>
    <w:rsid w:val="557355CF"/>
    <w:rsid w:val="55823A64"/>
    <w:rsid w:val="558A2919"/>
    <w:rsid w:val="559E5949"/>
    <w:rsid w:val="55A03EEB"/>
    <w:rsid w:val="55BA31FE"/>
    <w:rsid w:val="55C03F98"/>
    <w:rsid w:val="55D911AB"/>
    <w:rsid w:val="55EC35D4"/>
    <w:rsid w:val="55F34962"/>
    <w:rsid w:val="56292132"/>
    <w:rsid w:val="564B20A8"/>
    <w:rsid w:val="566030AC"/>
    <w:rsid w:val="567726CA"/>
    <w:rsid w:val="5679633B"/>
    <w:rsid w:val="56803504"/>
    <w:rsid w:val="56890E23"/>
    <w:rsid w:val="56B75990"/>
    <w:rsid w:val="56BC4D54"/>
    <w:rsid w:val="56BF65F2"/>
    <w:rsid w:val="56CE6835"/>
    <w:rsid w:val="56D4209E"/>
    <w:rsid w:val="56D54068"/>
    <w:rsid w:val="56DC4FDF"/>
    <w:rsid w:val="56F75D8C"/>
    <w:rsid w:val="5716352D"/>
    <w:rsid w:val="573568B4"/>
    <w:rsid w:val="573C7C43"/>
    <w:rsid w:val="57407733"/>
    <w:rsid w:val="574A2360"/>
    <w:rsid w:val="575B456D"/>
    <w:rsid w:val="575D2010"/>
    <w:rsid w:val="576158FB"/>
    <w:rsid w:val="57853398"/>
    <w:rsid w:val="57A314E8"/>
    <w:rsid w:val="57AF314A"/>
    <w:rsid w:val="57C00874"/>
    <w:rsid w:val="57D92987"/>
    <w:rsid w:val="57E9504D"/>
    <w:rsid w:val="5805272B"/>
    <w:rsid w:val="58154EB0"/>
    <w:rsid w:val="5824666E"/>
    <w:rsid w:val="582726A1"/>
    <w:rsid w:val="582A7B63"/>
    <w:rsid w:val="5842136F"/>
    <w:rsid w:val="58535244"/>
    <w:rsid w:val="58584C11"/>
    <w:rsid w:val="586438F5"/>
    <w:rsid w:val="586B4C84"/>
    <w:rsid w:val="586E7F1B"/>
    <w:rsid w:val="5870229A"/>
    <w:rsid w:val="5875340D"/>
    <w:rsid w:val="58782EFD"/>
    <w:rsid w:val="5889510A"/>
    <w:rsid w:val="58C7108F"/>
    <w:rsid w:val="58DE7204"/>
    <w:rsid w:val="58F60663"/>
    <w:rsid w:val="590A1887"/>
    <w:rsid w:val="590E6891"/>
    <w:rsid w:val="59272216"/>
    <w:rsid w:val="592B6569"/>
    <w:rsid w:val="59305585"/>
    <w:rsid w:val="593E5EF4"/>
    <w:rsid w:val="594D6137"/>
    <w:rsid w:val="59725B9E"/>
    <w:rsid w:val="599706DB"/>
    <w:rsid w:val="59AA5338"/>
    <w:rsid w:val="59AD307A"/>
    <w:rsid w:val="59B52880"/>
    <w:rsid w:val="59D620C4"/>
    <w:rsid w:val="59D86349"/>
    <w:rsid w:val="59E56370"/>
    <w:rsid w:val="59FF38D6"/>
    <w:rsid w:val="5A056BF8"/>
    <w:rsid w:val="5A087973"/>
    <w:rsid w:val="5A0E5188"/>
    <w:rsid w:val="5A0E58C7"/>
    <w:rsid w:val="5A1F5D26"/>
    <w:rsid w:val="5A7A11AE"/>
    <w:rsid w:val="5A93401E"/>
    <w:rsid w:val="5AA04FCD"/>
    <w:rsid w:val="5AA1673B"/>
    <w:rsid w:val="5AB3021C"/>
    <w:rsid w:val="5AB32912"/>
    <w:rsid w:val="5AC02939"/>
    <w:rsid w:val="5AD563E4"/>
    <w:rsid w:val="5AE66D23"/>
    <w:rsid w:val="5AE76118"/>
    <w:rsid w:val="5AF50835"/>
    <w:rsid w:val="5B046CCA"/>
    <w:rsid w:val="5B117094"/>
    <w:rsid w:val="5B150ED7"/>
    <w:rsid w:val="5B172EA1"/>
    <w:rsid w:val="5B174C4F"/>
    <w:rsid w:val="5B242EC8"/>
    <w:rsid w:val="5B29738B"/>
    <w:rsid w:val="5B4F49FA"/>
    <w:rsid w:val="5B670A10"/>
    <w:rsid w:val="5B726F99"/>
    <w:rsid w:val="5B8D3163"/>
    <w:rsid w:val="5B9021DF"/>
    <w:rsid w:val="5BA87F9D"/>
    <w:rsid w:val="5BB64468"/>
    <w:rsid w:val="5BBF0405"/>
    <w:rsid w:val="5BC052E6"/>
    <w:rsid w:val="5BD42B40"/>
    <w:rsid w:val="5BD963A8"/>
    <w:rsid w:val="5BEA3436"/>
    <w:rsid w:val="5BF73132"/>
    <w:rsid w:val="5C1178F0"/>
    <w:rsid w:val="5C163158"/>
    <w:rsid w:val="5C3435DF"/>
    <w:rsid w:val="5C480E38"/>
    <w:rsid w:val="5C4F3413"/>
    <w:rsid w:val="5C5E240A"/>
    <w:rsid w:val="5C6271FA"/>
    <w:rsid w:val="5C6A7000"/>
    <w:rsid w:val="5C743E1A"/>
    <w:rsid w:val="5C846314"/>
    <w:rsid w:val="5C930305"/>
    <w:rsid w:val="5CAC13C7"/>
    <w:rsid w:val="5CE2303B"/>
    <w:rsid w:val="5CF2304D"/>
    <w:rsid w:val="5CF8285E"/>
    <w:rsid w:val="5CFE5AE0"/>
    <w:rsid w:val="5D046A5F"/>
    <w:rsid w:val="5D243653"/>
    <w:rsid w:val="5D3A69D3"/>
    <w:rsid w:val="5D3D7710"/>
    <w:rsid w:val="5D485594"/>
    <w:rsid w:val="5D5C3F14"/>
    <w:rsid w:val="5D5C4B9B"/>
    <w:rsid w:val="5D616655"/>
    <w:rsid w:val="5D617996"/>
    <w:rsid w:val="5D6A375C"/>
    <w:rsid w:val="5D8365CC"/>
    <w:rsid w:val="5D904288"/>
    <w:rsid w:val="5DB06224"/>
    <w:rsid w:val="5DEC30C9"/>
    <w:rsid w:val="5DF262C7"/>
    <w:rsid w:val="5E022B74"/>
    <w:rsid w:val="5E070FAB"/>
    <w:rsid w:val="5E257683"/>
    <w:rsid w:val="5E2B53F4"/>
    <w:rsid w:val="5E483371"/>
    <w:rsid w:val="5E4E6BDA"/>
    <w:rsid w:val="5E541D16"/>
    <w:rsid w:val="5E546B2B"/>
    <w:rsid w:val="5E5B4E53"/>
    <w:rsid w:val="5E7303EE"/>
    <w:rsid w:val="5E7D126D"/>
    <w:rsid w:val="5E864DE2"/>
    <w:rsid w:val="5E914D18"/>
    <w:rsid w:val="5E9F5687"/>
    <w:rsid w:val="5EA92116"/>
    <w:rsid w:val="5EC3591B"/>
    <w:rsid w:val="5EDD1D0C"/>
    <w:rsid w:val="5EDE3506"/>
    <w:rsid w:val="5EF332DD"/>
    <w:rsid w:val="5EF70334"/>
    <w:rsid w:val="5EF77271"/>
    <w:rsid w:val="5F0F66F3"/>
    <w:rsid w:val="5F1D47FE"/>
    <w:rsid w:val="5F291D7F"/>
    <w:rsid w:val="5F324040"/>
    <w:rsid w:val="5F386F2E"/>
    <w:rsid w:val="5F723746"/>
    <w:rsid w:val="5F773F0E"/>
    <w:rsid w:val="5F9A19AB"/>
    <w:rsid w:val="5FA27BAC"/>
    <w:rsid w:val="5FA97E40"/>
    <w:rsid w:val="5FAA3AFF"/>
    <w:rsid w:val="5FAD5B82"/>
    <w:rsid w:val="5FD0085A"/>
    <w:rsid w:val="5FD72BFF"/>
    <w:rsid w:val="5FE315A4"/>
    <w:rsid w:val="5FFC43DC"/>
    <w:rsid w:val="5FFE29C2"/>
    <w:rsid w:val="600B4656"/>
    <w:rsid w:val="602D42F6"/>
    <w:rsid w:val="6037369D"/>
    <w:rsid w:val="605F7185"/>
    <w:rsid w:val="60714C07"/>
    <w:rsid w:val="608D150F"/>
    <w:rsid w:val="60916776"/>
    <w:rsid w:val="60934D78"/>
    <w:rsid w:val="609E371C"/>
    <w:rsid w:val="60B51282"/>
    <w:rsid w:val="60DD4CF0"/>
    <w:rsid w:val="60FF065F"/>
    <w:rsid w:val="610D2300"/>
    <w:rsid w:val="61131A15"/>
    <w:rsid w:val="61135ABE"/>
    <w:rsid w:val="611C05BC"/>
    <w:rsid w:val="611F14A6"/>
    <w:rsid w:val="611F660B"/>
    <w:rsid w:val="61291238"/>
    <w:rsid w:val="612D4780"/>
    <w:rsid w:val="6166248C"/>
    <w:rsid w:val="61785D1C"/>
    <w:rsid w:val="61811D44"/>
    <w:rsid w:val="6183303E"/>
    <w:rsid w:val="618B7898"/>
    <w:rsid w:val="618F176C"/>
    <w:rsid w:val="61AB60F1"/>
    <w:rsid w:val="61BD6634"/>
    <w:rsid w:val="61D2367E"/>
    <w:rsid w:val="61DF5D9B"/>
    <w:rsid w:val="61E45C32"/>
    <w:rsid w:val="61E57855"/>
    <w:rsid w:val="61ED7A5F"/>
    <w:rsid w:val="61F15E2B"/>
    <w:rsid w:val="61F25ACE"/>
    <w:rsid w:val="61F555BE"/>
    <w:rsid w:val="620224E4"/>
    <w:rsid w:val="6205336E"/>
    <w:rsid w:val="620B5DB0"/>
    <w:rsid w:val="621243C2"/>
    <w:rsid w:val="62334436"/>
    <w:rsid w:val="6250365E"/>
    <w:rsid w:val="62582A4B"/>
    <w:rsid w:val="625C73EB"/>
    <w:rsid w:val="6267026A"/>
    <w:rsid w:val="627911C5"/>
    <w:rsid w:val="629372B1"/>
    <w:rsid w:val="62942AB2"/>
    <w:rsid w:val="62C70D09"/>
    <w:rsid w:val="62FF575B"/>
    <w:rsid w:val="630A47EF"/>
    <w:rsid w:val="63161C90"/>
    <w:rsid w:val="633A772C"/>
    <w:rsid w:val="63451CD6"/>
    <w:rsid w:val="63554566"/>
    <w:rsid w:val="636263E4"/>
    <w:rsid w:val="636341BB"/>
    <w:rsid w:val="63665785"/>
    <w:rsid w:val="63AD6150"/>
    <w:rsid w:val="63B03E93"/>
    <w:rsid w:val="63B05C41"/>
    <w:rsid w:val="63C007D0"/>
    <w:rsid w:val="63E458EA"/>
    <w:rsid w:val="63EC1FE1"/>
    <w:rsid w:val="63F57AF7"/>
    <w:rsid w:val="63F911B7"/>
    <w:rsid w:val="64144421"/>
    <w:rsid w:val="642108EC"/>
    <w:rsid w:val="64416899"/>
    <w:rsid w:val="64754395"/>
    <w:rsid w:val="64907D0F"/>
    <w:rsid w:val="649E018F"/>
    <w:rsid w:val="64A6271B"/>
    <w:rsid w:val="64BB050F"/>
    <w:rsid w:val="64EF7842"/>
    <w:rsid w:val="64F920B9"/>
    <w:rsid w:val="65037FF2"/>
    <w:rsid w:val="650E11D7"/>
    <w:rsid w:val="654A5C21"/>
    <w:rsid w:val="65554AD3"/>
    <w:rsid w:val="655B7E2E"/>
    <w:rsid w:val="65864EAB"/>
    <w:rsid w:val="658654B1"/>
    <w:rsid w:val="659410CD"/>
    <w:rsid w:val="65AE4402"/>
    <w:rsid w:val="65CC6636"/>
    <w:rsid w:val="65D11E9E"/>
    <w:rsid w:val="65D66F95"/>
    <w:rsid w:val="66006826"/>
    <w:rsid w:val="660E4EA0"/>
    <w:rsid w:val="661E0985"/>
    <w:rsid w:val="662446C4"/>
    <w:rsid w:val="662A244F"/>
    <w:rsid w:val="66392ACE"/>
    <w:rsid w:val="663A5C95"/>
    <w:rsid w:val="663C4D0D"/>
    <w:rsid w:val="666F593F"/>
    <w:rsid w:val="667431B0"/>
    <w:rsid w:val="668D2269"/>
    <w:rsid w:val="66C51A03"/>
    <w:rsid w:val="66DA0257"/>
    <w:rsid w:val="66E77BCB"/>
    <w:rsid w:val="67065B78"/>
    <w:rsid w:val="670B08C3"/>
    <w:rsid w:val="670C696D"/>
    <w:rsid w:val="67220C03"/>
    <w:rsid w:val="672422F9"/>
    <w:rsid w:val="672C3830"/>
    <w:rsid w:val="6744321F"/>
    <w:rsid w:val="674F4BE5"/>
    <w:rsid w:val="675B6199"/>
    <w:rsid w:val="67852F40"/>
    <w:rsid w:val="67874F0A"/>
    <w:rsid w:val="67915D89"/>
    <w:rsid w:val="6796514D"/>
    <w:rsid w:val="679F04A6"/>
    <w:rsid w:val="67A05FCC"/>
    <w:rsid w:val="67BA708E"/>
    <w:rsid w:val="67D363A2"/>
    <w:rsid w:val="67D73F9C"/>
    <w:rsid w:val="68113934"/>
    <w:rsid w:val="68330BEE"/>
    <w:rsid w:val="685A261F"/>
    <w:rsid w:val="6864524C"/>
    <w:rsid w:val="687234C5"/>
    <w:rsid w:val="68810BE9"/>
    <w:rsid w:val="68955405"/>
    <w:rsid w:val="68A550EB"/>
    <w:rsid w:val="68C55CEA"/>
    <w:rsid w:val="68CF0F8B"/>
    <w:rsid w:val="68D51CA5"/>
    <w:rsid w:val="68E25F70"/>
    <w:rsid w:val="68FE744E"/>
    <w:rsid w:val="690A194F"/>
    <w:rsid w:val="69115259"/>
    <w:rsid w:val="694A61EF"/>
    <w:rsid w:val="694E3676"/>
    <w:rsid w:val="695B664F"/>
    <w:rsid w:val="69603C65"/>
    <w:rsid w:val="69605F59"/>
    <w:rsid w:val="696077C1"/>
    <w:rsid w:val="69670B4F"/>
    <w:rsid w:val="69715E72"/>
    <w:rsid w:val="697907BE"/>
    <w:rsid w:val="69967687"/>
    <w:rsid w:val="69A41DA4"/>
    <w:rsid w:val="69A43B52"/>
    <w:rsid w:val="69AE49D0"/>
    <w:rsid w:val="69C72B58"/>
    <w:rsid w:val="69C75A92"/>
    <w:rsid w:val="69D13C2E"/>
    <w:rsid w:val="69DF102E"/>
    <w:rsid w:val="69F50851"/>
    <w:rsid w:val="6A0942FC"/>
    <w:rsid w:val="6A14250A"/>
    <w:rsid w:val="6A242EE4"/>
    <w:rsid w:val="6A46042F"/>
    <w:rsid w:val="6A7F011B"/>
    <w:rsid w:val="6A927E4E"/>
    <w:rsid w:val="6A975464"/>
    <w:rsid w:val="6A9F44CF"/>
    <w:rsid w:val="6AB51D8E"/>
    <w:rsid w:val="6ABF49BB"/>
    <w:rsid w:val="6AD93563"/>
    <w:rsid w:val="6ADF0DF8"/>
    <w:rsid w:val="6B0074AE"/>
    <w:rsid w:val="6B056872"/>
    <w:rsid w:val="6B086362"/>
    <w:rsid w:val="6B3233DF"/>
    <w:rsid w:val="6B340F05"/>
    <w:rsid w:val="6B3C54D1"/>
    <w:rsid w:val="6B4D0219"/>
    <w:rsid w:val="6B685053"/>
    <w:rsid w:val="6B6E6E6E"/>
    <w:rsid w:val="6B71550B"/>
    <w:rsid w:val="6B8C6F93"/>
    <w:rsid w:val="6BA10CD4"/>
    <w:rsid w:val="6BBD164C"/>
    <w:rsid w:val="6BC77FDC"/>
    <w:rsid w:val="6C0905E4"/>
    <w:rsid w:val="6C184383"/>
    <w:rsid w:val="6C2216A6"/>
    <w:rsid w:val="6C2471CC"/>
    <w:rsid w:val="6C3867D3"/>
    <w:rsid w:val="6C4468F5"/>
    <w:rsid w:val="6C4B2AF4"/>
    <w:rsid w:val="6C5555D7"/>
    <w:rsid w:val="6C613F7C"/>
    <w:rsid w:val="6C687E1F"/>
    <w:rsid w:val="6C8B6187"/>
    <w:rsid w:val="6C9003BD"/>
    <w:rsid w:val="6C9B0944"/>
    <w:rsid w:val="6CCF4999"/>
    <w:rsid w:val="6CE81DB6"/>
    <w:rsid w:val="6CF04094"/>
    <w:rsid w:val="6CF546C4"/>
    <w:rsid w:val="6D056FFD"/>
    <w:rsid w:val="6D3B2A1F"/>
    <w:rsid w:val="6D3D3A1E"/>
    <w:rsid w:val="6D594C53"/>
    <w:rsid w:val="6D77332B"/>
    <w:rsid w:val="6D837F22"/>
    <w:rsid w:val="6D851EEC"/>
    <w:rsid w:val="6D9D5488"/>
    <w:rsid w:val="6DC24EEE"/>
    <w:rsid w:val="6DDC038C"/>
    <w:rsid w:val="6DE406B7"/>
    <w:rsid w:val="6DE804D2"/>
    <w:rsid w:val="6E153270"/>
    <w:rsid w:val="6E182D60"/>
    <w:rsid w:val="6E2949AF"/>
    <w:rsid w:val="6E2A4841"/>
    <w:rsid w:val="6E313E22"/>
    <w:rsid w:val="6E324088"/>
    <w:rsid w:val="6E6B2E90"/>
    <w:rsid w:val="6E7855AD"/>
    <w:rsid w:val="6E9A19C7"/>
    <w:rsid w:val="6EB5235D"/>
    <w:rsid w:val="6EC95E08"/>
    <w:rsid w:val="6EED0BAC"/>
    <w:rsid w:val="6EFF1A27"/>
    <w:rsid w:val="6F1F1ECC"/>
    <w:rsid w:val="6F215C44"/>
    <w:rsid w:val="6F2B261F"/>
    <w:rsid w:val="6F3911E0"/>
    <w:rsid w:val="6F543924"/>
    <w:rsid w:val="6F5558EE"/>
    <w:rsid w:val="6F5E29F5"/>
    <w:rsid w:val="6F6A75EB"/>
    <w:rsid w:val="6F7A0905"/>
    <w:rsid w:val="6F806E0F"/>
    <w:rsid w:val="6F9B1553"/>
    <w:rsid w:val="6FAA3E8C"/>
    <w:rsid w:val="6FB571C0"/>
    <w:rsid w:val="6FD45BF8"/>
    <w:rsid w:val="6FD54667"/>
    <w:rsid w:val="6FDC4EEF"/>
    <w:rsid w:val="6FEF5D43"/>
    <w:rsid w:val="6FF173C5"/>
    <w:rsid w:val="6FF559D2"/>
    <w:rsid w:val="6FFD3FBC"/>
    <w:rsid w:val="7000585A"/>
    <w:rsid w:val="700215D2"/>
    <w:rsid w:val="70132BCA"/>
    <w:rsid w:val="701D640C"/>
    <w:rsid w:val="7023779A"/>
    <w:rsid w:val="70353372"/>
    <w:rsid w:val="703B2D36"/>
    <w:rsid w:val="706933FF"/>
    <w:rsid w:val="706E310B"/>
    <w:rsid w:val="70822713"/>
    <w:rsid w:val="70840695"/>
    <w:rsid w:val="70A94143"/>
    <w:rsid w:val="70A97C9F"/>
    <w:rsid w:val="70B30B1E"/>
    <w:rsid w:val="70DF5DB7"/>
    <w:rsid w:val="70E138DD"/>
    <w:rsid w:val="70ED4F7B"/>
    <w:rsid w:val="70EE1B56"/>
    <w:rsid w:val="71096990"/>
    <w:rsid w:val="71145A61"/>
    <w:rsid w:val="71502811"/>
    <w:rsid w:val="71525E28"/>
    <w:rsid w:val="71685DAD"/>
    <w:rsid w:val="71776831"/>
    <w:rsid w:val="717B788E"/>
    <w:rsid w:val="719426FE"/>
    <w:rsid w:val="719464CB"/>
    <w:rsid w:val="71956476"/>
    <w:rsid w:val="71A861A9"/>
    <w:rsid w:val="71C90A4F"/>
    <w:rsid w:val="71FD64F5"/>
    <w:rsid w:val="72141A90"/>
    <w:rsid w:val="724834E8"/>
    <w:rsid w:val="725D0EDE"/>
    <w:rsid w:val="725E2D0C"/>
    <w:rsid w:val="7270316B"/>
    <w:rsid w:val="727D13E4"/>
    <w:rsid w:val="727E771E"/>
    <w:rsid w:val="72B172DF"/>
    <w:rsid w:val="72B34E05"/>
    <w:rsid w:val="72BD5C84"/>
    <w:rsid w:val="72C05BB6"/>
    <w:rsid w:val="72C45265"/>
    <w:rsid w:val="72CC5EC7"/>
    <w:rsid w:val="72D54D7C"/>
    <w:rsid w:val="72DC25AE"/>
    <w:rsid w:val="72E27499"/>
    <w:rsid w:val="72E52269"/>
    <w:rsid w:val="72E74AAF"/>
    <w:rsid w:val="72FA2A34"/>
    <w:rsid w:val="730275C0"/>
    <w:rsid w:val="732301DD"/>
    <w:rsid w:val="73335F46"/>
    <w:rsid w:val="73357F10"/>
    <w:rsid w:val="733C4DFB"/>
    <w:rsid w:val="73430839"/>
    <w:rsid w:val="7352079E"/>
    <w:rsid w:val="7355410F"/>
    <w:rsid w:val="735C6ABC"/>
    <w:rsid w:val="73661E78"/>
    <w:rsid w:val="738B61C4"/>
    <w:rsid w:val="73966C01"/>
    <w:rsid w:val="73974727"/>
    <w:rsid w:val="73B2330F"/>
    <w:rsid w:val="73D2575F"/>
    <w:rsid w:val="73E44525"/>
    <w:rsid w:val="73EB4172"/>
    <w:rsid w:val="745107B4"/>
    <w:rsid w:val="745D14CD"/>
    <w:rsid w:val="746F2F07"/>
    <w:rsid w:val="74705EA6"/>
    <w:rsid w:val="747131CA"/>
    <w:rsid w:val="74982505"/>
    <w:rsid w:val="749F25C1"/>
    <w:rsid w:val="74AC4028"/>
    <w:rsid w:val="74AE31FF"/>
    <w:rsid w:val="74DF0134"/>
    <w:rsid w:val="74F355FB"/>
    <w:rsid w:val="751D0C5C"/>
    <w:rsid w:val="753A35BC"/>
    <w:rsid w:val="753E74AE"/>
    <w:rsid w:val="7548217D"/>
    <w:rsid w:val="7556556B"/>
    <w:rsid w:val="75572211"/>
    <w:rsid w:val="75575F1C"/>
    <w:rsid w:val="7562169B"/>
    <w:rsid w:val="7565392A"/>
    <w:rsid w:val="756744F4"/>
    <w:rsid w:val="756B19C7"/>
    <w:rsid w:val="757C156F"/>
    <w:rsid w:val="757E433A"/>
    <w:rsid w:val="759A405B"/>
    <w:rsid w:val="75BD53C1"/>
    <w:rsid w:val="75C80BC8"/>
    <w:rsid w:val="75CD3EE2"/>
    <w:rsid w:val="75F61D2B"/>
    <w:rsid w:val="75F776FF"/>
    <w:rsid w:val="75FB4D1F"/>
    <w:rsid w:val="75FE45EA"/>
    <w:rsid w:val="7610431D"/>
    <w:rsid w:val="761262E7"/>
    <w:rsid w:val="762878B8"/>
    <w:rsid w:val="763B583E"/>
    <w:rsid w:val="76593F16"/>
    <w:rsid w:val="765D3A06"/>
    <w:rsid w:val="766D176F"/>
    <w:rsid w:val="76830F93"/>
    <w:rsid w:val="76AF247D"/>
    <w:rsid w:val="76AF6792"/>
    <w:rsid w:val="76D31F1A"/>
    <w:rsid w:val="76D355FD"/>
    <w:rsid w:val="76E658AE"/>
    <w:rsid w:val="76F854DD"/>
    <w:rsid w:val="76FA74A7"/>
    <w:rsid w:val="7705110E"/>
    <w:rsid w:val="7722255A"/>
    <w:rsid w:val="77444884"/>
    <w:rsid w:val="7758241F"/>
    <w:rsid w:val="7783749C"/>
    <w:rsid w:val="77843214"/>
    <w:rsid w:val="778E5E41"/>
    <w:rsid w:val="77903967"/>
    <w:rsid w:val="77932854"/>
    <w:rsid w:val="7796475D"/>
    <w:rsid w:val="77B41BE7"/>
    <w:rsid w:val="77B91110"/>
    <w:rsid w:val="77BC5BA1"/>
    <w:rsid w:val="77C46274"/>
    <w:rsid w:val="77C9763B"/>
    <w:rsid w:val="77EF594B"/>
    <w:rsid w:val="782D5C99"/>
    <w:rsid w:val="78370287"/>
    <w:rsid w:val="78393FFF"/>
    <w:rsid w:val="785348CD"/>
    <w:rsid w:val="786477EF"/>
    <w:rsid w:val="78672624"/>
    <w:rsid w:val="787212BF"/>
    <w:rsid w:val="787230FD"/>
    <w:rsid w:val="78880AE2"/>
    <w:rsid w:val="78A05156"/>
    <w:rsid w:val="78A13F8E"/>
    <w:rsid w:val="78A51694"/>
    <w:rsid w:val="78AB597D"/>
    <w:rsid w:val="78CC4E73"/>
    <w:rsid w:val="78CD4747"/>
    <w:rsid w:val="78F47F26"/>
    <w:rsid w:val="78FF6FF6"/>
    <w:rsid w:val="790E0FE8"/>
    <w:rsid w:val="79295E21"/>
    <w:rsid w:val="79330DC4"/>
    <w:rsid w:val="793D7B1F"/>
    <w:rsid w:val="793F284C"/>
    <w:rsid w:val="795A422D"/>
    <w:rsid w:val="795D1F6F"/>
    <w:rsid w:val="795E496C"/>
    <w:rsid w:val="796208E9"/>
    <w:rsid w:val="79627C1F"/>
    <w:rsid w:val="79984D55"/>
    <w:rsid w:val="79A66679"/>
    <w:rsid w:val="79C06CE4"/>
    <w:rsid w:val="79CC49FF"/>
    <w:rsid w:val="79D14D3C"/>
    <w:rsid w:val="79D175DE"/>
    <w:rsid w:val="79D21166"/>
    <w:rsid w:val="79D55FA9"/>
    <w:rsid w:val="79EC0AFE"/>
    <w:rsid w:val="79ED366F"/>
    <w:rsid w:val="79F00B9B"/>
    <w:rsid w:val="79F91F7E"/>
    <w:rsid w:val="7A067F11"/>
    <w:rsid w:val="7A106FE1"/>
    <w:rsid w:val="7A835A05"/>
    <w:rsid w:val="7A9F19C6"/>
    <w:rsid w:val="7AAB2866"/>
    <w:rsid w:val="7AB61937"/>
    <w:rsid w:val="7AD324E9"/>
    <w:rsid w:val="7AE03955"/>
    <w:rsid w:val="7AE91D0C"/>
    <w:rsid w:val="7AEF3E12"/>
    <w:rsid w:val="7B2B2E5F"/>
    <w:rsid w:val="7B41349D"/>
    <w:rsid w:val="7B494559"/>
    <w:rsid w:val="7B4F7695"/>
    <w:rsid w:val="7B513A73"/>
    <w:rsid w:val="7B560A24"/>
    <w:rsid w:val="7B6729E7"/>
    <w:rsid w:val="7B863469"/>
    <w:rsid w:val="7B904DD2"/>
    <w:rsid w:val="7B9C6D7F"/>
    <w:rsid w:val="7BBA3E82"/>
    <w:rsid w:val="7BC23531"/>
    <w:rsid w:val="7BC77B74"/>
    <w:rsid w:val="7BD16F42"/>
    <w:rsid w:val="7BD302C6"/>
    <w:rsid w:val="7BD77DB7"/>
    <w:rsid w:val="7BED75DA"/>
    <w:rsid w:val="7BEE5100"/>
    <w:rsid w:val="7C0B7A60"/>
    <w:rsid w:val="7C3A0345"/>
    <w:rsid w:val="7C3F10EE"/>
    <w:rsid w:val="7C4D1018"/>
    <w:rsid w:val="7C526968"/>
    <w:rsid w:val="7C692410"/>
    <w:rsid w:val="7C741AA9"/>
    <w:rsid w:val="7C8810B1"/>
    <w:rsid w:val="7C883074"/>
    <w:rsid w:val="7C943EFA"/>
    <w:rsid w:val="7CB43C54"/>
    <w:rsid w:val="7CD2451B"/>
    <w:rsid w:val="7CDB5685"/>
    <w:rsid w:val="7CF90201"/>
    <w:rsid w:val="7D1666BD"/>
    <w:rsid w:val="7D2747F6"/>
    <w:rsid w:val="7D2A396D"/>
    <w:rsid w:val="7D33726F"/>
    <w:rsid w:val="7D562F5D"/>
    <w:rsid w:val="7D594739"/>
    <w:rsid w:val="7D8F646F"/>
    <w:rsid w:val="7D92659D"/>
    <w:rsid w:val="7D9D1940"/>
    <w:rsid w:val="7DA17C34"/>
    <w:rsid w:val="7DA41F1A"/>
    <w:rsid w:val="7DAB14FB"/>
    <w:rsid w:val="7DCB0D9E"/>
    <w:rsid w:val="7DE95B7F"/>
    <w:rsid w:val="7DEE13E8"/>
    <w:rsid w:val="7DF06F0E"/>
    <w:rsid w:val="7DF917A4"/>
    <w:rsid w:val="7E123328"/>
    <w:rsid w:val="7E265025"/>
    <w:rsid w:val="7E2B43EA"/>
    <w:rsid w:val="7E5461D9"/>
    <w:rsid w:val="7E6416AA"/>
    <w:rsid w:val="7E6E42D6"/>
    <w:rsid w:val="7E6F306E"/>
    <w:rsid w:val="7E9632CE"/>
    <w:rsid w:val="7E97090B"/>
    <w:rsid w:val="7E9C7916"/>
    <w:rsid w:val="7EB75C7D"/>
    <w:rsid w:val="7EF0118F"/>
    <w:rsid w:val="7EF23C00"/>
    <w:rsid w:val="7EFC18E2"/>
    <w:rsid w:val="7F010FD9"/>
    <w:rsid w:val="7F272E03"/>
    <w:rsid w:val="7F374A93"/>
    <w:rsid w:val="7F4A6AF1"/>
    <w:rsid w:val="7F5434CC"/>
    <w:rsid w:val="7F58120E"/>
    <w:rsid w:val="7F674171"/>
    <w:rsid w:val="7F7B4FF4"/>
    <w:rsid w:val="7F8A5140"/>
    <w:rsid w:val="7F903397"/>
    <w:rsid w:val="7F961D37"/>
    <w:rsid w:val="7FBB79EF"/>
    <w:rsid w:val="7FC033DE"/>
    <w:rsid w:val="7FF77505"/>
    <w:rsid w:val="7FF865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iPriority="99"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qFormat="1"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qFormat="1"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spacing w:line="340" w:lineRule="exact"/>
      <w:outlineLvl w:val="0"/>
    </w:pPr>
    <w:rPr>
      <w:b/>
      <w:bCs/>
    </w:rPr>
  </w:style>
  <w:style w:type="paragraph" w:styleId="4">
    <w:name w:val="heading 2"/>
    <w:basedOn w:val="1"/>
    <w:next w:val="1"/>
    <w:qFormat/>
    <w:uiPriority w:val="9"/>
    <w:pPr>
      <w:keepNext/>
      <w:keepLines/>
      <w:spacing w:before="260" w:after="260" w:line="416" w:lineRule="auto"/>
      <w:outlineLvl w:val="1"/>
    </w:pPr>
    <w:rPr>
      <w:rFonts w:ascii="Cambria" w:hAnsi="Cambria"/>
      <w:b/>
      <w:bCs/>
      <w:sz w:val="32"/>
      <w:szCs w:val="32"/>
    </w:rPr>
  </w:style>
  <w:style w:type="paragraph" w:styleId="5">
    <w:name w:val="heading 3"/>
    <w:basedOn w:val="1"/>
    <w:next w:val="1"/>
    <w:qFormat/>
    <w:uiPriority w:val="0"/>
    <w:pPr>
      <w:keepNext/>
      <w:keepLines/>
      <w:spacing w:line="600" w:lineRule="exact"/>
      <w:ind w:firstLine="643" w:firstLineChars="200"/>
      <w:outlineLvl w:val="2"/>
    </w:pPr>
    <w:rPr>
      <w:b/>
      <w:bCs/>
      <w:sz w:val="32"/>
      <w:szCs w:val="32"/>
    </w:rPr>
  </w:style>
  <w:style w:type="paragraph" w:styleId="6">
    <w:name w:val="heading 4"/>
    <w:basedOn w:val="1"/>
    <w:next w:val="1"/>
    <w:qFormat/>
    <w:uiPriority w:val="0"/>
    <w:pPr>
      <w:keepNext/>
      <w:keepLines/>
      <w:numPr>
        <w:ilvl w:val="3"/>
        <w:numId w:val="1"/>
      </w:numPr>
      <w:spacing w:before="280" w:after="290" w:line="372" w:lineRule="auto"/>
      <w:outlineLvl w:val="3"/>
    </w:pPr>
    <w:rPr>
      <w:rFonts w:ascii="宋体" w:hAnsi="Arial" w:eastAsia="黑体"/>
      <w:b/>
      <w:sz w:val="24"/>
      <w:szCs w:val="20"/>
    </w:rPr>
  </w:style>
  <w:style w:type="paragraph" w:styleId="7">
    <w:name w:val="heading 5"/>
    <w:basedOn w:val="1"/>
    <w:next w:val="8"/>
    <w:qFormat/>
    <w:uiPriority w:val="0"/>
    <w:pPr>
      <w:keepNext/>
      <w:keepLines/>
      <w:numPr>
        <w:ilvl w:val="4"/>
        <w:numId w:val="2"/>
      </w:numPr>
      <w:spacing w:before="280" w:after="290" w:line="376" w:lineRule="auto"/>
      <w:outlineLvl w:val="4"/>
    </w:pPr>
    <w:rPr>
      <w:rFonts w:ascii="Times New Roman" w:hAnsi="Times New Roman" w:eastAsia="宋体" w:cs="Times New Roman"/>
      <w:b/>
      <w:sz w:val="28"/>
      <w:szCs w:val="24"/>
    </w:rPr>
  </w:style>
  <w:style w:type="character" w:default="1" w:styleId="30">
    <w:name w:val="Default Paragraph Font"/>
    <w:semiHidden/>
    <w:qFormat/>
    <w:uiPriority w:val="0"/>
  </w:style>
  <w:style w:type="table" w:default="1" w:styleId="28">
    <w:name w:val="Normal Table"/>
    <w:semiHidden/>
    <w:qFormat/>
    <w:uiPriority w:val="0"/>
    <w:tblPr>
      <w:tblCellMar>
        <w:top w:w="0" w:type="dxa"/>
        <w:left w:w="108" w:type="dxa"/>
        <w:bottom w:w="0" w:type="dxa"/>
        <w:right w:w="108" w:type="dxa"/>
      </w:tblCellMar>
    </w:tblPr>
  </w:style>
  <w:style w:type="paragraph" w:customStyle="1" w:styleId="2">
    <w:name w:val="Default"/>
    <w:next w:val="1"/>
    <w:qFormat/>
    <w:uiPriority w:val="0"/>
    <w:pPr>
      <w:widowControl w:val="0"/>
      <w:autoSpaceDE w:val="0"/>
      <w:autoSpaceDN w:val="0"/>
      <w:adjustRightInd w:val="0"/>
    </w:pPr>
    <w:rPr>
      <w:rFonts w:ascii="Times New Roman" w:hAnsi="Times New Roman" w:eastAsia="宋体" w:cs="Calibri"/>
      <w:color w:val="000000"/>
      <w:sz w:val="24"/>
      <w:szCs w:val="24"/>
      <w:lang w:val="en-US" w:eastAsia="zh-CN" w:bidi="ar-SA"/>
    </w:rPr>
  </w:style>
  <w:style w:type="paragraph" w:styleId="8">
    <w:name w:val="Normal Indent"/>
    <w:basedOn w:val="1"/>
    <w:qFormat/>
    <w:uiPriority w:val="0"/>
    <w:pPr>
      <w:ind w:firstLine="420"/>
    </w:pPr>
    <w:rPr>
      <w:szCs w:val="20"/>
    </w:rPr>
  </w:style>
  <w:style w:type="paragraph" w:styleId="9">
    <w:name w:val="index 8"/>
    <w:basedOn w:val="1"/>
    <w:next w:val="1"/>
    <w:unhideWhenUsed/>
    <w:qFormat/>
    <w:uiPriority w:val="99"/>
    <w:pPr>
      <w:ind w:left="1400" w:leftChars="1400"/>
    </w:pPr>
  </w:style>
  <w:style w:type="paragraph" w:styleId="10">
    <w:name w:val="List Number"/>
    <w:basedOn w:val="1"/>
    <w:qFormat/>
    <w:uiPriority w:val="0"/>
    <w:pPr>
      <w:numPr>
        <w:ilvl w:val="0"/>
        <w:numId w:val="3"/>
      </w:numPr>
    </w:pPr>
  </w:style>
  <w:style w:type="paragraph" w:styleId="11">
    <w:name w:val="annotation text"/>
    <w:basedOn w:val="1"/>
    <w:qFormat/>
    <w:uiPriority w:val="0"/>
    <w:pPr>
      <w:jc w:val="left"/>
    </w:pPr>
  </w:style>
  <w:style w:type="paragraph" w:styleId="12">
    <w:name w:val="Body Text 3"/>
    <w:basedOn w:val="1"/>
    <w:unhideWhenUsed/>
    <w:qFormat/>
    <w:uiPriority w:val="99"/>
    <w:pPr>
      <w:spacing w:after="120"/>
    </w:pPr>
    <w:rPr>
      <w:sz w:val="16"/>
      <w:szCs w:val="16"/>
    </w:rPr>
  </w:style>
  <w:style w:type="paragraph" w:styleId="13">
    <w:name w:val="Body Text"/>
    <w:basedOn w:val="1"/>
    <w:unhideWhenUsed/>
    <w:qFormat/>
    <w:uiPriority w:val="0"/>
    <w:pPr>
      <w:spacing w:after="120"/>
    </w:pPr>
  </w:style>
  <w:style w:type="paragraph" w:styleId="14">
    <w:name w:val="Body Text Indent"/>
    <w:basedOn w:val="1"/>
    <w:qFormat/>
    <w:uiPriority w:val="0"/>
    <w:pPr>
      <w:ind w:firstLine="830" w:firstLineChars="352"/>
    </w:pPr>
    <w:rPr>
      <w:rFonts w:ascii="仿宋_GB2312" w:eastAsia="仿宋_GB2312"/>
      <w:kern w:val="0"/>
      <w:sz w:val="32"/>
      <w:szCs w:val="20"/>
    </w:rPr>
  </w:style>
  <w:style w:type="paragraph" w:styleId="15">
    <w:name w:val="List 2"/>
    <w:basedOn w:val="1"/>
    <w:unhideWhenUsed/>
    <w:qFormat/>
    <w:uiPriority w:val="99"/>
    <w:pPr>
      <w:ind w:left="100" w:leftChars="200" w:hanging="200" w:hangingChars="200"/>
      <w:contextualSpacing/>
    </w:pPr>
  </w:style>
  <w:style w:type="paragraph" w:styleId="16">
    <w:name w:val="Plain Text"/>
    <w:basedOn w:val="1"/>
    <w:next w:val="9"/>
    <w:qFormat/>
    <w:uiPriority w:val="0"/>
    <w:rPr>
      <w:rFonts w:ascii="宋体" w:hAnsi="Courier New"/>
      <w:szCs w:val="20"/>
    </w:rPr>
  </w:style>
  <w:style w:type="paragraph" w:styleId="17">
    <w:name w:val="Date"/>
    <w:basedOn w:val="1"/>
    <w:next w:val="1"/>
    <w:qFormat/>
    <w:uiPriority w:val="0"/>
    <w:pPr>
      <w:ind w:left="100" w:leftChars="2500"/>
    </w:pPr>
    <w:rPr>
      <w:spacing w:val="30"/>
      <w:sz w:val="28"/>
    </w:rPr>
  </w:style>
  <w:style w:type="paragraph" w:styleId="18">
    <w:name w:val="footer"/>
    <w:basedOn w:val="1"/>
    <w:qFormat/>
    <w:uiPriority w:val="0"/>
    <w:pPr>
      <w:tabs>
        <w:tab w:val="center" w:pos="4153"/>
        <w:tab w:val="right" w:pos="8306"/>
      </w:tabs>
      <w:snapToGrid w:val="0"/>
      <w:jc w:val="left"/>
    </w:pPr>
    <w:rPr>
      <w:rFonts w:ascii="宋体" w:hAnsi="Courier New"/>
      <w:sz w:val="18"/>
      <w:szCs w:val="20"/>
    </w:rPr>
  </w:style>
  <w:style w:type="paragraph" w:styleId="19">
    <w:name w:val="envelope return"/>
    <w:basedOn w:val="1"/>
    <w:qFormat/>
    <w:uiPriority w:val="99"/>
    <w:pPr>
      <w:snapToGrid w:val="0"/>
    </w:pPr>
    <w:rPr>
      <w:rFonts w:ascii="Arial" w:hAnsi="Arial"/>
    </w:rPr>
  </w:style>
  <w:style w:type="paragraph" w:styleId="20">
    <w:name w:val="header"/>
    <w:basedOn w:val="1"/>
    <w:qFormat/>
    <w:uiPriority w:val="0"/>
    <w:pPr>
      <w:pBdr>
        <w:bottom w:val="single" w:color="auto" w:sz="6" w:space="1"/>
      </w:pBdr>
      <w:tabs>
        <w:tab w:val="center" w:pos="4153"/>
        <w:tab w:val="right" w:pos="8306"/>
      </w:tabs>
      <w:snapToGrid w:val="0"/>
      <w:jc w:val="center"/>
    </w:pPr>
    <w:rPr>
      <w:rFonts w:ascii="宋体" w:hAnsi="Courier New"/>
      <w:sz w:val="18"/>
      <w:szCs w:val="20"/>
    </w:rPr>
  </w:style>
  <w:style w:type="paragraph" w:styleId="21">
    <w:name w:val="toc 1"/>
    <w:basedOn w:val="1"/>
    <w:next w:val="1"/>
    <w:qFormat/>
    <w:uiPriority w:val="0"/>
    <w:pPr>
      <w:tabs>
        <w:tab w:val="right" w:leader="dot" w:pos="8398"/>
      </w:tabs>
      <w:spacing w:before="120" w:after="120"/>
      <w:ind w:firstLine="240" w:firstLineChars="100"/>
      <w:jc w:val="left"/>
    </w:pPr>
    <w:rPr>
      <w:rFonts w:ascii="宋体" w:hAnsi="宋体"/>
      <w:b/>
      <w:bCs/>
      <w:caps/>
      <w:sz w:val="24"/>
    </w:rPr>
  </w:style>
  <w:style w:type="paragraph" w:styleId="22">
    <w:name w:val="Subtitle"/>
    <w:basedOn w:val="1"/>
    <w:next w:val="1"/>
    <w:qFormat/>
    <w:uiPriority w:val="0"/>
    <w:pPr>
      <w:spacing w:before="240" w:beforeLines="0" w:after="60" w:afterLines="0" w:line="312" w:lineRule="auto"/>
      <w:jc w:val="center"/>
      <w:outlineLvl w:val="1"/>
    </w:pPr>
    <w:rPr>
      <w:rFonts w:ascii="Cambria" w:hAnsi="Cambria"/>
      <w:b/>
      <w:bCs/>
      <w:kern w:val="28"/>
      <w:sz w:val="32"/>
      <w:szCs w:val="32"/>
    </w:rPr>
  </w:style>
  <w:style w:type="paragraph" w:styleId="23">
    <w:name w:val="Body Text 2"/>
    <w:basedOn w:val="1"/>
    <w:qFormat/>
    <w:uiPriority w:val="0"/>
    <w:pPr>
      <w:spacing w:after="120" w:line="480" w:lineRule="auto"/>
    </w:pPr>
    <w:rPr>
      <w:rFonts w:ascii="Times New Roman" w:hAnsi="Times New Roman" w:eastAsia="宋体" w:cs="Times New Roman"/>
      <w:kern w:val="0"/>
      <w:sz w:val="20"/>
      <w:szCs w:val="24"/>
    </w:rPr>
  </w:style>
  <w:style w:type="paragraph" w:styleId="24">
    <w:name w:val="Normal (Web)"/>
    <w:basedOn w:val="1"/>
    <w:qFormat/>
    <w:uiPriority w:val="99"/>
    <w:pPr>
      <w:spacing w:before="75" w:after="75"/>
      <w:jc w:val="left"/>
    </w:pPr>
    <w:rPr>
      <w:kern w:val="0"/>
      <w:sz w:val="24"/>
    </w:rPr>
  </w:style>
  <w:style w:type="paragraph" w:styleId="25">
    <w:name w:val="Title"/>
    <w:basedOn w:val="1"/>
    <w:next w:val="14"/>
    <w:qFormat/>
    <w:uiPriority w:val="0"/>
    <w:pPr>
      <w:spacing w:before="240" w:after="60"/>
      <w:jc w:val="center"/>
      <w:outlineLvl w:val="0"/>
    </w:pPr>
    <w:rPr>
      <w:rFonts w:ascii="Arial" w:hAnsi="Arial" w:cs="Arial"/>
      <w:b/>
      <w:bCs/>
      <w:sz w:val="32"/>
      <w:szCs w:val="32"/>
    </w:rPr>
  </w:style>
  <w:style w:type="paragraph" w:styleId="26">
    <w:name w:val="Body Text First Indent"/>
    <w:basedOn w:val="13"/>
    <w:qFormat/>
    <w:uiPriority w:val="0"/>
    <w:pPr>
      <w:ind w:firstLine="420"/>
    </w:pPr>
  </w:style>
  <w:style w:type="paragraph" w:styleId="27">
    <w:name w:val="Body Text First Indent 2"/>
    <w:basedOn w:val="14"/>
    <w:unhideWhenUsed/>
    <w:qFormat/>
    <w:uiPriority w:val="99"/>
    <w:pPr>
      <w:ind w:firstLine="420"/>
    </w:pPr>
  </w:style>
  <w:style w:type="table" w:styleId="29">
    <w:name w:val="Table Grid"/>
    <w:basedOn w:val="2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1">
    <w:name w:val="Strong"/>
    <w:basedOn w:val="30"/>
    <w:qFormat/>
    <w:uiPriority w:val="0"/>
    <w:rPr>
      <w:b/>
    </w:rPr>
  </w:style>
  <w:style w:type="character" w:styleId="32">
    <w:name w:val="page number"/>
    <w:basedOn w:val="30"/>
    <w:qFormat/>
    <w:uiPriority w:val="0"/>
  </w:style>
  <w:style w:type="character" w:styleId="33">
    <w:name w:val="Emphasis"/>
    <w:basedOn w:val="30"/>
    <w:qFormat/>
    <w:uiPriority w:val="0"/>
    <w:rPr>
      <w:i/>
    </w:rPr>
  </w:style>
  <w:style w:type="character" w:styleId="34">
    <w:name w:val="Hyperlink"/>
    <w:basedOn w:val="30"/>
    <w:qFormat/>
    <w:uiPriority w:val="0"/>
    <w:rPr>
      <w:color w:val="0000FF"/>
      <w:u w:val="single"/>
    </w:rPr>
  </w:style>
  <w:style w:type="paragraph" w:customStyle="1" w:styleId="35">
    <w:name w:val="表格文字"/>
    <w:basedOn w:val="1"/>
    <w:next w:val="13"/>
    <w:qFormat/>
    <w:uiPriority w:val="0"/>
    <w:pPr>
      <w:spacing w:before="25" w:after="25"/>
      <w:jc w:val="left"/>
    </w:pPr>
    <w:rPr>
      <w:rFonts w:ascii="Verdana" w:hAnsi="Verdana"/>
      <w:bCs/>
      <w:spacing w:val="10"/>
      <w:kern w:val="0"/>
      <w:sz w:val="24"/>
    </w:rPr>
  </w:style>
  <w:style w:type="paragraph" w:customStyle="1" w:styleId="36">
    <w:name w:val="正文文字 6"/>
    <w:next w:val="1"/>
    <w:qFormat/>
    <w:uiPriority w:val="99"/>
    <w:pPr>
      <w:widowControl w:val="0"/>
      <w:ind w:left="240"/>
      <w:jc w:val="both"/>
    </w:pPr>
    <w:rPr>
      <w:rFonts w:ascii="宋体" w:hAnsi="Calibri" w:eastAsia="宋体" w:cs="Times New Roman"/>
      <w:b/>
      <w:bCs/>
      <w:kern w:val="2"/>
      <w:sz w:val="32"/>
      <w:szCs w:val="32"/>
      <w:lang w:val="en-US" w:eastAsia="zh-CN" w:bidi="ar-SA"/>
    </w:rPr>
  </w:style>
  <w:style w:type="paragraph" w:styleId="37">
    <w:name w:val="List Paragraph"/>
    <w:basedOn w:val="1"/>
    <w:qFormat/>
    <w:uiPriority w:val="34"/>
    <w:pPr>
      <w:ind w:firstLine="420" w:firstLineChars="200"/>
    </w:pPr>
  </w:style>
  <w:style w:type="paragraph" w:customStyle="1" w:styleId="38">
    <w:name w:val="正文2"/>
    <w:basedOn w:val="1"/>
    <w:qFormat/>
    <w:uiPriority w:val="0"/>
    <w:pPr>
      <w:adjustRightInd w:val="0"/>
      <w:spacing w:before="156" w:line="360" w:lineRule="auto"/>
      <w:ind w:firstLine="510" w:firstLineChars="200"/>
    </w:pPr>
    <w:rPr>
      <w:sz w:val="24"/>
      <w:szCs w:val="20"/>
    </w:rPr>
  </w:style>
  <w:style w:type="paragraph" w:customStyle="1" w:styleId="39">
    <w:name w:val="WPSOffice手动目录 1"/>
    <w:qFormat/>
    <w:uiPriority w:val="0"/>
    <w:pPr>
      <w:ind w:leftChars="0"/>
    </w:pPr>
    <w:rPr>
      <w:rFonts w:ascii="Times New Roman" w:hAnsi="Times New Roman" w:eastAsia="宋体" w:cs="Times New Roman"/>
      <w:sz w:val="20"/>
      <w:szCs w:val="20"/>
    </w:rPr>
  </w:style>
  <w:style w:type="paragraph" w:customStyle="1" w:styleId="40">
    <w:name w:val="Char Char Char1"/>
    <w:basedOn w:val="1"/>
    <w:qFormat/>
    <w:uiPriority w:val="0"/>
    <w:rPr>
      <w:rFonts w:ascii="Tahoma" w:hAnsi="Tahoma" w:eastAsia="宋体" w:cs="Times New Roman"/>
      <w:sz w:val="24"/>
      <w:szCs w:val="20"/>
    </w:rPr>
  </w:style>
  <w:style w:type="paragraph" w:customStyle="1" w:styleId="41">
    <w:name w:val="列出段落1"/>
    <w:basedOn w:val="1"/>
    <w:qFormat/>
    <w:uiPriority w:val="0"/>
    <w:pPr>
      <w:widowControl w:val="0"/>
      <w:adjustRightInd/>
      <w:snapToGrid/>
      <w:spacing w:after="0"/>
      <w:ind w:firstLine="420" w:firstLineChars="200"/>
      <w:jc w:val="both"/>
    </w:pPr>
    <w:rPr>
      <w:rFonts w:ascii="宋体" w:hAnsi="宋体"/>
    </w:rPr>
  </w:style>
  <w:style w:type="paragraph" w:customStyle="1" w:styleId="42">
    <w:name w:val="p15"/>
    <w:basedOn w:val="1"/>
    <w:qFormat/>
    <w:uiPriority w:val="0"/>
    <w:pPr>
      <w:widowControl/>
    </w:pPr>
    <w:rPr>
      <w:rFonts w:ascii="宋体" w:hAnsi="宋体" w:cs="宋体"/>
      <w:kern w:val="0"/>
      <w:szCs w:val="21"/>
    </w:rPr>
  </w:style>
  <w:style w:type="paragraph" w:customStyle="1" w:styleId="43">
    <w:name w:val="普通文字 Char2"/>
    <w:basedOn w:val="1"/>
    <w:qFormat/>
    <w:uiPriority w:val="0"/>
    <w:pPr>
      <w:widowControl/>
    </w:pPr>
    <w:rPr>
      <w:rFonts w:ascii="宋体" w:hAnsi="宋体" w:cs="宋体"/>
      <w:color w:val="000000"/>
      <w:kern w:val="0"/>
      <w:szCs w:val="21"/>
    </w:rPr>
  </w:style>
  <w:style w:type="character" w:customStyle="1" w:styleId="44">
    <w:name w:val="纯文本 Char1"/>
    <w:qFormat/>
    <w:uiPriority w:val="0"/>
    <w:rPr>
      <w:rFonts w:ascii="宋体" w:hAnsi="Courier New" w:eastAsia="宋体" w:cs="Courier New"/>
      <w:kern w:val="2"/>
      <w:sz w:val="21"/>
      <w:szCs w:val="21"/>
      <w:lang w:val="en-US" w:eastAsia="zh-CN" w:bidi="ar-SA"/>
    </w:rPr>
  </w:style>
  <w:style w:type="paragraph" w:styleId="45">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6">
    <w:name w:val="Body text|1"/>
    <w:basedOn w:val="1"/>
    <w:qFormat/>
    <w:uiPriority w:val="0"/>
    <w:pPr>
      <w:widowControl w:val="0"/>
      <w:shd w:val="clear" w:color="auto" w:fill="auto"/>
      <w:spacing w:line="382" w:lineRule="auto"/>
      <w:ind w:firstLine="400"/>
    </w:pPr>
    <w:rPr>
      <w:rFonts w:ascii="宋体" w:hAnsi="宋体" w:eastAsia="宋体" w:cs="宋体"/>
      <w:sz w:val="20"/>
      <w:szCs w:val="20"/>
      <w:u w:val="none"/>
      <w:shd w:val="clear" w:color="auto" w:fill="auto"/>
      <w:lang w:val="zh-TW" w:eastAsia="zh-TW" w:bidi="zh-TW"/>
    </w:rPr>
  </w:style>
  <w:style w:type="paragraph" w:customStyle="1" w:styleId="47">
    <w:name w:val="无间隔1"/>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48">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9">
    <w:name w:val="正文_2"/>
    <w:next w:val="50"/>
    <w:qFormat/>
    <w:uiPriority w:val="0"/>
    <w:pPr>
      <w:widowControl w:val="0"/>
      <w:jc w:val="both"/>
    </w:pPr>
    <w:rPr>
      <w:rFonts w:ascii="Calibri" w:hAnsi="Calibri" w:eastAsia="宋体" w:cs="Times New Roman"/>
      <w:kern w:val="2"/>
      <w:sz w:val="21"/>
      <w:szCs w:val="22"/>
      <w:lang w:val="en-US" w:eastAsia="zh-CN" w:bidi="ar-SA"/>
    </w:rPr>
  </w:style>
  <w:style w:type="paragraph" w:customStyle="1" w:styleId="50">
    <w:name w:val="正文缩进_1"/>
    <w:basedOn w:val="49"/>
    <w:qFormat/>
    <w:uiPriority w:val="99"/>
    <w:pPr>
      <w:ind w:firstLine="420"/>
    </w:pPr>
    <w:rPr>
      <w:rFonts w:ascii="Times New Roman" w:hAnsi="Times New Roman"/>
      <w:szCs w:val="20"/>
    </w:rPr>
  </w:style>
  <w:style w:type="paragraph" w:customStyle="1" w:styleId="51">
    <w:name w:val="纯文本_1"/>
    <w:basedOn w:val="49"/>
    <w:next w:val="49"/>
    <w:qFormat/>
    <w:uiPriority w:val="0"/>
    <w:rPr>
      <w:rFonts w:ascii="宋体" w:hAnsi="Courier New" w:cs="宋体"/>
      <w:sz w:val="24"/>
      <w:szCs w:val="24"/>
    </w:rPr>
  </w:style>
  <w:style w:type="paragraph" w:customStyle="1" w:styleId="52">
    <w:name w:val="标题2"/>
    <w:basedOn w:val="4"/>
    <w:next w:val="1"/>
    <w:qFormat/>
    <w:uiPriority w:val="0"/>
    <w:pPr>
      <w:keepNext/>
      <w:keepLines/>
      <w:widowControl/>
      <w:suppressLineNumbers w:val="0"/>
      <w:spacing w:before="0" w:beforeAutospacing="0" w:after="0" w:afterAutospacing="0" w:line="360" w:lineRule="auto"/>
      <w:ind w:left="0" w:right="0" w:firstLine="0" w:firstLineChars="0"/>
      <w:jc w:val="center"/>
      <w:outlineLvl w:val="1"/>
    </w:pPr>
    <w:rPr>
      <w:rFonts w:hint="eastAsia" w:ascii="宋体" w:hAnsi="宋体" w:eastAsia="宋体" w:cs="Times New Roman"/>
      <w:kern w:val="2"/>
      <w:sz w:val="36"/>
      <w:szCs w:val="44"/>
      <w:lang w:val="en-US" w:eastAsia="zh-CN" w:bidi="ar"/>
    </w:rPr>
  </w:style>
  <w:style w:type="paragraph" w:customStyle="1" w:styleId="53">
    <w:name w:val="Table Text"/>
    <w:basedOn w:val="1"/>
    <w:semiHidden/>
    <w:qFormat/>
    <w:uiPriority w:val="0"/>
    <w:rPr>
      <w:rFonts w:ascii="宋体" w:hAnsi="宋体" w:eastAsia="宋体" w:cs="宋体"/>
      <w:sz w:val="21"/>
      <w:szCs w:val="21"/>
      <w:lang w:val="en-US" w:eastAsia="en-US" w:bidi="ar-SA"/>
    </w:rPr>
  </w:style>
  <w:style w:type="table" w:customStyle="1" w:styleId="54">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1.jpeg"/><Relationship Id="rId16" Type="http://schemas.openxmlformats.org/officeDocument/2006/relationships/theme" Target="theme/theme1.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fcf1918b-fae6-4f5b-8ce5-39126765dcd9</errorID>
      <errorWord>  月</errorWord>
      <group>L1_AI</group>
      <groupName>深度校对</groupName>
      <ability>L2_AI_Punc</ability>
      <abilityName>标点纠错</abilityName>
      <candidateList>
        <item>[具体月]</item>
      </candidateList>
      <explain/>
      <paraID>6030DD7B</paraID>
      <start>95</start>
      <end>98</end>
      <status>ignored</status>
      <modifiedWord/>
      <trackRevisions>false</trackRevisions>
    </reviewItem>
    <reviewItem>
      <errorID>d2f4333d-a1a1-42a2-afd5-45f99aac3424</errorID>
      <errorWord>  日</errorWord>
      <group>L1_AI</group>
      <groupName>深度校对</groupName>
      <ability>L2_AI_Punc</ability>
      <abilityName>标点纠错</abilityName>
      <candidateList>
        <item>[具体日] </item>
      </candidateList>
      <explain/>
      <paraID>6030DD7B</paraID>
      <start>99</start>
      <end>102</end>
      <status>ignored</status>
      <modifiedWord/>
      <trackRevisions>false</trackRevisions>
    </reviewItem>
    <reviewItem>
      <errorID>53b153b9-e1f9-45f3-add6-8df26860f742</errorID>
      <errorWord>硬化</errorWord>
      <group>L1_AI</group>
      <groupName>深度校对</groupName>
      <ability>L2_AI_Word</ability>
      <abilityName>字词纠错</abilityName>
      <candidateList>
        <item>为硬化</item>
      </candidateList>
      <explain/>
      <paraID>77709A15</paraID>
      <start>21</start>
      <end>23</end>
      <status>ignored</status>
      <modifiedWord/>
      <trackRevisions>false</trackRevisions>
    </reviewItem>
    <reviewItem>
      <errorID>8b669658-f6e8-400b-aa5c-ca9982fe640e</errorID>
      <errorWord>；</errorWord>
      <group>L1_AI</group>
      <groupName>深度校对</groupName>
      <ability>L2_AI_Punc</ability>
      <abilityName>标点纠错</abilityName>
      <candidateList>
        <item>。</item>
      </candidateList>
      <explain/>
      <paraID>77709A15</paraID>
      <start>26</start>
      <end>27</end>
      <status>ignored</status>
      <modifiedWord/>
      <trackRevisions>false</trackRevisions>
    </reviewItem>
    <reviewItem>
      <errorID>bc59f510-dec3-475b-91ca-05a1f8044afa</errorID>
      <errorWord>建设建设</errorWord>
      <group>L1_Word</group>
      <groupName>字词问题</groupName>
      <ability>L2_Typo</ability>
      <abilityName>字词错误</abilityName>
      <candidateList>
        <item>建设</item>
      </candidateList>
      <explain>〈动〉创立新事业；增加新设施：经济～｜～家园｜～现代化强国◇组织～｜思想～。</explain>
      <paraID>57CBC9C3</paraID>
      <start>18</start>
      <end>22</end>
      <status>ignored</status>
      <modifiedWord/>
      <trackRevisions>false</trackRevisions>
    </reviewItem>
    <reviewItem>
      <errorID>6053354f-8412-4446-b0c4-515e81985f4b</errorID>
      <errorWord>本</errorWord>
      <group>L1_AI</group>
      <groupName>深度校对</groupName>
      <ability>L2_AI_Word</ability>
      <abilityName>字词纠错</abilityName>
      <candidateList>
        <item>为本</item>
      </candidateList>
      <explain/>
      <paraID>57CBC9C3</paraID>
      <start>24</start>
      <end>25</end>
      <status>ignored</status>
      <modifiedWord/>
      <trackRevisions>false</trackRevisions>
    </reviewItem>
    <reviewItem>
      <errorID>a84eccdb-ca83-4d58-898e-d2ae3c0a4c52</errorID>
      <errorWord>照明等</errorWord>
      <group>L1_Word</group>
      <groupName>字词问题</groupName>
      <ability>L2_Typo</ability>
      <abilityName>字词错误</abilityName>
      <candidateList>
        <item>照明灯</item>
      </candidateList>
      <explain/>
      <paraID>57CBC9C3</paraID>
      <start>43</start>
      <end>46</end>
      <status>ignored</status>
      <modifiedWord/>
      <trackRevisions>false</trackRevisions>
    </reviewItem>
    <reviewItem>
      <errorID>f3eb3190-8a08-4db6-b33a-44041e8f4966</errorID>
      <errorWord>建设建设</errorWord>
      <group>L1_Word</group>
      <groupName>字词问题</groupName>
      <ability>L2_Typo</ability>
      <abilityName>字词错误</abilityName>
      <candidateList>
        <item>建设</item>
      </candidateList>
      <explain>〈动〉创立新事业；增加新设施：经济～｜～家园｜～现代化强国◇组织～｜思想～。</explain>
      <paraID> 823A693</paraID>
      <start>16</start>
      <end>20</end>
      <status>ignored</status>
      <modifiedWord/>
      <trackRevisions>false</trackRevisions>
    </reviewItem>
    <reviewItem>
      <errorID>fb766c3e-cf69-4297-b5d6-28affdcd05a2</errorID>
      <errorWord>硬化</errorWord>
      <group>L1_AI</group>
      <groupName>深度校对</groupName>
      <ability>L2_AI_Word</ability>
      <abilityName>字词纠错</abilityName>
      <candidateList>
        <item>为硬化</item>
      </candidateList>
      <explain/>
      <paraID> 823A693</paraID>
      <start>22</start>
      <end>24</end>
      <status>ignored</status>
      <modifiedWord/>
      <trackRevisions>false</trackRevisions>
    </reviewItem>
    <reviewItem>
      <errorID>f263f668-4597-45a1-b029-1c7ff8b78725</errorID>
      <errorWord>；</errorWord>
      <group>L1_AI</group>
      <groupName>深度校对</groupName>
      <ability>L2_AI_Punc</ability>
      <abilityName>标点纠错</abilityName>
      <candidateList>
        <item>。</item>
      </candidateList>
      <explain/>
      <paraID> 823A693</paraID>
      <start>30</start>
      <end>31</end>
      <status>ignored</status>
      <modifiedWord/>
      <trackRevisions>false</trackRevisions>
    </reviewItem>
    <reviewItem>
      <errorID>07ed45ed-ccf5-4021-b7ae-e20f9496e3ef</errorID>
      <errorWord>建设</errorWord>
      <group>L1_AI</group>
      <groupName>深度校对</groupName>
      <ability>L2_AI_Punc</ability>
      <abilityName>标点纠错</abilityName>
      <candidateList>
        <item>，建设</item>
      </candidateList>
      <explain/>
      <paraID>25912570</paraID>
      <start>21</start>
      <end>23</end>
      <status>ignored</status>
      <modifiedWord/>
      <trackRevisions>false</trackRevisions>
    </reviewItem>
    <reviewItem>
      <errorID>7b70a4cb-f57e-4de1-bfa4-f4e05302629f</errorID>
      <errorWord>硬化</errorWord>
      <group>L1_AI</group>
      <groupName>深度校对</groupName>
      <ability>L2_AI_Word</ability>
      <abilityName>字词纠错</abilityName>
      <candidateList>
        <item>为硬化</item>
      </candidateList>
      <explain/>
      <paraID>25912570</paraID>
      <start>25</start>
      <end>27</end>
      <status>ignored</status>
      <modifiedWord/>
      <trackRevisions>false</trackRevisions>
    </reviewItem>
    <reviewItem>
      <errorID>7955d547-669b-4fdf-b195-224163391f7a</errorID>
      <errorWord>；</errorWord>
      <group>L1_AI</group>
      <groupName>深度校对</groupName>
      <ability>L2_AI_Punc</ability>
      <abilityName>标点纠错</abilityName>
      <candidateList>
        <item>。</item>
      </candidateList>
      <explain/>
      <paraID>25912570</paraID>
      <start>30</start>
      <end>31</end>
      <status>ignored</status>
      <modifiedWord/>
      <trackRevisions>false</trackRevisions>
    </reviewItem>
    <reviewItem>
      <errorID>8d7cae78-fa61-4f97-8ae9-220ee043eacf</errorID>
      <errorWord>建设建设</errorWord>
      <group>L1_Word</group>
      <groupName>字词问题</groupName>
      <ability>L2_Typo</ability>
      <abilityName>字词错误</abilityName>
      <candidateList>
        <item>建设</item>
      </candidateList>
      <explain>〈动〉创立新事业；增加新设施：经济～｜～家园｜～现代化强国◇组织～｜思想～。</explain>
      <paraID> 5A88A36</paraID>
      <start>20</start>
      <end>24</end>
      <status>ignored</status>
      <modifiedWord/>
      <trackRevisions>false</trackRevisions>
    </reviewItem>
    <reviewItem>
      <errorID>84fef117-6439-49a7-9c41-db8d08fc4bbe</errorID>
      <errorWord>总共</errorWord>
      <group>L1_AI</group>
      <groupName>深度校对</groupName>
      <ability>L2_AI_Word</ability>
      <abilityName>字词纠错</abilityName>
      <candidateList>
        <item>为总共</item>
      </candidateList>
      <explain/>
      <paraID> 5A88A36</paraID>
      <start>26</start>
      <end>28</end>
      <status>ignored</status>
      <modifiedWord/>
      <trackRevisions>false</trackRevisions>
    </reviewItem>
    <reviewItem>
      <errorID>fcda346e-e9d6-4dc6-b29d-b56efd5ec0f7</errorID>
      <errorWord>；</errorWord>
      <group>L1_AI</group>
      <groupName>深度校对</groupName>
      <ability>L2_AI_Punc</ability>
      <abilityName>标点纠错</abilityName>
      <candidateList>
        <item>。</item>
      </candidateList>
      <explain/>
      <paraID> 5A88A36</paraID>
      <start>39</start>
      <end>40</end>
      <status>ignored</status>
      <modifiedWord/>
      <trackRevisions>false</trackRevisions>
    </reviewItem>
    <reviewItem>
      <errorID>2f9a1239-0910-44ea-8661-0cefa1c079ba</errorID>
      <errorWord>建设</errorWord>
      <group>L1_AI</group>
      <groupName>深度校对</groupName>
      <ability>L2_AI_Punc</ability>
      <abilityName>标点纠错</abilityName>
      <candidateList>
        <item>，建设</item>
      </candidateList>
      <explain/>
      <paraID>7C4A6152</paraID>
      <start>21</start>
      <end>23</end>
      <status>ignored</status>
      <modifiedWord/>
      <trackRevisions>false</trackRevisions>
    </reviewItem>
    <reviewItem>
      <errorID>0db977e4-5a04-4c15-9176-4ca1e50036c8</errorID>
      <errorWord>总共</errorWord>
      <group>L1_AI</group>
      <groupName>深度校对</groupName>
      <ability>L2_AI_Word</ability>
      <abilityName>字词纠错</abilityName>
      <candidateList>
        <item>为总共</item>
      </candidateList>
      <explain/>
      <paraID>7C4A6152</paraID>
      <start>25</start>
      <end>27</end>
      <status>ignored</status>
      <modifiedWord/>
      <trackRevisions>false</trackRevisions>
    </reviewItem>
    <reviewItem>
      <errorID>0c324edd-8245-49b2-b216-bd364b8751a8</errorID>
      <errorWord>；</errorWord>
      <group>L1_AI</group>
      <groupName>深度校对</groupName>
      <ability>L2_AI_Punc</ability>
      <abilityName>标点纠错</abilityName>
      <candidateList>
        <item>。</item>
      </candidateList>
      <explain/>
      <paraID>7C4A6152</paraID>
      <start>38</start>
      <end>39</end>
      <status>ignored</status>
      <modifiedWord/>
      <trackRevisions>false</trackRevisions>
    </reviewItem>
    <reviewItem>
      <errorID>b17240f1-57db-4398-8056-2775d0ce7aae</errorID>
      <errorWord>建设建设</errorWord>
      <group>L1_Word</group>
      <groupName>字词问题</groupName>
      <ability>L2_Typo</ability>
      <abilityName>字词错误</abilityName>
      <candidateList>
        <item>建设</item>
      </candidateList>
      <explain>〈动〉创立新事业；增加新设施：经济～｜～家园｜～现代化强国◇组织～｜思想～。</explain>
      <paraID>23230BA2</paraID>
      <start>33</start>
      <end>37</end>
      <status>ignored</status>
      <modifiedWord/>
      <trackRevisions>false</trackRevisions>
    </reviewItem>
    <reviewItem>
      <errorID>39c3b80f-c46e-43e8-af47-becb4f891805</errorID>
      <errorWord>本</errorWord>
      <group>L1_AI</group>
      <groupName>深度校对</groupName>
      <ability>L2_AI_Word</ability>
      <abilityName>字词纠错</abilityName>
      <candidateList>
        <item>为本</item>
      </candidateList>
      <explain/>
      <paraID>23230BA2</paraID>
      <start>39</start>
      <end>40</end>
      <status>ignored</status>
      <modifiedWord/>
      <trackRevisions>false</trackRevisions>
    </reviewItem>
    <reviewItem>
      <errorID>b86b1ada-dc54-49ea-ae5c-d49f40e44ff4</errorID>
      <errorWord>照明等</errorWord>
      <group>L1_Word</group>
      <groupName>字词问题</groupName>
      <ability>L2_Typo</ability>
      <abilityName>字词错误</abilityName>
      <candidateList>
        <item>照明灯</item>
      </candidateList>
      <explain/>
      <paraID>23230BA2</paraID>
      <start>59</start>
      <end>62</end>
      <status>ignored</status>
      <modifiedWord/>
      <trackRevisions>false</trackRevisions>
    </reviewItem>
    <reviewItem>
      <errorID>357699e6-f434-48a8-aed3-fd3e52d240c5</errorID>
      <errorWord>；</errorWord>
      <group>L1_AI</group>
      <groupName>深度校对</groupName>
      <ability>L2_AI_Punc</ability>
      <abilityName>标点纠错</abilityName>
      <candidateList>
        <item>。</item>
      </candidateList>
      <explain/>
      <paraID>23230BA2</paraID>
      <start>62</start>
      <end>63</end>
      <status>unmodified</status>
      <modifiedWord/>
      <trackRevisions>false</trackRevisions>
    </reviewItem>
    <reviewItem>
      <errorID>96cc76cf-8dc5-407e-bbcb-9ed87560a7f0</errorID>
      <errorWord>建设建设</errorWord>
      <group>L1_Word</group>
      <groupName>字词问题</groupName>
      <ability>L2_Typo</ability>
      <abilityName>字词错误</abilityName>
      <candidateList>
        <item>建设</item>
      </candidateList>
      <explain>〈动〉创立新事业；增加新设施：经济～｜～家园｜～现代化强国◇组织～｜思想～。</explain>
      <paraID>443EB41B</paraID>
      <start>16</start>
      <end>20</end>
      <status>unmodified</status>
      <modifiedWord/>
      <trackRevisions>false</trackRevisions>
    </reviewItem>
    <reviewItem>
      <errorID>de027e39-5a89-4c24-bc8e-3e3550ade2d5</errorID>
      <errorWord>本</errorWord>
      <group>L1_AI</group>
      <groupName>深度校对</groupName>
      <ability>L2_AI_Word</ability>
      <abilityName>字词纠错</abilityName>
      <candidateList>
        <item>为本</item>
      </candidateList>
      <explain/>
      <paraID>443EB41B</paraID>
      <start>22</start>
      <end>23</end>
      <status>unmodified</status>
      <modifiedWord/>
      <trackRevisions>false</trackRevisions>
    </reviewItem>
    <reviewItem>
      <errorID>8fbe280d-ea5c-48c8-bfb6-e2c0464f600b</errorID>
      <errorWord>照明等</errorWord>
      <group>L1_Word</group>
      <groupName>字词问题</groupName>
      <ability>L2_Typo</ability>
      <abilityName>字词错误</abilityName>
      <candidateList>
        <item>照明灯</item>
      </candidateList>
      <explain/>
      <paraID>443EB41B</paraID>
      <start>41</start>
      <end>44</end>
      <status>unmodified</status>
      <modifiedWord/>
      <trackRevisions>false</trackRevisions>
    </reviewItem>
    <reviewItem>
      <errorID>77530f43-ff06-41fb-ae1b-300e12b9e57b</errorID>
      <errorWord>；</errorWord>
      <group>L1_AI</group>
      <groupName>深度校对</groupName>
      <ability>L2_AI_Punc</ability>
      <abilityName>标点纠错</abilityName>
      <candidateList>
        <item>。</item>
      </candidateList>
      <explain/>
      <paraID>443EB41B</paraID>
      <start>44</start>
      <end>45</end>
      <status>unmodified</status>
      <modifiedWord/>
      <trackRevisions>false</trackRevisions>
    </reviewItem>
    <reviewItem>
      <errorID>96990759-b14b-4421-85a3-e9939d3529f9</errorID>
      <errorWord>工程建设</errorWord>
      <group>L1_AI</group>
      <groupName>深度校对</groupName>
      <ability>L2_AI_Word</ability>
      <abilityName>字词纠错</abilityName>
      <candidateList>
        <item>工程，建设</item>
      </candidateList>
      <explain/>
      <paraID>68CBE30F</paraID>
      <start>16</start>
      <end>20</end>
      <status>unmodified</status>
      <modifiedWord/>
      <trackRevisions>false</trackRevisions>
    </reviewItem>
    <reviewItem>
      <errorID>bde63dde-d73a-4cc0-90a9-24a6b8f22a21</errorID>
      <errorWord>新建</errorWord>
      <group>L1_AI</group>
      <groupName>深度校对</groupName>
      <ability>L2_AI_Word</ability>
      <abilityName>字词纠错</abilityName>
      <candidateList>
        <item>为新建</item>
      </candidateList>
      <explain/>
      <paraID>68CBE30F</paraID>
      <start>22</start>
      <end>24</end>
      <status>unmodified</status>
      <modifiedWord/>
      <trackRevisions>false</trackRevisions>
    </reviewItem>
    <reviewItem>
      <errorID>f14aa8fc-8aba-44a5-a71b-d2d57594e853</errorID>
      <errorWord>；</errorWord>
      <group>L1_AI</group>
      <groupName>深度校对</groupName>
      <ability>L2_AI_Punc</ability>
      <abilityName>标点纠错</abilityName>
      <candidateList>
        <item>。</item>
      </candidateList>
      <explain/>
      <paraID>68CBE30F</paraID>
      <start>40</start>
      <end>41</end>
      <status>unmodified</status>
      <modifiedWord/>
      <trackRevisions>false</trackRevisions>
    </reviewItem>
    <reviewItem>
      <errorID>d8ef1ced-364f-48f1-8f3e-a89d4acdb325</errorID>
      <errorWord>建设建设</errorWord>
      <group>L1_Word</group>
      <groupName>字词问题</groupName>
      <ability>L2_Typo</ability>
      <abilityName>字词错误</abilityName>
      <candidateList>
        <item>建设</item>
      </candidateList>
      <explain>〈动〉创立新事业；增加新设施：经济～｜～家园｜～现代化强国◇组织～｜思想～。</explain>
      <paraID>7E5E5C82</paraID>
      <start>51</start>
      <end>55</end>
      <status>unmodified</status>
      <modifiedWord/>
      <trackRevisions>false</trackRevisions>
    </reviewItem>
    <reviewItem>
      <errorID>0d420753-8bb4-4f4b-9fc8-92b925df5e7b</errorID>
      <errorWord>本</errorWord>
      <group>L1_AI</group>
      <groupName>深度校对</groupName>
      <ability>L2_AI_Word</ability>
      <abilityName>字词纠错</abilityName>
      <candidateList>
        <item>为本</item>
      </candidateList>
      <explain/>
      <paraID>7E5E5C82</paraID>
      <start>57</start>
      <end>58</end>
      <status>unmodified</status>
      <modifiedWord/>
      <trackRevisions>false</trackRevisions>
    </reviewItem>
    <reviewItem>
      <errorID>1891572e-8ddb-4833-b3f6-dde88be6782d</errorID>
      <errorWord>照明等</errorWord>
      <group>L1_Word</group>
      <groupName>字词问题</groupName>
      <ability>L2_Typo</ability>
      <abilityName>字词错误</abilityName>
      <candidateList>
        <item>照明灯</item>
      </candidateList>
      <explain/>
      <paraID>7E5E5C82</paraID>
      <start>77</start>
      <end>80</end>
      <status>unmodified</status>
      <modifiedWord/>
      <trackRevisions>false</trackRevisions>
    </reviewItem>
    <reviewItem>
      <errorID>c946d8b6-a9ce-4a94-98e9-8154100a5eda</errorID>
      <errorWord>；</errorWord>
      <group>L1_AI</group>
      <groupName>深度校对</groupName>
      <ability>L2_AI_Punc</ability>
      <abilityName>标点纠错</abilityName>
      <candidateList>
        <item>。</item>
      </candidateList>
      <explain/>
      <paraID>7E5E5C82</paraID>
      <start>80</start>
      <end>81</end>
      <status>unmodified</status>
      <modifiedWord/>
      <trackRevisions>false</trackRevisions>
    </reviewItem>
    <reviewItem>
      <errorID>1878c0ff-7a7e-4586-9d8a-db886631475b</errorID>
      <errorWord>建设建设</errorWord>
      <group>L1_Word</group>
      <groupName>字词问题</groupName>
      <ability>L2_Typo</ability>
      <abilityName>字词错误</abilityName>
      <candidateList>
        <item>建设</item>
      </candidateList>
      <explain>〈动〉创立新事业；增加新设施：经济～｜～家园｜～现代化强国◇组织～｜思想～。</explain>
      <paraID>72F47346</paraID>
      <start>21</start>
      <end>25</end>
      <status>unmodified</status>
      <modifiedWord/>
      <trackRevisions>false</trackRevisions>
    </reviewItem>
    <reviewItem>
      <errorID>5e0c8cdd-5c31-41e7-8533-145ec6c0afd4</errorID>
      <errorWord>本</errorWord>
      <group>L1_AI</group>
      <groupName>深度校对</groupName>
      <ability>L2_AI_Word</ability>
      <abilityName>字词纠错</abilityName>
      <candidateList>
        <item>为本</item>
      </candidateList>
      <explain/>
      <paraID>72F47346</paraID>
      <start>27</start>
      <end>28</end>
      <status>unmodified</status>
      <modifiedWord/>
      <trackRevisions>false</trackRevisions>
    </reviewItem>
    <reviewItem>
      <errorID>6d3cd69e-4b2b-4ec1-85d3-8efe8167b156</errorID>
      <errorWord>照明等</errorWord>
      <group>L1_Word</group>
      <groupName>字词问题</groupName>
      <ability>L2_Typo</ability>
      <abilityName>字词错误</abilityName>
      <candidateList>
        <item>照明灯</item>
      </candidateList>
      <explain/>
      <paraID>72F47346</paraID>
      <start>46</start>
      <end>49</end>
      <status>unmodified</status>
      <modifiedWord/>
      <trackRevisions>false</trackRevisions>
    </reviewItem>
    <reviewItem>
      <errorID>275d2066-2d1a-42a6-bf3c-c375432f862d</errorID>
      <errorWord>；</errorWord>
      <group>L1_AI</group>
      <groupName>深度校对</groupName>
      <ability>L2_AI_Punc</ability>
      <abilityName>标点纠错</abilityName>
      <candidateList>
        <item>。</item>
      </candidateList>
      <explain/>
      <paraID>72F47346</paraID>
      <start>49</start>
      <end>50</end>
      <status>unmodified</status>
      <modifiedWord/>
      <trackRevisions>false</trackRevisions>
    </reviewItem>
    <reviewItem>
      <errorID>b3cfd8ed-d4ce-4cfb-87e2-e8f164de08ad</errorID>
      <errorWord>建设建设</errorWord>
      <group>L1_Word</group>
      <groupName>字词问题</groupName>
      <ability>L2_Typo</ability>
      <abilityName>字词错误</abilityName>
      <candidateList>
        <item>建设</item>
      </candidateList>
      <explain>〈动〉创立新事业；增加新设施：经济～｜～家园｜～现代化强国◇组织～｜思想～。</explain>
      <paraID>5CE2222D</paraID>
      <start>24</start>
      <end>28</end>
      <status>unmodified</status>
      <modifiedWord/>
      <trackRevisions>false</trackRevisions>
    </reviewItem>
    <reviewItem>
      <errorID>b83575eb-7c3a-472d-ba1e-9f6413f8b2af</errorID>
      <errorWord>本</errorWord>
      <group>L1_AI</group>
      <groupName>深度校对</groupName>
      <ability>L2_AI_Word</ability>
      <abilityName>字词纠错</abilityName>
      <candidateList>
        <item>为本</item>
      </candidateList>
      <explain/>
      <paraID>5CE2222D</paraID>
      <start>30</start>
      <end>31</end>
      <status>unmodified</status>
      <modifiedWord/>
      <trackRevisions>false</trackRevisions>
    </reviewItem>
    <reviewItem>
      <errorID>1a409c5e-46c4-4628-a924-4cb1d1c86978</errorID>
      <errorWord>照明等</errorWord>
      <group>L1_Word</group>
      <groupName>字词问题</groupName>
      <ability>L2_Typo</ability>
      <abilityName>字词错误</abilityName>
      <candidateList>
        <item>照明灯</item>
      </candidateList>
      <explain/>
      <paraID>5CE2222D</paraID>
      <start>49</start>
      <end>52</end>
      <status>unmodified</status>
      <modifiedWord/>
      <trackRevisions>false</trackRevisions>
    </reviewItem>
    <reviewItem>
      <errorID>0dab8ead-773a-4b80-abeb-8e8000445b97</errorID>
      <errorWord>(</errorWord>
      <group>L1_Format</group>
      <groupName>格式问题</groupName>
      <ability>L2_HalfPunc</ability>
      <abilityName>全半角检查</abilityName>
      <candidateList>
        <item>（</item>
      </candidateList>
      <explain>文本全半角错误。</explain>
      <paraID>66A43093</paraID>
      <start>4</start>
      <end>5</end>
      <status>unmodified</status>
      <modifiedWord/>
      <trackRevisions>false</trackRevisions>
    </reviewItem>
    <reviewItem>
      <errorID>6927c3a8-fee0-42c7-911c-2af5b70a3068</errorID>
      <errorWord>)</errorWord>
      <group>L1_Format</group>
      <groupName>格式问题</groupName>
      <ability>L2_HalfPunc</ability>
      <abilityName>全半角检查</abilityName>
      <candidateList>
        <item>）</item>
      </candidateList>
      <explain>文本全半角错误。</explain>
      <paraID>66A43093</paraID>
      <start>7</start>
      <end>8</end>
      <status>unmodified</status>
      <modifiedWord/>
      <trackRevisions>false</trackRevisions>
    </reviewItem>
    <reviewItem>
      <errorID>1b8e06c2-f670-49cb-8706-6e571fabfe4f</errorID>
      <errorWord>：/</errorWord>
      <group>L1_Punc</group>
      <groupName>标点问题</groupName>
      <ability>L2_Punc</ability>
      <abilityName>标点符号检查</abilityName>
      <candidateList>
        <item>：</item>
      </candidateList>
      <explain/>
      <paraID>66A43093</paraID>
      <start>8</start>
      <end>10</end>
      <status>unmodified</status>
      <modifiedWord/>
      <trackRevisions>false</trackRevisions>
    </reviewItem>
    <reviewItem>
      <errorID>bbf2c782-a274-4650-8251-043ca0bf7844</errorID>
      <errorWord>,</errorWord>
      <group>L1_Format</group>
      <groupName>格式问题</groupName>
      <ability>L2_HalfPunc</ability>
      <abilityName>全半角检查</abilityName>
      <candidateList>
        <item>，</item>
      </candidateList>
      <explain>文本全半角错误。</explain>
      <paraID>39CBE59F</paraID>
      <start>37</start>
      <end>38</end>
      <status>unmodified</status>
      <modifiedWord/>
      <trackRevisions>false</trackRevisions>
    </reviewItem>
    <reviewItem>
      <errorID>4531aa20-548e-4d1b-a78d-1389767707c5</errorID>
      <errorWord>并未</errorWord>
      <group>L1_AI</group>
      <groupName>深度校对</groupName>
      <ability>L2_AI_Punc</ability>
      <abilityName>标点纠错</abilityName>
      <candidateList>
        <item>，并未</item>
      </candidateList>
      <explain/>
      <paraID>2B31458F</paraID>
      <start>73</start>
      <end>75</end>
      <status>unmodified</status>
      <modifiedWord/>
      <trackRevisions>false</trackRevisions>
    </reviewItem>
    <reviewItem>
      <errorID>ca25501e-70ee-4c69-8adc-e53e808fb558</errorID>
      <errorWord> </errorWord>
      <group>L1_AI</group>
      <groupName>深度校对</groupName>
      <ability>L2_AI_Punc</ability>
      <abilityName>标点纠错</abilityName>
      <candidateList>
        <item/>
      </candidateList>
      <explain>此处空格冗余，建议删除。</explain>
      <paraID> 5D2096D</paraID>
      <start>39</start>
      <end>40</end>
      <status>unmodified</status>
      <modifiedWord/>
      <trackRevisions>false</trackRevisions>
    </reviewItem>
    <reviewItem>
      <errorID>1313d3a1-2911-477f-a6a3-dc46580465cc</errorID>
      <errorWord>己</errorWord>
      <group>L1_Word</group>
      <groupName>字词问题</groupName>
      <ability>L2_Typo</ability>
      <abilityName>字词错误</abilityName>
      <candidateList>
        <item>已</item>
      </candidateList>
      <explain>存在字形相近字词的误用。</explain>
      <paraID>26C4A826</paraID>
      <start>2</start>
      <end>3</end>
      <status>unmodified</status>
      <modifiedWord/>
      <trackRevisions>false</trackRevisions>
    </reviewItem>
    <reviewItem>
      <errorID>6d6121a3-592b-4b20-80dc-d33519763c25</errorID>
      <errorWord>涉及到</errorWord>
      <group>L1_Grammar</group>
      <groupName>语法问题</groupName>
      <ability>L2_Grammar</ability>
      <abilityName>语法错误</abilityName>
      <candidateList>
        <item>涉及</item>
      </candidateList>
      <explain>〈动〉牵涉到；关联到：案子～好几个人｜这个问题～面很广。</explain>
      <paraID>4FBF0C37</paraID>
      <start>29</start>
      <end>32</end>
      <status>unmodified</status>
      <modifiedWord/>
      <trackRevisions>false</trackRevisions>
    </reviewItem>
    <reviewItem>
      <errorID>4d64ad7e-f6e3-458d-822f-124a04b90681</errorID>
      <errorWord>法律、法规</errorWord>
      <group>L1_Word</group>
      <groupName>字词问题</groupName>
      <ability>L2_Typo</ability>
      <abilityName>字词错误</abilityName>
      <candidateList>
        <item>法律法规</item>
      </candidateList>
      <explain/>
      <paraID>7BA77D3C</paraID>
      <start>38</start>
      <end>43</end>
      <status>unmodified</status>
      <modifiedWord/>
      <trackRevisions>false</trackRevisions>
    </reviewItem>
    <reviewItem>
      <errorID>736c8210-5e66-46bd-8960-089fecd2c02c</errorID>
      <errorWord>超</errorWord>
      <group>L1_Word</group>
      <groupName>字词问题</groupName>
      <ability>L2_Typo</ability>
      <abilityName>字词错误</abilityName>
      <candidateList>
        <item>超过</item>
      </candidateList>
      <explain/>
      <paraID>23738815</paraID>
      <start>280</start>
      <end>281</end>
      <status>unmodified</status>
      <modifiedWord/>
      <trackRevisions>false</trackRevisions>
    </reviewItem>
    <reviewItem>
      <errorID>0a3820d3-1721-4389-a6b9-e105c4f0583b</errorID>
      <errorWord>操作合</errorWord>
      <group>L1_Word</group>
      <groupName>字词问题</groupName>
      <ability>L2_Typo</ability>
      <abilityName>字词错误</abilityName>
      <candidateList>
        <item>操作台</item>
      </candidateList>
      <explain/>
      <paraID>389C2379</paraID>
      <start>9</start>
      <end>12</end>
      <status>unmodified</status>
      <modifiedWord/>
      <trackRevisions>false</trackRevisions>
    </reviewItem>
    <reviewItem>
      <errorID>40c6db5a-6aea-4b4d-ad3d-d8cae074b650</errorID>
      <errorWord>，</errorWord>
      <group>L1_Word</group>
      <groupName>字词问题</groupName>
      <ability>L2_Typo</ability>
      <abilityName>字词错误</abilityName>
      <candidateList>
        <item>，在</item>
      </candidateList>
      <explain/>
      <paraID>19287E5F</paraID>
      <start>36</start>
      <end>37</end>
      <status>unmodified</status>
      <modifiedWord/>
      <trackRevisions>false</trackRevisions>
    </reviewItem>
    <reviewItem>
      <errorID>ababf110-cac4-4a46-b5ee-ca701de8ce03</errorID>
      <errorWord>间</errorWord>
      <group>L1_Word</group>
      <groupName>字词问题</groupName>
      <ability>L2_Typo</ability>
      <abilityName>字词错误</abilityName>
      <candidateList>
        <item>间之</item>
      </candidateList>
      <explain/>
      <paraID>379BC232</paraID>
      <start>14</start>
      <end>15</end>
      <status>unmodified</status>
      <modifiedWord/>
      <trackRevisions>false</trackRevisions>
    </reviewItem>
    <reviewItem>
      <errorID>220d19b8-09a3-4403-829d-e624dc077df3</errorID>
      <errorWord>做出</errorWord>
      <group>L1_Word</group>
      <groupName>字词问题</groupName>
      <ability>L2_Typo</ability>
      <abilityName>字词错误</abilityName>
      <candidateList>
        <item>作出</item>
      </candidateList>
      <explain/>
      <paraID>22374BFF</paraID>
      <start>64</start>
      <end>66</end>
      <status>modified</status>
      <modifiedWord>作出</modifiedWord>
      <trackRevisions>false</trackRevisions>
    </reviewItem>
    <reviewItem>
      <errorID>c98fa536-82b1-4856-ac17-0fb9e6966bb4</errorID>
      <errorWord>须</errorWord>
      <group>L1_Word</group>
      <groupName>字词问题</groupName>
      <ability>L2_Typo</ability>
      <abilityName>字词错误</abilityName>
      <candidateList>
        <item>需</item>
      </candidateList>
      <explain>存在发音相同字词的误用。</explain>
      <paraID>143CF621</paraID>
      <start>78</start>
      <end>79</end>
      <status>unmodified</status>
      <modifiedWord/>
      <trackRevisions>false</trackRevisions>
    </reviewItem>
    <reviewItem>
      <errorID>ec923c42-836f-40bc-aaf0-3f599a63dd3e</errorID>
      <errorWord>照明等</errorWord>
      <group>L1_Word</group>
      <groupName>字词问题</groupName>
      <ability>L2_Typo</ability>
      <abilityName>字词错误</abilityName>
      <candidateList>
        <item>照明灯</item>
      </candidateList>
      <explain/>
      <paraID>44B8AB22</paraID>
      <start>55</start>
      <end>58</end>
      <status>unmodified</status>
      <modifiedWord/>
      <trackRevisions>false</trackRevisions>
    </reviewItem>
    <reviewItem>
      <errorID>d5c0e518-b336-446a-baa4-94699ffd7798</errorID>
      <errorWord>照明等</errorWord>
      <group>L1_Word</group>
      <groupName>字词问题</groupName>
      <ability>L2_Typo</ability>
      <abilityName>字词错误</abilityName>
      <candidateList>
        <item>照明灯</item>
      </candidateList>
      <explain/>
      <paraID>35AA4045</paraID>
      <start>71</start>
      <end>74</end>
      <status>unmodified</status>
      <modifiedWord/>
      <trackRevisions>false</trackRevisions>
    </reviewItem>
    <reviewItem>
      <errorID>2e172b3c-c624-4f28-b8e0-273c4651af1d</errorID>
      <errorWord>照明等</errorWord>
      <group>L1_Word</group>
      <groupName>字词问题</groupName>
      <ability>L2_Typo</ability>
      <abilityName>字词错误</abilityName>
      <candidateList>
        <item>照明灯</item>
      </candidateList>
      <explain/>
      <paraID>2C14A203</paraID>
      <start>53</start>
      <end>56</end>
      <status>unmodified</status>
      <modifiedWord/>
      <trackRevisions>false</trackRevisions>
    </reviewItem>
    <reviewItem>
      <errorID>5b09a215-bec6-4909-b1ea-d2d9c66c8a78</errorID>
      <errorWord>照明等</errorWord>
      <group>L1_Word</group>
      <groupName>字词问题</groupName>
      <ability>L2_Typo</ability>
      <abilityName>字词错误</abilityName>
      <candidateList>
        <item>照明灯</item>
      </candidateList>
      <explain/>
      <paraID>3C27393B</paraID>
      <start>89</start>
      <end>92</end>
      <status>unmodified</status>
      <modifiedWord/>
      <trackRevisions>false</trackRevisions>
    </reviewItem>
    <reviewItem>
      <errorID>e09f9cd0-8f46-408d-ba54-d2bebbcddb4a</errorID>
      <errorWord>照明等</errorWord>
      <group>L1_Word</group>
      <groupName>字词问题</groupName>
      <ability>L2_Typo</ability>
      <abilityName>字词错误</abilityName>
      <candidateList>
        <item>照明灯</item>
      </candidateList>
      <explain/>
      <paraID>69EACB12</paraID>
      <start>58</start>
      <end>61</end>
      <status>unmodified</status>
      <modifiedWord/>
      <trackRevisions>false</trackRevisions>
    </reviewItem>
    <reviewItem>
      <errorID>44427a7d-15f5-41f4-8ef2-eb96d9bd4b38</errorID>
      <errorWord>照明等</errorWord>
      <group>L1_Word</group>
      <groupName>字词问题</groupName>
      <ability>L2_Typo</ability>
      <abilityName>字词错误</abilityName>
      <candidateList>
        <item>照明灯</item>
      </candidateList>
      <explain/>
      <paraID>723564A7</paraID>
      <start>61</start>
      <end>64</end>
      <status>unmodified</status>
      <modifiedWord/>
      <trackRevisions>false</trackRevisions>
    </reviewItem>
    <reviewItem>
      <errorID>24494fae-4f80-4f22-a82b-2495865881d0</errorID>
      <errorWord>国家有关的</errorWord>
      <group>L1_Word</group>
      <groupName>字词问题</groupName>
      <ability>L2_Typo</ability>
      <abilityName>字词错误</abilityName>
      <candidateList>
        <item>国家有关</item>
      </candidateList>
      <explain/>
      <paraID>6EE6364D</paraID>
      <start>20</start>
      <end>25</end>
      <status>unmodified</status>
      <modifiedWord/>
      <trackRevisions>false</trackRevisions>
    </reviewItem>
    <reviewItem>
      <errorID>12c32fb2-d68b-4e13-beab-76e9ef6fd703</errorID>
      <errorWord>)</errorWord>
      <group>L1_Format</group>
      <groupName>格式问题</groupName>
      <ability>L2_HalfPunc</ability>
      <abilityName>全半角检查</abilityName>
      <candidateList>
        <item>）</item>
      </candidateList>
      <explain>文本全半角错误。</explain>
      <paraID>45A2712E</paraID>
      <start>49</start>
      <end>50</end>
      <status>modified</status>
      <modifiedWord>）</modifiedWord>
      <trackRevisions>false</trackRevisions>
    </reviewItem>
    <reviewItem>
      <errorID>df810b92-d7f9-4501-949e-6bda2264fdba</errorID>
      <errorWord>)</errorWord>
      <group>L1_Format</group>
      <groupName>格式问题</groupName>
      <ability>L2_HalfPunc</ability>
      <abilityName>全半角检查</abilityName>
      <candidateList>
        <item>）</item>
      </candidateList>
      <explain>文本全半角错误。</explain>
      <paraID>45A2712E</paraID>
      <start>74</start>
      <end>75</end>
      <status>modified</status>
      <modifiedWord>）</modifiedWord>
      <trackRevisions>false</trackRevisions>
    </reviewItem>
    <reviewItem>
      <errorID>cc3a5994-ec66-4797-a282-6478d2ec4389</errorID>
      <errorWord>相应</errorWord>
      <group>L1_Word</group>
      <groupName>字词问题</groupName>
      <ability>L2_Typo</ability>
      <abilityName>字词错误</abilityName>
      <candidateList>
        <item>响应</item>
      </candidateList>
      <explain>〈动〉回声相应，比喻用言语行动表示赞同、支持某种号召或倡议：～号召。</explain>
      <paraID>41544B77</paraID>
      <start>19</start>
      <end>21</end>
      <status>unmodified</status>
      <modifiedWord/>
      <trackRevisions>false</trackRevisions>
    </reviewItem>
    <reviewItem>
      <errorID>87386776-e59c-4f21-9ff7-657a46502b49</errorID>
      <errorWord>法律、法规</errorWord>
      <group>L1_Word</group>
      <groupName>字词问题</groupName>
      <ability>L2_Typo</ability>
      <abilityName>字词错误</abilityName>
      <candidateList>
        <item>法律法规</item>
      </candidateList>
      <explain/>
      <paraID>4117E9D1</paraID>
      <start>3</start>
      <end>8</end>
      <status>unmodified</status>
      <modifiedWord/>
      <trackRevisions>false</trackRevisions>
    </reviewItem>
    <reviewItem>
      <errorID>6ac30f0f-07e2-40c9-8e3f-587efac50c32</errorID>
      <errorWord>:</errorWord>
      <group>L1_Format</group>
      <groupName>格式问题</groupName>
      <ability>L2_HalfPunc</ability>
      <abilityName>全半角检查</abilityName>
      <candidateList>
        <item>：</item>
      </candidateList>
      <explain>文本全半角错误。</explain>
      <paraID>23114804</paraID>
      <start>5</start>
      <end>6</end>
      <status>modified</status>
      <modifiedWord>：</modifiedWord>
      <trackRevisions>false</trackRevisions>
    </reviewItem>
    <reviewItem>
      <errorID>57ad0ab9-df6e-4880-bbef-50ab93cdc8b1</errorID>
      <errorWord>:</errorWord>
      <group>L1_Format</group>
      <groupName>格式问题</groupName>
      <ability>L2_HalfPunc</ability>
      <abilityName>全半角检查</abilityName>
      <candidateList>
        <item>：</item>
      </candidateList>
      <explain>文本全半角错误。</explain>
      <paraID>3EA84F25</paraID>
      <start>5</start>
      <end>6</end>
      <status>modified</status>
      <modifiedWord>：</modifiedWord>
      <trackRevisions>false</trackRevisions>
    </reviewItem>
    <reviewItem>
      <errorID>2c07f629-fb98-4838-8612-0272e134cc04</errorID>
      <errorWord>自控</errorWord>
      <group>L1_Word</group>
      <groupName>字词问题</groupName>
      <ability>L2_Typo</ability>
      <abilityName>字词错误</abilityName>
      <candidateList>
        <item>质控</item>
      </candidateList>
      <explain>存在发音相近字词的误用。</explain>
      <paraID>5A705307</paraID>
      <start>59</start>
      <end>61</end>
      <status>ignored</status>
      <modifiedWord/>
      <trackRevisions>false</trackRevisions>
    </reviewItem>
    <reviewItem>
      <errorID>367edc32-33b3-43f4-b84b-2e0c7fa14a0c</errorID>
      <errorWord>自控</errorWord>
      <group>L1_Word</group>
      <groupName>字词问题</groupName>
      <ability>L2_Typo</ability>
      <abilityName>字词错误</abilityName>
      <candidateList>
        <item>质控</item>
      </candidateList>
      <explain>存在发音相近字词的误用。</explain>
      <paraID>32E0E135</paraID>
      <start>54</start>
      <end>56</end>
      <status>ignored</status>
      <modifiedWord/>
      <trackRevisions>false</trackRevisions>
    </reviewItem>
    <reviewItem>
      <errorID>9b58da88-11a1-4b5b-bd6e-112a25d2b41a</errorID>
      <errorWord>自控</errorWord>
      <group>L1_Word</group>
      <groupName>字词问题</groupName>
      <ability>L2_Typo</ability>
      <abilityName>字词错误</abilityName>
      <candidateList>
        <item>质控</item>
      </candidateList>
      <explain>存在发音相近字词的误用。</explain>
      <paraID>248288FC</paraID>
      <start>56</start>
      <end>58</end>
      <status>ignored</status>
      <modifiedWord/>
      <trackRevisions>false</trackRevisions>
    </reviewItem>
    <reviewItem>
      <errorID>dab3c9b5-baf0-4aec-898a-051938a86b60</errorID>
      <errorWord>，</errorWord>
      <group>L1_Word</group>
      <groupName>字词问题</groupName>
      <ability>L2_Typo</ability>
      <abilityName>字词错误</abilityName>
      <candidateList>
        <item>，具</item>
      </candidateList>
      <explain/>
      <paraID>383B88BE</paraID>
      <start>15</start>
      <end>17</end>
      <status>modified</status>
      <modifiedWord>，具</modifiedWord>
      <trackRevisions>false</trackRevisions>
    </reviewItem>
    <reviewItem>
      <errorID>7abb55ca-558d-4a50-9b0d-4194514aab30</errorID>
      <errorWord>，</errorWord>
      <group>L1_Word</group>
      <groupName>字词问题</groupName>
      <ability>L2_Typo</ability>
      <abilityName>字词错误</abilityName>
      <candidateList>
        <item>，具</item>
      </candidateList>
      <explain/>
      <paraID>383B88BE</paraID>
      <start>70</start>
      <end>71</end>
      <status>ignored</status>
      <modifiedWord/>
      <trackRevisions>false</trackRevisions>
    </reviewItem>
    <reviewItem>
      <errorID>f478d9f0-31cf-4a50-99d2-d0e828aeda4e</errorID>
      <errorWord>（</errorWord>
      <group>L1_Punc</group>
      <groupName>标点问题</groupName>
      <ability>L2_Punc</ability>
      <abilityName>标点符号检查</abilityName>
      <candidateList/>
      <explain>同一形式括号套用。</explain>
      <paraID>638543C3</paraID>
      <start>60</start>
      <end>61</end>
      <status>unmodified</status>
      <modifiedWord/>
      <trackRevisions>false</trackRevisions>
    </reviewItem>
    <reviewItem>
      <errorID>d76820c6-6cba-402c-be50-277c1448dfe9</errorID>
      <errorWord>）</errorWord>
      <group>L1_Punc</group>
      <groupName>标点问题</groupName>
      <ability>L2_Punc</ability>
      <abilityName>标点符号检查</abilityName>
      <candidateList/>
      <explain>同一形式括号套用。</explain>
      <paraID>638543C3</paraID>
      <start>63</start>
      <end>64</end>
      <status>unmodified</status>
      <modifiedWord/>
      <trackRevisions>false</trackRevisions>
    </reviewItem>
    <reviewItem>
      <errorID>320c8ba8-7472-41a1-8399-648940a31ce4</errorID>
      <errorWord>退体</errorWord>
      <group>L1_Word</group>
      <groupName>字词问题</groupName>
      <ability>L2_Typo</ability>
      <abilityName>字词错误</abilityName>
      <candidateList>
        <item>退休</item>
      </candidateList>
      <explain/>
      <paraID>1E3399CE</paraID>
      <start>130</start>
      <end>132</end>
      <status>modified</status>
      <modifiedWord>退休</modifiedWord>
      <trackRevisions>false</trackRevisions>
    </reviewItem>
    <reviewItem>
      <errorID>ff2fe021-5b38-4379-a4d3-f5cfd659ebf9</errorID>
      <errorWord>：/。</errorWord>
      <group>L1_Punc</group>
      <groupName>标点问题</groupName>
      <ability>L2_Punc</ability>
      <abilityName>标点符号检查</abilityName>
      <candidateList>
        <item>：</item>
      </candidateList>
      <explain/>
      <paraID>2BC2F797</paraID>
      <start>35</start>
      <end>38</end>
      <status>unmodified</status>
      <modifiedWord/>
      <trackRevisions>false</trackRevisions>
    </reviewItem>
    <reviewItem>
      <errorID>08da1d78-d7a9-45d2-9fd3-4df638637c19</errorID>
      <errorWord>。</errorWord>
      <group>L1_Punc</group>
      <groupName>标点问题</groupName>
      <ability>L2_Punc</ability>
      <abilityName>标点符号检查</abilityName>
      <candidateList/>
      <explain/>
      <paraID> 8FB040B</paraID>
      <start>69</start>
      <end>70</end>
      <status>unmodified</status>
      <modifiedWord/>
      <trackRevisions>false</trackRevisions>
    </reviewItem>
    <reviewItem>
      <errorID>7c54303f-d116-4220-8809-0286c5ec935f</errorID>
      <errorWord>房</errorWord>
      <group>L1_Word</group>
      <groupName>字词问题</groupName>
      <ability>L2_Typo</ability>
      <abilityName>字词错误</abilityName>
      <candidateList>
        <item>房和</item>
      </candidateList>
      <explain/>
      <paraID>6D7A61D8</paraID>
      <start>31</start>
      <end>32</end>
      <status>unmodified</status>
      <modifiedWord/>
      <trackRevisions>false</trackRevisions>
    </reviewItem>
    <reviewItem>
      <errorID>0f67d7c2-50b7-4900-a54c-a783df7060dd</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4C902F33</paraID>
      <start>27</start>
      <end>30</end>
      <status>unmodified</status>
      <modifiedWord/>
      <trackRevisions>false</trackRevisions>
    </reviewItem>
    <reviewItem>
      <errorID>0d4484df-9046-46ac-b36a-b6680bc494b9</errorID>
      <errorWord>股东大会</errorWord>
      <group>L1_Word</group>
      <groupName>字词问题</groupName>
      <ability>L2_Typo</ability>
      <abilityName>字词错误</abilityName>
      <candidateList>
        <item>股东会</item>
      </candidateList>
      <explain/>
      <paraID>7EE035C7</paraID>
      <start>113</start>
      <end>117</end>
      <status>unmodified</status>
      <modifiedWord/>
      <trackRevisions>false</trackRevisions>
    </reviewItem>
    <reviewItem>
      <errorID>9213b878-9150-463e-9e60-c7aab2cbcf95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7035C9DC</paraID>
      <start>0</start>
      <end>2</end>
      <status>unmodified</status>
      <modifiedWord/>
      <trackRevisions>false</trackRevisions>
    </reviewItem>
    <reviewItem>
      <errorID>cba73cf2-3e72-45c9-a305-c8568d8ad538</errorID>
      <errorWord>(</errorWord>
      <group>L1_Format</group>
      <groupName>格式问题</groupName>
      <ability>L2_HalfPunc</ability>
      <abilityName>全半角检查</abilityName>
      <candidateList>
        <item>（</item>
      </candidateList>
      <explain>文本全半角错误。</explain>
      <paraID>7035C9DC</paraID>
      <start>74</start>
      <end>75</end>
      <status>unmodified</status>
      <modifiedWord/>
      <trackRevisions>false</trackRevisions>
    </reviewItem>
    <reviewItem>
      <errorID>e54f8ad2-7e21-4189-b44d-beb77dfb61ee</errorID>
      <errorWord>(</errorWord>
      <group>L1_Format</group>
      <groupName>格式问题</groupName>
      <ability>L2_HalfPunc</ability>
      <abilityName>全半角检查</abilityName>
      <candidateList>
        <item>（</item>
      </candidateList>
      <explain>文本全半角错误。</explain>
      <paraID>7035C9DC</paraID>
      <start>91</start>
      <end>92</end>
      <status>unmodified</status>
      <modifiedWord/>
      <trackRevisions>false</trackRevisions>
    </reviewItem>
    <reviewItem>
      <errorID>70e71ad2-8740-4e14-9e36-2dcc33cad932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64C204C</paraID>
      <start>0</start>
      <end>2</end>
      <status>unmodified</status>
      <modifiedWord/>
      <trackRevisions>false</trackRevisions>
    </reviewItem>
    <reviewItem>
      <errorID>b75ecc9f-bb2f-4ed6-ad92-2971f4ecdc0a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7EBFC30A</paraID>
      <start>0</start>
      <end>2</end>
      <status>unmodified</status>
      <modifiedWord/>
      <trackRevisions>false</trackRevisions>
    </reviewItem>
    <reviewItem>
      <errorID>5ff6f906-0c79-48b3-8071-069bf75adca3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10A5D896</paraID>
      <start>0</start>
      <end>2</end>
      <status>unmodified</status>
      <modifiedWord/>
      <trackRevisions>false</trackRevisions>
    </reviewItem>
    <reviewItem>
      <errorID>363ec95b-87b4-4af7-af39-019690924c7a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363D7C6D</paraID>
      <start>0</start>
      <end>2</end>
      <status>unmodified</status>
      <modifiedWord/>
      <trackRevisions>false</trackRevisions>
    </reviewItem>
    <reviewItem>
      <errorID>48b95d6f-17b8-4fa4-9c9d-727669392020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7D79B6</paraID>
      <start>0</start>
      <end>2</end>
      <status>unmodified</status>
      <modifiedWord/>
      <trackRevisions>false</trackRevisions>
    </reviewItem>
    <reviewItem>
      <errorID>071c5b85-3c61-44f9-8298-013bf4739659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162DC666</paraID>
      <start>0</start>
      <end>2</end>
      <status>unmodified</status>
      <modifiedWord/>
      <trackRevisions>false</trackRevisions>
    </reviewItem>
    <reviewItem>
      <errorID>10834e10-8674-46f1-849a-d63419030c1d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52A73BD3</paraID>
      <start>0</start>
      <end>2</end>
      <status>unmodified</status>
      <modifiedWord/>
      <trackRevisions>false</trackRevisions>
    </reviewItem>
    <reviewItem>
      <errorID>6d7e73ad-a720-4bae-9b74-18c78f2be654</errorID>
      <errorWord>KW</errorWord>
      <group>L1_Word</group>
      <groupName>字词问题</groupName>
      <ability>L2_Typo</ability>
      <abilityName>字词错误</abilityName>
      <candidateList>
        <item>kW</item>
      </candidateList>
      <explain/>
      <paraID>5C140F36</paraID>
      <start>1</start>
      <end>3</end>
      <status>unmodified</status>
      <modifiedWord/>
      <trackRevisions>false</trackRevisions>
    </reviewItem>
    <reviewItem>
      <errorID>f0e39b8d-caf5-4528-bd5f-36bbef6c7667</errorID>
      <errorWord>成效</errorWord>
      <group>L1_Word</group>
      <groupName>字词问题</groupName>
      <ability>L2_Typo</ability>
      <abilityName>字词错误</abilityName>
      <candidateList>
        <item>成型</item>
      </candidateList>
      <explain/>
      <paraID>6811774C</paraID>
      <start>38</start>
      <end>40</end>
      <status>unmodified</status>
      <modifiedWord/>
      <trackRevisions>false</trackRevisions>
    </reviewItem>
    <reviewItem>
      <errorID>b0fd78b8-f884-4fd0-9754-50eb642e2c12</errorID>
      <errorWord>件</errorWord>
      <group>L1_Word</group>
      <groupName>字词问题</groupName>
      <ability>L2_Typo</ability>
      <abilityName>字词错误</abilityName>
      <candidateList>
        <item>件和</item>
      </candidateList>
      <explain/>
      <paraID>6811774C</paraID>
      <start>50</start>
      <end>51</end>
      <status>unmodified</status>
      <modifiedWord/>
      <trackRevisions>false</trackRevisions>
    </reviewItem>
    <reviewItem>
      <errorID>154720e7-a36d-4bf3-ae1a-191cd81a0444</errorID>
      <errorWord>。】</errorWord>
      <group>L1_Punc</group>
      <groupName>标点问题</groupName>
      <ability>L2_Punc</ability>
      <abilityName>标点符号检查</abilityName>
      <candidateList>
        <item>】</item>
      </candidateList>
      <explain/>
      <paraID>54D5DE86</paraID>
      <start>61</start>
      <end>63</end>
      <status>unmodified</status>
      <modifiedWord/>
      <trackRevisions>false</trackRevisions>
    </reviewItem>
    <reviewItem>
      <errorID>110cba74-f523-485b-a72e-b1311bcf8c11</errorID>
      <errorWord>提出质疑</errorWord>
      <group>L1_Grammar</group>
      <groupName>语法问题</groupName>
      <ability>L2_Grammar</ability>
      <abilityName>语法错误</abilityName>
      <candidateList>
        <item>质疑</item>
      </candidateList>
      <explain>〈动〉提出疑问：～问难。</explain>
      <paraID> 6059C86</paraID>
      <start>53</start>
      <end>57</end>
      <status>unmodified</status>
      <modifiedWord/>
      <trackRevisions>false</trackRevisions>
    </reviewItem>
    <reviewItem>
      <errorID>fcb2d619-05c7-4279-bb19-c8e1025ee21b</errorID>
      <errorWord>。</errorWord>
      <group>L1_Punc</group>
      <groupName>标点问题</groupName>
      <ability>L2_Punc</ability>
      <abilityName>标点符号检查</abilityName>
      <candidateList/>
      <explain/>
      <paraID>75D8740B</paraID>
      <start>56</start>
      <end>57</end>
      <status>unmodified</status>
      <modifiedWord/>
      <trackRevisions>false</trackRevisions>
    </reviewItem>
    <reviewItem>
      <errorID>cfdc46e9-3f01-4a8e-8f2a-5377b8a02ef4</errorID>
      <errorWord>：/</errorWord>
      <group>L1_Punc</group>
      <groupName>标点问题</groupName>
      <ability>L2_Punc</ability>
      <abilityName>标点符号检查</abilityName>
      <candidateList>
        <item>：</item>
      </candidateList>
      <explain/>
      <paraID> C2D5552</paraID>
      <start>9</start>
      <end>11</end>
      <status>unmodified</status>
      <modifiedWord/>
      <trackRevisions>false</trackRevisions>
    </reviewItem>
    <reviewItem>
      <errorID>dfa6f122-3cc5-4120-bf83-451bd8b8dd8c</errorID>
      <errorWord>[2008]91号</errorWord>
      <group>L1_Knowledge</group>
      <groupName>知识性问题</groupName>
      <ability>L2_Knowledge</ability>
      <abilityName>其他知识</abilityName>
      <candidateList>
        <item>〔2008〕91号</item>
      </candidateList>
      <explain>发文字号格式错误。</explain>
      <paraID>1AB06E64</paraID>
      <start>16</start>
      <end>25</end>
      <status>unmodified</status>
      <modifiedWord/>
      <trackRevisions>false</trackRevisions>
    </reviewItem>
    <reviewItem>
      <errorID>c299bfc6-26d4-4f03-a3d5-056839fdc7cf</errorID>
      <errorWord>建筑工程质量管理条例</errorWord>
      <group>L1_Knowledge</group>
      <groupName>知识性问题</groupName>
      <ability>L2_Knowledge</ability>
      <abilityName>其他知识</abilityName>
      <candidateList>
        <item>建设工程质量管理条例</item>
      </candidateList>
      <explain>当前法律法规未收录或尚未生效，注意核查是否正确。</explain>
      <paraID>53DD2078</paraID>
      <start>20</start>
      <end>30</end>
      <status>unmodified</status>
      <modifiedWord/>
      <trackRevisions>false</trackRevisions>
    </reviewItem>
    <reviewItem>
      <errorID>45a25026-8350-42cc-8b55-b4f89f1343bd</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53DD2078</paraID>
      <start>30</start>
      <end>33</end>
      <status>unmodified</status>
      <modifiedWord/>
      <trackRevisions>false</trackRevisions>
    </reviewItem>
    <reviewItem>
      <errorID>a044d864-bf54-440c-b7fc-ca1b411d3980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53DD2078</paraID>
      <start>45</start>
      <end>48</end>
      <status>unmodified</status>
      <modifiedWord/>
      <trackRevisions>false</trackRevisions>
    </reviewItem>
    <reviewItem>
      <errorID>4a603009-f705-479f-a2a7-da9d6d517fbb</errorID>
      <errorWord>：/</errorWord>
      <group>L1_Punc</group>
      <groupName>标点问题</groupName>
      <ability>L2_Punc</ability>
      <abilityName>标点符号检查</abilityName>
      <candidateList>
        <item>：</item>
      </candidateList>
      <explain/>
      <paraID>4C5DDBA6</paraID>
      <start>9</start>
      <end>11</end>
      <status>unmodified</status>
      <modifiedWord/>
      <trackRevisions>false</trackRevisions>
    </reviewItem>
    <reviewItem>
      <errorID>6830732a-cc18-482f-9a61-c1cb4542a41f</errorID>
      <errorWord>《建设工程工程量清单计价规范（GB50500-2013）》</errorWord>
      <group>L1_Knowledge</group>
      <groupName>知识性问题</groupName>
      <ability>L2_Knowledge</ability>
      <abilityName>其他知识</abilityName>
      <candidateList>
        <item>《建设工程工程量清单计价规范》（GB50500-2013）</item>
      </candidateList>
      <explain>疑似政策文件、法律法规名称等书写不规范，请注意检查。</explain>
      <paraID>24F9DC16</paraID>
      <start>91</start>
      <end>120</end>
      <status>unmodified</status>
      <modifiedWord/>
      <trackRevisions>false</trackRevisions>
    </reviewItem>
    <reviewItem>
      <errorID>0c22ccd7-886a-4766-aeb7-43f06a0a5cce</errorID>
      <errorWord>。】</errorWord>
      <group>L1_Punc</group>
      <groupName>标点问题</groupName>
      <ability>L2_Punc</ability>
      <abilityName>标点符号检查</abilityName>
      <candidateList>
        <item>】</item>
      </candidateList>
      <explain/>
      <paraID>5F5FC937</paraID>
      <start>196</start>
      <end>198</end>
      <status>unmodified</status>
      <modifiedWord/>
      <trackRevisions>false</trackRevisions>
    </reviewItem>
    <reviewItem>
      <errorID>56c16a0d-2872-4d61-a345-394af9af65d1</errorID>
      <errorWord>交纳</errorWord>
      <group>L1_Word</group>
      <groupName>字词问题</groupName>
      <ability>L2_Typo</ability>
      <abilityName>字词错误</abilityName>
      <candidateList>
        <item>缴纳</item>
      </candidateList>
      <explain>〈动〉交纳：～税款。</explain>
      <paraID> 5494223</paraID>
      <start>69</start>
      <end>71</end>
      <status>unmodified</status>
      <modifiedWord/>
      <trackRevisions>false</trackRevisions>
    </reviewItem>
    <reviewItem>
      <errorID>279db41c-b06d-42dc-bd8f-85886cbc0e3d</errorID>
      <errorWord>挂勾</errorWord>
      <group>L1_Word</group>
      <groupName>字词问题</groupName>
      <ability>L2_Typo</ability>
      <abilityName>字词错误</abilityName>
      <candidateList>
        <item>挂钩</item>
      </candidateList>
      <explain>❶（－∥－）〈动〉用钩把两节车厢连接起来。❷（－∥－）〈动〉比喻建立某种联系：企业直接跟原料产地～｜这两个单位早就挂起钩来了。❸〈名〉用来吊起重物或把车厢等连接起来的钩：吊车～｜火车～。</explain>
      <paraID>312C21E7</paraID>
      <start>26</start>
      <end>28</end>
      <status>unmodified</status>
      <modifiedWord/>
      <trackRevisions>false</trackRevisions>
    </reviewItem>
    <reviewItem>
      <errorID>bbb935c2-3ca6-435c-8604-29007331cf10</errorID>
      <errorWord>（</errorWord>
      <group>L1_Format</group>
      <groupName>格式问题</groupName>
      <ability>L2_HalfPunc</ability>
      <abilityName>全半角检查</abilityName>
      <candidateList>
        <item>(</item>
      </candidateList>
      <explain>文本全半角错误。</explain>
      <paraID>52D2FF61</paraID>
      <start>0</start>
      <end>1</end>
      <status>unmodified</status>
      <modifiedWord/>
      <trackRevisions>false</trackRevisions>
    </reviewItem>
    <reviewItem>
      <errorID>8774bc9d-55f7-491e-a31c-9f7affafc208</errorID>
      <errorWord>）</errorWord>
      <group>L1_Format</group>
      <groupName>格式问题</groupName>
      <ability>L2_HalfPunc</ability>
      <abilityName>全半角检查</abilityName>
      <candidateList>
        <item>)</item>
      </candidateList>
      <explain>文本全半角错误。</explain>
      <paraID>52D2FF61</paraID>
      <start>2</start>
      <end>3</end>
      <status>unmodified</status>
      <modifiedWord/>
      <trackRevisions>false</trackRevisions>
    </reviewItem>
    <reviewItem>
      <errorID>1fcc302e-0315-43e0-a797-1c0c89447271</errorID>
      <errorWord>；</errorWord>
      <group>L1_Format</group>
      <groupName>格式问题</groupName>
      <ability>L2_HalfPunc</ability>
      <abilityName>全半角检查</abilityName>
      <candidateList>
        <item>;</item>
      </candidateList>
      <explain>文本全半角错误。</explain>
      <paraID>52D2FF61</paraID>
      <start>38</start>
      <end>39</end>
      <status>unmodified</status>
      <modifiedWord/>
      <trackRevisions>false</trackRevisions>
    </reviewItem>
    <reviewItem>
      <errorID>c114f956-84a6-4747-b1f4-4284a4dfb309</errorID>
      <errorWord>（</errorWord>
      <group>L1_Format</group>
      <groupName>格式问题</groupName>
      <ability>L2_HalfPunc</ability>
      <abilityName>全半角检查</abilityName>
      <candidateList>
        <item>(</item>
      </candidateList>
      <explain>文本全半角错误。</explain>
      <paraID>19C03830</paraID>
      <start>0</start>
      <end>1</end>
      <status>unmodified</status>
      <modifiedWord/>
      <trackRevisions>false</trackRevisions>
    </reviewItem>
    <reviewItem>
      <errorID>bbcb9c73-bc48-4d96-8123-7390a2dbc3b2</errorID>
      <errorWord>）</errorWord>
      <group>L1_Format</group>
      <groupName>格式问题</groupName>
      <ability>L2_HalfPunc</ability>
      <abilityName>全半角检查</abilityName>
      <candidateList>
        <item>)</item>
      </candidateList>
      <explain>文本全半角错误。</explain>
      <paraID>19C03830</paraID>
      <start>2</start>
      <end>3</end>
      <status>unmodified</status>
      <modifiedWord/>
      <trackRevisions>false</trackRevisions>
    </reviewItem>
    <reviewItem>
      <errorID>16addd2c-98c3-4e75-bb1d-2ec0ae5bc6d9</errorID>
      <errorWord>；</errorWord>
      <group>L1_Format</group>
      <groupName>格式问题</groupName>
      <ability>L2_HalfPunc</ability>
      <abilityName>全半角检查</abilityName>
      <candidateList>
        <item>;</item>
      </candidateList>
      <explain>文本全半角错误。</explain>
      <paraID>19C03830</paraID>
      <start>38</start>
      <end>39</end>
      <status>unmodified</status>
      <modifiedWord/>
      <trackRevisions>false</trackRevisions>
    </reviewItem>
    <reviewItem>
      <errorID>90d0051b-a40b-47a0-9f52-0ffc3e38ac6c</errorID>
      <errorWord>（</errorWord>
      <group>L1_Format</group>
      <groupName>格式问题</groupName>
      <ability>L2_HalfPunc</ability>
      <abilityName>全半角检查</abilityName>
      <candidateList>
        <item>(</item>
      </candidateList>
      <explain>文本全半角错误。</explain>
      <paraID>30D52584</paraID>
      <start>0</start>
      <end>1</end>
      <status>unmodified</status>
      <modifiedWord/>
      <trackRevisions>false</trackRevisions>
    </reviewItem>
    <reviewItem>
      <errorID>d80f63a0-1bb1-42f0-af6e-391431d18c0f</errorID>
      <errorWord>）</errorWord>
      <group>L1_Format</group>
      <groupName>格式问题</groupName>
      <ability>L2_HalfPunc</ability>
      <abilityName>全半角检查</abilityName>
      <candidateList>
        <item>)</item>
      </candidateList>
      <explain>文本全半角错误。</explain>
      <paraID>30D52584</paraID>
      <start>2</start>
      <end>3</end>
      <status>unmodified</status>
      <modifiedWord/>
      <trackRevisions>false</trackRevisions>
    </reviewItem>
    <reviewItem>
      <errorID>f673c7cb-09f9-4aab-9801-89e8e2912cb6</errorID>
      <errorWord>。</errorWord>
      <group>L1_Format</group>
      <groupName>格式问题</groupName>
      <ability>L2_HalfPunc</ability>
      <abilityName>全半角检查</abilityName>
      <candidateList>
        <item>.</item>
      </candidateList>
      <explain>文本全半角错误。</explain>
      <paraID>30D52584</paraID>
      <start>38</start>
      <end>39</end>
      <status>unmodified</status>
      <modifiedWord/>
      <trackRevisions>false</trackRevisions>
    </reviewItem>
    <reviewItem>
      <errorID>9af71618-3ad8-4ff6-9e56-d58f956884d9</errorID>
      <errorWord>商订</errorWord>
      <group>L1_Word</group>
      <groupName>字词问题</groupName>
      <ability>L2_Typo</ability>
      <abilityName>字词错误</abilityName>
      <candidateList>
        <item>商定</item>
      </candidateList>
      <explain/>
      <paraID>293DCC51</paraID>
      <start>123</start>
      <end>125</end>
      <status>unmodified</status>
      <modifiedWord/>
      <trackRevisions>false</trackRevisions>
    </reviewItem>
    <reviewItem>
      <errorID>9eb846cb-b606-498a-a369-0580ff2a7ca8</errorID>
      <errorWord>,</errorWord>
      <group>L1_Format</group>
      <groupName>格式问题</groupName>
      <ability>L2_HalfPunc</ability>
      <abilityName>全半角检查</abilityName>
      <candidateList>
        <item>，</item>
      </candidateList>
      <explain>文本全半角错误。</explain>
      <paraID>5299EE3E</paraID>
      <start>66</start>
      <end>67</end>
      <status>unmodified</status>
      <modifiedWord/>
      <trackRevisions>false</trackRevisions>
    </reviewItem>
    <reviewItem>
      <errorID>876d22ea-28dd-4275-9479-1b5298ebcf73</errorID>
      <errorWord>工</errorWord>
      <group>L1_Word</group>
      <groupName>字词问题</groupName>
      <ability>L2_Typo</ability>
      <abilityName>字词错误</abilityName>
      <candidateList>
        <item>工现</item>
      </candidateList>
      <explain/>
      <paraID> D75C3F4</paraID>
      <start>92</start>
      <end>93</end>
      <status>unmodified</status>
      <modifiedWord/>
      <trackRevisions>false</trackRevisions>
    </reviewItem>
    <reviewItem>
      <errorID>c092ecf8-86df-49e1-b5e0-d5f17891e0f7</errorID>
      <errorWord>费</errorWord>
      <group>L1_Word</group>
      <groupName>字词问题</groupName>
      <ability>L2_Typo</ability>
      <abilityName>字词错误</abilityName>
      <candidateList>
        <item>费用</item>
      </candidateList>
      <explain/>
      <paraID>22B6E8BC</paraID>
      <start>11</start>
      <end>12</end>
      <status>unmodified</status>
      <modifiedWord/>
      <trackRevisions>false</trackRevisions>
    </reviewItem>
    <reviewItem>
      <errorID>9af5830c-14b5-434f-a429-f9af260d47b0</errorID>
      <errorWord>期限的</errorWord>
      <group>L1_Word</group>
      <groupName>字词问题</groupName>
      <ability>L2_Typo</ability>
      <abilityName>字词错误</abilityName>
      <candidateList>
        <item>期限</item>
      </candidateList>
      <explain/>
      <paraID>1D0C1060</paraID>
      <start>14</start>
      <end>17</end>
      <status>unmodified</status>
      <modifiedWord/>
      <trackRevisions>false</trackRevisions>
    </reviewItem>
    <reviewItem>
      <errorID>4ca34955-0610-4b3e-b0f3-611ffa74ca59</errorID>
      <errorWord>关健</errorWord>
      <group>L1_Word</group>
      <groupName>字词问题</groupName>
      <ability>L2_Typo</ability>
      <abilityName>字词错误</abilityName>
      <candidateList>
        <item>关键</item>
      </candidateList>
      <explain>❶〈名〉门闩或功能类似门闩的东西。❷〈名〉比喻事物最关紧要的部分；对情况起决定作用的因素：摸清情况是解决问题的～｜办好学校～在于提高教学质量。❸〈形〉最关紧要的：～问题｜～时刻。</explain>
      <paraID>7B784CF9</paraID>
      <start>30</start>
      <end>32</end>
      <status>modified</status>
      <modifiedWord>关键</modifiedWord>
      <trackRevisions>false</trackRevisions>
    </reviewItem>
    <reviewItem>
      <errorID>1a45cc88-a6e9-47dc-bbba-91189d1850f9</errorID>
      <errorWord>,</errorWord>
      <group>L1_Format</group>
      <groupName>格式问题</groupName>
      <ability>L2_HalfPunc</ability>
      <abilityName>全半角检查</abilityName>
      <candidateList>
        <item>，</item>
      </candidateList>
      <explain>文本全半角错误。</explain>
      <paraID>7AA39DFF</paraID>
      <start>45</start>
      <end>46</end>
      <status>unmodified</status>
      <modifiedWord/>
      <trackRevisions>false</trackRevisions>
    </reviewItem>
    <reviewItem>
      <errorID>0c23291e-78e0-4cef-922a-ea844ebad6da</errorID>
      <errorWord>,</errorWord>
      <group>L1_Format</group>
      <groupName>格式问题</groupName>
      <ability>L2_HalfPunc</ability>
      <abilityName>全半角检查</abilityName>
      <candidateList>
        <item>，</item>
      </candidateList>
      <explain>文本全半角错误。</explain>
      <paraID>7AA39DFF</paraID>
      <start>70</start>
      <end>71</end>
      <status>unmodified</status>
      <modifiedWord/>
      <trackRevisions>false</trackRevisions>
    </reviewItem>
    <reviewItem>
      <errorID>7f5479bd-eba4-4b5e-9465-6edb1cd4ad72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4DCA55FA</paraID>
      <start>15</start>
      <end>16</end>
      <status>unmodified</status>
      <modifiedWord/>
      <trackRevisions>false</trackRevisions>
    </reviewItem>
    <reviewItem>
      <errorID>2784dbbf-f632-4b9a-8de0-fe433f7f30ff</errorID>
      <errorWord>人</errorWord>
      <group>L1_Word</group>
      <groupName>字词问题</groupName>
      <ability>L2_Typo</ability>
      <abilityName>字词错误</abilityName>
      <candidateList>
        <item>人在</item>
      </candidateList>
      <explain/>
      <paraID>48075095</paraID>
      <start>35</start>
      <end>36</end>
      <status>unmodified</status>
      <modifiedWord/>
      <trackRevisions>false</trackRevisions>
    </reviewItem>
    <reviewItem>
      <errorID>4babaf57-b381-45bf-bb3f-bb29bfd8439e</errorID>
      <errorWord>运入</errorWord>
      <group>L1_Word</group>
      <groupName>字词问题</groupName>
      <ability>L2_Typo</ability>
      <abilityName>字词错误</abilityName>
      <candidateList>
        <item>进入</item>
      </candidateList>
      <explain>〈动〉支进到某个范围或某个时期里：～学校｜～新阶段◇～角色。</explain>
      <paraID>7CCFE0EF</paraID>
      <start>37</start>
      <end>39</end>
      <status>unmodified</status>
      <modifiedWord/>
      <trackRevisions>false</trackRevisions>
    </reviewItem>
    <reviewItem>
      <errorID>da266bd2-39d1-4d65-8f3b-cd6ff3077924</errorID>
      <errorWord>广西壮族自治区建设工程质量检测管理规定</errorWord>
      <group>L1_Knowledge</group>
      <groupName>知识性问题</groupName>
      <ability>L2_Knowledge</ability>
      <abilityName>其他知识</abilityName>
      <candidateList/>
      <explain>当前法律法规未收录或尚未生效，注意核查是否正确。</explain>
      <paraID>6F4A3139</paraID>
      <start>30</start>
      <end>49</end>
      <status>unmodified</status>
      <modifiedWord/>
      <trackRevisions>false</trackRevisions>
    </reviewItem>
    <reviewItem>
      <errorID>e62397d0-d0d8-4c6b-ad29-fb8ba222b934</errorID>
      <errorWord>变更的</errorWord>
      <group>L1_Word</group>
      <groupName>字词问题</groupName>
      <ability>L2_Typo</ability>
      <abilityName>字词错误</abilityName>
      <candidateList>
        <item>变更</item>
      </candidateList>
      <explain>〈动〉改变；变动：～原定赛程｜修订版的内容有些～。</explain>
      <paraID> F92B294</paraID>
      <start>2</start>
      <end>5</end>
      <status>unmodified</status>
      <modifiedWord/>
      <trackRevisions>false</trackRevisions>
    </reviewItem>
    <reviewItem>
      <errorID>c8411403-8a47-4d4a-b782-013e1b55e967</errorID>
      <errorWord>。</errorWord>
      <group>L1_Punc</group>
      <groupName>标点问题</groupName>
      <ability>L2_Punc</ability>
      <abilityName>标点符号检查</abilityName>
      <candidateList/>
      <explain/>
      <paraID>3790CE69</paraID>
      <start>153</start>
      <end>154</end>
      <status>unmodified</status>
      <modifiedWord/>
      <trackRevisions>false</trackRevisions>
    </reviewItem>
    <reviewItem>
      <errorID>fbe44e7d-d9f1-433b-8064-1928aa52a93f</errorID>
      <errorWord>:</errorWord>
      <group>L1_Format</group>
      <groupName>格式问题</groupName>
      <ability>L2_HalfPunc</ability>
      <abilityName>全半角检查</abilityName>
      <candidateList>
        <item>：</item>
      </candidateList>
      <explain>文本全半角错误。</explain>
      <paraID>5DE6521E</paraID>
      <start>9</start>
      <end>10</end>
      <status>unmodified</status>
      <modifiedWord/>
      <trackRevisions>false</trackRevisions>
    </reviewItem>
    <reviewItem>
      <errorID>eb17cfb3-5dfc-4138-a440-42ff851239b7</errorID>
      <errorWord>,</errorWord>
      <group>L1_Format</group>
      <groupName>格式问题</groupName>
      <ability>L2_HalfPunc</ability>
      <abilityName>全半角检查</abilityName>
      <candidateList>
        <item>，</item>
      </candidateList>
      <explain>文本全半角错误。</explain>
      <paraID>30516023</paraID>
      <start>57</start>
      <end>58</end>
      <status>unmodified</status>
      <modifiedWord/>
      <trackRevisions>false</trackRevisions>
    </reviewItem>
    <reviewItem>
      <errorID>477b4607-6267-4636-a7b2-6246d8a859c1</errorID>
      <errorWord>住房城乡建设厅</errorWord>
      <group>L1_Political</group>
      <groupName>政治性问题</groupName>
      <ability>L2_Keyword</ability>
      <abilityName>固定表述</abilityName>
      <candidateList>
        <item>住房和城乡建设厅</item>
      </candidateList>
      <explain>词汇“住房和城乡建设厅”在特定场景下为固定表述形式，请确认此处的“住房城乡建设厅”是否存在不当。</explain>
      <paraID> 901CA2C</paraID>
      <start>14</start>
      <end>21</end>
      <status>unmodified</status>
      <modifiedWord/>
      <trackRevisions>false</trackRevisions>
    </reviewItem>
    <reviewItem>
      <errorID>e0619059-8b96-4e17-acba-f57b152e1dfc</errorID>
      <errorWord>住房城乡建设厅</errorWord>
      <group>L1_Political</group>
      <groupName>政治性问题</groupName>
      <ability>L2_Keyword</ability>
      <abilityName>固定表述</abilityName>
      <candidateList>
        <item>住房和城乡建设厅</item>
      </candidateList>
      <explain>词汇“住房和城乡建设厅”在特定场景下为固定表述形式，请确认此处的“住房城乡建设厅”是否存在不当。</explain>
      <paraID>3DEE4286</paraID>
      <start>14</start>
      <end>21</end>
      <status>unmodified</status>
      <modifiedWord/>
      <trackRevisions>false</trackRevisions>
    </reviewItem>
    <reviewItem>
      <errorID>769fce5a-92bc-4756-af01-306917fe0b71</errorID>
      <errorWord>签</errorWord>
      <group>L1_Word</group>
      <groupName>字词问题</groupName>
      <ability>L2_Typo</ability>
      <abilityName>字词错误</abilityName>
      <candidateList>
        <item>签订</item>
      </candidateList>
      <explain>〈动〉订立条约或合同并签字：两国～了贸易议定书和支付协定。</explain>
      <paraID>664016AD</paraID>
      <start>35</start>
      <end>36</end>
      <status>unmodified</status>
      <modifiedWord/>
      <trackRevisions>false</trackRevisions>
    </reviewItem>
    <reviewItem>
      <errorID>921bb703-442c-4702-a99f-49e66d93d1c0</errorID>
      <errorWord>：/</errorWord>
      <group>L1_Punc</group>
      <groupName>标点问题</groupName>
      <ability>L2_Punc</ability>
      <abilityName>标点符号检查</abilityName>
      <candidateList>
        <item>：</item>
      </candidateList>
      <explain/>
      <paraID>6C22DC0F</paraID>
      <start>19</start>
      <end>21</end>
      <status>unmodified</status>
      <modifiedWord/>
      <trackRevisions>false</trackRevisions>
    </reviewItem>
    <reviewItem>
      <errorID>8d215423-5421-4f91-9c18-e917681fcb06</errorID>
      <errorWord>应应</errorWord>
      <group>L1_Word</group>
      <groupName>字词问题</groupName>
      <ability>L2_Typo</ability>
      <abilityName>字词错误</abilityName>
      <candidateList>
        <item>应</item>
      </candidateList>
      <explain/>
      <paraID>58BA0FD6</paraID>
      <start>5</start>
      <end>7</end>
      <status>unmodified</status>
      <modifiedWord/>
      <trackRevisions>false</trackRevisions>
    </reviewItem>
    <reviewItem>
      <errorID>23f81e42-4b2e-45f6-b57a-c13f78a4930b</errorID>
      <errorWord>，</errorWord>
      <group>L1_Word</group>
      <groupName>字词问题</groupName>
      <ability>L2_Typo</ability>
      <abilityName>字词错误</abilityName>
      <candidateList>
        <item>，由</item>
      </candidateList>
      <explain/>
      <paraID>58BA0FD6</paraID>
      <start>60</start>
      <end>61</end>
      <status>unmodified</status>
      <modifiedWord/>
      <trackRevisions>false</trackRevisions>
    </reviewItem>
    <reviewItem>
      <errorID>2f8d4d47-1548-40de-9eb1-9dc8a2589795</errorID>
      <errorWord>施行</errorWord>
      <group>L1_Word</group>
      <groupName>字词问题</groupName>
      <ability>L2_Typo</ability>
      <abilityName>字词错误</abilityName>
      <candidateList>
        <item>实行</item>
      </candidateList>
      <explain>存在发音相同字词的误用。</explain>
      <paraID>63E01A9E</paraID>
      <start>64</start>
      <end>66</end>
      <status>unmodified</status>
      <modifiedWord/>
      <trackRevisions>false</trackRevisions>
    </reviewItem>
    <reviewItem>
      <errorID>677a2070-6236-4bd6-834a-f4ce3f546135</errorID>
      <errorWord>分分</errorWord>
      <group>L1_Word</group>
      <groupName>字词问题</groupName>
      <ability>L2_Typo</ability>
      <abilityName>字词错误</abilityName>
      <candidateList>
        <item>分</item>
      </candidateList>
      <explain/>
      <paraID>127E8585</paraID>
      <start>28</start>
      <end>30</end>
      <status>unmodified</status>
      <modifiedWord/>
      <trackRevisions>false</trackRevisions>
    </reviewItem>
    <reviewItem>
      <errorID>de271c5f-ae29-46e0-84fa-f615ca8ff849</errorID>
      <errorWord>，</errorWord>
      <group>L1_Word</group>
      <groupName>字词问题</groupName>
      <ability>L2_Typo</ability>
      <abilityName>字词错误</abilityName>
      <candidateList>
        <item>，由</item>
      </candidateList>
      <explain/>
      <paraID>127E8585</paraID>
      <start>50</start>
      <end>51</end>
      <status>unmodified</status>
      <modifiedWord/>
      <trackRevisions>false</trackRevisions>
    </reviewItem>
    <reviewItem>
      <errorID>52cf7f39-98ad-4369-aeb6-dd99be147c61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6E93AA6</paraID>
      <start>0</start>
      <end>2</end>
      <status>unmodified</status>
      <modifiedWord/>
      <trackRevisions>false</trackRevisions>
    </reviewItem>
    <reviewItem>
      <errorID>732e3ee1-ab33-4b24-be7b-8adf776b9e86</errorID>
      <errorWord>履</errorWord>
      <group>L1_Word</group>
      <groupName>字词问题</groupName>
      <ability>L2_Typo</ability>
      <abilityName>字词错误</abilityName>
      <candidateList>
        <item>履约</item>
      </candidateList>
      <explain/>
      <paraID>640B52E7</paraID>
      <start>7</start>
      <end>8</end>
      <status>unmodified</status>
      <modifiedWord/>
      <trackRevisions>false</trackRevisions>
    </reviewItem>
    <reviewItem>
      <errorID>65245079-f194-4996-8d0a-9537560173ed</errorID>
      <errorWord>:</errorWord>
      <group>L1_Format</group>
      <groupName>格式问题</groupName>
      <ability>L2_HalfPunc</ability>
      <abilityName>全半角检查</abilityName>
      <candidateList>
        <item>：</item>
      </candidateList>
      <explain>文本全半角错误。</explain>
      <paraID>3EF8EAC3</paraID>
      <start>9</start>
      <end>10</end>
      <status>modified</status>
      <modifiedWord>：</modifiedWord>
      <trackRevisions>false</trackRevisions>
    </reviewItem>
    <reviewItem>
      <errorID>770cf180-ced7-48f1-8b7b-ddd33f101ad8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4ECDCBD2</paraID>
      <start>0</start>
      <end>2</end>
      <status>unmodified</status>
      <modifiedWord/>
      <trackRevisions>false</trackRevisions>
    </reviewItem>
    <reviewItem>
      <errorID>d8dd2199-5911-4f8f-9a62-4261cb1991bb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788ED53</paraID>
      <start>0</start>
      <end>2</end>
      <status>unmodified</status>
      <modifiedWord/>
      <trackRevisions>false</trackRevisions>
    </reviewItem>
    <reviewItem>
      <errorID>b894b0cb-ffce-4af5-93e2-5b0b0e978fc3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2192D760</paraID>
      <start>0</start>
      <end>2</end>
      <status>unmodified</status>
      <modifiedWord/>
      <trackRevisions>false</trackRevisions>
    </reviewItem>
    <reviewItem>
      <errorID>aba1c960-6649-4692-a4fb-563c5ee52a5e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D712C9F</paraID>
      <start>0</start>
      <end>2</end>
      <status>unmodified</status>
      <modifiedWord/>
      <trackRevisions>false</trackRevisions>
    </reviewItem>
    <reviewItem>
      <errorID>5eca97c6-7f24-49d9-a757-0ea624d71b92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5F6F5B53</paraID>
      <start>0</start>
      <end>2</end>
      <status>unmodified</status>
      <modifiedWord/>
      <trackRevisions>false</trackRevisions>
    </reviewItem>
    <reviewItem>
      <errorID>c822b074-a8eb-4e22-9618-fd97b3386dad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EFA7A38</paraID>
      <start>0</start>
      <end>2</end>
      <status>unmodified</status>
      <modifiedWord/>
      <trackRevisions>false</trackRevisions>
    </reviewItem>
    <reviewItem>
      <errorID>e1a3f77b-98fb-4c0b-991d-dfa684511ae3</errorID>
      <errorWord>。</errorWord>
      <group>L1_Punc</group>
      <groupName>标点问题</groupName>
      <ability>L2_Punc</ability>
      <abilityName>标点符号检查</abilityName>
      <candidateList/>
      <explain/>
      <paraID> C5724F0</paraID>
      <start>158</start>
      <end>159</end>
      <status>unmodified</status>
      <modifiedWord/>
      <trackRevisions>false</trackRevisions>
    </reviewItem>
    <reviewItem>
      <errorID>10403845-6ffd-48fe-b56b-790422dcf5ae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5172B9A0</paraID>
      <start>0</start>
      <end>2</end>
      <status>unmodified</status>
      <modifiedWord/>
      <trackRevisions>false</trackRevisions>
    </reviewItem>
    <reviewItem>
      <errorID>107ceccf-829b-48a4-a730-136ea57120b7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6DD42629</paraID>
      <start>0</start>
      <end>2</end>
      <status>unmodified</status>
      <modifiedWord/>
      <trackRevisions>false</trackRevisions>
    </reviewItem>
    <reviewItem>
      <errorID>af3c8cab-c64e-43bb-8ec8-7136d3e6d5c3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6AD69896</paraID>
      <start>0</start>
      <end>2</end>
      <status>unmodified</status>
      <modifiedWord/>
      <trackRevisions>false</trackRevisions>
    </reviewItem>
    <reviewItem>
      <errorID>7fca5752-7012-4b51-b374-5e17f3bf09f7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5DEECB9C</paraID>
      <start>0</start>
      <end>2</end>
      <status>unmodified</status>
      <modifiedWord/>
      <trackRevisions>false</trackRevisions>
    </reviewItem>
    <reviewItem>
      <errorID>df460471-5fdb-42e3-9f4b-5c1e41d79e76</errorID>
      <errorWord>。</errorWord>
      <group>L1_Punc</group>
      <groupName>标点问题</groupName>
      <ability>L2_Punc</ability>
      <abilityName>标点符号检查</abilityName>
      <candidateList/>
      <explain/>
      <paraID>493A1B87</paraID>
      <start>79</start>
      <end>80</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5f3c977-1065-4ea4-8f6c-ca9101f1e7b4}">
  <ds:schemaRefs/>
</ds:datastoreItem>
</file>

<file path=docProps/app.xml><?xml version="1.0" encoding="utf-8"?>
<Properties xmlns="http://schemas.openxmlformats.org/officeDocument/2006/extended-properties" xmlns:vt="http://schemas.openxmlformats.org/officeDocument/2006/docPropsVTypes">
  <Template>Normal.dotm</Template>
  <Pages>99</Pages>
  <Words>33225</Words>
  <Characters>35541</Characters>
  <Lines>0</Lines>
  <Paragraphs>0</Paragraphs>
  <TotalTime>0</TotalTime>
  <ScaleCrop>false</ScaleCrop>
  <LinksUpToDate>false</LinksUpToDate>
  <CharactersWithSpaces>37629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2022-04-15T03:44:00Z</dcterms:created>
  <dc:creator>春意浓浓</dc:creator>
  <cp:lastModifiedBy>*  *qin</cp:lastModifiedBy>
  <cp:lastPrinted>2026-03-11T02:28:00Z</cp:lastPrinted>
  <dcterms:modified xsi:type="dcterms:W3CDTF">2026-10-22T07:46:33Z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151606E8D4674E40BF7B1D60747FE878_13</vt:lpwstr>
  </property>
  <property fmtid="{D5CDD505-2E9C-101B-9397-08002B2CF9AE}" pid="4" name="commondata">
    <vt:lpwstr>eyJoZGlkIjoiMTI0NTM0OGFiMWU2NDFkZGJjYTk5NGYyZDlmNzA2NTgifQ==</vt:lpwstr>
  </property>
  <property fmtid="{D5CDD505-2E9C-101B-9397-08002B2CF9AE}" pid="5" name="KSOTemplateDocerSaveRecord">
    <vt:lpwstr>eyJoZGlkIjoiZGY1ODI5YTZiNTg3Y2FmODFiY2U2N2JhMjcyOGRiNzUiLCJ1c2VySWQiOiI0MDMzNzI1MTYifQ==</vt:lpwstr>
  </property>
</Properties>
</file>