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C046939">
      <w:pPr>
        <w:pStyle w:val="21"/>
        <w:kinsoku w:val="0"/>
        <w:overflowPunct w:val="0"/>
        <w:rPr>
          <w:rFonts w:ascii="Arial" w:hAnsi="Arial" w:cs="Arial"/>
          <w:color w:val="000000" w:themeColor="text1"/>
          <w14:textFill>
            <w14:solidFill>
              <w14:schemeClr w14:val="tx1"/>
            </w14:solidFill>
          </w14:textFill>
        </w:rPr>
      </w:pPr>
      <w:bookmarkStart w:id="0" w:name="_Toc183682338"/>
      <w:bookmarkStart w:id="1" w:name="_Toc217446030"/>
      <w:r>
        <w:rPr>
          <w:rFonts w:hint="default" w:ascii="Arial" w:hAnsi="Arial" w:cs="Arial"/>
          <w:color w:val="000000" w:themeColor="text1"/>
          <w14:textFill>
            <w14:solidFill>
              <w14:schemeClr w14:val="tx1"/>
            </w14:solidFill>
          </w14:textFill>
        </w:rPr>
        <w:drawing>
          <wp:anchor distT="0" distB="0" distL="114300" distR="114300" simplePos="0" relativeHeight="251662336" behindDoc="0" locked="0" layoutInCell="1" allowOverlap="1">
            <wp:simplePos x="0" y="0"/>
            <wp:positionH relativeFrom="column">
              <wp:posOffset>533400</wp:posOffset>
            </wp:positionH>
            <wp:positionV relativeFrom="paragraph">
              <wp:posOffset>-179705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18"/>
                    <a:stretch>
                      <a:fillRect/>
                    </a:stretch>
                  </pic:blipFill>
                  <pic:spPr>
                    <a:xfrm>
                      <a:off x="0" y="0"/>
                      <a:ext cx="4654550" cy="584200"/>
                    </a:xfrm>
                    <a:prstGeom prst="rect">
                      <a:avLst/>
                    </a:prstGeom>
                  </pic:spPr>
                </pic:pic>
              </a:graphicData>
            </a:graphic>
          </wp:anchor>
        </w:drawing>
      </w:r>
      <w:r>
        <w:rPr>
          <w:rFonts w:hint="default" w:ascii="Arial" w:hAnsi="Arial" w:cs="Arial"/>
          <w:color w:val="000000" w:themeColor="text1"/>
          <w14:textFill>
            <w14:solidFill>
              <w14:schemeClr w14:val="tx1"/>
            </w14:solidFill>
          </w14:textFill>
        </w:rPr>
        <w:drawing>
          <wp:anchor distT="0" distB="0" distL="114300" distR="114300" simplePos="0" relativeHeight="251661312" behindDoc="1" locked="0" layoutInCell="1" allowOverlap="1">
            <wp:simplePos x="0" y="0"/>
            <wp:positionH relativeFrom="column">
              <wp:posOffset>-933450</wp:posOffset>
            </wp:positionH>
            <wp:positionV relativeFrom="paragraph">
              <wp:posOffset>-915035</wp:posOffset>
            </wp:positionV>
            <wp:extent cx="7752715" cy="10779760"/>
            <wp:effectExtent l="0" t="0" r="635" b="2540"/>
            <wp:wrapNone/>
            <wp:docPr id="6" name="图片 6"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3辅助图形3白底"/>
                    <pic:cNvPicPr>
                      <a:picLocks noChangeAspect="1"/>
                    </pic:cNvPicPr>
                  </pic:nvPicPr>
                  <pic:blipFill>
                    <a:blip r:embed="rId19"/>
                    <a:stretch>
                      <a:fillRect/>
                    </a:stretch>
                  </pic:blipFill>
                  <pic:spPr>
                    <a:xfrm>
                      <a:off x="0" y="0"/>
                      <a:ext cx="7752715" cy="10779760"/>
                    </a:xfrm>
                    <a:prstGeom prst="rect">
                      <a:avLst/>
                    </a:prstGeom>
                  </pic:spPr>
                </pic:pic>
              </a:graphicData>
            </a:graphic>
          </wp:anchor>
        </w:drawing>
      </w:r>
    </w:p>
    <w:p w14:paraId="129280A7">
      <w:pPr>
        <w:rPr>
          <w:rFonts w:ascii="Arial" w:hAnsi="Arial" w:cs="Arial"/>
          <w:color w:val="000000" w:themeColor="text1"/>
          <w14:textFill>
            <w14:solidFill>
              <w14:schemeClr w14:val="tx1"/>
            </w14:solidFill>
          </w14:textFill>
        </w:rPr>
      </w:pPr>
    </w:p>
    <w:p w14:paraId="63A39680">
      <w:pPr>
        <w:tabs>
          <w:tab w:val="left" w:pos="1710"/>
        </w:tabs>
        <w:rPr>
          <w:rFonts w:ascii="Arial" w:hAnsi="Arial" w:cs="Arial"/>
          <w:color w:val="000000" w:themeColor="text1"/>
          <w14:textFill>
            <w14:solidFill>
              <w14:schemeClr w14:val="tx1"/>
            </w14:solidFill>
          </w14:textFill>
        </w:rPr>
      </w:pPr>
    </w:p>
    <w:p w14:paraId="465E4944">
      <w:pPr>
        <w:tabs>
          <w:tab w:val="left" w:pos="1710"/>
        </w:tabs>
        <w:rPr>
          <w:rFonts w:ascii="Arial" w:hAnsi="Arial" w:cs="Arial"/>
          <w:color w:val="000000" w:themeColor="text1"/>
          <w14:textFill>
            <w14:solidFill>
              <w14:schemeClr w14:val="tx1"/>
            </w14:solidFill>
          </w14:textFill>
        </w:rPr>
      </w:pPr>
    </w:p>
    <w:p w14:paraId="6C122664">
      <w:pPr>
        <w:tabs>
          <w:tab w:val="left" w:pos="1710"/>
        </w:tabs>
        <w:rPr>
          <w:rFonts w:ascii="Arial" w:hAnsi="Arial" w:cs="Arial"/>
          <w:color w:val="000000" w:themeColor="text1"/>
          <w14:textFill>
            <w14:solidFill>
              <w14:schemeClr w14:val="tx1"/>
            </w14:solidFill>
          </w14:textFill>
        </w:rPr>
      </w:pPr>
    </w:p>
    <w:p w14:paraId="13FB7CB1">
      <w:pPr>
        <w:tabs>
          <w:tab w:val="left" w:pos="1710"/>
        </w:tabs>
        <w:rPr>
          <w:rFonts w:ascii="Arial" w:hAnsi="Arial" w:cs="Arial"/>
          <w:color w:val="000000" w:themeColor="text1"/>
          <w14:textFill>
            <w14:solidFill>
              <w14:schemeClr w14:val="tx1"/>
            </w14:solidFill>
          </w14:textFill>
        </w:rPr>
      </w:pPr>
    </w:p>
    <w:p w14:paraId="00F75AEC">
      <w:pPr>
        <w:tabs>
          <w:tab w:val="left" w:pos="1710"/>
        </w:tabs>
        <w:rPr>
          <w:rFonts w:ascii="Arial" w:hAnsi="Arial" w:cs="Arial"/>
          <w:color w:val="000000" w:themeColor="text1"/>
          <w14:textFill>
            <w14:solidFill>
              <w14:schemeClr w14:val="tx1"/>
            </w14:solidFill>
          </w14:textFill>
        </w:rPr>
      </w:pPr>
    </w:p>
    <w:tbl>
      <w:tblPr>
        <w:tblStyle w:val="55"/>
        <w:tblW w:w="6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4768"/>
      </w:tblGrid>
      <w:tr w14:paraId="1F16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537" w:type="dxa"/>
            <w:gridSpan w:val="2"/>
            <w:tcBorders>
              <w:top w:val="nil"/>
              <w:left w:val="nil"/>
              <w:right w:val="nil"/>
            </w:tcBorders>
          </w:tcPr>
          <w:p w14:paraId="0992438E">
            <w:pPr>
              <w:snapToGrid w:val="0"/>
              <w:spacing w:line="240" w:lineRule="atLeast"/>
              <w:jc w:val="center"/>
              <w:rPr>
                <w:rFonts w:ascii="Arial" w:hAnsi="Arial" w:cs="Arial"/>
                <w:b/>
                <w:color w:val="000000" w:themeColor="text1"/>
                <w:sz w:val="60"/>
                <w:szCs w:val="60"/>
                <w14:textFill>
                  <w14:solidFill>
                    <w14:schemeClr w14:val="tx1"/>
                  </w14:solidFill>
                </w14:textFill>
              </w:rPr>
            </w:pPr>
            <w:r>
              <w:rPr>
                <w:rFonts w:ascii="Arial" w:hAnsi="Arial" w:cs="Arial"/>
                <w:b/>
                <w:color w:val="000000" w:themeColor="text1"/>
                <w:sz w:val="60"/>
                <w:szCs w:val="60"/>
                <w14:textFill>
                  <w14:solidFill>
                    <w14:schemeClr w14:val="tx1"/>
                  </w14:solidFill>
                </w14:textFill>
              </w:rPr>
              <w:t>招  标  文  件</w:t>
            </w:r>
          </w:p>
        </w:tc>
      </w:tr>
      <w:tr w14:paraId="1279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exact"/>
          <w:jc w:val="center"/>
        </w:trPr>
        <w:tc>
          <w:tcPr>
            <w:tcW w:w="1769" w:type="dxa"/>
            <w:vAlign w:val="center"/>
          </w:tcPr>
          <w:p w14:paraId="05A159BF">
            <w:pPr>
              <w:rPr>
                <w:rFonts w:ascii="Arial" w:hAnsi="Arial" w:cs="Arial"/>
                <w:b/>
                <w:color w:val="000000" w:themeColor="text1"/>
                <w:sz w:val="32"/>
                <w:szCs w:val="32"/>
                <w14:textFill>
                  <w14:solidFill>
                    <w14:schemeClr w14:val="tx1"/>
                  </w14:solidFill>
                </w14:textFill>
              </w:rPr>
            </w:pPr>
            <w:r>
              <w:rPr>
                <w:rFonts w:ascii="Arial" w:hAnsi="Arial" w:cs="Arial"/>
                <w:b/>
                <w:color w:val="000000" w:themeColor="text1"/>
                <w:sz w:val="32"/>
                <w:szCs w:val="32"/>
                <w14:textFill>
                  <w14:solidFill>
                    <w14:schemeClr w14:val="tx1"/>
                  </w14:solidFill>
                </w14:textFill>
              </w:rPr>
              <w:t>项目名称：</w:t>
            </w:r>
          </w:p>
        </w:tc>
        <w:tc>
          <w:tcPr>
            <w:tcW w:w="4768" w:type="dxa"/>
            <w:vAlign w:val="center"/>
          </w:tcPr>
          <w:p w14:paraId="2E24AEAA">
            <w:pPr>
              <w:rPr>
                <w:rFonts w:hint="eastAsia" w:ascii="Arial" w:hAnsi="Arial" w:eastAsia="宋体" w:cs="Arial"/>
                <w:b/>
                <w:color w:val="000000" w:themeColor="text1"/>
                <w:sz w:val="32"/>
                <w:szCs w:val="32"/>
                <w:lang w:eastAsia="zh-CN"/>
                <w14:textFill>
                  <w14:solidFill>
                    <w14:schemeClr w14:val="tx1"/>
                  </w14:solidFill>
                </w14:textFill>
              </w:rPr>
            </w:pPr>
            <w:r>
              <w:rPr>
                <w:rFonts w:hint="eastAsia" w:ascii="Arial" w:hAnsi="Arial" w:cs="Arial"/>
                <w:b/>
                <w:color w:val="000000" w:themeColor="text1"/>
                <w:sz w:val="32"/>
                <w:szCs w:val="32"/>
                <w:lang w:eastAsia="zh-CN"/>
                <w14:textFill>
                  <w14:solidFill>
                    <w14:schemeClr w14:val="tx1"/>
                  </w14:solidFill>
                </w14:textFill>
              </w:rPr>
              <w:t>南溪山医院医疗设备一批项目(十二)(电子胃镜系统、肺功能测试系统)</w:t>
            </w:r>
          </w:p>
        </w:tc>
      </w:tr>
      <w:tr w14:paraId="1FBC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9" w:type="dxa"/>
            <w:vAlign w:val="center"/>
          </w:tcPr>
          <w:p w14:paraId="2361EAAF">
            <w:pPr>
              <w:rPr>
                <w:rFonts w:ascii="Arial" w:hAnsi="Arial" w:cs="Arial"/>
                <w:b/>
                <w:color w:val="000000" w:themeColor="text1"/>
                <w:sz w:val="32"/>
                <w:szCs w:val="32"/>
                <w14:textFill>
                  <w14:solidFill>
                    <w14:schemeClr w14:val="tx1"/>
                  </w14:solidFill>
                </w14:textFill>
              </w:rPr>
            </w:pPr>
            <w:r>
              <w:rPr>
                <w:rFonts w:ascii="Arial" w:hAnsi="Arial" w:cs="Arial"/>
                <w:b/>
                <w:color w:val="000000" w:themeColor="text1"/>
                <w:sz w:val="32"/>
                <w:szCs w:val="32"/>
                <w14:textFill>
                  <w14:solidFill>
                    <w14:schemeClr w14:val="tx1"/>
                  </w14:solidFill>
                </w14:textFill>
              </w:rPr>
              <w:t>项目编号：</w:t>
            </w:r>
          </w:p>
        </w:tc>
        <w:tc>
          <w:tcPr>
            <w:tcW w:w="4768" w:type="dxa"/>
            <w:vAlign w:val="center"/>
          </w:tcPr>
          <w:p w14:paraId="6D9036A2">
            <w:pPr>
              <w:rPr>
                <w:rFonts w:hint="eastAsia" w:ascii="Arial" w:hAnsi="Arial" w:eastAsia="宋体" w:cs="Arial"/>
                <w:b/>
                <w:color w:val="000000" w:themeColor="text1"/>
                <w:sz w:val="32"/>
                <w:szCs w:val="32"/>
                <w:lang w:eastAsia="zh-CN"/>
                <w14:textFill>
                  <w14:solidFill>
                    <w14:schemeClr w14:val="tx1"/>
                  </w14:solidFill>
                </w14:textFill>
              </w:rPr>
            </w:pPr>
            <w:r>
              <w:rPr>
                <w:rFonts w:hint="eastAsia" w:ascii="Arial" w:hAnsi="Arial" w:cs="Arial"/>
                <w:b/>
                <w:color w:val="000000" w:themeColor="text1"/>
                <w:sz w:val="32"/>
                <w:szCs w:val="32"/>
                <w:lang w:eastAsia="zh-CN"/>
                <w14:textFill>
                  <w14:solidFill>
                    <w14:schemeClr w14:val="tx1"/>
                  </w14:solidFill>
                </w14:textFill>
              </w:rPr>
              <w:t>GXZC2026-G1-002738-JDZB</w:t>
            </w:r>
          </w:p>
        </w:tc>
      </w:tr>
      <w:tr w14:paraId="1B74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9" w:type="dxa"/>
            <w:vAlign w:val="center"/>
          </w:tcPr>
          <w:p w14:paraId="0668A956">
            <w:pPr>
              <w:rPr>
                <w:rFonts w:ascii="Arial" w:hAnsi="Arial" w:cs="Arial"/>
                <w:b/>
                <w:color w:val="000000" w:themeColor="text1"/>
                <w:sz w:val="32"/>
                <w:szCs w:val="32"/>
                <w14:textFill>
                  <w14:solidFill>
                    <w14:schemeClr w14:val="tx1"/>
                  </w14:solidFill>
                </w14:textFill>
              </w:rPr>
            </w:pPr>
            <w:r>
              <w:rPr>
                <w:rFonts w:ascii="Arial" w:hAnsi="Arial" w:cs="Arial"/>
                <w:b/>
                <w:color w:val="000000" w:themeColor="text1"/>
                <w:sz w:val="32"/>
                <w:szCs w:val="32"/>
                <w14:textFill>
                  <w14:solidFill>
                    <w14:schemeClr w14:val="tx1"/>
                  </w14:solidFill>
                </w14:textFill>
              </w:rPr>
              <w:t>联系电话：</w:t>
            </w:r>
          </w:p>
        </w:tc>
        <w:tc>
          <w:tcPr>
            <w:tcW w:w="4768" w:type="dxa"/>
            <w:vAlign w:val="center"/>
          </w:tcPr>
          <w:p w14:paraId="3EB4D064">
            <w:pPr>
              <w:rPr>
                <w:rFonts w:ascii="Arial" w:hAnsi="Arial" w:cs="Arial"/>
                <w:b/>
                <w:color w:val="000000" w:themeColor="text1"/>
                <w:sz w:val="32"/>
                <w:szCs w:val="32"/>
                <w14:textFill>
                  <w14:solidFill>
                    <w14:schemeClr w14:val="tx1"/>
                  </w14:solidFill>
                </w14:textFill>
              </w:rPr>
            </w:pPr>
            <w:r>
              <w:rPr>
                <w:rFonts w:ascii="Arial" w:hAnsi="Arial" w:cs="Arial"/>
                <w:b/>
                <w:color w:val="000000" w:themeColor="text1"/>
                <w:sz w:val="32"/>
                <w:szCs w:val="32"/>
                <w14:textFill>
                  <w14:solidFill>
                    <w14:schemeClr w14:val="tx1"/>
                  </w14:solidFill>
                </w14:textFill>
              </w:rPr>
              <w:t>0773-3696789转2</w:t>
            </w:r>
          </w:p>
        </w:tc>
      </w:tr>
    </w:tbl>
    <w:p w14:paraId="2677BD33">
      <w:pPr>
        <w:tabs>
          <w:tab w:val="left" w:pos="1710"/>
        </w:tabs>
        <w:rPr>
          <w:rFonts w:ascii="Arial" w:hAnsi="Arial" w:cs="Arial"/>
          <w:color w:val="000000" w:themeColor="text1"/>
          <w14:textFill>
            <w14:solidFill>
              <w14:schemeClr w14:val="tx1"/>
            </w14:solidFill>
          </w14:textFill>
        </w:rPr>
      </w:pPr>
    </w:p>
    <w:p w14:paraId="382B93C5">
      <w:pPr>
        <w:rPr>
          <w:rFonts w:ascii="Arial" w:hAnsi="Arial" w:cs="Arial"/>
          <w:color w:val="000000" w:themeColor="text1"/>
          <w14:textFill>
            <w14:solidFill>
              <w14:schemeClr w14:val="tx1"/>
            </w14:solidFill>
          </w14:textFill>
        </w:rPr>
      </w:pPr>
    </w:p>
    <w:p w14:paraId="06A76191">
      <w:pPr>
        <w:rPr>
          <w:rFonts w:ascii="Arial" w:hAnsi="Arial" w:cs="Arial"/>
          <w:color w:val="000000" w:themeColor="text1"/>
          <w14:textFill>
            <w14:solidFill>
              <w14:schemeClr w14:val="tx1"/>
            </w14:solidFill>
          </w14:textFill>
        </w:rPr>
      </w:pPr>
    </w:p>
    <w:p w14:paraId="7AD06C1B">
      <w:pPr>
        <w:rPr>
          <w:rFonts w:ascii="Arial" w:hAnsi="Arial" w:cs="Arial"/>
          <w:color w:val="000000" w:themeColor="text1"/>
          <w14:textFill>
            <w14:solidFill>
              <w14:schemeClr w14:val="tx1"/>
            </w14:solidFill>
          </w14:textFill>
        </w:rPr>
      </w:pPr>
    </w:p>
    <w:p w14:paraId="128AC9C1">
      <w:pPr>
        <w:rPr>
          <w:rFonts w:ascii="Arial" w:hAnsi="Arial" w:cs="Arial"/>
          <w:color w:val="000000" w:themeColor="text1"/>
          <w14:textFill>
            <w14:solidFill>
              <w14:schemeClr w14:val="tx1"/>
            </w14:solidFill>
          </w14:textFill>
        </w:rPr>
      </w:pPr>
    </w:p>
    <w:p w14:paraId="3B1F812D">
      <w:pPr>
        <w:widowControl/>
        <w:jc w:val="left"/>
        <w:rPr>
          <w:rFonts w:ascii="Arial" w:hAnsi="Arial" w:cs="Arial"/>
          <w:color w:val="000000" w:themeColor="text1"/>
          <w:kern w:val="0"/>
          <w:sz w:val="24"/>
          <w14:textFill>
            <w14:solidFill>
              <w14:schemeClr w14:val="tx1"/>
            </w14:solidFill>
          </w14:textFill>
        </w:rPr>
      </w:pPr>
    </w:p>
    <w:p w14:paraId="7A984C8A">
      <w:pPr>
        <w:rPr>
          <w:rFonts w:ascii="Arial" w:hAnsi="Arial" w:cs="Arial"/>
          <w:color w:val="000000" w:themeColor="text1"/>
          <w14:textFill>
            <w14:solidFill>
              <w14:schemeClr w14:val="tx1"/>
            </w14:solidFill>
          </w14:textFill>
        </w:rPr>
      </w:pPr>
    </w:p>
    <w:p w14:paraId="75C964F4">
      <w:pPr>
        <w:rPr>
          <w:rFonts w:ascii="Arial" w:hAnsi="Arial" w:cs="Arial"/>
          <w:color w:val="000000" w:themeColor="text1"/>
          <w14:textFill>
            <w14:solidFill>
              <w14:schemeClr w14:val="tx1"/>
            </w14:solidFill>
          </w14:textFill>
        </w:rPr>
      </w:pPr>
    </w:p>
    <w:p w14:paraId="013CEA06">
      <w:pPr>
        <w:rPr>
          <w:rFonts w:ascii="Arial" w:hAnsi="Arial" w:cs="Arial"/>
          <w:color w:val="000000" w:themeColor="text1"/>
          <w14:textFill>
            <w14:solidFill>
              <w14:schemeClr w14:val="tx1"/>
            </w14:solidFill>
          </w14:textFill>
        </w:rPr>
      </w:pPr>
    </w:p>
    <w:p w14:paraId="1321E0B2">
      <w:pPr>
        <w:rPr>
          <w:rFonts w:ascii="Arial" w:hAnsi="Arial" w:cs="Arial"/>
          <w:color w:val="000000" w:themeColor="text1"/>
          <w14:textFill>
            <w14:solidFill>
              <w14:schemeClr w14:val="tx1"/>
            </w14:solidFill>
          </w14:textFill>
        </w:rPr>
      </w:pPr>
    </w:p>
    <w:p w14:paraId="7C9D635E">
      <w:pPr>
        <w:rPr>
          <w:rFonts w:ascii="Arial" w:hAnsi="Arial" w:cs="Arial"/>
          <w:color w:val="000000" w:themeColor="text1"/>
          <w14:textFill>
            <w14:solidFill>
              <w14:schemeClr w14:val="tx1"/>
            </w14:solidFill>
          </w14:textFill>
        </w:rPr>
      </w:pPr>
    </w:p>
    <w:p w14:paraId="4AC86E10">
      <w:pPr>
        <w:rPr>
          <w:rFonts w:ascii="Arial" w:hAnsi="Arial" w:cs="Arial"/>
          <w:color w:val="000000" w:themeColor="text1"/>
          <w14:textFill>
            <w14:solidFill>
              <w14:schemeClr w14:val="tx1"/>
            </w14:solidFill>
          </w14:textFill>
        </w:rPr>
      </w:pPr>
    </w:p>
    <w:p w14:paraId="04291D6F">
      <w:pPr>
        <w:rPr>
          <w:rFonts w:ascii="Arial" w:hAnsi="Arial" w:cs="Arial"/>
          <w:color w:val="000000" w:themeColor="text1"/>
          <w14:textFill>
            <w14:solidFill>
              <w14:schemeClr w14:val="tx1"/>
            </w14:solidFill>
          </w14:textFill>
        </w:rPr>
      </w:pPr>
    </w:p>
    <w:p w14:paraId="2362BFC8">
      <w:pPr>
        <w:rPr>
          <w:rFonts w:ascii="Arial" w:hAnsi="Arial" w:cs="Arial"/>
          <w:color w:val="000000" w:themeColor="text1"/>
          <w14:textFill>
            <w14:solidFill>
              <w14:schemeClr w14:val="tx1"/>
            </w14:solidFill>
          </w14:textFill>
        </w:rPr>
      </w:pPr>
    </w:p>
    <w:p w14:paraId="4014440D">
      <w:pPr>
        <w:rPr>
          <w:rFonts w:ascii="Arial" w:hAnsi="Arial" w:cs="Arial"/>
          <w:color w:val="000000" w:themeColor="text1"/>
          <w14:textFill>
            <w14:solidFill>
              <w14:schemeClr w14:val="tx1"/>
            </w14:solidFill>
          </w14:textFill>
        </w:rPr>
      </w:pPr>
    </w:p>
    <w:tbl>
      <w:tblPr>
        <w:tblStyle w:val="55"/>
        <w:tblW w:w="7712" w:type="dxa"/>
        <w:jc w:val="center"/>
        <w:tblLayout w:type="fixed"/>
        <w:tblCellMar>
          <w:top w:w="0" w:type="dxa"/>
          <w:left w:w="108" w:type="dxa"/>
          <w:bottom w:w="0" w:type="dxa"/>
          <w:right w:w="108" w:type="dxa"/>
        </w:tblCellMar>
      </w:tblPr>
      <w:tblGrid>
        <w:gridCol w:w="2416"/>
        <w:gridCol w:w="5296"/>
      </w:tblGrid>
      <w:tr w14:paraId="6048737D">
        <w:tblPrEx>
          <w:tblCellMar>
            <w:top w:w="0" w:type="dxa"/>
            <w:left w:w="108" w:type="dxa"/>
            <w:bottom w:w="0" w:type="dxa"/>
            <w:right w:w="108" w:type="dxa"/>
          </w:tblCellMar>
        </w:tblPrEx>
        <w:trPr>
          <w:trHeight w:val="1058" w:hRule="atLeast"/>
          <w:jc w:val="center"/>
        </w:trPr>
        <w:tc>
          <w:tcPr>
            <w:tcW w:w="2416" w:type="dxa"/>
            <w:vAlign w:val="center"/>
          </w:tcPr>
          <w:p w14:paraId="4214D2D4">
            <w:pPr>
              <w:autoSpaceDE w:val="0"/>
              <w:autoSpaceDN w:val="0"/>
              <w:adjustRightInd w:val="0"/>
              <w:jc w:val="right"/>
              <w:rPr>
                <w:rFonts w:ascii="Arial" w:hAnsi="Arial" w:cs="Arial"/>
                <w:b/>
                <w:color w:val="000000" w:themeColor="text1"/>
                <w:sz w:val="32"/>
                <w:szCs w:val="32"/>
                <w14:textFill>
                  <w14:solidFill>
                    <w14:schemeClr w14:val="tx1"/>
                  </w14:solidFill>
                </w14:textFill>
              </w:rPr>
            </w:pPr>
            <w:r>
              <w:rPr>
                <w:rFonts w:ascii="Arial" w:hAnsi="Arial" w:cs="Arial"/>
                <w:b/>
                <w:color w:val="000000" w:themeColor="text1"/>
                <w:sz w:val="32"/>
                <w:szCs w:val="32"/>
                <w14:textFill>
                  <w14:solidFill>
                    <w14:schemeClr w14:val="tx1"/>
                  </w14:solidFill>
                </w14:textFill>
              </w:rPr>
              <w:t xml:space="preserve">  采购人：</w:t>
            </w:r>
          </w:p>
        </w:tc>
        <w:tc>
          <w:tcPr>
            <w:tcW w:w="5296" w:type="dxa"/>
            <w:vAlign w:val="center"/>
          </w:tcPr>
          <w:p w14:paraId="26FA8CB8">
            <w:pPr>
              <w:autoSpaceDE w:val="0"/>
              <w:autoSpaceDN w:val="0"/>
              <w:adjustRightInd w:val="0"/>
              <w:jc w:val="left"/>
              <w:rPr>
                <w:rFonts w:ascii="Arial" w:hAnsi="Arial" w:cs="Arial"/>
                <w:b/>
                <w:color w:val="000000" w:themeColor="text1"/>
                <w:sz w:val="32"/>
                <w:szCs w:val="32"/>
                <w14:textFill>
                  <w14:solidFill>
                    <w14:schemeClr w14:val="tx1"/>
                  </w14:solidFill>
                </w14:textFill>
              </w:rPr>
            </w:pPr>
            <w:r>
              <w:rPr>
                <w:rFonts w:ascii="Arial" w:hAnsi="Arial" w:cs="Arial"/>
                <w:b/>
                <w:color w:val="000000" w:themeColor="text1"/>
                <w:sz w:val="32"/>
                <w:szCs w:val="32"/>
                <w14:textFill>
                  <w14:solidFill>
                    <w14:schemeClr w14:val="tx1"/>
                  </w14:solidFill>
                </w14:textFill>
              </w:rPr>
              <w:t>广西壮族自治区南溪山医院（广西壮族自治区第二人民医院）</w:t>
            </w:r>
          </w:p>
        </w:tc>
      </w:tr>
      <w:tr w14:paraId="132B0180">
        <w:tblPrEx>
          <w:tblCellMar>
            <w:top w:w="0" w:type="dxa"/>
            <w:left w:w="108" w:type="dxa"/>
            <w:bottom w:w="0" w:type="dxa"/>
            <w:right w:w="108" w:type="dxa"/>
          </w:tblCellMar>
        </w:tblPrEx>
        <w:trPr>
          <w:trHeight w:val="703" w:hRule="atLeast"/>
          <w:jc w:val="center"/>
        </w:trPr>
        <w:tc>
          <w:tcPr>
            <w:tcW w:w="2416" w:type="dxa"/>
          </w:tcPr>
          <w:p w14:paraId="2209B840">
            <w:pPr>
              <w:autoSpaceDE w:val="0"/>
              <w:autoSpaceDN w:val="0"/>
              <w:adjustRightInd w:val="0"/>
              <w:jc w:val="right"/>
              <w:rPr>
                <w:rFonts w:ascii="Arial" w:hAnsi="Arial" w:cs="Arial"/>
                <w:b/>
                <w:color w:val="000000" w:themeColor="text1"/>
                <w:sz w:val="32"/>
                <w:szCs w:val="32"/>
                <w14:textFill>
                  <w14:solidFill>
                    <w14:schemeClr w14:val="tx1"/>
                  </w14:solidFill>
                </w14:textFill>
              </w:rPr>
            </w:pPr>
            <w:r>
              <w:rPr>
                <w:rFonts w:ascii="Arial" w:hAnsi="Arial" w:cs="Arial"/>
                <w:b/>
                <w:color w:val="000000" w:themeColor="text1"/>
                <w:sz w:val="32"/>
                <w:szCs w:val="32"/>
                <w14:textFill>
                  <w14:solidFill>
                    <w14:schemeClr w14:val="tx1"/>
                  </w14:solidFill>
                </w14:textFill>
              </w:rPr>
              <w:t>采购代理机构：</w:t>
            </w:r>
          </w:p>
        </w:tc>
        <w:tc>
          <w:tcPr>
            <w:tcW w:w="5296" w:type="dxa"/>
          </w:tcPr>
          <w:p w14:paraId="5B71580D">
            <w:pPr>
              <w:autoSpaceDE w:val="0"/>
              <w:autoSpaceDN w:val="0"/>
              <w:adjustRightInd w:val="0"/>
              <w:rPr>
                <w:rFonts w:ascii="Arial" w:hAnsi="Arial" w:cs="Arial"/>
                <w:b/>
                <w:color w:val="000000" w:themeColor="text1"/>
                <w:sz w:val="32"/>
                <w:szCs w:val="32"/>
                <w:u w:val="single"/>
                <w14:textFill>
                  <w14:solidFill>
                    <w14:schemeClr w14:val="tx1"/>
                  </w14:solidFill>
                </w14:textFill>
              </w:rPr>
            </w:pPr>
            <w:r>
              <w:rPr>
                <w:rFonts w:ascii="Arial" w:hAnsi="Arial" w:cs="Arial"/>
                <w:b/>
                <w:color w:val="000000" w:themeColor="text1"/>
                <w:sz w:val="32"/>
                <w:szCs w:val="32"/>
                <w14:textFill>
                  <w14:solidFill>
                    <w14:schemeClr w14:val="tx1"/>
                  </w14:solidFill>
                </w14:textFill>
              </w:rPr>
              <w:t>广西机电设备招标有限公司</w:t>
            </w:r>
          </w:p>
        </w:tc>
      </w:tr>
    </w:tbl>
    <w:p w14:paraId="51283985">
      <w:pPr>
        <w:rPr>
          <w:rFonts w:ascii="Arial" w:hAnsi="Arial" w:cs="Arial"/>
          <w:color w:val="000000" w:themeColor="text1"/>
          <w14:textFill>
            <w14:solidFill>
              <w14:schemeClr w14:val="tx1"/>
            </w14:solidFill>
          </w14:textFill>
        </w:rPr>
      </w:pPr>
    </w:p>
    <w:p w14:paraId="1D471492">
      <w:pPr>
        <w:ind w:firstLine="321" w:firstLineChars="100"/>
        <w:jc w:val="center"/>
        <w:rPr>
          <w:rFonts w:ascii="Arial" w:hAnsi="Arial" w:cs="Arial"/>
          <w:b/>
          <w:color w:val="000000" w:themeColor="text1"/>
          <w:sz w:val="32"/>
          <w:szCs w:val="32"/>
          <w14:textFill>
            <w14:solidFill>
              <w14:schemeClr w14:val="tx1"/>
            </w14:solidFill>
          </w14:textFill>
        </w:rPr>
        <w:sectPr>
          <w:headerReference r:id="rId4" w:type="first"/>
          <w:footerReference r:id="rId6" w:type="first"/>
          <w:headerReference r:id="rId3" w:type="even"/>
          <w:footerReference r:id="rId5" w:type="even"/>
          <w:type w:val="nextColumn"/>
          <w:pgSz w:w="11906" w:h="16838"/>
          <w:pgMar w:top="1418" w:right="1418" w:bottom="1246" w:left="1418" w:header="851" w:footer="992" w:gutter="0"/>
          <w:pgNumType w:start="0"/>
          <w:cols w:space="720" w:num="1"/>
          <w:titlePg/>
          <w:docGrid w:linePitch="312" w:charSpace="0"/>
        </w:sectPr>
      </w:pPr>
      <w:r>
        <w:rPr>
          <w:rFonts w:ascii="Arial" w:hAnsi="Arial" w:cs="Arial"/>
          <w:b/>
          <w:color w:val="000000" w:themeColor="text1"/>
          <w:sz w:val="32"/>
          <w:szCs w:val="32"/>
          <w14:textFill>
            <w14:solidFill>
              <w14:schemeClr w14:val="tx1"/>
            </w14:solidFill>
          </w14:textFill>
        </w:rPr>
        <w:t>202</w:t>
      </w:r>
      <w:r>
        <w:rPr>
          <w:rFonts w:hint="eastAsia" w:ascii="Arial" w:hAnsi="Arial" w:cs="Arial"/>
          <w:b/>
          <w:color w:val="000000" w:themeColor="text1"/>
          <w:sz w:val="32"/>
          <w:szCs w:val="32"/>
          <w14:textFill>
            <w14:solidFill>
              <w14:schemeClr w14:val="tx1"/>
            </w14:solidFill>
          </w14:textFill>
        </w:rPr>
        <w:t>6</w:t>
      </w:r>
      <w:r>
        <w:rPr>
          <w:rFonts w:ascii="Arial" w:hAnsi="Arial" w:cs="Arial"/>
          <w:b/>
          <w:color w:val="000000" w:themeColor="text1"/>
          <w:sz w:val="32"/>
          <w:szCs w:val="32"/>
          <w14:textFill>
            <w14:solidFill>
              <w14:schemeClr w14:val="tx1"/>
            </w14:solidFill>
          </w14:textFill>
        </w:rPr>
        <w:t>年</w:t>
      </w:r>
      <w:r>
        <w:rPr>
          <w:rFonts w:hint="eastAsia" w:ascii="Arial" w:hAnsi="Arial" w:cs="Arial"/>
          <w:b/>
          <w:color w:val="000000" w:themeColor="text1"/>
          <w:sz w:val="32"/>
          <w:szCs w:val="32"/>
          <w:lang w:val="en-US" w:eastAsia="zh-CN"/>
          <w14:textFill>
            <w14:solidFill>
              <w14:schemeClr w14:val="tx1"/>
            </w14:solidFill>
          </w14:textFill>
        </w:rPr>
        <w:t>8</w:t>
      </w:r>
      <w:r>
        <w:rPr>
          <w:rFonts w:ascii="Arial" w:hAnsi="Arial" w:cs="Arial"/>
          <w:b/>
          <w:color w:val="000000" w:themeColor="text1"/>
          <w:sz w:val="32"/>
          <w:szCs w:val="32"/>
          <w14:textFill>
            <w14:solidFill>
              <w14:schemeClr w14:val="tx1"/>
            </w14:solidFill>
          </w14:textFill>
        </w:rPr>
        <w:t>月</w:t>
      </w:r>
    </w:p>
    <w:p w14:paraId="18E2BC61">
      <w:pPr>
        <w:spacing w:line="360" w:lineRule="auto"/>
        <w:rPr>
          <w:rFonts w:ascii="Arial" w:hAnsi="Arial" w:cs="Arial"/>
          <w:b/>
          <w:color w:val="000000" w:themeColor="text1"/>
          <w:sz w:val="24"/>
          <w14:textFill>
            <w14:solidFill>
              <w14:schemeClr w14:val="tx1"/>
            </w14:solidFill>
          </w14:textFill>
        </w:rPr>
      </w:pPr>
    </w:p>
    <w:p w14:paraId="392C20C3">
      <w:pPr>
        <w:pStyle w:val="30"/>
        <w:snapToGrid w:val="0"/>
        <w:spacing w:before="120" w:after="120" w:line="320" w:lineRule="exact"/>
        <w:jc w:val="center"/>
        <w:outlineLvl w:val="0"/>
        <w:rPr>
          <w:rFonts w:ascii="Arial" w:hAnsi="Arial" w:cs="Arial"/>
          <w:color w:val="000000" w:themeColor="text1"/>
          <w:sz w:val="32"/>
          <w:szCs w:val="32"/>
          <w14:textFill>
            <w14:solidFill>
              <w14:schemeClr w14:val="tx1"/>
            </w14:solidFill>
          </w14:textFill>
        </w:rPr>
      </w:pPr>
      <w:bookmarkStart w:id="2" w:name="_Toc5130"/>
      <w:bookmarkStart w:id="3" w:name="_Toc6931"/>
      <w:bookmarkStart w:id="4" w:name="_Toc21026"/>
      <w:r>
        <w:rPr>
          <w:rFonts w:ascii="Arial" w:hAnsi="Arial" w:cs="Arial"/>
          <w:color w:val="000000" w:themeColor="text1"/>
          <w:sz w:val="32"/>
          <w:szCs w:val="32"/>
          <w14:textFill>
            <w14:solidFill>
              <w14:schemeClr w14:val="tx1"/>
            </w14:solidFill>
          </w14:textFill>
        </w:rPr>
        <w:t>目录</w:t>
      </w:r>
      <w:bookmarkEnd w:id="2"/>
      <w:bookmarkEnd w:id="3"/>
      <w:bookmarkEnd w:id="4"/>
    </w:p>
    <w:p w14:paraId="49434025">
      <w:pPr>
        <w:pStyle w:val="37"/>
        <w:tabs>
          <w:tab w:val="right" w:leader="dot" w:pos="9354"/>
          <w:tab w:val="clear" w:pos="8398"/>
        </w:tabs>
      </w:pPr>
      <w:r>
        <w:rPr>
          <w:rFonts w:ascii="Arial" w:hAnsi="Arial" w:cs="Arial"/>
          <w:color w:val="000000" w:themeColor="text1"/>
          <w14:textFill>
            <w14:solidFill>
              <w14:schemeClr w14:val="tx1"/>
            </w14:solidFill>
          </w14:textFill>
        </w:rPr>
        <w:fldChar w:fldCharType="begin"/>
      </w:r>
      <w:r>
        <w:rPr>
          <w:rStyle w:val="63"/>
          <w:rFonts w:ascii="Arial" w:hAnsi="Arial" w:cs="Arial"/>
          <w:color w:val="000000" w:themeColor="text1"/>
          <w14:textFill>
            <w14:solidFill>
              <w14:schemeClr w14:val="tx1"/>
            </w14:solidFill>
          </w14:textFill>
        </w:rPr>
        <w:instrText xml:space="preserve"> TOC \o "1-1" \h \z \u </w:instrText>
      </w:r>
      <w:r>
        <w:rPr>
          <w:rFonts w:ascii="Arial" w:hAnsi="Arial" w:cs="Arial"/>
          <w:color w:val="000000" w:themeColor="text1"/>
          <w14:textFill>
            <w14:solidFill>
              <w14:schemeClr w14:val="tx1"/>
            </w14:solidFill>
          </w14:textFill>
        </w:rPr>
        <w:fldChar w:fldCharType="separate"/>
      </w:r>
      <w:r>
        <w:rPr>
          <w:rFonts w:ascii="Arial" w:hAnsi="Arial" w:cs="Arial"/>
          <w:color w:val="000000" w:themeColor="text1"/>
          <w14:textFill>
            <w14:solidFill>
              <w14:schemeClr w14:val="tx1"/>
            </w14:solidFill>
          </w14:textFill>
        </w:rPr>
        <w:fldChar w:fldCharType="begin"/>
      </w:r>
      <w:r>
        <w:rPr>
          <w:rFonts w:ascii="Arial" w:hAnsi="Arial" w:cs="Arial"/>
        </w:rPr>
        <w:instrText xml:space="preserve"> HYPERLINK \l _Toc10173 </w:instrText>
      </w:r>
      <w:r>
        <w:rPr>
          <w:rFonts w:ascii="Arial" w:hAnsi="Arial" w:cs="Arial"/>
        </w:rPr>
        <w:fldChar w:fldCharType="separate"/>
      </w:r>
      <w:r>
        <w:rPr>
          <w:rFonts w:ascii="Arial" w:hAnsi="Arial" w:cs="Arial"/>
          <w:szCs w:val="32"/>
        </w:rPr>
        <w:t>第一章  招标公告</w:t>
      </w:r>
      <w:r>
        <w:tab/>
      </w:r>
      <w:r>
        <w:fldChar w:fldCharType="begin"/>
      </w:r>
      <w:r>
        <w:instrText xml:space="preserve"> PAGEREF _Toc10173 \h </w:instrText>
      </w:r>
      <w:r>
        <w:fldChar w:fldCharType="separate"/>
      </w:r>
      <w:r>
        <w:t>1</w:t>
      </w:r>
      <w:r>
        <w:fldChar w:fldCharType="end"/>
      </w:r>
      <w:r>
        <w:rPr>
          <w:rFonts w:ascii="Arial" w:hAnsi="Arial" w:cs="Arial"/>
          <w:color w:val="000000" w:themeColor="text1"/>
          <w14:textFill>
            <w14:solidFill>
              <w14:schemeClr w14:val="tx1"/>
            </w14:solidFill>
          </w14:textFill>
        </w:rPr>
        <w:fldChar w:fldCharType="end"/>
      </w:r>
    </w:p>
    <w:p w14:paraId="10BC7DE4">
      <w:pPr>
        <w:pStyle w:val="37"/>
        <w:tabs>
          <w:tab w:val="right" w:leader="dot" w:pos="9354"/>
          <w:tab w:val="clear" w:pos="8398"/>
        </w:tabs>
      </w:pPr>
      <w:r>
        <w:rPr>
          <w:rFonts w:ascii="Arial" w:hAnsi="Arial" w:cs="Arial"/>
          <w:color w:val="000000" w:themeColor="text1"/>
          <w14:textFill>
            <w14:solidFill>
              <w14:schemeClr w14:val="tx1"/>
            </w14:solidFill>
          </w14:textFill>
        </w:rPr>
        <w:fldChar w:fldCharType="begin"/>
      </w:r>
      <w:r>
        <w:rPr>
          <w:rFonts w:ascii="Arial" w:hAnsi="Arial" w:cs="Arial"/>
        </w:rPr>
        <w:instrText xml:space="preserve"> HYPERLINK \l _Toc22457 </w:instrText>
      </w:r>
      <w:r>
        <w:rPr>
          <w:rFonts w:ascii="Arial" w:hAnsi="Arial" w:cs="Arial"/>
        </w:rPr>
        <w:fldChar w:fldCharType="separate"/>
      </w:r>
      <w:r>
        <w:rPr>
          <w:rFonts w:ascii="Arial" w:hAnsi="Arial" w:cs="Arial"/>
          <w:szCs w:val="32"/>
        </w:rPr>
        <w:t>第二章  项目采购需求</w:t>
      </w:r>
      <w:r>
        <w:tab/>
      </w:r>
      <w:r>
        <w:fldChar w:fldCharType="begin"/>
      </w:r>
      <w:r>
        <w:instrText xml:space="preserve"> PAGEREF _Toc22457 \h </w:instrText>
      </w:r>
      <w:r>
        <w:fldChar w:fldCharType="separate"/>
      </w:r>
      <w:r>
        <w:t>4</w:t>
      </w:r>
      <w:r>
        <w:fldChar w:fldCharType="end"/>
      </w:r>
      <w:r>
        <w:rPr>
          <w:rFonts w:ascii="Arial" w:hAnsi="Arial" w:cs="Arial"/>
          <w:color w:val="000000" w:themeColor="text1"/>
          <w14:textFill>
            <w14:solidFill>
              <w14:schemeClr w14:val="tx1"/>
            </w14:solidFill>
          </w14:textFill>
        </w:rPr>
        <w:fldChar w:fldCharType="end"/>
      </w:r>
    </w:p>
    <w:p w14:paraId="234AB63B">
      <w:pPr>
        <w:pStyle w:val="37"/>
        <w:tabs>
          <w:tab w:val="right" w:leader="dot" w:pos="9354"/>
          <w:tab w:val="clear" w:pos="8398"/>
        </w:tabs>
      </w:pPr>
      <w:r>
        <w:rPr>
          <w:rFonts w:ascii="Arial" w:hAnsi="Arial" w:cs="Arial"/>
          <w:color w:val="000000" w:themeColor="text1"/>
          <w14:textFill>
            <w14:solidFill>
              <w14:schemeClr w14:val="tx1"/>
            </w14:solidFill>
          </w14:textFill>
        </w:rPr>
        <w:fldChar w:fldCharType="begin"/>
      </w:r>
      <w:r>
        <w:rPr>
          <w:rFonts w:ascii="Arial" w:hAnsi="Arial" w:cs="Arial"/>
        </w:rPr>
        <w:instrText xml:space="preserve"> HYPERLINK \l _Toc13905 </w:instrText>
      </w:r>
      <w:r>
        <w:rPr>
          <w:rFonts w:ascii="Arial" w:hAnsi="Arial" w:cs="Arial"/>
        </w:rPr>
        <w:fldChar w:fldCharType="separate"/>
      </w:r>
      <w:r>
        <w:rPr>
          <w:rFonts w:ascii="Arial" w:hAnsi="Arial" w:cs="Arial"/>
          <w:szCs w:val="32"/>
        </w:rPr>
        <w:t>第三章  供应商须知</w:t>
      </w:r>
      <w:r>
        <w:tab/>
      </w:r>
      <w:r>
        <w:fldChar w:fldCharType="begin"/>
      </w:r>
      <w:r>
        <w:instrText xml:space="preserve"> PAGEREF _Toc13905 \h </w:instrText>
      </w:r>
      <w:r>
        <w:fldChar w:fldCharType="separate"/>
      </w:r>
      <w:r>
        <w:t>18</w:t>
      </w:r>
      <w:r>
        <w:fldChar w:fldCharType="end"/>
      </w:r>
      <w:r>
        <w:rPr>
          <w:rFonts w:ascii="Arial" w:hAnsi="Arial" w:cs="Arial"/>
          <w:color w:val="000000" w:themeColor="text1"/>
          <w14:textFill>
            <w14:solidFill>
              <w14:schemeClr w14:val="tx1"/>
            </w14:solidFill>
          </w14:textFill>
        </w:rPr>
        <w:fldChar w:fldCharType="end"/>
      </w:r>
    </w:p>
    <w:p w14:paraId="59DAC7C4">
      <w:pPr>
        <w:pStyle w:val="37"/>
        <w:tabs>
          <w:tab w:val="right" w:leader="dot" w:pos="9354"/>
          <w:tab w:val="clear" w:pos="8398"/>
        </w:tabs>
      </w:pPr>
      <w:r>
        <w:rPr>
          <w:rFonts w:ascii="Arial" w:hAnsi="Arial" w:cs="Arial"/>
          <w:color w:val="000000" w:themeColor="text1"/>
          <w14:textFill>
            <w14:solidFill>
              <w14:schemeClr w14:val="tx1"/>
            </w14:solidFill>
          </w14:textFill>
        </w:rPr>
        <w:fldChar w:fldCharType="begin"/>
      </w:r>
      <w:r>
        <w:rPr>
          <w:rFonts w:ascii="Arial" w:hAnsi="Arial" w:cs="Arial"/>
        </w:rPr>
        <w:instrText xml:space="preserve"> HYPERLINK \l _Toc3087 </w:instrText>
      </w:r>
      <w:r>
        <w:rPr>
          <w:rFonts w:ascii="Arial" w:hAnsi="Arial" w:cs="Arial"/>
        </w:rPr>
        <w:fldChar w:fldCharType="separate"/>
      </w:r>
      <w:r>
        <w:rPr>
          <w:rFonts w:ascii="Arial" w:hAnsi="Arial" w:cs="Arial"/>
          <w:szCs w:val="32"/>
        </w:rPr>
        <w:t>第四章  评标方法及评标标准</w:t>
      </w:r>
      <w:r>
        <w:tab/>
      </w:r>
      <w:r>
        <w:fldChar w:fldCharType="begin"/>
      </w:r>
      <w:r>
        <w:instrText xml:space="preserve"> PAGEREF _Toc3087 \h </w:instrText>
      </w:r>
      <w:r>
        <w:fldChar w:fldCharType="separate"/>
      </w:r>
      <w:r>
        <w:t>37</w:t>
      </w:r>
      <w:r>
        <w:fldChar w:fldCharType="end"/>
      </w:r>
      <w:r>
        <w:rPr>
          <w:rFonts w:ascii="Arial" w:hAnsi="Arial" w:cs="Arial"/>
          <w:color w:val="000000" w:themeColor="text1"/>
          <w14:textFill>
            <w14:solidFill>
              <w14:schemeClr w14:val="tx1"/>
            </w14:solidFill>
          </w14:textFill>
        </w:rPr>
        <w:fldChar w:fldCharType="end"/>
      </w:r>
    </w:p>
    <w:p w14:paraId="27606ECB">
      <w:pPr>
        <w:pStyle w:val="37"/>
        <w:tabs>
          <w:tab w:val="right" w:leader="dot" w:pos="9354"/>
          <w:tab w:val="clear" w:pos="8398"/>
        </w:tabs>
      </w:pPr>
      <w:r>
        <w:rPr>
          <w:rFonts w:ascii="Arial" w:hAnsi="Arial" w:cs="Arial"/>
          <w:color w:val="000000" w:themeColor="text1"/>
          <w14:textFill>
            <w14:solidFill>
              <w14:schemeClr w14:val="tx1"/>
            </w14:solidFill>
          </w14:textFill>
        </w:rPr>
        <w:fldChar w:fldCharType="begin"/>
      </w:r>
      <w:r>
        <w:rPr>
          <w:rFonts w:ascii="Arial" w:hAnsi="Arial" w:cs="Arial"/>
        </w:rPr>
        <w:instrText xml:space="preserve"> HYPERLINK \l _Toc12782 </w:instrText>
      </w:r>
      <w:r>
        <w:rPr>
          <w:rFonts w:ascii="Arial" w:hAnsi="Arial" w:cs="Arial"/>
        </w:rPr>
        <w:fldChar w:fldCharType="separate"/>
      </w:r>
      <w:r>
        <w:rPr>
          <w:rFonts w:ascii="Arial" w:hAnsi="Arial" w:eastAsia="宋体" w:cs="Arial"/>
          <w:szCs w:val="32"/>
        </w:rPr>
        <w:t>第五章  合同主要条款格式</w:t>
      </w:r>
      <w:r>
        <w:tab/>
      </w:r>
      <w:r>
        <w:fldChar w:fldCharType="begin"/>
      </w:r>
      <w:r>
        <w:instrText xml:space="preserve"> PAGEREF _Toc12782 \h </w:instrText>
      </w:r>
      <w:r>
        <w:fldChar w:fldCharType="separate"/>
      </w:r>
      <w:r>
        <w:t>69</w:t>
      </w:r>
      <w:r>
        <w:fldChar w:fldCharType="end"/>
      </w:r>
      <w:r>
        <w:rPr>
          <w:rFonts w:ascii="Arial" w:hAnsi="Arial" w:cs="Arial"/>
          <w:color w:val="000000" w:themeColor="text1"/>
          <w14:textFill>
            <w14:solidFill>
              <w14:schemeClr w14:val="tx1"/>
            </w14:solidFill>
          </w14:textFill>
        </w:rPr>
        <w:fldChar w:fldCharType="end"/>
      </w:r>
    </w:p>
    <w:p w14:paraId="6D7FD67C">
      <w:pPr>
        <w:pStyle w:val="37"/>
        <w:tabs>
          <w:tab w:val="right" w:leader="dot" w:pos="9354"/>
          <w:tab w:val="clear" w:pos="8398"/>
        </w:tabs>
      </w:pPr>
      <w:r>
        <w:rPr>
          <w:rFonts w:ascii="Arial" w:hAnsi="Arial" w:cs="Arial"/>
          <w:color w:val="000000" w:themeColor="text1"/>
          <w14:textFill>
            <w14:solidFill>
              <w14:schemeClr w14:val="tx1"/>
            </w14:solidFill>
          </w14:textFill>
        </w:rPr>
        <w:fldChar w:fldCharType="begin"/>
      </w:r>
      <w:r>
        <w:rPr>
          <w:rFonts w:ascii="Arial" w:hAnsi="Arial" w:cs="Arial"/>
        </w:rPr>
        <w:instrText xml:space="preserve"> HYPERLINK \l _Toc703 </w:instrText>
      </w:r>
      <w:r>
        <w:rPr>
          <w:rFonts w:ascii="Arial" w:hAnsi="Arial" w:cs="Arial"/>
        </w:rPr>
        <w:fldChar w:fldCharType="separate"/>
      </w:r>
      <w:r>
        <w:rPr>
          <w:rFonts w:ascii="Arial" w:hAnsi="Arial" w:cs="Arial"/>
          <w:szCs w:val="32"/>
        </w:rPr>
        <w:t>第六章  投标文件格式</w:t>
      </w:r>
      <w:r>
        <w:tab/>
      </w:r>
      <w:r>
        <w:fldChar w:fldCharType="begin"/>
      </w:r>
      <w:r>
        <w:instrText xml:space="preserve"> PAGEREF _Toc703 \h </w:instrText>
      </w:r>
      <w:r>
        <w:fldChar w:fldCharType="separate"/>
      </w:r>
      <w:r>
        <w:t>86</w:t>
      </w:r>
      <w:r>
        <w:fldChar w:fldCharType="end"/>
      </w:r>
      <w:r>
        <w:rPr>
          <w:rFonts w:ascii="Arial" w:hAnsi="Arial" w:cs="Arial"/>
          <w:color w:val="000000" w:themeColor="text1"/>
          <w14:textFill>
            <w14:solidFill>
              <w14:schemeClr w14:val="tx1"/>
            </w14:solidFill>
          </w14:textFill>
        </w:rPr>
        <w:fldChar w:fldCharType="end"/>
      </w:r>
    </w:p>
    <w:p w14:paraId="22ADAE49">
      <w:pPr>
        <w:pStyle w:val="37"/>
        <w:ind w:firstLine="241"/>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fldChar w:fldCharType="end"/>
      </w:r>
    </w:p>
    <w:p w14:paraId="7633F045">
      <w:pPr>
        <w:spacing w:before="120" w:beforeLines="50" w:line="480" w:lineRule="exact"/>
        <w:rPr>
          <w:rFonts w:ascii="Arial" w:hAnsi="Arial" w:cs="Arial"/>
          <w:color w:val="000000" w:themeColor="text1"/>
          <w:sz w:val="28"/>
          <w:szCs w:val="28"/>
          <w14:textFill>
            <w14:solidFill>
              <w14:schemeClr w14:val="tx1"/>
            </w14:solidFill>
          </w14:textFill>
        </w:rPr>
      </w:pPr>
    </w:p>
    <w:p w14:paraId="496D557C">
      <w:pPr>
        <w:spacing w:before="120" w:beforeLines="50" w:line="480" w:lineRule="exact"/>
        <w:rPr>
          <w:rFonts w:ascii="Arial" w:hAnsi="Arial" w:cs="Arial"/>
          <w:color w:val="000000" w:themeColor="text1"/>
          <w:sz w:val="30"/>
          <w14:textFill>
            <w14:solidFill>
              <w14:schemeClr w14:val="tx1"/>
            </w14:solidFill>
          </w14:textFill>
        </w:rPr>
        <w:sectPr>
          <w:headerReference r:id="rId7" w:type="first"/>
          <w:footerReference r:id="rId8" w:type="first"/>
          <w:pgSz w:w="11906" w:h="16838"/>
          <w:pgMar w:top="1418" w:right="1134" w:bottom="1247" w:left="1418" w:header="851" w:footer="992" w:gutter="0"/>
          <w:pgNumType w:start="0"/>
          <w:cols w:space="720" w:num="1"/>
          <w:titlePg/>
          <w:docGrid w:linePitch="312" w:charSpace="0"/>
        </w:sectPr>
      </w:pPr>
    </w:p>
    <w:p w14:paraId="4EFC0FAA">
      <w:pPr>
        <w:pStyle w:val="30"/>
        <w:snapToGrid w:val="0"/>
        <w:spacing w:before="120" w:after="120" w:line="320" w:lineRule="exact"/>
        <w:jc w:val="center"/>
        <w:outlineLvl w:val="0"/>
        <w:rPr>
          <w:rFonts w:ascii="Arial" w:hAnsi="Arial" w:cs="Arial"/>
          <w:color w:val="000000" w:themeColor="text1"/>
          <w:sz w:val="32"/>
          <w:szCs w:val="32"/>
          <w14:textFill>
            <w14:solidFill>
              <w14:schemeClr w14:val="tx1"/>
            </w14:solidFill>
          </w14:textFill>
        </w:rPr>
      </w:pPr>
      <w:bookmarkStart w:id="5" w:name="_Toc254970630"/>
      <w:bookmarkStart w:id="6" w:name="_Toc254970489"/>
      <w:r>
        <w:rPr>
          <w:rFonts w:ascii="Arial" w:hAnsi="Arial" w:cs="Arial"/>
          <w:color w:val="000000" w:themeColor="text1"/>
          <w:sz w:val="32"/>
          <w:szCs w:val="32"/>
          <w14:textFill>
            <w14:solidFill>
              <w14:schemeClr w14:val="tx1"/>
            </w14:solidFill>
          </w14:textFill>
        </w:rPr>
        <w:tab/>
      </w:r>
      <w:bookmarkStart w:id="7" w:name="_Toc10173"/>
      <w:r>
        <w:rPr>
          <w:rFonts w:ascii="Arial" w:hAnsi="Arial" w:cs="Arial"/>
          <w:color w:val="000000" w:themeColor="text1"/>
          <w:sz w:val="32"/>
          <w:szCs w:val="32"/>
          <w14:textFill>
            <w14:solidFill>
              <w14:schemeClr w14:val="tx1"/>
            </w14:solidFill>
          </w14:textFill>
        </w:rPr>
        <w:t>第一章  招标公告</w:t>
      </w:r>
      <w:bookmarkEnd w:id="7"/>
    </w:p>
    <w:p w14:paraId="384CAC38">
      <w:pPr>
        <w:spacing w:line="400" w:lineRule="exact"/>
        <w:jc w:val="center"/>
        <w:rPr>
          <w:rFonts w:hint="eastAsia" w:ascii="Arial" w:hAnsi="Arial" w:eastAsia="宋体" w:cs="Arial"/>
          <w:color w:val="000000" w:themeColor="text1"/>
          <w:kern w:val="0"/>
          <w:sz w:val="24"/>
          <w:lang w:eastAsia="zh-CN"/>
          <w14:textFill>
            <w14:solidFill>
              <w14:schemeClr w14:val="tx1"/>
            </w14:solidFill>
          </w14:textFill>
        </w:rPr>
      </w:pPr>
      <w:r>
        <w:rPr>
          <w:rFonts w:ascii="Arial" w:hAnsi="Arial" w:cs="Arial"/>
          <w:color w:val="000000" w:themeColor="text1"/>
          <w:kern w:val="0"/>
          <w:sz w:val="24"/>
          <w14:textFill>
            <w14:solidFill>
              <w14:schemeClr w14:val="tx1"/>
            </w14:solidFill>
          </w14:textFill>
        </w:rPr>
        <w:t>广西机电设备招标有限公司关于</w:t>
      </w:r>
      <w:r>
        <w:rPr>
          <w:rFonts w:hint="eastAsia" w:ascii="Arial" w:hAnsi="Arial" w:cs="Arial"/>
          <w:color w:val="000000" w:themeColor="text1"/>
          <w:kern w:val="0"/>
          <w:sz w:val="24"/>
          <w:lang w:eastAsia="zh-CN"/>
          <w14:textFill>
            <w14:solidFill>
              <w14:schemeClr w14:val="tx1"/>
            </w14:solidFill>
          </w14:textFill>
        </w:rPr>
        <w:t>南溪山医院医疗设备一批项目(十二)(电子胃镜系统、肺功能测试系统)</w:t>
      </w:r>
    </w:p>
    <w:p w14:paraId="0C9CA033">
      <w:pPr>
        <w:spacing w:line="400" w:lineRule="exac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sz w:val="24"/>
          <w14:textFill>
            <w14:solidFill>
              <w14:schemeClr w14:val="tx1"/>
            </w14:solidFill>
          </w14:textFill>
        </w:rPr>
        <w:t>(</w:t>
      </w:r>
      <w:r>
        <w:rPr>
          <w:rFonts w:hint="eastAsia" w:ascii="Arial" w:hAnsi="Arial" w:cs="Arial"/>
          <w:color w:val="000000" w:themeColor="text1"/>
          <w:sz w:val="24"/>
          <w:lang w:eastAsia="zh-CN"/>
          <w14:textFill>
            <w14:solidFill>
              <w14:schemeClr w14:val="tx1"/>
            </w14:solidFill>
          </w14:textFill>
        </w:rPr>
        <w:t>GXZC2026-G1-002738-JDZB</w:t>
      </w:r>
      <w:r>
        <w:rPr>
          <w:rFonts w:ascii="Arial" w:hAnsi="Arial" w:cs="Arial"/>
          <w:color w:val="000000" w:themeColor="text1"/>
          <w:sz w:val="24"/>
          <w14:textFill>
            <w14:solidFill>
              <w14:schemeClr w14:val="tx1"/>
            </w14:solidFill>
          </w14:textFill>
        </w:rPr>
        <w:t>)</w:t>
      </w:r>
      <w:r>
        <w:rPr>
          <w:rFonts w:ascii="Arial" w:hAnsi="Arial" w:cs="Arial"/>
          <w:color w:val="000000" w:themeColor="text1"/>
          <w:kern w:val="0"/>
          <w:sz w:val="24"/>
          <w14:textFill>
            <w14:solidFill>
              <w14:schemeClr w14:val="tx1"/>
            </w14:solidFill>
          </w14:textFill>
        </w:rPr>
        <w:t>公开招标公告</w:t>
      </w:r>
    </w:p>
    <w:tbl>
      <w:tblPr>
        <w:tblStyle w:val="55"/>
        <w:tblpPr w:leftFromText="180" w:rightFromText="180" w:vertAnchor="text" w:horzAnchor="margin" w:tblpXSpec="center" w:tblpY="138"/>
        <w:tblW w:w="8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5"/>
      </w:tblGrid>
      <w:tr w14:paraId="4A21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8335" w:type="dxa"/>
          </w:tcPr>
          <w:p w14:paraId="03AB86E3">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项目概况</w:t>
            </w:r>
          </w:p>
          <w:p w14:paraId="79A8713C">
            <w:pPr>
              <w:spacing w:line="312" w:lineRule="auto"/>
              <w:ind w:firstLine="420" w:firstLineChars="200"/>
              <w:jc w:val="left"/>
              <w:rPr>
                <w:rFonts w:ascii="Arial" w:hAnsi="Arial" w:cs="Arial"/>
                <w:b/>
                <w:bCs/>
                <w:color w:val="000000" w:themeColor="text1"/>
                <w:kern w:val="0"/>
                <w:szCs w:val="21"/>
                <w14:textFill>
                  <w14:solidFill>
                    <w14:schemeClr w14:val="tx1"/>
                  </w14:solidFill>
                </w14:textFill>
              </w:rPr>
            </w:pPr>
            <w:r>
              <w:rPr>
                <w:rFonts w:hint="eastAsia" w:ascii="Arial" w:hAnsi="Arial" w:cs="Arial"/>
                <w:color w:val="000000" w:themeColor="text1"/>
                <w:szCs w:val="21"/>
                <w:lang w:eastAsia="zh-CN"/>
                <w14:textFill>
                  <w14:solidFill>
                    <w14:schemeClr w14:val="tx1"/>
                  </w14:solidFill>
                </w14:textFill>
              </w:rPr>
              <w:t>南溪山医院医疗设备一批项目(十二)(电子胃镜系统、肺功能测试系统)</w:t>
            </w:r>
            <w:r>
              <w:rPr>
                <w:rFonts w:ascii="Arial" w:hAnsi="Arial" w:cs="Arial"/>
                <w:color w:val="000000" w:themeColor="text1"/>
                <w:szCs w:val="21"/>
                <w14:textFill>
                  <w14:solidFill>
                    <w14:schemeClr w14:val="tx1"/>
                  </w14:solidFill>
                </w14:textFill>
              </w:rPr>
              <w:t>招标项目的潜在供应商应登录广西政府采购云平台（https://www.gcy.zfcg.gxzf.gov.cn/）在线申请获取招标文件，并于202</w:t>
            </w:r>
            <w:r>
              <w:rPr>
                <w:rFonts w:hint="eastAsia" w:ascii="Arial" w:hAnsi="Arial" w:cs="Arial"/>
                <w:color w:val="000000" w:themeColor="text1"/>
                <w:szCs w:val="21"/>
                <w14:textFill>
                  <w14:solidFill>
                    <w14:schemeClr w14:val="tx1"/>
                  </w14:solidFill>
                </w14:textFill>
              </w:rPr>
              <w:t>6</w:t>
            </w:r>
            <w:r>
              <w:rPr>
                <w:rFonts w:ascii="Arial" w:hAnsi="Arial" w:cs="Arial"/>
                <w:color w:val="000000" w:themeColor="text1"/>
                <w:szCs w:val="21"/>
                <w14:textFill>
                  <w14:solidFill>
                    <w14:schemeClr w14:val="tx1"/>
                  </w14:solidFill>
                </w14:textFill>
              </w:rPr>
              <w:t>年</w:t>
            </w:r>
            <w:r>
              <w:rPr>
                <w:rFonts w:hint="eastAsia" w:ascii="Arial" w:hAnsi="Arial" w:cs="Arial"/>
                <w:color w:val="000000" w:themeColor="text1"/>
                <w:szCs w:val="21"/>
                <w:lang w:val="en-US" w:eastAsia="zh-CN"/>
                <w14:textFill>
                  <w14:solidFill>
                    <w14:schemeClr w14:val="tx1"/>
                  </w14:solidFill>
                </w14:textFill>
              </w:rPr>
              <w:t>9</w:t>
            </w:r>
            <w:r>
              <w:rPr>
                <w:rFonts w:ascii="Arial" w:hAnsi="Arial" w:cs="Arial"/>
                <w:color w:val="000000" w:themeColor="text1"/>
                <w:szCs w:val="21"/>
                <w14:textFill>
                  <w14:solidFill>
                    <w14:schemeClr w14:val="tx1"/>
                  </w14:solidFill>
                </w14:textFill>
              </w:rPr>
              <w:t>月</w:t>
            </w:r>
            <w:r>
              <w:rPr>
                <w:rFonts w:hint="eastAsia" w:ascii="Arial" w:hAnsi="Arial" w:cs="Arial"/>
                <w:color w:val="000000" w:themeColor="text1"/>
                <w:szCs w:val="21"/>
                <w:lang w:val="en-US" w:eastAsia="zh-CN"/>
                <w14:textFill>
                  <w14:solidFill>
                    <w14:schemeClr w14:val="tx1"/>
                  </w14:solidFill>
                </w14:textFill>
              </w:rPr>
              <w:t>14</w:t>
            </w:r>
            <w:r>
              <w:rPr>
                <w:rFonts w:ascii="Arial" w:hAnsi="Arial" w:cs="Arial"/>
                <w:color w:val="000000" w:themeColor="text1"/>
                <w:szCs w:val="21"/>
                <w14:textFill>
                  <w14:solidFill>
                    <w14:schemeClr w14:val="tx1"/>
                  </w14:solidFill>
                </w14:textFill>
              </w:rPr>
              <w:t>日9点30分（北京时间）前递交投标文件。</w:t>
            </w:r>
          </w:p>
        </w:tc>
      </w:tr>
    </w:tbl>
    <w:p w14:paraId="7E02B034">
      <w:pPr>
        <w:spacing w:line="312" w:lineRule="auto"/>
        <w:ind w:firstLine="442" w:firstLineChars="200"/>
        <w:jc w:val="left"/>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一、项目基本情况</w:t>
      </w:r>
    </w:p>
    <w:p w14:paraId="331CCE12">
      <w:pPr>
        <w:spacing w:line="312" w:lineRule="auto"/>
        <w:ind w:firstLine="420" w:firstLineChars="200"/>
        <w:jc w:val="left"/>
        <w:rPr>
          <w:rFonts w:hint="eastAsia" w:ascii="Arial" w:hAnsi="Arial" w:eastAsia="宋体" w:cs="Arial"/>
          <w:color w:val="000000" w:themeColor="text1"/>
          <w:kern w:val="0"/>
          <w:szCs w:val="21"/>
          <w:lang w:eastAsia="zh-CN"/>
          <w14:textFill>
            <w14:solidFill>
              <w14:schemeClr w14:val="tx1"/>
            </w14:solidFill>
          </w14:textFill>
        </w:rPr>
      </w:pPr>
      <w:r>
        <w:rPr>
          <w:rFonts w:ascii="Arial" w:hAnsi="Arial" w:cs="Arial"/>
          <w:color w:val="000000" w:themeColor="text1"/>
          <w:kern w:val="0"/>
          <w:szCs w:val="21"/>
          <w14:textFill>
            <w14:solidFill>
              <w14:schemeClr w14:val="tx1"/>
            </w14:solidFill>
          </w14:textFill>
        </w:rPr>
        <w:t>项目编号：</w:t>
      </w:r>
      <w:r>
        <w:rPr>
          <w:rFonts w:hint="eastAsia" w:ascii="Arial" w:hAnsi="Arial" w:cs="Arial"/>
          <w:color w:val="000000" w:themeColor="text1"/>
          <w:szCs w:val="21"/>
          <w:lang w:eastAsia="zh-CN"/>
          <w14:textFill>
            <w14:solidFill>
              <w14:schemeClr w14:val="tx1"/>
            </w14:solidFill>
          </w14:textFill>
        </w:rPr>
        <w:t>GXZC2026-G1-002738-JDZB</w:t>
      </w:r>
    </w:p>
    <w:p w14:paraId="53F68E92">
      <w:pPr>
        <w:spacing w:line="312" w:lineRule="auto"/>
        <w:ind w:firstLine="420" w:firstLineChars="200"/>
        <w:jc w:val="left"/>
        <w:rPr>
          <w:rFonts w:hint="eastAsia" w:ascii="Arial" w:hAnsi="Arial" w:eastAsia="宋体" w:cs="Arial"/>
          <w:color w:val="000000" w:themeColor="text1"/>
          <w:kern w:val="0"/>
          <w:szCs w:val="21"/>
          <w:lang w:eastAsia="zh-CN"/>
          <w14:textFill>
            <w14:solidFill>
              <w14:schemeClr w14:val="tx1"/>
            </w14:solidFill>
          </w14:textFill>
        </w:rPr>
      </w:pPr>
      <w:r>
        <w:rPr>
          <w:rFonts w:ascii="Arial" w:hAnsi="Arial" w:cs="Arial"/>
          <w:color w:val="000000" w:themeColor="text1"/>
          <w:kern w:val="0"/>
          <w:szCs w:val="21"/>
          <w14:textFill>
            <w14:solidFill>
              <w14:schemeClr w14:val="tx1"/>
            </w14:solidFill>
          </w14:textFill>
        </w:rPr>
        <w:t>项目名称：</w:t>
      </w:r>
      <w:r>
        <w:rPr>
          <w:rFonts w:hint="eastAsia" w:ascii="Arial" w:hAnsi="Arial" w:cs="Arial"/>
          <w:color w:val="000000" w:themeColor="text1"/>
          <w:kern w:val="0"/>
          <w:szCs w:val="21"/>
          <w:lang w:eastAsia="zh-CN"/>
          <w14:textFill>
            <w14:solidFill>
              <w14:schemeClr w14:val="tx1"/>
            </w14:solidFill>
          </w14:textFill>
        </w:rPr>
        <w:t>南溪山医院医疗设备一批项目(十二)(电子胃镜系统、肺功能测试系统)</w:t>
      </w:r>
    </w:p>
    <w:p w14:paraId="73229EE3">
      <w:pPr>
        <w:spacing w:line="312" w:lineRule="auto"/>
        <w:ind w:firstLine="420" w:firstLineChars="200"/>
        <w:jc w:val="left"/>
        <w:rPr>
          <w:rFonts w:hint="default" w:ascii="Arial" w:hAnsi="Arial" w:eastAsia="宋体" w:cs="Arial"/>
          <w:color w:val="000000" w:themeColor="text1"/>
          <w:kern w:val="0"/>
          <w:szCs w:val="21"/>
          <w:lang w:val="en-US" w:eastAsia="zh-CN"/>
          <w14:textFill>
            <w14:solidFill>
              <w14:schemeClr w14:val="tx1"/>
            </w14:solidFill>
          </w14:textFill>
        </w:rPr>
      </w:pPr>
      <w:r>
        <w:rPr>
          <w:rFonts w:ascii="Arial" w:hAnsi="Arial" w:cs="Arial"/>
          <w:color w:val="000000" w:themeColor="text1"/>
          <w:kern w:val="0"/>
          <w:szCs w:val="21"/>
          <w14:textFill>
            <w14:solidFill>
              <w14:schemeClr w14:val="tx1"/>
            </w14:solidFill>
          </w14:textFill>
        </w:rPr>
        <w:t>预算总金额（元）：</w:t>
      </w:r>
      <w:r>
        <w:rPr>
          <w:rFonts w:hint="eastAsia" w:ascii="Arial" w:hAnsi="Arial" w:cs="Arial"/>
          <w:color w:val="000000" w:themeColor="text1"/>
          <w:kern w:val="0"/>
          <w:szCs w:val="21"/>
          <w:lang w:val="en-US" w:eastAsia="zh-CN"/>
          <w14:textFill>
            <w14:solidFill>
              <w14:schemeClr w14:val="tx1"/>
            </w14:solidFill>
          </w14:textFill>
        </w:rPr>
        <w:t>4740000</w:t>
      </w:r>
    </w:p>
    <w:p w14:paraId="11119FC6">
      <w:pPr>
        <w:tabs>
          <w:tab w:val="left" w:pos="3150"/>
        </w:tabs>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采购需求：</w:t>
      </w:r>
    </w:p>
    <w:p w14:paraId="7F16595B">
      <w:pPr>
        <w:tabs>
          <w:tab w:val="left" w:pos="3150"/>
        </w:tabs>
        <w:spacing w:line="312" w:lineRule="auto"/>
        <w:ind w:firstLine="420" w:firstLineChars="200"/>
        <w:jc w:val="left"/>
        <w:rPr>
          <w:rFonts w:hint="eastAsia"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标项</w:t>
      </w:r>
      <w:r>
        <w:rPr>
          <w:rFonts w:hint="eastAsia" w:ascii="Arial" w:hAnsi="Arial" w:cs="Arial"/>
          <w:color w:val="000000" w:themeColor="text1"/>
          <w:kern w:val="0"/>
          <w:szCs w:val="21"/>
          <w:lang w:val="en-US" w:eastAsia="zh-CN"/>
          <w14:textFill>
            <w14:solidFill>
              <w14:schemeClr w14:val="tx1"/>
            </w14:solidFill>
          </w14:textFill>
        </w:rPr>
        <w:t>一</w:t>
      </w:r>
      <w:r>
        <w:rPr>
          <w:rFonts w:ascii="Arial" w:hAnsi="Arial" w:cs="Arial"/>
          <w:color w:val="000000" w:themeColor="text1"/>
          <w:kern w:val="0"/>
          <w:szCs w:val="21"/>
          <w14:textFill>
            <w14:solidFill>
              <w14:schemeClr w14:val="tx1"/>
            </w14:solidFill>
          </w14:textFill>
        </w:rPr>
        <w:t>：</w:t>
      </w:r>
      <w:r>
        <w:rPr>
          <w:rFonts w:hint="eastAsia" w:ascii="Arial" w:hAnsi="Arial" w:cs="Arial"/>
          <w:color w:val="000000" w:themeColor="text1"/>
          <w:kern w:val="0"/>
          <w:szCs w:val="21"/>
          <w14:textFill>
            <w14:solidFill>
              <w14:schemeClr w14:val="tx1"/>
            </w14:solidFill>
          </w14:textFill>
        </w:rPr>
        <w:t>电子胃镜系统</w:t>
      </w:r>
    </w:p>
    <w:p w14:paraId="4EB25812">
      <w:pPr>
        <w:tabs>
          <w:tab w:val="left" w:pos="3150"/>
        </w:tabs>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数量：1</w:t>
      </w:r>
    </w:p>
    <w:p w14:paraId="2E4D3F2B">
      <w:pPr>
        <w:tabs>
          <w:tab w:val="left" w:pos="3150"/>
        </w:tabs>
        <w:spacing w:line="312" w:lineRule="auto"/>
        <w:ind w:firstLine="420" w:firstLineChars="200"/>
        <w:jc w:val="left"/>
        <w:rPr>
          <w:rFonts w:hint="default" w:ascii="Arial" w:hAnsi="Arial" w:eastAsia="宋体" w:cs="Arial"/>
          <w:color w:val="000000" w:themeColor="text1"/>
          <w:kern w:val="0"/>
          <w:szCs w:val="21"/>
          <w:lang w:val="en-US" w:eastAsia="zh-CN"/>
          <w14:textFill>
            <w14:solidFill>
              <w14:schemeClr w14:val="tx1"/>
            </w14:solidFill>
          </w14:textFill>
        </w:rPr>
      </w:pPr>
      <w:r>
        <w:rPr>
          <w:rFonts w:ascii="Arial" w:hAnsi="Arial" w:cs="Arial"/>
          <w:color w:val="000000" w:themeColor="text1"/>
          <w:kern w:val="0"/>
          <w:szCs w:val="21"/>
          <w14:textFill>
            <w14:solidFill>
              <w14:schemeClr w14:val="tx1"/>
            </w14:solidFill>
          </w14:textFill>
        </w:rPr>
        <w:t>预算金额（元）：</w:t>
      </w:r>
      <w:r>
        <w:rPr>
          <w:rFonts w:hint="eastAsia" w:ascii="Arial" w:hAnsi="Arial" w:cs="Arial"/>
          <w:color w:val="000000" w:themeColor="text1"/>
          <w:kern w:val="0"/>
          <w:szCs w:val="21"/>
          <w:lang w:val="en-US" w:eastAsia="zh-CN"/>
          <w14:textFill>
            <w14:solidFill>
              <w14:schemeClr w14:val="tx1"/>
            </w14:solidFill>
          </w14:textFill>
        </w:rPr>
        <w:t>3480000</w:t>
      </w:r>
    </w:p>
    <w:p w14:paraId="067C5D4D">
      <w:pPr>
        <w:tabs>
          <w:tab w:val="left" w:pos="3150"/>
        </w:tabs>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简要规格描述或项目基本概况介绍、用途：</w:t>
      </w:r>
      <w:r>
        <w:rPr>
          <w:rFonts w:hint="eastAsia" w:ascii="Arial" w:hAnsi="Arial" w:cs="Arial"/>
          <w:color w:val="000000" w:themeColor="text1"/>
          <w:kern w:val="0"/>
          <w:szCs w:val="21"/>
          <w:lang w:eastAsia="zh-CN"/>
          <w14:textFill>
            <w14:solidFill>
              <w14:schemeClr w14:val="tx1"/>
            </w14:solidFill>
          </w14:textFill>
        </w:rPr>
        <w:t>电子胃镜系统</w:t>
      </w:r>
      <w:r>
        <w:rPr>
          <w:rFonts w:hint="eastAsia" w:ascii="Arial" w:hAnsi="Arial" w:cs="Arial"/>
          <w:color w:val="000000" w:themeColor="text1"/>
          <w:szCs w:val="21"/>
          <w:lang w:val="en-US" w:eastAsia="zh-CN"/>
          <w14:textFill>
            <w14:solidFill>
              <w14:schemeClr w14:val="tx1"/>
            </w14:solidFill>
          </w14:textFill>
        </w:rPr>
        <w:t>1套</w:t>
      </w:r>
      <w:r>
        <w:rPr>
          <w:rFonts w:ascii="Arial" w:hAnsi="Arial" w:cs="Arial"/>
          <w:color w:val="000000" w:themeColor="text1"/>
          <w:kern w:val="0"/>
          <w:szCs w:val="21"/>
          <w14:textFill>
            <w14:solidFill>
              <w14:schemeClr w14:val="tx1"/>
            </w14:solidFill>
          </w14:textFill>
        </w:rPr>
        <w:t>。如需</w:t>
      </w:r>
      <w:r>
        <w:rPr>
          <w:rFonts w:ascii="Arial" w:hAnsi="Arial" w:cs="Arial"/>
          <w:color w:val="000000" w:themeColor="text1"/>
          <w:szCs w:val="21"/>
          <w14:textFill>
            <w14:solidFill>
              <w14:schemeClr w14:val="tx1"/>
            </w14:solidFill>
          </w14:textFill>
        </w:rPr>
        <w:t>进一步</w:t>
      </w:r>
      <w:r>
        <w:rPr>
          <w:rFonts w:ascii="Arial" w:hAnsi="Arial" w:cs="Arial"/>
          <w:color w:val="000000" w:themeColor="text1"/>
          <w:kern w:val="0"/>
          <w:szCs w:val="21"/>
          <w14:textFill>
            <w14:solidFill>
              <w14:schemeClr w14:val="tx1"/>
            </w14:solidFill>
          </w14:textFill>
        </w:rPr>
        <w:t>了解详细内容，详见招标文件。</w:t>
      </w:r>
    </w:p>
    <w:p w14:paraId="26A601A8">
      <w:pPr>
        <w:spacing w:line="312" w:lineRule="auto"/>
        <w:ind w:firstLine="420" w:firstLineChars="200"/>
        <w:jc w:val="left"/>
        <w:rPr>
          <w:rFonts w:hint="eastAsia" w:ascii="Arial" w:hAnsi="Arial" w:eastAsia="宋体" w:cs="Arial"/>
          <w:color w:val="000000" w:themeColor="text1"/>
          <w:kern w:val="0"/>
          <w:szCs w:val="21"/>
          <w:lang w:eastAsia="zh-CN"/>
          <w14:textFill>
            <w14:solidFill>
              <w14:schemeClr w14:val="tx1"/>
            </w14:solidFill>
          </w14:textFill>
        </w:rPr>
      </w:pPr>
      <w:r>
        <w:rPr>
          <w:rFonts w:ascii="Arial" w:hAnsi="Arial" w:cs="Arial"/>
          <w:color w:val="000000" w:themeColor="text1"/>
          <w:kern w:val="0"/>
          <w:szCs w:val="21"/>
          <w14:textFill>
            <w14:solidFill>
              <w14:schemeClr w14:val="tx1"/>
            </w14:solidFill>
          </w14:textFill>
        </w:rPr>
        <w:t>最高限价（元）：</w:t>
      </w:r>
      <w:r>
        <w:rPr>
          <w:rFonts w:hint="eastAsia" w:ascii="Arial" w:hAnsi="Arial" w:cs="Arial"/>
          <w:color w:val="000000" w:themeColor="text1"/>
          <w:kern w:val="0"/>
          <w:szCs w:val="21"/>
          <w:lang w:val="en-US" w:eastAsia="zh-CN"/>
          <w14:textFill>
            <w14:solidFill>
              <w14:schemeClr w14:val="tx1"/>
            </w14:solidFill>
          </w14:textFill>
        </w:rPr>
        <w:t>3425000</w:t>
      </w:r>
    </w:p>
    <w:p w14:paraId="1496EB8B">
      <w:pPr>
        <w:spacing w:line="360" w:lineRule="auto"/>
        <w:ind w:firstLine="420" w:firstLineChars="200"/>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合同履行期限：</w:t>
      </w:r>
      <w:r>
        <w:rPr>
          <w:rFonts w:hint="eastAsia" w:ascii="Times New Roman" w:hAnsi="Times New Roman" w:cs="宋体"/>
          <w:color w:val="000000"/>
          <w:szCs w:val="21"/>
          <w:highlight w:val="none"/>
        </w:rPr>
        <w:t>自签订合同之日起</w:t>
      </w:r>
      <w:r>
        <w:rPr>
          <w:rFonts w:hint="eastAsia" w:ascii="Times New Roman" w:hAnsi="Times New Roman" w:cs="宋体"/>
          <w:color w:val="000000"/>
          <w:szCs w:val="21"/>
          <w:highlight w:val="none"/>
          <w:lang w:val="en-US" w:eastAsia="zh-CN"/>
        </w:rPr>
        <w:t>9</w:t>
      </w:r>
      <w:r>
        <w:rPr>
          <w:rFonts w:hint="eastAsia" w:ascii="Times New Roman" w:hAnsi="Times New Roman" w:cs="宋体"/>
          <w:color w:val="000000"/>
          <w:szCs w:val="21"/>
          <w:highlight w:val="none"/>
        </w:rPr>
        <w:t>0个日历日内完成安装及调试工作</w:t>
      </w:r>
      <w:r>
        <w:rPr>
          <w:rFonts w:hint="eastAsia" w:ascii="宋体" w:hAnsi="宋体" w:eastAsia="宋体" w:cs="宋体"/>
          <w:color w:val="000000"/>
          <w:sz w:val="21"/>
          <w:szCs w:val="21"/>
          <w:highlight w:val="none"/>
        </w:rPr>
        <w:t>并交付使用</w:t>
      </w:r>
      <w:r>
        <w:rPr>
          <w:rFonts w:ascii="Arial" w:hAnsi="Arial" w:cs="Arial"/>
          <w:color w:val="000000" w:themeColor="text1"/>
          <w:kern w:val="0"/>
          <w:szCs w:val="21"/>
          <w14:textFill>
            <w14:solidFill>
              <w14:schemeClr w14:val="tx1"/>
            </w14:solidFill>
          </w14:textFill>
        </w:rPr>
        <w:t>。</w:t>
      </w:r>
    </w:p>
    <w:p w14:paraId="09E2FC1B">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本标项（否）接受联合体投标</w:t>
      </w:r>
    </w:p>
    <w:p w14:paraId="7379E9E9">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备注：</w:t>
      </w:r>
    </w:p>
    <w:p w14:paraId="7F52513D">
      <w:pPr>
        <w:tabs>
          <w:tab w:val="left" w:pos="3150"/>
        </w:tabs>
        <w:spacing w:line="312" w:lineRule="auto"/>
        <w:ind w:firstLine="420" w:firstLineChars="200"/>
        <w:jc w:val="left"/>
        <w:rPr>
          <w:rFonts w:ascii="Arial" w:hAnsi="Arial" w:cs="Arial"/>
          <w:color w:val="000000" w:themeColor="text1"/>
          <w:kern w:val="0"/>
          <w:szCs w:val="21"/>
          <w14:textFill>
            <w14:solidFill>
              <w14:schemeClr w14:val="tx1"/>
            </w14:solidFill>
          </w14:textFill>
        </w:rPr>
      </w:pPr>
    </w:p>
    <w:p w14:paraId="0346FE77">
      <w:pPr>
        <w:tabs>
          <w:tab w:val="left" w:pos="3150"/>
        </w:tabs>
        <w:spacing w:line="312" w:lineRule="auto"/>
        <w:ind w:firstLine="420" w:firstLineChars="200"/>
        <w:jc w:val="left"/>
        <w:rPr>
          <w:rFonts w:hint="eastAsia"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标项</w:t>
      </w:r>
      <w:r>
        <w:rPr>
          <w:rFonts w:hint="eastAsia" w:ascii="Arial" w:hAnsi="Arial" w:cs="Arial"/>
          <w:color w:val="000000" w:themeColor="text1"/>
          <w:kern w:val="0"/>
          <w:szCs w:val="21"/>
          <w:lang w:val="en-US" w:eastAsia="zh-CN"/>
          <w14:textFill>
            <w14:solidFill>
              <w14:schemeClr w14:val="tx1"/>
            </w14:solidFill>
          </w14:textFill>
        </w:rPr>
        <w:t>二</w:t>
      </w:r>
      <w:r>
        <w:rPr>
          <w:rFonts w:ascii="Arial" w:hAnsi="Arial" w:eastAsia="宋体" w:cs="Arial"/>
          <w:color w:val="000000" w:themeColor="text1"/>
          <w:kern w:val="0"/>
          <w:szCs w:val="21"/>
          <w14:textFill>
            <w14:solidFill>
              <w14:schemeClr w14:val="tx1"/>
            </w14:solidFill>
          </w14:textFill>
        </w:rPr>
        <w:t>：</w:t>
      </w:r>
      <w:r>
        <w:rPr>
          <w:rFonts w:hint="eastAsia" w:ascii="Arial" w:hAnsi="Arial" w:eastAsia="宋体" w:cs="Arial"/>
          <w:color w:val="000000" w:themeColor="text1"/>
          <w:kern w:val="0"/>
          <w:szCs w:val="21"/>
          <w:lang w:eastAsia="zh-CN"/>
          <w14:textFill>
            <w14:solidFill>
              <w14:schemeClr w14:val="tx1"/>
            </w14:solidFill>
          </w14:textFill>
        </w:rPr>
        <w:t>肺功能测试系统</w:t>
      </w:r>
    </w:p>
    <w:p w14:paraId="2DE44F1D">
      <w:pPr>
        <w:tabs>
          <w:tab w:val="left" w:pos="3150"/>
        </w:tabs>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数量：1</w:t>
      </w:r>
    </w:p>
    <w:p w14:paraId="4229ADAD">
      <w:pPr>
        <w:tabs>
          <w:tab w:val="left" w:pos="3150"/>
        </w:tabs>
        <w:spacing w:line="312" w:lineRule="auto"/>
        <w:ind w:firstLine="420" w:firstLineChars="200"/>
        <w:jc w:val="left"/>
        <w:rPr>
          <w:rFonts w:hint="default" w:ascii="Arial" w:hAnsi="Arial" w:eastAsia="宋体" w:cs="Arial"/>
          <w:color w:val="000000" w:themeColor="text1"/>
          <w:kern w:val="0"/>
          <w:szCs w:val="21"/>
          <w:lang w:val="en-US" w:eastAsia="zh-CN"/>
          <w14:textFill>
            <w14:solidFill>
              <w14:schemeClr w14:val="tx1"/>
            </w14:solidFill>
          </w14:textFill>
        </w:rPr>
      </w:pPr>
      <w:r>
        <w:rPr>
          <w:rFonts w:ascii="Arial" w:hAnsi="Arial" w:cs="Arial"/>
          <w:color w:val="000000" w:themeColor="text1"/>
          <w:kern w:val="0"/>
          <w:szCs w:val="21"/>
          <w14:textFill>
            <w14:solidFill>
              <w14:schemeClr w14:val="tx1"/>
            </w14:solidFill>
          </w14:textFill>
        </w:rPr>
        <w:t>预算金额（元）：</w:t>
      </w:r>
      <w:r>
        <w:rPr>
          <w:rFonts w:hint="eastAsia" w:ascii="Arial" w:hAnsi="Arial" w:cs="Arial"/>
          <w:color w:val="000000" w:themeColor="text1"/>
          <w:kern w:val="0"/>
          <w:szCs w:val="21"/>
          <w:lang w:val="en-US" w:eastAsia="zh-CN"/>
          <w14:textFill>
            <w14:solidFill>
              <w14:schemeClr w14:val="tx1"/>
            </w14:solidFill>
          </w14:textFill>
        </w:rPr>
        <w:t>1260000</w:t>
      </w:r>
    </w:p>
    <w:p w14:paraId="02BE7176">
      <w:pPr>
        <w:tabs>
          <w:tab w:val="left" w:pos="3150"/>
        </w:tabs>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简要规格描述或项目基本概况介绍、用途：</w:t>
      </w:r>
      <w:r>
        <w:rPr>
          <w:rFonts w:hint="eastAsia" w:ascii="Arial" w:hAnsi="Arial" w:eastAsia="宋体" w:cs="Arial"/>
          <w:color w:val="000000" w:themeColor="text1"/>
          <w:kern w:val="0"/>
          <w:szCs w:val="21"/>
          <w:lang w:eastAsia="zh-CN"/>
          <w14:textFill>
            <w14:solidFill>
              <w14:schemeClr w14:val="tx1"/>
            </w14:solidFill>
          </w14:textFill>
        </w:rPr>
        <w:t>肺功能测试系统</w:t>
      </w:r>
      <w:r>
        <w:rPr>
          <w:rFonts w:hint="eastAsia" w:ascii="Arial" w:hAnsi="Arial" w:cs="Arial"/>
          <w:color w:val="000000" w:themeColor="text1"/>
          <w:szCs w:val="21"/>
          <w:lang w:val="en-US" w:eastAsia="zh-CN"/>
          <w14:textFill>
            <w14:solidFill>
              <w14:schemeClr w14:val="tx1"/>
            </w14:solidFill>
          </w14:textFill>
        </w:rPr>
        <w:t>1台</w:t>
      </w:r>
      <w:r>
        <w:rPr>
          <w:rFonts w:ascii="Arial" w:hAnsi="Arial" w:cs="Arial"/>
          <w:color w:val="000000" w:themeColor="text1"/>
          <w:kern w:val="0"/>
          <w:szCs w:val="21"/>
          <w14:textFill>
            <w14:solidFill>
              <w14:schemeClr w14:val="tx1"/>
            </w14:solidFill>
          </w14:textFill>
        </w:rPr>
        <w:t>。如需</w:t>
      </w:r>
      <w:r>
        <w:rPr>
          <w:rFonts w:ascii="Arial" w:hAnsi="Arial" w:cs="Arial"/>
          <w:color w:val="000000" w:themeColor="text1"/>
          <w:szCs w:val="21"/>
          <w14:textFill>
            <w14:solidFill>
              <w14:schemeClr w14:val="tx1"/>
            </w14:solidFill>
          </w14:textFill>
        </w:rPr>
        <w:t>进一步</w:t>
      </w:r>
      <w:r>
        <w:rPr>
          <w:rFonts w:ascii="Arial" w:hAnsi="Arial" w:cs="Arial"/>
          <w:color w:val="000000" w:themeColor="text1"/>
          <w:kern w:val="0"/>
          <w:szCs w:val="21"/>
          <w14:textFill>
            <w14:solidFill>
              <w14:schemeClr w14:val="tx1"/>
            </w14:solidFill>
          </w14:textFill>
        </w:rPr>
        <w:t>了解详细内容，详见招标文件。</w:t>
      </w:r>
    </w:p>
    <w:p w14:paraId="4F4DC58B">
      <w:pPr>
        <w:spacing w:line="312" w:lineRule="auto"/>
        <w:ind w:firstLine="420" w:firstLineChars="200"/>
        <w:jc w:val="left"/>
        <w:rPr>
          <w:rFonts w:hint="eastAsia" w:ascii="Arial" w:hAnsi="Arial" w:eastAsia="宋体" w:cs="Arial"/>
          <w:color w:val="000000" w:themeColor="text1"/>
          <w:kern w:val="0"/>
          <w:szCs w:val="21"/>
          <w:lang w:eastAsia="zh-CN"/>
          <w14:textFill>
            <w14:solidFill>
              <w14:schemeClr w14:val="tx1"/>
            </w14:solidFill>
          </w14:textFill>
        </w:rPr>
      </w:pPr>
      <w:r>
        <w:rPr>
          <w:rFonts w:ascii="Arial" w:hAnsi="Arial" w:cs="Arial"/>
          <w:color w:val="000000" w:themeColor="text1"/>
          <w:kern w:val="0"/>
          <w:szCs w:val="21"/>
          <w14:textFill>
            <w14:solidFill>
              <w14:schemeClr w14:val="tx1"/>
            </w14:solidFill>
          </w14:textFill>
        </w:rPr>
        <w:t>最高限价（元）：</w:t>
      </w:r>
      <w:r>
        <w:rPr>
          <w:rFonts w:hint="eastAsia" w:ascii="Arial" w:hAnsi="Arial" w:cs="Arial"/>
          <w:color w:val="000000" w:themeColor="text1"/>
          <w:kern w:val="0"/>
          <w:szCs w:val="21"/>
          <w:lang w:val="en-US" w:eastAsia="zh-CN"/>
          <w14:textFill>
            <w14:solidFill>
              <w14:schemeClr w14:val="tx1"/>
            </w14:solidFill>
          </w14:textFill>
        </w:rPr>
        <w:t>890000</w:t>
      </w:r>
    </w:p>
    <w:p w14:paraId="4E03F646">
      <w:pPr>
        <w:spacing w:line="360" w:lineRule="auto"/>
        <w:ind w:firstLine="420" w:firstLineChars="200"/>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合同履行期限：</w:t>
      </w:r>
      <w:r>
        <w:rPr>
          <w:rFonts w:hint="eastAsia" w:ascii="Arial" w:hAnsi="Arial" w:cs="Arial"/>
          <w:color w:val="000000" w:themeColor="text1"/>
          <w:kern w:val="0"/>
          <w:szCs w:val="21"/>
          <w14:textFill>
            <w14:solidFill>
              <w14:schemeClr w14:val="tx1"/>
            </w14:solidFill>
          </w14:textFill>
        </w:rPr>
        <w:t>自签订合同之日起30</w:t>
      </w:r>
      <w:r>
        <w:rPr>
          <w:rFonts w:hint="eastAsia" w:ascii="Times New Roman" w:hAnsi="Times New Roman" w:cs="宋体"/>
          <w:color w:val="000000"/>
          <w:szCs w:val="21"/>
          <w:highlight w:val="none"/>
        </w:rPr>
        <w:t>个日历日</w:t>
      </w:r>
      <w:r>
        <w:rPr>
          <w:rFonts w:hint="eastAsia" w:ascii="Arial" w:hAnsi="Arial" w:cs="Arial"/>
          <w:color w:val="000000" w:themeColor="text1"/>
          <w:kern w:val="0"/>
          <w:szCs w:val="21"/>
          <w14:textFill>
            <w14:solidFill>
              <w14:schemeClr w14:val="tx1"/>
            </w14:solidFill>
          </w14:textFill>
        </w:rPr>
        <w:t>内安装调试并交付使用</w:t>
      </w:r>
      <w:r>
        <w:rPr>
          <w:rFonts w:ascii="Arial" w:hAnsi="Arial" w:cs="Arial"/>
          <w:color w:val="000000" w:themeColor="text1"/>
          <w:kern w:val="0"/>
          <w:szCs w:val="21"/>
          <w14:textFill>
            <w14:solidFill>
              <w14:schemeClr w14:val="tx1"/>
            </w14:solidFill>
          </w14:textFill>
        </w:rPr>
        <w:t>。</w:t>
      </w:r>
    </w:p>
    <w:p w14:paraId="447DA4E6">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本标项（否）接受联合体投标</w:t>
      </w:r>
    </w:p>
    <w:p w14:paraId="2A6B7280">
      <w:pPr>
        <w:pStyle w:val="21"/>
      </w:pPr>
      <w:r>
        <w:rPr>
          <w:rFonts w:ascii="Arial" w:hAnsi="Arial" w:cs="Arial"/>
          <w:color w:val="000000" w:themeColor="text1"/>
          <w:kern w:val="0"/>
          <w:szCs w:val="21"/>
          <w14:textFill>
            <w14:solidFill>
              <w14:schemeClr w14:val="tx1"/>
            </w14:solidFill>
          </w14:textFill>
        </w:rPr>
        <w:t>备注：</w:t>
      </w:r>
    </w:p>
    <w:p w14:paraId="436E06C7">
      <w:pPr>
        <w:spacing w:line="312" w:lineRule="auto"/>
        <w:ind w:firstLine="442" w:firstLineChars="200"/>
        <w:jc w:val="left"/>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二、申请人的资格要求</w:t>
      </w:r>
    </w:p>
    <w:p w14:paraId="584F616E">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 xml:space="preserve">1.满足《中华人民共和国政府采购法》第二十二条规定； </w:t>
      </w:r>
    </w:p>
    <w:p w14:paraId="1D2AF468">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2.落实政府采购政策需满足的资格要求：本项目非专门面向中小微企业采购。</w:t>
      </w:r>
    </w:p>
    <w:p w14:paraId="4550BD0E">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3.本项目的特定资格要求：</w:t>
      </w:r>
    </w:p>
    <w:p w14:paraId="7770BCC5">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（1）资质要求：</w:t>
      </w:r>
      <w:r>
        <w:rPr>
          <w:rFonts w:hint="eastAsia" w:ascii="Arial" w:hAnsi="Arial" w:cs="Arial"/>
          <w:color w:val="000000" w:themeColor="text1"/>
          <w:kern w:val="0"/>
          <w:szCs w:val="21"/>
          <w:lang w:val="en-US" w:eastAsia="zh-CN"/>
          <w14:textFill>
            <w14:solidFill>
              <w14:schemeClr w14:val="tx1"/>
            </w14:solidFill>
          </w14:textFill>
        </w:rPr>
        <w:t>供应商具有药品监督管理的部门颁发有效的医疗器械经营许可或者备案（按《医疗器械监督管理条例》免于经营备案和无需办理医疗器械经营许可或者备案的情形除外）</w:t>
      </w:r>
      <w:r>
        <w:rPr>
          <w:rFonts w:ascii="Arial" w:hAnsi="Arial" w:cs="Arial"/>
          <w:color w:val="000000" w:themeColor="text1"/>
          <w:kern w:val="0"/>
          <w:szCs w:val="21"/>
          <w14:textFill>
            <w14:solidFill>
              <w14:schemeClr w14:val="tx1"/>
            </w14:solidFill>
          </w14:textFill>
        </w:rPr>
        <w:t>。</w:t>
      </w:r>
    </w:p>
    <w:p w14:paraId="2171C6FE">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（2）业绩要求：无。</w:t>
      </w:r>
    </w:p>
    <w:p w14:paraId="1C33433F">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（3）其他要求：无。</w:t>
      </w:r>
    </w:p>
    <w:p w14:paraId="7D0E437D">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1414E17">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（5）未被列入失信被执行人、重大税收违法失信主体、政府采购严重违法失信行为记录名单。</w:t>
      </w:r>
    </w:p>
    <w:p w14:paraId="7B396198">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（6）本项目不允许分包。</w:t>
      </w:r>
    </w:p>
    <w:p w14:paraId="0A1BC936">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（7）本项目不接受联合体投标。</w:t>
      </w:r>
    </w:p>
    <w:p w14:paraId="498C8BC6">
      <w:pPr>
        <w:adjustRightInd w:val="0"/>
        <w:snapToGrid w:val="0"/>
        <w:spacing w:line="360"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（8）按照招标公告规定获得招标文件。</w:t>
      </w:r>
    </w:p>
    <w:p w14:paraId="44609167">
      <w:pPr>
        <w:spacing w:line="312" w:lineRule="auto"/>
        <w:ind w:firstLine="442" w:firstLineChars="200"/>
        <w:jc w:val="left"/>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三、获取招标文件</w:t>
      </w:r>
    </w:p>
    <w:p w14:paraId="1D99E857">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时间：202</w:t>
      </w:r>
      <w:r>
        <w:rPr>
          <w:rFonts w:hint="eastAsia" w:ascii="Arial" w:hAnsi="Arial" w:cs="Arial"/>
          <w:color w:val="000000" w:themeColor="text1"/>
          <w:szCs w:val="21"/>
          <w14:textFill>
            <w14:solidFill>
              <w14:schemeClr w14:val="tx1"/>
            </w14:solidFill>
          </w14:textFill>
        </w:rPr>
        <w:t>6</w:t>
      </w:r>
      <w:r>
        <w:rPr>
          <w:rFonts w:ascii="Arial" w:hAnsi="Arial" w:cs="Arial"/>
          <w:color w:val="000000" w:themeColor="text1"/>
          <w:szCs w:val="21"/>
          <w14:textFill>
            <w14:solidFill>
              <w14:schemeClr w14:val="tx1"/>
            </w14:solidFill>
          </w14:textFill>
        </w:rPr>
        <w:t>年</w:t>
      </w:r>
      <w:r>
        <w:rPr>
          <w:rFonts w:hint="eastAsia" w:ascii="Arial" w:hAnsi="Arial" w:cs="Arial"/>
          <w:color w:val="000000" w:themeColor="text1"/>
          <w:szCs w:val="21"/>
          <w:lang w:val="en-US" w:eastAsia="zh-CN"/>
          <w14:textFill>
            <w14:solidFill>
              <w14:schemeClr w14:val="tx1"/>
            </w14:solidFill>
          </w14:textFill>
        </w:rPr>
        <w:t>8</w:t>
      </w:r>
      <w:r>
        <w:rPr>
          <w:rFonts w:ascii="Arial" w:hAnsi="Arial" w:cs="Arial"/>
          <w:color w:val="000000" w:themeColor="text1"/>
          <w:szCs w:val="21"/>
          <w14:textFill>
            <w14:solidFill>
              <w14:schemeClr w14:val="tx1"/>
            </w14:solidFill>
          </w14:textFill>
        </w:rPr>
        <w:t>月</w:t>
      </w:r>
      <w:r>
        <w:rPr>
          <w:rFonts w:hint="eastAsia" w:ascii="Arial" w:hAnsi="Arial" w:cs="Arial"/>
          <w:color w:val="000000" w:themeColor="text1"/>
          <w:szCs w:val="21"/>
          <w:lang w:val="en-US" w:eastAsia="zh-CN"/>
          <w14:textFill>
            <w14:solidFill>
              <w14:schemeClr w14:val="tx1"/>
            </w14:solidFill>
          </w14:textFill>
        </w:rPr>
        <w:t>24</w:t>
      </w:r>
      <w:r>
        <w:rPr>
          <w:rFonts w:ascii="Arial" w:hAnsi="Arial" w:cs="Arial"/>
          <w:color w:val="000000" w:themeColor="text1"/>
          <w:szCs w:val="21"/>
          <w14:textFill>
            <w14:solidFill>
              <w14:schemeClr w14:val="tx1"/>
            </w14:solidFill>
          </w14:textFill>
        </w:rPr>
        <w:t>日至202</w:t>
      </w:r>
      <w:r>
        <w:rPr>
          <w:rFonts w:hint="eastAsia" w:ascii="Arial" w:hAnsi="Arial" w:cs="Arial"/>
          <w:color w:val="000000" w:themeColor="text1"/>
          <w:szCs w:val="21"/>
          <w14:textFill>
            <w14:solidFill>
              <w14:schemeClr w14:val="tx1"/>
            </w14:solidFill>
          </w14:textFill>
        </w:rPr>
        <w:t>6</w:t>
      </w:r>
      <w:r>
        <w:rPr>
          <w:rFonts w:ascii="Arial" w:hAnsi="Arial" w:cs="Arial"/>
          <w:color w:val="000000" w:themeColor="text1"/>
          <w:szCs w:val="21"/>
          <w14:textFill>
            <w14:solidFill>
              <w14:schemeClr w14:val="tx1"/>
            </w14:solidFill>
          </w14:textFill>
        </w:rPr>
        <w:t>年</w:t>
      </w:r>
      <w:r>
        <w:rPr>
          <w:rFonts w:hint="eastAsia" w:ascii="Arial" w:hAnsi="Arial" w:cs="Arial"/>
          <w:color w:val="000000" w:themeColor="text1"/>
          <w:szCs w:val="21"/>
          <w:lang w:val="en-US" w:eastAsia="zh-CN"/>
          <w14:textFill>
            <w14:solidFill>
              <w14:schemeClr w14:val="tx1"/>
            </w14:solidFill>
          </w14:textFill>
        </w:rPr>
        <w:t>8</w:t>
      </w:r>
      <w:r>
        <w:rPr>
          <w:rFonts w:ascii="Arial" w:hAnsi="Arial" w:cs="Arial"/>
          <w:color w:val="000000" w:themeColor="text1"/>
          <w:szCs w:val="21"/>
          <w14:textFill>
            <w14:solidFill>
              <w14:schemeClr w14:val="tx1"/>
            </w14:solidFill>
          </w14:textFill>
        </w:rPr>
        <w:t>月</w:t>
      </w:r>
      <w:r>
        <w:rPr>
          <w:rFonts w:hint="eastAsia" w:ascii="Arial" w:hAnsi="Arial" w:cs="Arial"/>
          <w:color w:val="000000" w:themeColor="text1"/>
          <w:szCs w:val="21"/>
          <w:lang w:val="en-US" w:eastAsia="zh-CN"/>
          <w14:textFill>
            <w14:solidFill>
              <w14:schemeClr w14:val="tx1"/>
            </w14:solidFill>
          </w14:textFill>
        </w:rPr>
        <w:t>31</w:t>
      </w:r>
      <w:r>
        <w:rPr>
          <w:rFonts w:ascii="Arial" w:hAnsi="Arial" w:cs="Arial"/>
          <w:color w:val="000000" w:themeColor="text1"/>
          <w:szCs w:val="21"/>
          <w14:textFill>
            <w14:solidFill>
              <w14:schemeClr w14:val="tx1"/>
            </w14:solidFill>
          </w14:textFill>
        </w:rPr>
        <w:t>日 ，每天上午00:00至12:00，下午12:00至23:59（北京时间，法定节假日除外）</w:t>
      </w:r>
    </w:p>
    <w:p w14:paraId="59AB0D5C">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地点（网址）：广西政府采购云平台 （https://www.gcy.zfcg.gxzf.gov.cn/） </w:t>
      </w:r>
    </w:p>
    <w:p w14:paraId="6BDF4A1C">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方式：供应商登录广西政府采购云平台https://www.gcy.zfcg.gxzf.gov.cn/在线申请获取采购文件（进入“项目采购”应用，在获取采购文件菜单中选择项目，申请获取采购文件）</w:t>
      </w:r>
    </w:p>
    <w:p w14:paraId="0C7CB3C7">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售价（元）：0  </w:t>
      </w:r>
    </w:p>
    <w:p w14:paraId="3F24FCEE">
      <w:pPr>
        <w:spacing w:line="312" w:lineRule="auto"/>
        <w:ind w:firstLine="442" w:firstLineChars="200"/>
        <w:jc w:val="left"/>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四、提交投标文件截止时间、开标时间和地点</w:t>
      </w:r>
    </w:p>
    <w:p w14:paraId="0C07674B">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提交投标文件截止时间：202</w:t>
      </w:r>
      <w:r>
        <w:rPr>
          <w:rFonts w:hint="eastAsia" w:ascii="Arial" w:hAnsi="Arial" w:cs="Arial"/>
          <w:color w:val="000000" w:themeColor="text1"/>
          <w:szCs w:val="21"/>
          <w14:textFill>
            <w14:solidFill>
              <w14:schemeClr w14:val="tx1"/>
            </w14:solidFill>
          </w14:textFill>
        </w:rPr>
        <w:t>6</w:t>
      </w:r>
      <w:r>
        <w:rPr>
          <w:rFonts w:ascii="Arial" w:hAnsi="Arial" w:cs="Arial"/>
          <w:color w:val="000000" w:themeColor="text1"/>
          <w:szCs w:val="21"/>
          <w14:textFill>
            <w14:solidFill>
              <w14:schemeClr w14:val="tx1"/>
            </w14:solidFill>
          </w14:textFill>
        </w:rPr>
        <w:t>年</w:t>
      </w:r>
      <w:r>
        <w:rPr>
          <w:rFonts w:hint="eastAsia" w:ascii="Arial" w:hAnsi="Arial" w:cs="Arial"/>
          <w:color w:val="000000" w:themeColor="text1"/>
          <w:szCs w:val="21"/>
          <w:lang w:val="en-US" w:eastAsia="zh-CN"/>
          <w14:textFill>
            <w14:solidFill>
              <w14:schemeClr w14:val="tx1"/>
            </w14:solidFill>
          </w14:textFill>
        </w:rPr>
        <w:t>9</w:t>
      </w:r>
      <w:r>
        <w:rPr>
          <w:rFonts w:ascii="Arial" w:hAnsi="Arial" w:cs="Arial"/>
          <w:color w:val="000000" w:themeColor="text1"/>
          <w:szCs w:val="21"/>
          <w14:textFill>
            <w14:solidFill>
              <w14:schemeClr w14:val="tx1"/>
            </w14:solidFill>
          </w14:textFill>
        </w:rPr>
        <w:t>月</w:t>
      </w:r>
      <w:r>
        <w:rPr>
          <w:rFonts w:hint="eastAsia" w:ascii="Arial" w:hAnsi="Arial" w:cs="Arial"/>
          <w:color w:val="000000" w:themeColor="text1"/>
          <w:szCs w:val="21"/>
          <w:lang w:val="en-US" w:eastAsia="zh-CN"/>
          <w14:textFill>
            <w14:solidFill>
              <w14:schemeClr w14:val="tx1"/>
            </w14:solidFill>
          </w14:textFill>
        </w:rPr>
        <w:t>14</w:t>
      </w:r>
      <w:r>
        <w:rPr>
          <w:rFonts w:ascii="Arial" w:hAnsi="Arial" w:cs="Arial"/>
          <w:color w:val="000000" w:themeColor="text1"/>
          <w:szCs w:val="21"/>
          <w14:textFill>
            <w14:solidFill>
              <w14:schemeClr w14:val="tx1"/>
            </w14:solidFill>
          </w14:textFill>
        </w:rPr>
        <w:t>日09:30（北京时间）</w:t>
      </w:r>
    </w:p>
    <w:p w14:paraId="1F457AA3">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地点（网址）：通过广西政府采购云平台实行在线投标。</w:t>
      </w:r>
    </w:p>
    <w:p w14:paraId="56B516BF">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开标时间：202</w:t>
      </w:r>
      <w:r>
        <w:rPr>
          <w:rFonts w:hint="eastAsia" w:ascii="Arial" w:hAnsi="Arial" w:cs="Arial"/>
          <w:color w:val="000000" w:themeColor="text1"/>
          <w:szCs w:val="21"/>
          <w14:textFill>
            <w14:solidFill>
              <w14:schemeClr w14:val="tx1"/>
            </w14:solidFill>
          </w14:textFill>
        </w:rPr>
        <w:t>6</w:t>
      </w:r>
      <w:r>
        <w:rPr>
          <w:rFonts w:ascii="Arial" w:hAnsi="Arial" w:cs="Arial"/>
          <w:color w:val="000000" w:themeColor="text1"/>
          <w:szCs w:val="21"/>
          <w14:textFill>
            <w14:solidFill>
              <w14:schemeClr w14:val="tx1"/>
            </w14:solidFill>
          </w14:textFill>
        </w:rPr>
        <w:t>年</w:t>
      </w:r>
      <w:r>
        <w:rPr>
          <w:rFonts w:hint="eastAsia" w:ascii="Arial" w:hAnsi="Arial" w:cs="Arial"/>
          <w:color w:val="000000" w:themeColor="text1"/>
          <w:szCs w:val="21"/>
          <w:lang w:val="en-US" w:eastAsia="zh-CN"/>
          <w14:textFill>
            <w14:solidFill>
              <w14:schemeClr w14:val="tx1"/>
            </w14:solidFill>
          </w14:textFill>
        </w:rPr>
        <w:t>9</w:t>
      </w:r>
      <w:r>
        <w:rPr>
          <w:rFonts w:ascii="Arial" w:hAnsi="Arial" w:cs="Arial"/>
          <w:color w:val="000000" w:themeColor="text1"/>
          <w:szCs w:val="21"/>
          <w14:textFill>
            <w14:solidFill>
              <w14:schemeClr w14:val="tx1"/>
            </w14:solidFill>
          </w14:textFill>
        </w:rPr>
        <w:t>月</w:t>
      </w:r>
      <w:r>
        <w:rPr>
          <w:rFonts w:hint="eastAsia" w:ascii="Arial" w:hAnsi="Arial" w:cs="Arial"/>
          <w:color w:val="000000" w:themeColor="text1"/>
          <w:szCs w:val="21"/>
          <w:lang w:val="en-US" w:eastAsia="zh-CN"/>
          <w14:textFill>
            <w14:solidFill>
              <w14:schemeClr w14:val="tx1"/>
            </w14:solidFill>
          </w14:textFill>
        </w:rPr>
        <w:t>14</w:t>
      </w:r>
      <w:r>
        <w:rPr>
          <w:rFonts w:ascii="Arial" w:hAnsi="Arial" w:cs="Arial"/>
          <w:color w:val="000000" w:themeColor="text1"/>
          <w:szCs w:val="21"/>
          <w14:textFill>
            <w14:solidFill>
              <w14:schemeClr w14:val="tx1"/>
            </w14:solidFill>
          </w14:textFill>
        </w:rPr>
        <w:t xml:space="preserve">日09:30 </w:t>
      </w:r>
    </w:p>
    <w:p w14:paraId="067348DE">
      <w:pPr>
        <w:spacing w:line="312"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开标地点：通过广西政府采购云平台实行在线解密开启。</w:t>
      </w:r>
    </w:p>
    <w:p w14:paraId="3A35CE8E">
      <w:pPr>
        <w:spacing w:line="312" w:lineRule="auto"/>
        <w:ind w:firstLine="442" w:firstLineChars="200"/>
        <w:jc w:val="left"/>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五、公告期限</w:t>
      </w:r>
    </w:p>
    <w:p w14:paraId="344767CF">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自本公告发布之日起5个工作日。</w:t>
      </w:r>
    </w:p>
    <w:p w14:paraId="15703F1C">
      <w:pPr>
        <w:spacing w:line="312" w:lineRule="auto"/>
        <w:ind w:firstLine="442" w:firstLineChars="200"/>
        <w:jc w:val="left"/>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六、其他补充事宜</w:t>
      </w:r>
    </w:p>
    <w:p w14:paraId="59148EFC">
      <w:pPr>
        <w:snapToGrid w:val="0"/>
        <w:spacing w:line="300"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1.公告发布媒体：广西政府采购网、中国政府采购网 </w:t>
      </w:r>
    </w:p>
    <w:p w14:paraId="21F9B160">
      <w:pPr>
        <w:snapToGrid w:val="0"/>
        <w:spacing w:line="300"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2.需落实的政府采购政策：本项目适用政府采购促进中小企业、监狱企业发展、促进残疾人就业、</w:t>
      </w:r>
      <w:r>
        <w:rPr>
          <w:rFonts w:ascii="Arial" w:hAnsi="Arial" w:cs="Arial"/>
          <w:color w:val="000000" w:themeColor="text1"/>
          <w14:textFill>
            <w14:solidFill>
              <w14:schemeClr w14:val="tx1"/>
            </w14:solidFill>
          </w14:textFill>
        </w:rPr>
        <w:t>节能环保、</w:t>
      </w:r>
      <w:r>
        <w:rPr>
          <w:rFonts w:ascii="Arial" w:hAnsi="Arial" w:cs="Arial"/>
          <w:color w:val="000000" w:themeColor="text1"/>
          <w:szCs w:val="21"/>
          <w:shd w:val="clear" w:color="auto" w:fill="FFFFFF"/>
          <w14:textFill>
            <w14:solidFill>
              <w14:schemeClr w14:val="tx1"/>
            </w14:solidFill>
          </w14:textFill>
        </w:rPr>
        <w:t>政府采购支持采用本国产品的政策</w:t>
      </w:r>
      <w:r>
        <w:rPr>
          <w:rFonts w:ascii="Arial" w:hAnsi="Arial" w:cs="Arial"/>
          <w:color w:val="000000" w:themeColor="text1"/>
          <w:szCs w:val="21"/>
          <w14:textFill>
            <w14:solidFill>
              <w14:schemeClr w14:val="tx1"/>
            </w14:solidFill>
          </w14:textFill>
        </w:rPr>
        <w:t>等有关政策，具体详见招标文件。</w:t>
      </w:r>
    </w:p>
    <w:p w14:paraId="1951AEE5">
      <w:pPr>
        <w:snapToGrid w:val="0"/>
        <w:spacing w:line="300" w:lineRule="auto"/>
        <w:ind w:firstLine="420" w:firstLineChars="200"/>
        <w:jc w:val="left"/>
        <w:rPr>
          <w:rFonts w:ascii="Arial" w:hAnsi="Arial" w:cs="Arial"/>
          <w:color w:val="000000" w:themeColor="text1"/>
          <w:szCs w:val="21"/>
          <w14:textFill>
            <w14:solidFill>
              <w14:schemeClr w14:val="tx1"/>
            </w14:solidFill>
          </w14:textFill>
        </w:rPr>
      </w:pPr>
      <w:bookmarkStart w:id="8" w:name="_Hlk88997182"/>
      <w:r>
        <w:rPr>
          <w:rFonts w:ascii="Arial" w:hAnsi="Arial" w:cs="Arial"/>
          <w:color w:val="000000" w:themeColor="text1"/>
          <w:szCs w:val="21"/>
          <w14:textFill>
            <w14:solidFill>
              <w14:schemeClr w14:val="tx1"/>
            </w14:solidFill>
          </w14:textFill>
        </w:rPr>
        <w:t>3.投标文件解密时间：截标时间后30分钟内（202</w:t>
      </w:r>
      <w:r>
        <w:rPr>
          <w:rFonts w:hint="eastAsia" w:ascii="Arial" w:hAnsi="Arial" w:cs="Arial"/>
          <w:color w:val="000000" w:themeColor="text1"/>
          <w:szCs w:val="21"/>
          <w14:textFill>
            <w14:solidFill>
              <w14:schemeClr w14:val="tx1"/>
            </w14:solidFill>
          </w14:textFill>
        </w:rPr>
        <w:t>6</w:t>
      </w:r>
      <w:r>
        <w:rPr>
          <w:rFonts w:ascii="Arial" w:hAnsi="Arial" w:cs="Arial"/>
          <w:color w:val="000000" w:themeColor="text1"/>
          <w:szCs w:val="21"/>
          <w14:textFill>
            <w14:solidFill>
              <w14:schemeClr w14:val="tx1"/>
            </w14:solidFill>
          </w14:textFill>
        </w:rPr>
        <w:t>年</w:t>
      </w:r>
      <w:r>
        <w:rPr>
          <w:rFonts w:hint="eastAsia" w:ascii="Arial" w:hAnsi="Arial" w:cs="Arial"/>
          <w:color w:val="000000" w:themeColor="text1"/>
          <w:szCs w:val="21"/>
          <w:lang w:val="en-US" w:eastAsia="zh-CN"/>
          <w14:textFill>
            <w14:solidFill>
              <w14:schemeClr w14:val="tx1"/>
            </w14:solidFill>
          </w14:textFill>
        </w:rPr>
        <w:t>9</w:t>
      </w:r>
      <w:r>
        <w:rPr>
          <w:rFonts w:ascii="Arial" w:hAnsi="Arial" w:cs="Arial"/>
          <w:color w:val="000000" w:themeColor="text1"/>
          <w:szCs w:val="21"/>
          <w14:textFill>
            <w14:solidFill>
              <w14:schemeClr w14:val="tx1"/>
            </w14:solidFill>
          </w14:textFill>
        </w:rPr>
        <w:t>月</w:t>
      </w:r>
      <w:r>
        <w:rPr>
          <w:rFonts w:hint="eastAsia" w:ascii="Arial" w:hAnsi="Arial" w:cs="Arial"/>
          <w:color w:val="000000" w:themeColor="text1"/>
          <w:szCs w:val="21"/>
          <w:lang w:val="en-US" w:eastAsia="zh-CN"/>
          <w14:textFill>
            <w14:solidFill>
              <w14:schemeClr w14:val="tx1"/>
            </w14:solidFill>
          </w14:textFill>
        </w:rPr>
        <w:t>14</w:t>
      </w:r>
      <w:r>
        <w:rPr>
          <w:rFonts w:ascii="Arial" w:hAnsi="Arial" w:cs="Arial"/>
          <w:color w:val="000000" w:themeColor="text1"/>
          <w:szCs w:val="21"/>
          <w14:textFill>
            <w14:solidFill>
              <w14:schemeClr w14:val="tx1"/>
            </w14:solidFill>
          </w14:textFill>
        </w:rPr>
        <w:t>日上午9时30分至10时00分）供应商可以登录广西政府采购云平台，用“项目采购-开标评标”功能进行解密投标文件。若供应商在规定时间内无法解密或解密失败，可以以电子备份投标文件作为依据【在接到无法解密或解密失败的通知后，供应商可根据自身实际情况按通知时要求的时间到桂林市公共资源交易中心现场提交或以电子邮件的形式（以通知时所告知的电子邮箱地址为准）提交电子备份投标文件】，若供应商在规定时间内无法解密或解密失败且未提供电子备份投标文件的（包含提供的电子备份文件无效或无法解密的情况），视为投标无效。</w:t>
      </w:r>
    </w:p>
    <w:bookmarkEnd w:id="8"/>
    <w:p w14:paraId="0DC88014">
      <w:pPr>
        <w:snapToGrid w:val="0"/>
        <w:spacing w:line="300"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4.“政采云”平台电子投标相关事宜：</w:t>
      </w:r>
    </w:p>
    <w:p w14:paraId="76E025F9">
      <w:pPr>
        <w:snapToGrid w:val="0"/>
        <w:spacing w:line="300"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（1）</w:t>
      </w:r>
      <w:r>
        <w:rPr>
          <w:rFonts w:ascii="Arial" w:hAnsi="Arial" w:cs="Arial"/>
          <w:color w:val="000000" w:themeColor="text1"/>
          <w:szCs w:val="21"/>
          <w14:textFill>
            <w14:solidFill>
              <w14:schemeClr w14:val="tx1"/>
            </w14:solidFill>
          </w14:textFill>
        </w:rPr>
        <w:t>未进行网上注册并办理数字证书（CA认证）的供应商将无法参与本项目政府采购活动，潜在供应商应当在响应截止时间前，完成广西政府采购云平台上的CA数字证书办理及投标文件的提交。完成CA数字证书办理预计7日左右，建议各供应商抓紧时间办理。</w:t>
      </w:r>
    </w:p>
    <w:p w14:paraId="5463042D">
      <w:pPr>
        <w:snapToGrid w:val="0"/>
        <w:spacing w:line="300" w:lineRule="auto"/>
        <w:ind w:firstLine="420" w:firstLineChars="200"/>
        <w:rPr>
          <w:rFonts w:ascii="Arial" w:hAnsi="Arial" w:cs="Arial"/>
          <w:color w:val="000000" w:themeColor="text1"/>
          <w:kern w:val="0"/>
          <w:szCs w:val="21"/>
          <w14:textFill>
            <w14:solidFill>
              <w14:schemeClr w14:val="tx1"/>
            </w14:solidFill>
          </w14:textFill>
        </w:rPr>
      </w:pPr>
      <w:r>
        <w:rPr>
          <w:rFonts w:ascii="Arial" w:hAnsi="Arial" w:cs="Arial"/>
          <w:color w:val="000000" w:themeColor="text1"/>
          <w:szCs w:val="21"/>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4C3F4D2C">
      <w:pPr>
        <w:snapToGrid w:val="0"/>
        <w:spacing w:line="300" w:lineRule="auto"/>
        <w:ind w:firstLine="420" w:firstLineChars="200"/>
        <w:rPr>
          <w:rFonts w:ascii="Arial" w:hAnsi="Arial" w:eastAsia="宋体" w:cs="Arial"/>
          <w:color w:val="000000" w:themeColor="text1"/>
          <w:szCs w:val="21"/>
          <w14:textFill>
            <w14:solidFill>
              <w14:schemeClr w14:val="tx1"/>
            </w14:solidFill>
          </w14:textFill>
        </w:rPr>
      </w:pPr>
      <w:r>
        <w:rPr>
          <w:rFonts w:ascii="Arial" w:hAnsi="Arial" w:eastAsia="宋体" w:cs="Arial"/>
          <w:color w:val="000000" w:themeColor="text1"/>
          <w:szCs w:val="21"/>
          <w14:textFill>
            <w14:solidFill>
              <w14:schemeClr w14:val="tx1"/>
            </w14:solidFill>
          </w14:textFill>
        </w:rPr>
        <w:t>（3）若对项目采购电子交易系统操作有疑问，可登录“政采云”平台（https://www.gcy.zfcg.gxzf.gov.cn/），点击右侧咨询小采获取采小蜜智能服务管家帮助或点击右侧帮助文档查看供应商指南或拨打政采云服务热线95763获取热线服务帮助。</w:t>
      </w:r>
    </w:p>
    <w:p w14:paraId="45B42038">
      <w:pPr>
        <w:snapToGrid w:val="0"/>
        <w:spacing w:line="300" w:lineRule="auto"/>
        <w:ind w:firstLine="420" w:firstLineChars="200"/>
        <w:rPr>
          <w:rFonts w:hint="eastAsia" w:ascii="Arial" w:hAnsi="Arial" w:eastAsia="宋体" w:cs="Arial"/>
          <w:color w:val="000000" w:themeColor="text1"/>
          <w:szCs w:val="21"/>
          <w:lang w:val="en-US" w:eastAsia="zh-CN"/>
          <w14:textFill>
            <w14:solidFill>
              <w14:schemeClr w14:val="tx1"/>
            </w14:solidFill>
          </w14:textFill>
        </w:rPr>
      </w:pPr>
      <w:r>
        <w:rPr>
          <w:rFonts w:hint="eastAsia" w:ascii="Arial" w:hAnsi="Arial" w:eastAsia="宋体" w:cs="Arial"/>
          <w:color w:val="000000" w:themeColor="text1"/>
          <w:szCs w:val="21"/>
          <w:lang w:val="en-US" w:eastAsia="zh-CN"/>
          <w14:textFill>
            <w14:solidFill>
              <w14:schemeClr w14:val="tx1"/>
            </w14:solidFill>
          </w14:textFill>
        </w:rPr>
        <w:t>5.本项目不采用远程异地评审。</w:t>
      </w:r>
    </w:p>
    <w:p w14:paraId="20D0D7E9">
      <w:pPr>
        <w:snapToGrid w:val="0"/>
        <w:spacing w:line="300" w:lineRule="auto"/>
        <w:ind w:firstLine="420" w:firstLineChars="200"/>
        <w:rPr>
          <w:rFonts w:hint="default" w:ascii="Arial" w:hAnsi="Arial" w:eastAsia="宋体" w:cs="Arial"/>
          <w:color w:val="000000" w:themeColor="text1"/>
          <w:szCs w:val="21"/>
          <w:lang w:val="en-US" w:eastAsia="zh-CN"/>
          <w14:textFill>
            <w14:solidFill>
              <w14:schemeClr w14:val="tx1"/>
            </w14:solidFill>
          </w14:textFill>
        </w:rPr>
      </w:pPr>
      <w:r>
        <w:rPr>
          <w:rFonts w:hint="eastAsia" w:ascii="Arial" w:hAnsi="Arial" w:eastAsia="宋体" w:cs="Arial"/>
          <w:color w:val="000000" w:themeColor="text1"/>
          <w:szCs w:val="21"/>
          <w:lang w:val="en-US" w:eastAsia="zh-CN"/>
          <w14:textFill>
            <w14:solidFill>
              <w14:schemeClr w14:val="tx1"/>
            </w14:solidFill>
          </w14:textFill>
        </w:rPr>
        <w:t>6.监督管理部门：广西壮族自治区财政厅0771-5339851</w:t>
      </w:r>
    </w:p>
    <w:p w14:paraId="5A9FFDA9">
      <w:pPr>
        <w:spacing w:line="312" w:lineRule="auto"/>
        <w:ind w:firstLine="442" w:firstLineChars="200"/>
        <w:jc w:val="left"/>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七、对本次招标提出询问，请按以下方式联系</w:t>
      </w:r>
    </w:p>
    <w:p w14:paraId="11555708">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1、采购人信息</w:t>
      </w:r>
    </w:p>
    <w:p w14:paraId="4DB0DB02">
      <w:pPr>
        <w:spacing w:line="312" w:lineRule="auto"/>
        <w:ind w:firstLine="420" w:firstLineChars="200"/>
        <w:jc w:val="left"/>
        <w:rPr>
          <w:rFonts w:ascii="Arial" w:hAnsi="Arial" w:cs="Arial"/>
          <w:color w:val="000000" w:themeColor="text1"/>
          <w:kern w:val="0"/>
          <w:szCs w:val="21"/>
          <w:u w:val="single"/>
          <w14:textFill>
            <w14:solidFill>
              <w14:schemeClr w14:val="tx1"/>
            </w14:solidFill>
          </w14:textFill>
        </w:rPr>
      </w:pPr>
      <w:r>
        <w:rPr>
          <w:rFonts w:ascii="Arial" w:hAnsi="Arial" w:cs="Arial"/>
          <w:color w:val="000000" w:themeColor="text1"/>
          <w:kern w:val="0"/>
          <w:szCs w:val="21"/>
          <w14:textFill>
            <w14:solidFill>
              <w14:schemeClr w14:val="tx1"/>
            </w14:solidFill>
          </w14:textFill>
        </w:rPr>
        <w:t>名称：</w:t>
      </w:r>
      <w:r>
        <w:rPr>
          <w:rFonts w:ascii="Arial" w:hAnsi="Arial" w:cs="Arial"/>
          <w:color w:val="000000" w:themeColor="text1"/>
          <w:kern w:val="0"/>
          <w:szCs w:val="21"/>
          <w:u w:val="single"/>
          <w14:textFill>
            <w14:solidFill>
              <w14:schemeClr w14:val="tx1"/>
            </w14:solidFill>
          </w14:textFill>
        </w:rPr>
        <w:t>广西壮族自治区南溪山医院（广西壮族自治区第二人民医院）</w:t>
      </w:r>
    </w:p>
    <w:p w14:paraId="02FB3878">
      <w:pPr>
        <w:widowControl/>
        <w:spacing w:line="288" w:lineRule="auto"/>
        <w:ind w:left="420" w:left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地址：</w:t>
      </w:r>
      <w:r>
        <w:rPr>
          <w:rFonts w:ascii="Arial" w:hAnsi="Arial" w:cs="Arial"/>
          <w:color w:val="000000" w:themeColor="text1"/>
          <w:kern w:val="0"/>
          <w:szCs w:val="21"/>
          <w:u w:val="single"/>
          <w14:textFill>
            <w14:solidFill>
              <w14:schemeClr w14:val="tx1"/>
            </w14:solidFill>
          </w14:textFill>
        </w:rPr>
        <w:t>桂林市象山区崇信路46号</w:t>
      </w:r>
    </w:p>
    <w:p w14:paraId="0FBD1840">
      <w:pPr>
        <w:widowControl/>
        <w:spacing w:line="288" w:lineRule="auto"/>
        <w:ind w:left="420" w:left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项目联系人：</w:t>
      </w:r>
      <w:r>
        <w:rPr>
          <w:rFonts w:ascii="Arial" w:hAnsi="Arial" w:cs="Arial"/>
          <w:color w:val="000000" w:themeColor="text1"/>
          <w:kern w:val="0"/>
          <w:szCs w:val="21"/>
          <w:u w:val="single"/>
          <w14:textFill>
            <w14:solidFill>
              <w14:schemeClr w14:val="tx1"/>
            </w14:solidFill>
          </w14:textFill>
        </w:rPr>
        <w:t>蔡军</w:t>
      </w:r>
    </w:p>
    <w:p w14:paraId="27E928A6">
      <w:pPr>
        <w:widowControl/>
        <w:spacing w:line="288" w:lineRule="auto"/>
        <w:ind w:left="420" w:left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项目联系方式：</w:t>
      </w:r>
      <w:r>
        <w:rPr>
          <w:rFonts w:ascii="Arial" w:hAnsi="Arial" w:cs="Arial"/>
          <w:color w:val="000000" w:themeColor="text1"/>
          <w:kern w:val="0"/>
          <w:szCs w:val="21"/>
          <w:u w:val="single"/>
          <w14:textFill>
            <w14:solidFill>
              <w14:schemeClr w14:val="tx1"/>
            </w14:solidFill>
          </w14:textFill>
        </w:rPr>
        <w:t>0773-7592156</w:t>
      </w:r>
    </w:p>
    <w:p w14:paraId="1A21CBDF">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2、采购代理机构信息</w:t>
      </w:r>
    </w:p>
    <w:p w14:paraId="68E6018A">
      <w:pPr>
        <w:spacing w:line="312" w:lineRule="auto"/>
        <w:ind w:firstLine="420" w:firstLineChars="200"/>
        <w:jc w:val="left"/>
        <w:rPr>
          <w:rFonts w:ascii="Arial" w:hAnsi="Arial" w:cs="Arial"/>
          <w:color w:val="000000" w:themeColor="text1"/>
          <w:kern w:val="0"/>
          <w:szCs w:val="21"/>
          <w:u w:val="single"/>
          <w14:textFill>
            <w14:solidFill>
              <w14:schemeClr w14:val="tx1"/>
            </w14:solidFill>
          </w14:textFill>
        </w:rPr>
      </w:pPr>
      <w:r>
        <w:rPr>
          <w:rFonts w:ascii="Arial" w:hAnsi="Arial" w:cs="Arial"/>
          <w:color w:val="000000" w:themeColor="text1"/>
          <w:kern w:val="0"/>
          <w:szCs w:val="21"/>
          <w14:textFill>
            <w14:solidFill>
              <w14:schemeClr w14:val="tx1"/>
            </w14:solidFill>
          </w14:textFill>
        </w:rPr>
        <w:t>名称：</w:t>
      </w:r>
      <w:r>
        <w:rPr>
          <w:rFonts w:ascii="Arial" w:hAnsi="Arial" w:cs="Arial"/>
          <w:color w:val="000000" w:themeColor="text1"/>
          <w:kern w:val="0"/>
          <w:szCs w:val="21"/>
          <w:u w:val="single"/>
          <w14:textFill>
            <w14:solidFill>
              <w14:schemeClr w14:val="tx1"/>
            </w14:solidFill>
          </w14:textFill>
        </w:rPr>
        <w:t>广西机电设备招标有限公司</w:t>
      </w:r>
    </w:p>
    <w:p w14:paraId="3E291166">
      <w:pPr>
        <w:spacing w:line="312" w:lineRule="auto"/>
        <w:ind w:firstLine="420" w:firstLineChars="200"/>
        <w:jc w:val="left"/>
        <w:rPr>
          <w:rFonts w:ascii="Arial" w:hAnsi="Arial" w:cs="Arial"/>
          <w:color w:val="000000" w:themeColor="text1"/>
          <w:kern w:val="0"/>
          <w:szCs w:val="21"/>
          <w:u w:val="single"/>
          <w14:textFill>
            <w14:solidFill>
              <w14:schemeClr w14:val="tx1"/>
            </w14:solidFill>
          </w14:textFill>
        </w:rPr>
      </w:pPr>
      <w:r>
        <w:rPr>
          <w:rFonts w:ascii="Arial" w:hAnsi="Arial" w:cs="Arial"/>
          <w:color w:val="000000" w:themeColor="text1"/>
          <w:kern w:val="0"/>
          <w:szCs w:val="21"/>
          <w14:textFill>
            <w14:solidFill>
              <w14:schemeClr w14:val="tx1"/>
            </w14:solidFill>
          </w14:textFill>
        </w:rPr>
        <w:t>地址：</w:t>
      </w:r>
      <w:r>
        <w:rPr>
          <w:rFonts w:ascii="Arial" w:hAnsi="Arial" w:cs="Arial"/>
          <w:color w:val="000000" w:themeColor="text1"/>
          <w:kern w:val="0"/>
          <w:szCs w:val="21"/>
          <w:u w:val="single"/>
          <w14:textFill>
            <w14:solidFill>
              <w14:schemeClr w14:val="tx1"/>
            </w14:solidFill>
          </w14:textFill>
        </w:rPr>
        <w:t>桂林市骖鸾路31号湘商大厦6楼603（桂林分公司）</w:t>
      </w:r>
    </w:p>
    <w:p w14:paraId="425A354E">
      <w:pPr>
        <w:spacing w:line="312" w:lineRule="auto"/>
        <w:ind w:firstLine="420" w:firstLineChars="200"/>
        <w:jc w:val="left"/>
        <w:rPr>
          <w:rFonts w:ascii="Arial" w:hAnsi="Arial" w:cs="Arial"/>
          <w:color w:val="000000" w:themeColor="text1"/>
          <w:kern w:val="0"/>
          <w:szCs w:val="21"/>
          <w:u w:val="single"/>
          <w14:textFill>
            <w14:solidFill>
              <w14:schemeClr w14:val="tx1"/>
            </w14:solidFill>
          </w14:textFill>
        </w:rPr>
      </w:pPr>
      <w:r>
        <w:rPr>
          <w:rFonts w:ascii="Arial" w:hAnsi="Arial" w:cs="Arial"/>
          <w:color w:val="000000" w:themeColor="text1"/>
          <w:kern w:val="0"/>
          <w:szCs w:val="21"/>
          <w14:textFill>
            <w14:solidFill>
              <w14:schemeClr w14:val="tx1"/>
            </w14:solidFill>
          </w14:textFill>
        </w:rPr>
        <w:t>项目联系人：</w:t>
      </w:r>
      <w:r>
        <w:rPr>
          <w:rFonts w:ascii="Arial" w:hAnsi="Arial" w:cs="Arial"/>
          <w:color w:val="000000" w:themeColor="text1"/>
          <w:kern w:val="0"/>
          <w:szCs w:val="21"/>
          <w:u w:val="single"/>
          <w14:textFill>
            <w14:solidFill>
              <w14:schemeClr w14:val="tx1"/>
            </w14:solidFill>
          </w14:textFill>
        </w:rPr>
        <w:t>曾昭卉</w:t>
      </w:r>
      <w:r>
        <w:rPr>
          <w:rFonts w:hint="eastAsia" w:ascii="Arial" w:hAnsi="Arial" w:cs="Arial"/>
          <w:color w:val="000000" w:themeColor="text1"/>
          <w:kern w:val="0"/>
          <w:szCs w:val="21"/>
          <w:u w:val="single"/>
          <w14:textFill>
            <w14:solidFill>
              <w14:schemeClr w14:val="tx1"/>
            </w14:solidFill>
          </w14:textFill>
        </w:rPr>
        <w:t>、栗晓奇</w:t>
      </w:r>
    </w:p>
    <w:p w14:paraId="5BC166DB">
      <w:pPr>
        <w:spacing w:line="312" w:lineRule="auto"/>
        <w:ind w:firstLine="420" w:firstLineChars="200"/>
        <w:jc w:val="left"/>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联系方式：</w:t>
      </w:r>
      <w:r>
        <w:rPr>
          <w:rFonts w:ascii="Arial" w:hAnsi="Arial" w:cs="Arial"/>
          <w:color w:val="000000" w:themeColor="text1"/>
          <w:kern w:val="0"/>
          <w:szCs w:val="21"/>
          <w:u w:val="single"/>
          <w14:textFill>
            <w14:solidFill>
              <w14:schemeClr w14:val="tx1"/>
            </w14:solidFill>
          </w14:textFill>
        </w:rPr>
        <w:t xml:space="preserve"> 0773-3696789转2 </w:t>
      </w:r>
      <w:r>
        <w:rPr>
          <w:rFonts w:ascii="Arial" w:hAnsi="Arial" w:cs="Arial"/>
          <w:color w:val="000000" w:themeColor="text1"/>
          <w:kern w:val="0"/>
          <w:szCs w:val="21"/>
          <w14:textFill>
            <w14:solidFill>
              <w14:schemeClr w14:val="tx1"/>
            </w14:solidFill>
          </w14:textFill>
        </w:rPr>
        <w:t xml:space="preserve"> </w:t>
      </w:r>
    </w:p>
    <w:p w14:paraId="387B0B2C">
      <w:pPr>
        <w:spacing w:line="312" w:lineRule="auto"/>
        <w:ind w:firstLine="360" w:firstLineChars="200"/>
        <w:jc w:val="right"/>
        <w:rPr>
          <w:rFonts w:ascii="Arial" w:hAnsi="Arial" w:cs="Arial"/>
          <w:color w:val="000000" w:themeColor="text1"/>
          <w:kern w:val="0"/>
          <w:sz w:val="18"/>
          <w:szCs w:val="18"/>
          <w14:textFill>
            <w14:solidFill>
              <w14:schemeClr w14:val="tx1"/>
            </w14:solidFill>
          </w14:textFill>
        </w:rPr>
      </w:pPr>
    </w:p>
    <w:p w14:paraId="27E1AD72">
      <w:pPr>
        <w:spacing w:line="288" w:lineRule="auto"/>
        <w:ind w:firstLine="420" w:firstLineChars="200"/>
        <w:jc w:val="right"/>
        <w:rPr>
          <w:rFonts w:ascii="Arial" w:hAnsi="Arial" w:cs="Arial"/>
          <w:color w:val="000000" w:themeColor="text1"/>
          <w:szCs w:val="21"/>
          <w14:textFill>
            <w14:solidFill>
              <w14:schemeClr w14:val="tx1"/>
            </w14:solidFill>
          </w14:textFill>
        </w:rPr>
      </w:pPr>
      <w:bookmarkStart w:id="9" w:name="_Hlk86933897"/>
      <w:bookmarkStart w:id="10" w:name="_Hlk74218063"/>
      <w:r>
        <w:rPr>
          <w:rFonts w:ascii="Arial" w:hAnsi="Arial" w:cs="Arial"/>
          <w:color w:val="000000" w:themeColor="text1"/>
          <w:szCs w:val="21"/>
          <w14:textFill>
            <w14:solidFill>
              <w14:schemeClr w14:val="tx1"/>
            </w14:solidFill>
          </w14:textFill>
        </w:rPr>
        <w:t>广西机电设备招标有限公司</w:t>
      </w:r>
    </w:p>
    <w:bookmarkEnd w:id="9"/>
    <w:bookmarkEnd w:id="10"/>
    <w:p w14:paraId="3B04825F">
      <w:pPr>
        <w:jc w:val="right"/>
        <w:rPr>
          <w:rFonts w:ascii="Arial" w:hAnsi="Arial" w:cs="Arial"/>
          <w:color w:val="000000" w:themeColor="text1"/>
          <w14:textFill>
            <w14:solidFill>
              <w14:schemeClr w14:val="tx1"/>
            </w14:solidFill>
          </w14:textFill>
        </w:rPr>
        <w:sectPr>
          <w:headerReference r:id="rId10" w:type="first"/>
          <w:footerReference r:id="rId12" w:type="first"/>
          <w:headerReference r:id="rId9" w:type="default"/>
          <w:footerReference r:id="rId11" w:type="default"/>
          <w:pgSz w:w="11906" w:h="16838"/>
          <w:pgMar w:top="993" w:right="1133" w:bottom="1246" w:left="1418" w:header="851" w:footer="992" w:gutter="0"/>
          <w:pgNumType w:start="1"/>
          <w:cols w:space="720" w:num="1"/>
          <w:titlePg/>
          <w:docGrid w:linePitch="312" w:charSpace="0"/>
        </w:sectPr>
      </w:pPr>
      <w:r>
        <w:rPr>
          <w:rFonts w:ascii="Arial" w:hAnsi="Arial" w:cs="Arial"/>
          <w:color w:val="000000" w:themeColor="text1"/>
          <w14:textFill>
            <w14:solidFill>
              <w14:schemeClr w14:val="tx1"/>
            </w14:solidFill>
          </w14:textFill>
        </w:rPr>
        <w:t>202</w:t>
      </w:r>
      <w:r>
        <w:rPr>
          <w:rFonts w:hint="eastAsia" w:ascii="Arial" w:hAnsi="Arial" w:cs="Arial"/>
          <w:color w:val="000000" w:themeColor="text1"/>
          <w14:textFill>
            <w14:solidFill>
              <w14:schemeClr w14:val="tx1"/>
            </w14:solidFill>
          </w14:textFill>
        </w:rPr>
        <w:t>6</w:t>
      </w:r>
      <w:r>
        <w:rPr>
          <w:rFonts w:ascii="Arial" w:hAnsi="Arial" w:cs="Arial"/>
          <w:color w:val="000000" w:themeColor="text1"/>
          <w14:textFill>
            <w14:solidFill>
              <w14:schemeClr w14:val="tx1"/>
            </w14:solidFill>
          </w14:textFill>
        </w:rPr>
        <w:t>年</w:t>
      </w:r>
      <w:r>
        <w:rPr>
          <w:rFonts w:hint="eastAsia" w:ascii="Arial" w:hAnsi="Arial" w:cs="Arial"/>
          <w:color w:val="000000" w:themeColor="text1"/>
          <w:lang w:val="en-US" w:eastAsia="zh-CN"/>
          <w14:textFill>
            <w14:solidFill>
              <w14:schemeClr w14:val="tx1"/>
            </w14:solidFill>
          </w14:textFill>
        </w:rPr>
        <w:t>8</w:t>
      </w:r>
      <w:r>
        <w:rPr>
          <w:rFonts w:ascii="Arial" w:hAnsi="Arial" w:cs="Arial"/>
          <w:color w:val="000000" w:themeColor="text1"/>
          <w14:textFill>
            <w14:solidFill>
              <w14:schemeClr w14:val="tx1"/>
            </w14:solidFill>
          </w14:textFill>
        </w:rPr>
        <w:t>月</w:t>
      </w:r>
      <w:r>
        <w:rPr>
          <w:rFonts w:hint="eastAsia" w:ascii="Arial" w:hAnsi="Arial" w:cs="Arial"/>
          <w:color w:val="000000" w:themeColor="text1"/>
          <w:lang w:val="en-US" w:eastAsia="zh-CN"/>
          <w14:textFill>
            <w14:solidFill>
              <w14:schemeClr w14:val="tx1"/>
            </w14:solidFill>
          </w14:textFill>
        </w:rPr>
        <w:t>24</w:t>
      </w:r>
      <w:r>
        <w:rPr>
          <w:rFonts w:ascii="Arial" w:hAnsi="Arial" w:cs="Arial"/>
          <w:color w:val="000000" w:themeColor="text1"/>
          <w14:textFill>
            <w14:solidFill>
              <w14:schemeClr w14:val="tx1"/>
            </w14:solidFill>
          </w14:textFill>
        </w:rPr>
        <w:t>日</w:t>
      </w:r>
    </w:p>
    <w:p w14:paraId="58E2F603">
      <w:pPr>
        <w:pStyle w:val="30"/>
        <w:snapToGrid w:val="0"/>
        <w:spacing w:before="120" w:after="120" w:line="320" w:lineRule="exact"/>
        <w:jc w:val="center"/>
        <w:outlineLvl w:val="0"/>
        <w:rPr>
          <w:rFonts w:ascii="Arial" w:hAnsi="Arial" w:cs="Arial"/>
          <w:color w:val="000000" w:themeColor="text1"/>
          <w:sz w:val="32"/>
          <w:szCs w:val="32"/>
          <w14:textFill>
            <w14:solidFill>
              <w14:schemeClr w14:val="tx1"/>
            </w14:solidFill>
          </w14:textFill>
        </w:rPr>
      </w:pPr>
      <w:r>
        <w:rPr>
          <w:rFonts w:ascii="Arial" w:hAnsi="Arial" w:cs="Arial"/>
          <w:color w:val="000000" w:themeColor="text1"/>
          <w14:textFill>
            <w14:solidFill>
              <w14:schemeClr w14:val="tx1"/>
            </w14:solidFill>
          </w14:textFill>
        </w:rPr>
        <w:br w:type="page"/>
      </w:r>
      <w:bookmarkEnd w:id="5"/>
      <w:bookmarkEnd w:id="6"/>
      <w:bookmarkStart w:id="11" w:name="_Toc22457"/>
      <w:r>
        <w:rPr>
          <w:rFonts w:ascii="Arial" w:hAnsi="Arial" w:cs="Arial"/>
          <w:color w:val="000000" w:themeColor="text1"/>
          <w:sz w:val="32"/>
          <w:szCs w:val="32"/>
          <w14:textFill>
            <w14:solidFill>
              <w14:schemeClr w14:val="tx1"/>
            </w14:solidFill>
          </w14:textFill>
        </w:rPr>
        <w:t>第二章  项目采购需求</w:t>
      </w:r>
      <w:bookmarkEnd w:id="11"/>
    </w:p>
    <w:p w14:paraId="33322EB2">
      <w:pPr>
        <w:spacing w:line="360" w:lineRule="auto"/>
        <w:rPr>
          <w:rFonts w:ascii="Arial" w:hAnsi="Arial" w:cs="Arial"/>
          <w:b/>
          <w:color w:val="000000" w:themeColor="text1"/>
          <w:kern w:val="0"/>
          <w:sz w:val="28"/>
          <w:szCs w:val="28"/>
          <w14:textFill>
            <w14:solidFill>
              <w14:schemeClr w14:val="tx1"/>
            </w14:solidFill>
          </w14:textFill>
        </w:rPr>
      </w:pPr>
      <w:bookmarkStart w:id="12" w:name="_Toc254970490"/>
      <w:bookmarkStart w:id="13" w:name="_Toc254970631"/>
      <w:r>
        <w:rPr>
          <w:rFonts w:ascii="Arial" w:hAnsi="Arial" w:cs="Arial"/>
          <w:b/>
          <w:color w:val="000000" w:themeColor="text1"/>
          <w:kern w:val="0"/>
          <w:sz w:val="28"/>
          <w:szCs w:val="28"/>
          <w14:textFill>
            <w14:solidFill>
              <w14:schemeClr w14:val="tx1"/>
            </w14:solidFill>
          </w14:textFill>
        </w:rPr>
        <w:t>一、总体要求</w:t>
      </w:r>
    </w:p>
    <w:p w14:paraId="54B2C6EC">
      <w:pPr>
        <w:keepNext w:val="0"/>
        <w:keepLines w:val="0"/>
        <w:pageBreakBefore w:val="0"/>
        <w:widowControl w:val="0"/>
        <w:kinsoku/>
        <w:wordWrap/>
        <w:overflowPunct/>
        <w:topLinePunct w:val="0"/>
        <w:autoSpaceDE/>
        <w:autoSpaceDN/>
        <w:bidi w:val="0"/>
        <w:adjustRightInd/>
        <w:spacing w:line="336" w:lineRule="auto"/>
        <w:ind w:firstLine="420" w:firstLineChars="200"/>
        <w:textAlignment w:val="auto"/>
        <w:rPr>
          <w:rFonts w:hint="eastAsia"/>
          <w:color w:val="auto"/>
          <w:highlight w:val="none"/>
        </w:rPr>
      </w:pPr>
      <w:r>
        <w:rPr>
          <w:rFonts w:hint="eastAsia"/>
          <w:color w:val="auto"/>
          <w:highlight w:val="none"/>
        </w:rPr>
        <w:t>1.为落实政府采购政策需满足的要求</w:t>
      </w:r>
    </w:p>
    <w:p w14:paraId="2906AA81">
      <w:pPr>
        <w:keepNext w:val="0"/>
        <w:keepLines w:val="0"/>
        <w:pageBreakBefore w:val="0"/>
        <w:widowControl w:val="0"/>
        <w:kinsoku/>
        <w:wordWrap/>
        <w:overflowPunct/>
        <w:topLinePunct w:val="0"/>
        <w:autoSpaceDE/>
        <w:autoSpaceDN/>
        <w:bidi w:val="0"/>
        <w:adjustRightInd/>
        <w:spacing w:line="336" w:lineRule="auto"/>
        <w:ind w:firstLine="420" w:firstLineChars="200"/>
        <w:textAlignment w:val="auto"/>
        <w:rPr>
          <w:rFonts w:hint="eastAsia"/>
          <w:color w:val="auto"/>
          <w:highlight w:val="none"/>
        </w:rPr>
      </w:pPr>
      <w:r>
        <w:rPr>
          <w:rFonts w:hint="eastAsia"/>
          <w:color w:val="auto"/>
          <w:highlight w:val="none"/>
        </w:rPr>
        <w:t>（1）本招标文件所称中小企业必须符合《政府采购促进中小企业发展管理办法》（财库〔2020〕46号）</w:t>
      </w:r>
      <w:r>
        <w:rPr>
          <w:rFonts w:hint="eastAsia" w:ascii="宋体" w:hAnsi="宋体" w:cs="宋体"/>
          <w:color w:val="auto"/>
          <w:szCs w:val="21"/>
          <w:highlight w:val="none"/>
        </w:rPr>
        <w:t>、《广西壮族自治区财政厅关于贯彻落实政府采购支持中小企业发展政策的通知》（桂财采〔2022〕31号）</w:t>
      </w:r>
      <w:r>
        <w:rPr>
          <w:rFonts w:hint="eastAsia" w:ascii="宋体" w:hAnsi="宋体" w:cs="宋体"/>
          <w:color w:val="auto"/>
          <w:szCs w:val="21"/>
          <w:highlight w:val="none"/>
          <w:lang w:val="en-US" w:eastAsia="zh-CN"/>
        </w:rPr>
        <w:t>及《广西壮族自治区财政厅关于持续优化政府采购营商环境推动高质量发展的通知》（桂财采〔2024〕55号）</w:t>
      </w:r>
      <w:r>
        <w:rPr>
          <w:rFonts w:hint="eastAsia"/>
          <w:color w:val="auto"/>
          <w:highlight w:val="none"/>
        </w:rPr>
        <w:t>的规定。</w:t>
      </w:r>
    </w:p>
    <w:p w14:paraId="77DE4D06">
      <w:pPr>
        <w:keepNext w:val="0"/>
        <w:keepLines w:val="0"/>
        <w:pageBreakBefore w:val="0"/>
        <w:widowControl w:val="0"/>
        <w:kinsoku/>
        <w:wordWrap/>
        <w:overflowPunct/>
        <w:topLinePunct w:val="0"/>
        <w:autoSpaceDE/>
        <w:autoSpaceDN/>
        <w:bidi w:val="0"/>
        <w:adjustRightInd/>
        <w:spacing w:line="336"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ascii="宋体" w:hAnsi="宋体" w:cs="宋体"/>
          <w:color w:val="auto"/>
          <w:szCs w:val="21"/>
          <w:highlight w:val="none"/>
          <w:lang w:eastAsia="zh-CN"/>
        </w:rPr>
        <w:t>★</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必须在投标文件中提供所投标产品的节能产品认证证书</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（加盖</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电子公章），否则投标文件作无效处理。如本项目包含的配套货物属于品目清单内非标注“</w:t>
      </w:r>
      <w:r>
        <w:rPr>
          <w:rFonts w:hint="eastAsia" w:ascii="宋体" w:hAnsi="宋体" w:cs="宋体"/>
          <w:color w:val="auto"/>
          <w:szCs w:val="21"/>
          <w:highlight w:val="none"/>
          <w:lang w:eastAsia="zh-CN"/>
        </w:rPr>
        <w:t>★</w:t>
      </w:r>
      <w:r>
        <w:rPr>
          <w:rFonts w:hint="eastAsia" w:ascii="宋体" w:hAnsi="宋体" w:cs="宋体"/>
          <w:color w:val="auto"/>
          <w:szCs w:val="21"/>
          <w:highlight w:val="none"/>
        </w:rPr>
        <w:t>”的产品时，应优先采购，具体详见“第四章 评审程序和评定成交的标准”。</w:t>
      </w:r>
    </w:p>
    <w:p w14:paraId="5A714CBB">
      <w:pPr>
        <w:keepNext w:val="0"/>
        <w:keepLines w:val="0"/>
        <w:pageBreakBefore w:val="0"/>
        <w:widowControl w:val="0"/>
        <w:kinsoku/>
        <w:wordWrap/>
        <w:overflowPunct/>
        <w:topLinePunct w:val="0"/>
        <w:autoSpaceDE/>
        <w:autoSpaceDN/>
        <w:bidi w:val="0"/>
        <w:adjustRightInd/>
        <w:spacing w:line="336" w:lineRule="auto"/>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根据《关于调整网络安全专用产品安全管理有关事项的公告》（国家互联网信息办公室工业和信息化部公安部财政部国家认证认可监督管理委员会公告2023年第1号)的规定，采购标的中包含列入《网络关键设备和网络安全专用产品目录》的网络安全专用产品，</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应当按照《信息安全技术网络安全专用产品安全技术要求》等相关国家标准的强制性要求，提供由具备资格的机构安全认证合格或者安全检测符合要求证明材料（加盖</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电子公章），</w:t>
      </w:r>
      <w:r>
        <w:rPr>
          <w:rFonts w:hint="eastAsia" w:ascii="宋体" w:hAnsi="宋体" w:eastAsia="宋体" w:cs="宋体"/>
          <w:color w:val="auto"/>
          <w:szCs w:val="21"/>
          <w:highlight w:val="none"/>
        </w:rPr>
        <w:t>否则投标文件作无效处理</w:t>
      </w:r>
      <w:r>
        <w:rPr>
          <w:rFonts w:hint="eastAsia" w:ascii="宋体" w:hAnsi="宋体" w:cs="宋体"/>
          <w:color w:val="auto"/>
          <w:szCs w:val="21"/>
          <w:highlight w:val="none"/>
        </w:rPr>
        <w:t>。</w:t>
      </w:r>
    </w:p>
    <w:p w14:paraId="17530A76">
      <w:pPr>
        <w:keepNext w:val="0"/>
        <w:keepLines w:val="0"/>
        <w:pageBreakBefore w:val="0"/>
        <w:widowControl w:val="0"/>
        <w:kinsoku/>
        <w:wordWrap/>
        <w:overflowPunct/>
        <w:topLinePunct w:val="0"/>
        <w:autoSpaceDE/>
        <w:autoSpaceDN/>
        <w:bidi w:val="0"/>
        <w:adjustRightInd/>
        <w:spacing w:line="336" w:lineRule="auto"/>
        <w:ind w:firstLine="424" w:firstLineChars="202"/>
        <w:textAlignment w:val="auto"/>
        <w:rPr>
          <w:rFonts w:hint="eastAsia"/>
          <w:color w:val="auto"/>
          <w:highlight w:val="none"/>
        </w:rPr>
      </w:pPr>
      <w:r>
        <w:rPr>
          <w:rFonts w:ascii="宋体" w:hAnsi="宋体" w:cs="宋体"/>
          <w:color w:val="auto"/>
          <w:szCs w:val="21"/>
          <w:highlight w:val="none"/>
        </w:rPr>
        <w:t>（</w:t>
      </w: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依据国家市场监督管理总局《关于发布强制性产品认证且录描述与界定表的公告》(2023年第36号)中《强制性产品认证目录描述与界定表》(2023年修订)的界定，本项目采购范围包含强制性产品认证目录内产品的，根据《强制性产品认证管理规定》2009年7月3日国家质量监督检验检疫总局令第117号公布，根据2022年9月29日国家市场监督管理总局令第61号修订第十条：“列入目录产品的生产者或者销售者、进口商(以下统称认证委托人)应当委托经国家认监委指定的认证机构(以下简称认证机构)对其生产、销售或者进口的产品进行认证。”规定，生产厂家应当进行强制性认证，</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必须在</w:t>
      </w:r>
      <w:r>
        <w:rPr>
          <w:rFonts w:hint="eastAsia" w:ascii="宋体" w:hAnsi="宋体" w:eastAsia="宋体" w:cs="宋体"/>
          <w:color w:val="auto"/>
          <w:szCs w:val="21"/>
          <w:highlight w:val="none"/>
        </w:rPr>
        <w:t>投标文件</w:t>
      </w:r>
      <w:r>
        <w:rPr>
          <w:rFonts w:hint="eastAsia" w:ascii="宋体" w:hAnsi="宋体" w:cs="宋体"/>
          <w:color w:val="auto"/>
          <w:szCs w:val="21"/>
          <w:highlight w:val="none"/>
        </w:rPr>
        <w:t>中提供强制性认证证书（加盖</w:t>
      </w:r>
      <w:r>
        <w:rPr>
          <w:rFonts w:hint="eastAsia" w:ascii="宋体" w:hAnsi="宋体" w:eastAsia="宋体" w:cs="宋体"/>
          <w:color w:val="auto"/>
          <w:szCs w:val="21"/>
          <w:highlight w:val="none"/>
          <w:lang w:eastAsia="zh-CN"/>
        </w:rPr>
        <w:t>投标人</w:t>
      </w:r>
      <w:r>
        <w:rPr>
          <w:rFonts w:hint="eastAsia" w:ascii="宋体" w:hAnsi="宋体" w:cs="宋体"/>
          <w:color w:val="auto"/>
          <w:szCs w:val="21"/>
          <w:highlight w:val="none"/>
        </w:rPr>
        <w:t>电子公章），</w:t>
      </w:r>
      <w:r>
        <w:rPr>
          <w:rFonts w:hint="eastAsia" w:ascii="宋体" w:hAnsi="宋体" w:eastAsia="宋体" w:cs="宋体"/>
          <w:color w:val="auto"/>
          <w:szCs w:val="21"/>
          <w:highlight w:val="none"/>
        </w:rPr>
        <w:t>否则投标文件作无效处理</w:t>
      </w:r>
      <w:r>
        <w:rPr>
          <w:rFonts w:hint="eastAsia" w:ascii="宋体" w:hAnsi="宋体" w:cs="宋体"/>
          <w:color w:val="auto"/>
          <w:szCs w:val="21"/>
          <w:highlight w:val="none"/>
        </w:rPr>
        <w:t>。</w:t>
      </w:r>
    </w:p>
    <w:p w14:paraId="19674A8C">
      <w:pPr>
        <w:keepNext w:val="0"/>
        <w:keepLines w:val="0"/>
        <w:pageBreakBefore w:val="0"/>
        <w:widowControl w:val="0"/>
        <w:kinsoku/>
        <w:wordWrap/>
        <w:overflowPunct/>
        <w:topLinePunct w:val="0"/>
        <w:autoSpaceDE/>
        <w:autoSpaceDN/>
        <w:bidi w:val="0"/>
        <w:adjustRightInd/>
        <w:spacing w:line="336" w:lineRule="auto"/>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 </w:t>
      </w:r>
      <w:r>
        <w:rPr>
          <w:rFonts w:hint="eastAsia" w:ascii="宋体" w:hAnsi="宋体" w:cs="宋体"/>
          <w:b/>
          <w:bCs/>
          <w:color w:val="auto"/>
          <w:szCs w:val="21"/>
          <w:highlight w:val="none"/>
        </w:rPr>
        <w:t>“实质性要求”是指采购需求中带“▲”的条款或者不能负偏离的条款或者已经指明不满足按投标文件作无效处理的条款。</w:t>
      </w:r>
    </w:p>
    <w:p w14:paraId="10FA9DA5">
      <w:pPr>
        <w:keepNext w:val="0"/>
        <w:keepLines w:val="0"/>
        <w:pageBreakBefore w:val="0"/>
        <w:widowControl w:val="0"/>
        <w:kinsoku/>
        <w:wordWrap/>
        <w:overflowPunct/>
        <w:topLinePunct w:val="0"/>
        <w:autoSpaceDE/>
        <w:autoSpaceDN/>
        <w:bidi w:val="0"/>
        <w:adjustRightInd/>
        <w:spacing w:line="336" w:lineRule="auto"/>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64C89C43">
      <w:pPr>
        <w:keepNext w:val="0"/>
        <w:keepLines w:val="0"/>
        <w:pageBreakBefore w:val="0"/>
        <w:widowControl w:val="0"/>
        <w:kinsoku/>
        <w:wordWrap/>
        <w:overflowPunct/>
        <w:topLinePunct w:val="0"/>
        <w:autoSpaceDE/>
        <w:autoSpaceDN/>
        <w:bidi w:val="0"/>
        <w:adjustRightInd/>
        <w:spacing w:line="336" w:lineRule="auto"/>
        <w:ind w:firstLine="426" w:firstLineChars="202"/>
        <w:jc w:val="left"/>
        <w:textAlignment w:val="auto"/>
        <w:rPr>
          <w:rFonts w:hint="eastAsia" w:ascii="宋体" w:hAnsi="宋体" w:cs="宋体"/>
          <w:b/>
          <w:bCs/>
          <w:color w:val="auto"/>
          <w:highlight w:val="none"/>
        </w:rPr>
      </w:pPr>
      <w:r>
        <w:rPr>
          <w:rFonts w:hint="eastAsia" w:ascii="宋体" w:hAnsi="宋体" w:cs="宋体"/>
          <w:b/>
          <w:bCs/>
          <w:color w:val="auto"/>
          <w:szCs w:val="21"/>
          <w:highlight w:val="none"/>
        </w:rPr>
        <w:t>4.供应商应根据自身实际情况如实响应招标文件，不得仅将招标文件内容简单复制粘贴作为投标响应，还应当提供相关证明材料，否则将作无效响应处理（定制采购项目不适用本条款）。</w:t>
      </w:r>
      <w:r>
        <w:rPr>
          <w:rFonts w:hint="eastAsia" w:ascii="宋体" w:hAnsi="宋体" w:cs="宋体"/>
          <w:b/>
          <w:bCs/>
          <w:color w:val="auto"/>
          <w:highlight w:val="none"/>
        </w:rPr>
        <w:t>对于重要技术条款或技术参数应当在投标文件中提供技术支持资料，技术支持资料以招标文件中规定的形式</w:t>
      </w:r>
      <w:r>
        <w:rPr>
          <w:rFonts w:hint="eastAsia" w:ascii="宋体" w:hAnsi="宋体" w:cs="宋体"/>
          <w:b/>
          <w:bCs/>
          <w:color w:val="auto"/>
          <w:highlight w:val="none"/>
          <w:lang w:val="en-US" w:eastAsia="zh-CN"/>
        </w:rPr>
        <w:t>及要求</w:t>
      </w:r>
      <w:r>
        <w:rPr>
          <w:rFonts w:hint="eastAsia" w:ascii="宋体" w:hAnsi="宋体" w:cs="宋体"/>
          <w:b/>
          <w:bCs/>
          <w:color w:val="auto"/>
          <w:highlight w:val="none"/>
        </w:rPr>
        <w:t>为准，否则将视为无效技术支持资料。</w:t>
      </w:r>
    </w:p>
    <w:p w14:paraId="07D3A136">
      <w:pPr>
        <w:keepNext w:val="0"/>
        <w:keepLines w:val="0"/>
        <w:pageBreakBefore w:val="0"/>
        <w:widowControl w:val="0"/>
        <w:kinsoku/>
        <w:wordWrap/>
        <w:overflowPunct/>
        <w:topLinePunct w:val="0"/>
        <w:autoSpaceDE/>
        <w:autoSpaceDN/>
        <w:bidi w:val="0"/>
        <w:adjustRightInd/>
        <w:spacing w:line="336" w:lineRule="auto"/>
        <w:ind w:firstLine="424" w:firstLineChars="202"/>
        <w:jc w:val="left"/>
        <w:textAlignment w:val="auto"/>
        <w:rPr>
          <w:rFonts w:hint="eastAsia" w:ascii="宋体" w:hAnsi="宋体" w:cs="宋体"/>
          <w:color w:val="auto"/>
          <w:highlight w:val="none"/>
        </w:rPr>
      </w:pPr>
      <w:r>
        <w:rPr>
          <w:rFonts w:hint="eastAsia" w:ascii="宋体" w:hAnsi="宋体" w:cs="宋体"/>
          <w:color w:val="auto"/>
          <w:szCs w:val="21"/>
          <w:highlight w:val="none"/>
        </w:rPr>
        <w:t>5.</w:t>
      </w:r>
      <w:r>
        <w:rPr>
          <w:rFonts w:hint="eastAsia" w:ascii="宋体" w:hAnsi="宋体" w:cs="宋体"/>
          <w:color w:val="auto"/>
          <w:highlight w:val="none"/>
        </w:rPr>
        <w:t>供应商必须自行为其投标产品侵犯他人的知识产权或者专利成果的行为承担相应法律责任。</w:t>
      </w:r>
    </w:p>
    <w:p w14:paraId="26A10F0C">
      <w:pPr>
        <w:keepNext w:val="0"/>
        <w:keepLines w:val="0"/>
        <w:pageBreakBefore w:val="0"/>
        <w:widowControl w:val="0"/>
        <w:kinsoku/>
        <w:wordWrap/>
        <w:overflowPunct/>
        <w:topLinePunct w:val="0"/>
        <w:autoSpaceDE/>
        <w:autoSpaceDN/>
        <w:bidi w:val="0"/>
        <w:adjustRightInd/>
        <w:spacing w:line="336" w:lineRule="auto"/>
        <w:ind w:firstLine="422" w:firstLineChars="200"/>
        <w:jc w:val="both"/>
        <w:textAlignment w:val="auto"/>
        <w:rPr>
          <w:rFonts w:hint="eastAsia"/>
          <w:b/>
          <w:bCs/>
          <w:color w:val="auto"/>
          <w:sz w:val="32"/>
          <w:szCs w:val="36"/>
          <w:highlight w:val="none"/>
          <w:lang w:val="en-US" w:eastAsia="zh-CN"/>
        </w:rPr>
      </w:pPr>
      <w:r>
        <w:rPr>
          <w:rFonts w:hint="eastAsia" w:ascii="宋体" w:hAnsi="宋体" w:cs="宋体"/>
          <w:b/>
          <w:bCs/>
          <w:color w:val="auto"/>
          <w:szCs w:val="21"/>
          <w:highlight w:val="none"/>
        </w:rPr>
        <w:t>6.本项目采购标的对应的中小企业划分标准所属行业：工业。</w:t>
      </w:r>
    </w:p>
    <w:p w14:paraId="351EB541">
      <w:pPr>
        <w:spacing w:line="360" w:lineRule="auto"/>
        <w:rPr>
          <w:rFonts w:ascii="Arial" w:hAnsi="Arial" w:cs="Arial"/>
          <w:b/>
          <w:color w:val="000000" w:themeColor="text1"/>
          <w:kern w:val="0"/>
          <w:sz w:val="28"/>
          <w:szCs w:val="28"/>
          <w14:textFill>
            <w14:solidFill>
              <w14:schemeClr w14:val="tx1"/>
            </w14:solidFill>
          </w14:textFill>
        </w:rPr>
      </w:pPr>
    </w:p>
    <w:p w14:paraId="722BDE8F">
      <w:pPr>
        <w:rPr>
          <w:rFonts w:ascii="Arial" w:hAnsi="Arial" w:cs="Arial"/>
          <w:b/>
          <w:color w:val="000000" w:themeColor="text1"/>
          <w:kern w:val="0"/>
          <w:sz w:val="28"/>
          <w:szCs w:val="28"/>
          <w14:textFill>
            <w14:solidFill>
              <w14:schemeClr w14:val="tx1"/>
            </w14:solidFill>
          </w14:textFill>
        </w:rPr>
      </w:pPr>
      <w:r>
        <w:rPr>
          <w:rFonts w:ascii="Arial" w:hAnsi="Arial" w:cs="Arial"/>
          <w:b/>
          <w:color w:val="000000" w:themeColor="text1"/>
          <w:kern w:val="0"/>
          <w:sz w:val="28"/>
          <w:szCs w:val="28"/>
          <w14:textFill>
            <w14:solidFill>
              <w14:schemeClr w14:val="tx1"/>
            </w14:solidFill>
          </w14:textFill>
        </w:rPr>
        <w:t>二、技术</w:t>
      </w:r>
      <w:r>
        <w:rPr>
          <w:rFonts w:hint="eastAsia" w:ascii="Arial" w:hAnsi="Arial" w:cs="Arial"/>
          <w:b/>
          <w:color w:val="000000" w:themeColor="text1"/>
          <w:kern w:val="0"/>
          <w:sz w:val="28"/>
          <w:szCs w:val="28"/>
          <w14:textFill>
            <w14:solidFill>
              <w14:schemeClr w14:val="tx1"/>
            </w14:solidFill>
          </w14:textFill>
        </w:rPr>
        <w:t>及商务</w:t>
      </w:r>
      <w:r>
        <w:rPr>
          <w:rFonts w:ascii="Arial" w:hAnsi="Arial" w:cs="Arial"/>
          <w:b/>
          <w:color w:val="000000" w:themeColor="text1"/>
          <w:kern w:val="0"/>
          <w:sz w:val="28"/>
          <w:szCs w:val="28"/>
          <w14:textFill>
            <w14:solidFill>
              <w14:schemeClr w14:val="tx1"/>
            </w14:solidFill>
          </w14:textFill>
        </w:rPr>
        <w:t>要求</w:t>
      </w:r>
    </w:p>
    <w:p w14:paraId="2642DAC1">
      <w:pPr>
        <w:spacing w:line="360" w:lineRule="auto"/>
        <w:jc w:val="center"/>
        <w:rPr>
          <w:rFonts w:ascii="Arial" w:hAnsi="Arial" w:cs="Arial"/>
          <w:color w:val="000000" w:themeColor="text1"/>
          <w:szCs w:val="21"/>
          <w14:textFill>
            <w14:solidFill>
              <w14:schemeClr w14:val="tx1"/>
            </w14:solidFill>
          </w14:textFill>
        </w:rPr>
      </w:pPr>
      <w:r>
        <w:rPr>
          <w:rFonts w:hint="eastAsia" w:cs="Times New Roman"/>
          <w:b/>
          <w:bCs/>
          <w:color w:val="auto"/>
          <w:kern w:val="2"/>
          <w:sz w:val="28"/>
          <w:szCs w:val="28"/>
          <w:lang w:val="en-US" w:eastAsia="zh-CN" w:bidi="ar-SA"/>
        </w:rPr>
        <w:t>标项一：</w:t>
      </w:r>
      <w:r>
        <w:rPr>
          <w:rFonts w:hint="eastAsia" w:ascii="Times New Roman" w:hAnsi="Times New Roman" w:eastAsia="宋体" w:cs="Times New Roman"/>
          <w:b/>
          <w:bCs/>
          <w:color w:val="auto"/>
          <w:kern w:val="2"/>
          <w:sz w:val="28"/>
          <w:szCs w:val="28"/>
          <w:lang w:val="en-US" w:eastAsia="zh-CN" w:bidi="ar-SA"/>
        </w:rPr>
        <w:t>电子胃镜系统</w:t>
      </w:r>
    </w:p>
    <w:p w14:paraId="3662588D">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1.一般说明</w:t>
      </w:r>
    </w:p>
    <w:p w14:paraId="263D329A">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（1）本表中如提及品牌型号，仅起参考作用。供应商可选用其他品牌型号替代，但这些替代的品牌型号要实质上参照或相当于或优于参考品牌型号及其技术参数性能（配置）要求。</w:t>
      </w:r>
    </w:p>
    <w:p w14:paraId="56FED6DE">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589C09D9">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2.核心产品</w:t>
      </w:r>
    </w:p>
    <w:p w14:paraId="49F679F2">
      <w:pPr>
        <w:spacing w:line="360" w:lineRule="auto"/>
        <w:rPr>
          <w:rFonts w:ascii="Arial" w:hAnsi="Arial" w:cs="Arial"/>
          <w:b/>
          <w:bCs/>
          <w:color w:val="000000" w:themeColor="text1"/>
          <w:szCs w:val="21"/>
          <w14:textFill>
            <w14:solidFill>
              <w14:schemeClr w14:val="tx1"/>
            </w14:solidFill>
          </w14:textFill>
        </w:rPr>
      </w:pPr>
      <w:r>
        <w:rPr>
          <w:rFonts w:ascii="Arial" w:hAnsi="Arial" w:cs="Arial"/>
          <w:b/>
          <w:bCs/>
          <w:color w:val="000000" w:themeColor="text1"/>
          <w:szCs w:val="21"/>
          <w14:textFill>
            <w14:solidFill>
              <w14:schemeClr w14:val="tx1"/>
            </w14:solidFill>
          </w14:textFill>
        </w:rPr>
        <w:t>本</w:t>
      </w:r>
      <w:r>
        <w:rPr>
          <w:rFonts w:hint="eastAsia" w:ascii="Arial" w:hAnsi="Arial" w:cs="Arial"/>
          <w:b/>
          <w:bCs/>
          <w:color w:val="000000" w:themeColor="text1"/>
          <w:szCs w:val="21"/>
          <w:lang w:val="en-US" w:eastAsia="zh-CN"/>
          <w14:textFill>
            <w14:solidFill>
              <w14:schemeClr w14:val="tx1"/>
            </w14:solidFill>
          </w14:textFill>
        </w:rPr>
        <w:t>标项</w:t>
      </w:r>
      <w:r>
        <w:rPr>
          <w:rFonts w:ascii="Arial" w:hAnsi="Arial" w:cs="Arial"/>
          <w:b/>
          <w:bCs/>
          <w:color w:val="000000" w:themeColor="text1"/>
          <w:szCs w:val="21"/>
          <w14:textFill>
            <w14:solidFill>
              <w14:schemeClr w14:val="tx1"/>
            </w14:solidFill>
          </w14:textFill>
        </w:rPr>
        <w:t>为货物采购项目，核心产品为：</w:t>
      </w:r>
      <w:r>
        <w:rPr>
          <w:rFonts w:hint="eastAsia" w:ascii="Arial" w:hAnsi="Arial" w:cs="Arial"/>
          <w:b/>
          <w:bCs/>
          <w:color w:val="000000" w:themeColor="text1"/>
          <w:szCs w:val="21"/>
          <w14:textFill>
            <w14:solidFill>
              <w14:schemeClr w14:val="tx1"/>
            </w14:solidFill>
          </w14:textFill>
        </w:rPr>
        <w:t>电子胃镜系统</w:t>
      </w:r>
      <w:r>
        <w:rPr>
          <w:rFonts w:ascii="Arial" w:hAnsi="Arial" w:cs="Arial"/>
          <w:b/>
          <w:bCs/>
          <w:color w:val="000000" w:themeColor="text1"/>
          <w:szCs w:val="21"/>
          <w14:textFill>
            <w14:solidFill>
              <w14:schemeClr w14:val="tx1"/>
            </w14:solidFill>
          </w14:textFill>
        </w:rPr>
        <w:t>。</w:t>
      </w:r>
    </w:p>
    <w:p w14:paraId="3CCCBC8B">
      <w:pPr>
        <w:spacing w:line="360" w:lineRule="auto"/>
        <w:rPr>
          <w:rFonts w:ascii="Arial" w:hAnsi="Arial" w:cs="Arial"/>
          <w:color w:val="000000" w:themeColor="text1"/>
          <w:szCs w:val="21"/>
          <w14:textFill>
            <w14:solidFill>
              <w14:schemeClr w14:val="tx1"/>
            </w14:solidFill>
          </w14:textFill>
        </w:rPr>
      </w:pPr>
      <w:r>
        <w:rPr>
          <w:rFonts w:hint="eastAsia" w:ascii="Arial" w:hAnsi="Arial" w:cs="Arial"/>
          <w:color w:val="000000" w:themeColor="text1"/>
          <w:szCs w:val="21"/>
          <w:lang w:val="en-US" w:eastAsia="zh-CN"/>
          <w14:textFill>
            <w14:solidFill>
              <w14:schemeClr w14:val="tx1"/>
            </w14:solidFill>
          </w14:textFill>
        </w:rPr>
        <w:t>3</w:t>
      </w:r>
      <w:r>
        <w:rPr>
          <w:rFonts w:ascii="Arial" w:hAnsi="Arial" w:cs="Arial"/>
          <w:color w:val="000000" w:themeColor="text1"/>
          <w:szCs w:val="21"/>
          <w14:textFill>
            <w14:solidFill>
              <w14:schemeClr w14:val="tx1"/>
            </w14:solidFill>
          </w14:textFill>
        </w:rPr>
        <w:t>.标的名称、数量、需满足的质量、技术规格、物理特性、性能、材料、结构、外观、安全，或者服务内容和标准：</w:t>
      </w:r>
    </w:p>
    <w:tbl>
      <w:tblPr>
        <w:tblStyle w:val="55"/>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497"/>
        <w:gridCol w:w="791"/>
        <w:gridCol w:w="6774"/>
        <w:gridCol w:w="800"/>
        <w:gridCol w:w="657"/>
      </w:tblGrid>
      <w:tr w14:paraId="5BD4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464" w:hRule="atLeast"/>
          <w:jc w:val="center"/>
        </w:trPr>
        <w:tc>
          <w:tcPr>
            <w:tcW w:w="9519" w:type="dxa"/>
            <w:gridSpan w:val="5"/>
            <w:tcBorders>
              <w:top w:val="single" w:color="auto" w:sz="4" w:space="0"/>
              <w:left w:val="single" w:color="auto" w:sz="4" w:space="0"/>
              <w:bottom w:val="single" w:color="auto" w:sz="4" w:space="0"/>
              <w:right w:val="single" w:color="auto" w:sz="4" w:space="0"/>
            </w:tcBorders>
            <w:noWrap w:val="0"/>
            <w:vAlign w:val="center"/>
          </w:tcPr>
          <w:p w14:paraId="197B9950">
            <w:pPr>
              <w:adjustRightInd w:val="0"/>
              <w:snapToGrid w:val="0"/>
              <w:spacing w:line="360" w:lineRule="exact"/>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采购内容及技术要求</w:t>
            </w:r>
          </w:p>
        </w:tc>
      </w:tr>
      <w:tr w14:paraId="58B3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811" w:hRule="atLeast"/>
          <w:jc w:val="center"/>
        </w:trPr>
        <w:tc>
          <w:tcPr>
            <w:tcW w:w="497" w:type="dxa"/>
            <w:tcBorders>
              <w:top w:val="single" w:color="auto" w:sz="4" w:space="0"/>
              <w:left w:val="single" w:color="auto" w:sz="4" w:space="0"/>
              <w:bottom w:val="single" w:color="auto" w:sz="4" w:space="0"/>
              <w:right w:val="single" w:color="auto" w:sz="4" w:space="0"/>
            </w:tcBorders>
            <w:noWrap w:val="0"/>
            <w:vAlign w:val="center"/>
          </w:tcPr>
          <w:p w14:paraId="636BD095">
            <w:pPr>
              <w:adjustRightInd w:val="0"/>
              <w:snapToGrid w:val="0"/>
              <w:spacing w:line="360" w:lineRule="exact"/>
              <w:jc w:val="center"/>
              <w:outlineLvl w:val="3"/>
              <w:rPr>
                <w:rFonts w:hint="default" w:ascii="Arial" w:hAnsi="Arial" w:eastAsia="宋体" w:cs="Arial"/>
                <w:b/>
                <w:bCs/>
                <w:color w:val="auto"/>
                <w:szCs w:val="21"/>
                <w:highlight w:val="none"/>
              </w:rPr>
            </w:pPr>
            <w:r>
              <w:rPr>
                <w:rFonts w:hint="default" w:ascii="Arial" w:hAnsi="Arial" w:eastAsia="宋体" w:cs="Arial"/>
                <w:b/>
                <w:color w:val="auto"/>
                <w:szCs w:val="21"/>
                <w:highlight w:val="none"/>
              </w:rPr>
              <w:t>项号</w:t>
            </w:r>
          </w:p>
        </w:tc>
        <w:tc>
          <w:tcPr>
            <w:tcW w:w="791" w:type="dxa"/>
            <w:tcBorders>
              <w:top w:val="single" w:color="auto" w:sz="4" w:space="0"/>
              <w:left w:val="single" w:color="auto" w:sz="4" w:space="0"/>
              <w:bottom w:val="single" w:color="auto" w:sz="4" w:space="0"/>
              <w:right w:val="single" w:color="auto" w:sz="4" w:space="0"/>
            </w:tcBorders>
            <w:noWrap w:val="0"/>
            <w:vAlign w:val="center"/>
          </w:tcPr>
          <w:p w14:paraId="2537346A">
            <w:pPr>
              <w:widowControl/>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lang w:val="en-US" w:eastAsia="zh-CN"/>
              </w:rPr>
              <w:t>标的</w:t>
            </w:r>
            <w:r>
              <w:rPr>
                <w:rFonts w:hint="default" w:ascii="Arial" w:hAnsi="Arial" w:eastAsia="宋体" w:cs="Arial"/>
                <w:b/>
                <w:color w:val="auto"/>
                <w:szCs w:val="21"/>
                <w:highlight w:val="none"/>
              </w:rPr>
              <w:t>名称</w:t>
            </w:r>
          </w:p>
        </w:tc>
        <w:tc>
          <w:tcPr>
            <w:tcW w:w="6774" w:type="dxa"/>
            <w:tcBorders>
              <w:top w:val="single" w:color="auto" w:sz="4" w:space="0"/>
              <w:left w:val="single" w:color="auto" w:sz="4" w:space="0"/>
              <w:bottom w:val="single" w:color="auto" w:sz="4" w:space="0"/>
              <w:right w:val="single" w:color="auto" w:sz="4" w:space="0"/>
            </w:tcBorders>
            <w:noWrap w:val="0"/>
            <w:vAlign w:val="center"/>
          </w:tcPr>
          <w:p w14:paraId="5111BF87">
            <w:pPr>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技术要求</w:t>
            </w:r>
          </w:p>
        </w:tc>
        <w:tc>
          <w:tcPr>
            <w:tcW w:w="800" w:type="dxa"/>
            <w:tcBorders>
              <w:top w:val="single" w:color="auto" w:sz="4" w:space="0"/>
              <w:left w:val="single" w:color="auto" w:sz="4" w:space="0"/>
              <w:bottom w:val="single" w:color="auto" w:sz="4" w:space="0"/>
              <w:right w:val="single" w:color="auto" w:sz="4" w:space="0"/>
            </w:tcBorders>
            <w:noWrap w:val="0"/>
            <w:vAlign w:val="center"/>
          </w:tcPr>
          <w:p w14:paraId="52AA67DF">
            <w:pPr>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数量</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0FEAECAF">
            <w:pPr>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单位</w:t>
            </w:r>
          </w:p>
        </w:tc>
      </w:tr>
      <w:tr w14:paraId="09F1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873" w:hRule="atLeast"/>
          <w:jc w:val="center"/>
        </w:trPr>
        <w:tc>
          <w:tcPr>
            <w:tcW w:w="497" w:type="dxa"/>
            <w:tcBorders>
              <w:top w:val="single" w:color="auto" w:sz="4" w:space="0"/>
              <w:left w:val="single" w:color="auto" w:sz="4" w:space="0"/>
              <w:bottom w:val="single" w:color="auto" w:sz="4" w:space="0"/>
              <w:right w:val="single" w:color="auto" w:sz="4" w:space="0"/>
            </w:tcBorders>
            <w:noWrap w:val="0"/>
            <w:vAlign w:val="center"/>
          </w:tcPr>
          <w:p w14:paraId="7959F8FF">
            <w:pPr>
              <w:widowControl/>
              <w:adjustRightInd w:val="0"/>
              <w:snapToGrid w:val="0"/>
              <w:spacing w:line="360" w:lineRule="exact"/>
              <w:jc w:val="center"/>
              <w:outlineLvl w:val="3"/>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1</w:t>
            </w:r>
          </w:p>
        </w:tc>
        <w:tc>
          <w:tcPr>
            <w:tcW w:w="791" w:type="dxa"/>
            <w:tcBorders>
              <w:top w:val="single" w:color="auto" w:sz="4" w:space="0"/>
              <w:left w:val="single" w:color="auto" w:sz="4" w:space="0"/>
              <w:bottom w:val="single" w:color="auto" w:sz="4" w:space="0"/>
              <w:right w:val="single" w:color="auto" w:sz="4" w:space="0"/>
            </w:tcBorders>
            <w:noWrap w:val="0"/>
            <w:vAlign w:val="center"/>
          </w:tcPr>
          <w:p w14:paraId="381530C6">
            <w:pPr>
              <w:widowControl/>
              <w:adjustRightInd w:val="0"/>
              <w:snapToGrid w:val="0"/>
              <w:spacing w:line="360" w:lineRule="auto"/>
              <w:jc w:val="center"/>
              <w:outlineLvl w:val="3"/>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lang w:val="en-US" w:eastAsia="zh-CN"/>
              </w:rPr>
              <w:t>电子胃镜系统</w:t>
            </w:r>
          </w:p>
          <w:p w14:paraId="01649375">
            <w:pPr>
              <w:widowControl/>
              <w:adjustRightInd w:val="0"/>
              <w:snapToGrid w:val="0"/>
              <w:spacing w:line="360" w:lineRule="auto"/>
              <w:jc w:val="center"/>
              <w:outlineLvl w:val="3"/>
              <w:rPr>
                <w:rFonts w:hint="default" w:ascii="Arial" w:hAnsi="Arial" w:eastAsia="宋体" w:cs="Arial"/>
                <w:color w:val="auto"/>
                <w:szCs w:val="21"/>
                <w:highlight w:val="none"/>
              </w:rPr>
            </w:pPr>
          </w:p>
        </w:tc>
        <w:tc>
          <w:tcPr>
            <w:tcW w:w="6774" w:type="dxa"/>
            <w:tcBorders>
              <w:top w:val="single" w:color="auto" w:sz="4" w:space="0"/>
              <w:left w:val="single" w:color="auto" w:sz="4" w:space="0"/>
              <w:bottom w:val="single" w:color="auto" w:sz="4" w:space="0"/>
              <w:right w:val="single" w:color="auto" w:sz="4" w:space="0"/>
            </w:tcBorders>
            <w:noWrap w:val="0"/>
            <w:vAlign w:val="top"/>
          </w:tcPr>
          <w:p w14:paraId="0AA1F27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rPr>
            </w:pPr>
            <w:r>
              <w:rPr>
                <w:rFonts w:hint="default" w:ascii="Arial" w:hAnsi="Arial" w:eastAsia="宋体" w:cs="Arial"/>
                <w:b/>
                <w:bCs/>
                <w:sz w:val="21"/>
                <w:szCs w:val="21"/>
              </w:rPr>
              <w:t>一、电子内窥镜处理器（含光源）</w:t>
            </w:r>
          </w:p>
          <w:p w14:paraId="39F69B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1、光源主机一体化设计。</w:t>
            </w:r>
          </w:p>
          <w:p w14:paraId="3B954E3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2、控制面板:机械式物理按键。</w:t>
            </w:r>
          </w:p>
          <w:p w14:paraId="568C3F1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3、图像处理能力：4K画质效果，超强的图像分辨率和色彩还原性。</w:t>
            </w:r>
          </w:p>
          <w:p w14:paraId="698BF40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4、降噪技术：三重降噪技术，图像更明亮、更清晰，且光晕更少。</w:t>
            </w:r>
          </w:p>
          <w:p w14:paraId="0520BD6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5、快门调节：可获得清晰的静态图像。</w:t>
            </w:r>
          </w:p>
          <w:p w14:paraId="73BBA57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6、结构强调功能：ON/OFF，A/BMode各0-8档。</w:t>
            </w:r>
          </w:p>
          <w:p w14:paraId="47EFC44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7、色彩调节：亮度，RGB，红色色调≥9档可调（-4至+4）；色度≥9档可调（-4至+4）；对比度≥3档可调（-1至+1）。</w:t>
            </w:r>
          </w:p>
          <w:p w14:paraId="43A24B4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8、图像放大功能：电子放大2倍，0.05级逐级放大，共20级。</w:t>
            </w:r>
          </w:p>
          <w:p w14:paraId="763B93E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9、配电子染色技术：可扩展电子分光技术，≥10种预设，预设可调。</w:t>
            </w:r>
          </w:p>
          <w:p w14:paraId="0C00F23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trike w:val="0"/>
                <w:dstrike/>
                <w:color w:val="FF0000"/>
                <w:sz w:val="21"/>
                <w:szCs w:val="21"/>
              </w:rPr>
            </w:pPr>
            <w:r>
              <w:rPr>
                <w:rFonts w:hint="default" w:ascii="Arial" w:hAnsi="Arial" w:eastAsia="宋体" w:cs="Arial"/>
                <w:sz w:val="21"/>
                <w:szCs w:val="21"/>
              </w:rPr>
              <w:t>10、特殊光模式：具有窄带光技术，具备≥4种特殊光观察模式，如蓝光成像技术、联动成像技术、琥珀红光技术、电子分光技术等。</w:t>
            </w:r>
          </w:p>
          <w:p w14:paraId="264A31F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11、待机热插拔功能：可以在不关闭图像处理器电源的情况下安装和脱卸内镜。</w:t>
            </w:r>
          </w:p>
          <w:p w14:paraId="5E4CAAE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12、双画面模式：可将白光图像和特殊光图像同时显示，双画面对比观察。</w:t>
            </w:r>
          </w:p>
          <w:p w14:paraId="0248B2E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13、快门速度：正常1/60-1/200,高1/100-1/800,高（放大镜）1/100-1/800。</w:t>
            </w:r>
          </w:p>
          <w:p w14:paraId="5B9929E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14、具有DICOM通用输出接口，可实现与医院的数字网络连接，实现数字化影像管理。</w:t>
            </w:r>
          </w:p>
          <w:p w14:paraId="7CAED7F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15、可兼容已上市同品牌胃镜、经鼻内镜、肠镜、十二指肠镜、耳鼻喉镜等。</w:t>
            </w:r>
          </w:p>
          <w:p w14:paraId="5768EAD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rPr>
            </w:pPr>
            <w:r>
              <w:rPr>
                <w:rFonts w:hint="default" w:ascii="Arial" w:hAnsi="Arial" w:cs="Arial"/>
                <w:b w:val="0"/>
                <w:bCs w:val="0"/>
                <w:color w:val="000000"/>
              </w:rPr>
              <w:t>▲</w:t>
            </w:r>
            <w:r>
              <w:rPr>
                <w:rFonts w:hint="default" w:ascii="Arial" w:hAnsi="Arial" w:eastAsia="宋体" w:cs="Arial"/>
                <w:b w:val="0"/>
                <w:bCs w:val="0"/>
                <w:sz w:val="21"/>
                <w:szCs w:val="21"/>
              </w:rPr>
              <w:t>16、兼容已上市同品牌消化道超声胃镜、消化超声探头。</w:t>
            </w:r>
          </w:p>
          <w:p w14:paraId="5306A735">
            <w:pPr>
              <w:spacing w:line="360" w:lineRule="exact"/>
              <w:rPr>
                <w:rFonts w:hint="default" w:ascii="Arial" w:hAnsi="Arial" w:eastAsia="宋体" w:cs="Arial"/>
                <w:b w:val="0"/>
                <w:bCs w:val="0"/>
                <w:sz w:val="21"/>
                <w:szCs w:val="21"/>
                <w:lang w:eastAsia="zh-CN"/>
              </w:rPr>
            </w:pPr>
            <w:r>
              <w:rPr>
                <w:rFonts w:hint="default" w:ascii="Arial" w:hAnsi="Arial" w:cs="Arial"/>
                <w:b w:val="0"/>
                <w:bCs w:val="0"/>
                <w:color w:val="auto"/>
              </w:rPr>
              <w:t>▲</w:t>
            </w:r>
            <w:r>
              <w:rPr>
                <w:rFonts w:hint="default" w:ascii="Arial" w:hAnsi="Arial" w:eastAsia="宋体" w:cs="Arial"/>
                <w:b w:val="0"/>
                <w:bCs w:val="0"/>
                <w:color w:val="auto"/>
                <w:sz w:val="21"/>
                <w:szCs w:val="21"/>
              </w:rPr>
              <w:t>1</w:t>
            </w:r>
            <w:r>
              <w:rPr>
                <w:rFonts w:hint="default" w:ascii="Arial" w:hAnsi="Arial" w:eastAsia="宋体" w:cs="Arial"/>
                <w:b w:val="0"/>
                <w:bCs w:val="0"/>
                <w:color w:val="auto"/>
                <w:sz w:val="21"/>
                <w:szCs w:val="21"/>
                <w:lang w:val="en-US" w:eastAsia="zh-CN"/>
              </w:rPr>
              <w:t>7</w:t>
            </w:r>
            <w:r>
              <w:rPr>
                <w:rFonts w:hint="default" w:ascii="Arial" w:hAnsi="Arial" w:eastAsia="宋体" w:cs="Arial"/>
                <w:b w:val="0"/>
                <w:bCs w:val="0"/>
                <w:color w:val="auto"/>
                <w:sz w:val="21"/>
                <w:szCs w:val="21"/>
              </w:rPr>
              <w:t>、</w:t>
            </w:r>
            <w:r>
              <w:rPr>
                <w:rFonts w:hint="default" w:ascii="Arial" w:hAnsi="Arial" w:cs="Arial"/>
                <w:b w:val="0"/>
                <w:bCs w:val="0"/>
                <w:color w:val="auto"/>
              </w:rPr>
              <w:t>兼容已上市同品牌数字化移动X射线机</w:t>
            </w:r>
            <w:r>
              <w:rPr>
                <w:rFonts w:hint="default" w:ascii="Arial" w:hAnsi="Arial" w:eastAsia="宋体" w:cs="Arial"/>
                <w:b w:val="0"/>
                <w:bCs w:val="0"/>
                <w:color w:val="auto"/>
              </w:rPr>
              <w:t>（于投标文件中提供所兼容产品注册证复印件，并加盖投标人公章）。</w:t>
            </w:r>
          </w:p>
          <w:p w14:paraId="449DD31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rPr>
              <w:t>18、可兼容已上市同品牌小肠镜</w:t>
            </w:r>
          </w:p>
          <w:p w14:paraId="36D9C57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19</w:t>
            </w:r>
            <w:r>
              <w:rPr>
                <w:rFonts w:hint="default" w:ascii="Arial" w:hAnsi="Arial" w:eastAsia="宋体" w:cs="Arial"/>
                <w:sz w:val="21"/>
                <w:szCs w:val="21"/>
              </w:rPr>
              <w:t>、画中画功能：冻结图像与运动图像同时出现在画面上，且在此状态下可启动电子分光观察模式。</w:t>
            </w:r>
          </w:p>
          <w:p w14:paraId="7875276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20</w:t>
            </w:r>
            <w:r>
              <w:rPr>
                <w:rFonts w:hint="default" w:ascii="Arial" w:hAnsi="Arial" w:eastAsia="宋体" w:cs="Arial"/>
                <w:sz w:val="21"/>
                <w:szCs w:val="21"/>
              </w:rPr>
              <w:t>、光源：≥4色LED光源。</w:t>
            </w:r>
          </w:p>
          <w:p w14:paraId="6A9F73E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21</w:t>
            </w:r>
            <w:r>
              <w:rPr>
                <w:rFonts w:hint="default" w:ascii="Arial" w:hAnsi="Arial" w:eastAsia="宋体" w:cs="Arial"/>
                <w:sz w:val="21"/>
                <w:szCs w:val="21"/>
              </w:rPr>
              <w:t>、最大气压：≥65kPa。</w:t>
            </w:r>
          </w:p>
          <w:p w14:paraId="769A71A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2</w:t>
            </w:r>
            <w:r>
              <w:rPr>
                <w:rFonts w:hint="default" w:ascii="Arial" w:hAnsi="Arial" w:eastAsia="宋体" w:cs="Arial"/>
                <w:sz w:val="21"/>
                <w:szCs w:val="21"/>
                <w:lang w:val="en-US" w:eastAsia="zh-CN"/>
              </w:rPr>
              <w:t>2</w:t>
            </w:r>
            <w:r>
              <w:rPr>
                <w:rFonts w:hint="default" w:ascii="Arial" w:hAnsi="Arial" w:eastAsia="宋体" w:cs="Arial"/>
                <w:sz w:val="21"/>
                <w:szCs w:val="21"/>
              </w:rPr>
              <w:t>、透射照明：光照以最大亮度闪烁，从体外可查先端位置。</w:t>
            </w:r>
          </w:p>
          <w:p w14:paraId="759E92D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2</w:t>
            </w:r>
            <w:r>
              <w:rPr>
                <w:rFonts w:hint="default" w:ascii="Arial" w:hAnsi="Arial" w:eastAsia="宋体" w:cs="Arial"/>
                <w:sz w:val="21"/>
                <w:szCs w:val="21"/>
                <w:lang w:val="en-US" w:eastAsia="zh-CN"/>
              </w:rPr>
              <w:t>3</w:t>
            </w:r>
            <w:r>
              <w:rPr>
                <w:rFonts w:hint="default" w:ascii="Arial" w:hAnsi="Arial" w:eastAsia="宋体" w:cs="Arial"/>
                <w:sz w:val="21"/>
                <w:szCs w:val="21"/>
              </w:rPr>
              <w:t>、光照限制：限制最大光强，防止患者出血被光照凝结。</w:t>
            </w:r>
          </w:p>
          <w:p w14:paraId="0D7F28A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24</w:t>
            </w:r>
            <w:r>
              <w:rPr>
                <w:rFonts w:hint="default" w:ascii="Arial" w:hAnsi="Arial" w:eastAsia="宋体" w:cs="Arial"/>
                <w:sz w:val="21"/>
                <w:szCs w:val="21"/>
              </w:rPr>
              <w:t>、图像传输：高速激光光学传输内镜图像。</w:t>
            </w:r>
          </w:p>
          <w:p w14:paraId="6840AF6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2</w:t>
            </w:r>
            <w:r>
              <w:rPr>
                <w:rFonts w:hint="default" w:ascii="Arial" w:hAnsi="Arial" w:eastAsia="宋体" w:cs="Arial"/>
                <w:sz w:val="21"/>
                <w:szCs w:val="21"/>
                <w:lang w:val="en-US" w:eastAsia="zh-CN"/>
              </w:rPr>
              <w:t>5</w:t>
            </w:r>
            <w:r>
              <w:rPr>
                <w:rFonts w:hint="default" w:ascii="Arial" w:hAnsi="Arial" w:eastAsia="宋体" w:cs="Arial"/>
                <w:sz w:val="21"/>
                <w:szCs w:val="21"/>
              </w:rPr>
              <w:t>、自动亮度调整方式：根据视频信号输出自动调整亮度（也可手动调整）。</w:t>
            </w:r>
          </w:p>
          <w:p w14:paraId="27F2FAC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rPr>
            </w:pPr>
            <w:r>
              <w:rPr>
                <w:rFonts w:hint="default" w:ascii="Arial" w:hAnsi="Arial" w:eastAsia="宋体" w:cs="Arial"/>
                <w:sz w:val="21"/>
                <w:szCs w:val="21"/>
              </w:rPr>
              <w:t>2</w:t>
            </w:r>
            <w:r>
              <w:rPr>
                <w:rFonts w:hint="default" w:ascii="Arial" w:hAnsi="Arial" w:eastAsia="宋体" w:cs="Arial"/>
                <w:sz w:val="21"/>
                <w:szCs w:val="21"/>
                <w:lang w:val="en-US" w:eastAsia="zh-CN"/>
              </w:rPr>
              <w:t>6</w:t>
            </w:r>
            <w:r>
              <w:rPr>
                <w:rFonts w:hint="default" w:ascii="Arial" w:hAnsi="Arial" w:eastAsia="宋体" w:cs="Arial"/>
                <w:sz w:val="21"/>
                <w:szCs w:val="21"/>
              </w:rPr>
              <w:t>、灯泡使用寿命≥14000小时</w:t>
            </w:r>
            <w:r>
              <w:rPr>
                <w:rFonts w:hint="default" w:ascii="Arial" w:hAnsi="Arial" w:eastAsia="宋体" w:cs="Arial"/>
                <w:sz w:val="21"/>
                <w:szCs w:val="21"/>
                <w:lang w:val="en-US" w:eastAsia="zh-CN"/>
              </w:rPr>
              <w:t>或6年</w:t>
            </w:r>
            <w:r>
              <w:rPr>
                <w:rFonts w:hint="default" w:ascii="Arial" w:hAnsi="Arial" w:eastAsia="宋体" w:cs="Arial"/>
                <w:sz w:val="21"/>
                <w:szCs w:val="21"/>
              </w:rPr>
              <w:t>。</w:t>
            </w:r>
          </w:p>
          <w:p w14:paraId="27A89D3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rPr>
            </w:pPr>
            <w:r>
              <w:rPr>
                <w:rFonts w:hint="eastAsia" w:ascii="Arial" w:hAnsi="Arial" w:cs="Arial"/>
                <w:b/>
                <w:bCs/>
                <w:sz w:val="21"/>
                <w:szCs w:val="21"/>
                <w:lang w:val="en-US" w:eastAsia="zh-CN"/>
              </w:rPr>
              <w:t>二</w:t>
            </w:r>
            <w:r>
              <w:rPr>
                <w:rFonts w:hint="default" w:ascii="Arial" w:hAnsi="Arial" w:eastAsia="宋体" w:cs="Arial"/>
                <w:b/>
                <w:bCs/>
                <w:sz w:val="21"/>
                <w:szCs w:val="21"/>
              </w:rPr>
              <w:t>、电子上消化道内窥镜(放大)</w:t>
            </w:r>
          </w:p>
          <w:p w14:paraId="01C9A41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1</w:t>
            </w:r>
            <w:r>
              <w:rPr>
                <w:rFonts w:hint="default" w:ascii="Arial" w:hAnsi="Arial" w:eastAsia="宋体" w:cs="Arial"/>
                <w:sz w:val="21"/>
                <w:szCs w:val="21"/>
              </w:rPr>
              <w:t>、视野角度</w:t>
            </w:r>
            <w:r>
              <w:rPr>
                <w:rFonts w:hint="default" w:ascii="Arial" w:hAnsi="Arial" w:eastAsia="宋体" w:cs="Arial"/>
                <w:sz w:val="21"/>
                <w:szCs w:val="21"/>
                <w:lang w:eastAsia="zh-CN"/>
              </w:rPr>
              <w:t>：</w:t>
            </w:r>
            <w:r>
              <w:rPr>
                <w:rFonts w:hint="default" w:ascii="Arial" w:hAnsi="Arial" w:eastAsia="宋体" w:cs="Arial"/>
                <w:sz w:val="21"/>
                <w:szCs w:val="21"/>
              </w:rPr>
              <w:t>正常≥140°/接近≥56°</w:t>
            </w:r>
          </w:p>
          <w:p w14:paraId="09BD3E5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2</w:t>
            </w:r>
            <w:r>
              <w:rPr>
                <w:rFonts w:hint="default" w:ascii="Arial" w:hAnsi="Arial" w:eastAsia="宋体" w:cs="Arial"/>
                <w:sz w:val="21"/>
                <w:szCs w:val="21"/>
              </w:rPr>
              <w:t>、观察景深</w:t>
            </w:r>
            <w:r>
              <w:rPr>
                <w:rFonts w:hint="default" w:ascii="Arial" w:hAnsi="Arial" w:eastAsia="宋体" w:cs="Arial"/>
                <w:sz w:val="21"/>
                <w:szCs w:val="21"/>
                <w:lang w:val="en-US" w:eastAsia="zh-CN"/>
              </w:rPr>
              <w:t>至少涵盖</w:t>
            </w:r>
            <w:r>
              <w:rPr>
                <w:rFonts w:hint="default" w:ascii="Arial" w:hAnsi="Arial" w:eastAsia="宋体" w:cs="Arial"/>
                <w:sz w:val="21"/>
                <w:szCs w:val="21"/>
              </w:rPr>
              <w:t>：接近</w:t>
            </w:r>
            <w:r>
              <w:rPr>
                <w:rFonts w:hint="default" w:ascii="Arial" w:hAnsi="Arial" w:eastAsia="宋体" w:cs="Arial"/>
                <w:sz w:val="21"/>
                <w:szCs w:val="21"/>
                <w:lang w:val="en-US" w:eastAsia="zh-CN"/>
              </w:rPr>
              <w:t>模式</w:t>
            </w:r>
            <w:r>
              <w:rPr>
                <w:rFonts w:hint="default" w:ascii="Arial" w:hAnsi="Arial" w:eastAsia="宋体" w:cs="Arial"/>
                <w:sz w:val="21"/>
                <w:szCs w:val="21"/>
              </w:rPr>
              <w:t>1.5mm-2.5mm/正常</w:t>
            </w:r>
            <w:r>
              <w:rPr>
                <w:rFonts w:hint="default" w:ascii="Arial" w:hAnsi="Arial" w:eastAsia="宋体" w:cs="Arial"/>
                <w:sz w:val="21"/>
                <w:szCs w:val="21"/>
                <w:lang w:val="en-US" w:eastAsia="zh-CN"/>
              </w:rPr>
              <w:t>模式</w:t>
            </w:r>
            <w:r>
              <w:rPr>
                <w:rFonts w:hint="default" w:ascii="Arial" w:hAnsi="Arial" w:eastAsia="宋体" w:cs="Arial"/>
                <w:sz w:val="21"/>
                <w:szCs w:val="21"/>
              </w:rPr>
              <w:t>3～100mm，</w:t>
            </w:r>
          </w:p>
          <w:p w14:paraId="7A9C89C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3</w:t>
            </w:r>
            <w:r>
              <w:rPr>
                <w:rFonts w:hint="default" w:ascii="Arial" w:hAnsi="Arial" w:eastAsia="宋体" w:cs="Arial"/>
                <w:sz w:val="21"/>
                <w:szCs w:val="21"/>
              </w:rPr>
              <w:t>、可实现≥140倍放大观察。</w:t>
            </w:r>
          </w:p>
          <w:p w14:paraId="4031611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4</w:t>
            </w:r>
            <w:r>
              <w:rPr>
                <w:rFonts w:hint="default" w:ascii="Arial" w:hAnsi="Arial" w:eastAsia="宋体" w:cs="Arial"/>
                <w:sz w:val="21"/>
                <w:szCs w:val="21"/>
              </w:rPr>
              <w:t>、先端部直径：≤9.9mm</w:t>
            </w:r>
          </w:p>
          <w:p w14:paraId="5DB8E63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5</w:t>
            </w:r>
            <w:r>
              <w:rPr>
                <w:rFonts w:hint="default" w:ascii="Arial" w:hAnsi="Arial" w:eastAsia="宋体" w:cs="Arial"/>
                <w:sz w:val="21"/>
                <w:szCs w:val="21"/>
              </w:rPr>
              <w:t>、软性部直径：≤9.8mm</w:t>
            </w:r>
          </w:p>
          <w:p w14:paraId="5F13138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6</w:t>
            </w:r>
            <w:r>
              <w:rPr>
                <w:rFonts w:hint="default" w:ascii="Arial" w:hAnsi="Arial" w:eastAsia="宋体" w:cs="Arial"/>
                <w:sz w:val="21"/>
                <w:szCs w:val="21"/>
              </w:rPr>
              <w:t>、有效长度≥1100mm</w:t>
            </w:r>
          </w:p>
          <w:p w14:paraId="2F9690E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7</w:t>
            </w:r>
            <w:r>
              <w:rPr>
                <w:rFonts w:hint="default" w:ascii="Arial" w:hAnsi="Arial" w:eastAsia="宋体" w:cs="Arial"/>
                <w:sz w:val="21"/>
                <w:szCs w:val="21"/>
              </w:rPr>
              <w:t>、全长≥1400mm</w:t>
            </w:r>
          </w:p>
          <w:p w14:paraId="50BE39C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8</w:t>
            </w:r>
            <w:r>
              <w:rPr>
                <w:rFonts w:hint="default" w:ascii="Arial" w:hAnsi="Arial" w:eastAsia="宋体" w:cs="Arial"/>
                <w:sz w:val="21"/>
                <w:szCs w:val="21"/>
              </w:rPr>
              <w:t>、图像传感器：CMOS图像传感器生产超高清图像</w:t>
            </w:r>
          </w:p>
          <w:p w14:paraId="719C93A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9、</w:t>
            </w:r>
            <w:r>
              <w:rPr>
                <w:rFonts w:hint="default" w:ascii="Arial" w:hAnsi="Arial" w:eastAsia="宋体" w:cs="Arial"/>
                <w:sz w:val="21"/>
                <w:szCs w:val="21"/>
              </w:rPr>
              <w:t>附送水：具备附送水方便医生操作</w:t>
            </w:r>
          </w:p>
          <w:p w14:paraId="2465AF5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10</w:t>
            </w:r>
            <w:r>
              <w:rPr>
                <w:rFonts w:hint="default" w:ascii="Arial" w:hAnsi="Arial" w:eastAsia="宋体" w:cs="Arial"/>
                <w:sz w:val="21"/>
                <w:szCs w:val="21"/>
              </w:rPr>
              <w:t>、兼容高频治疗设备：可兼容高频电刀治疗设备</w:t>
            </w:r>
          </w:p>
          <w:p w14:paraId="47F1BB0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w:t>
            </w:r>
            <w:r>
              <w:rPr>
                <w:rFonts w:hint="default" w:ascii="Arial" w:hAnsi="Arial" w:eastAsia="宋体" w:cs="Arial"/>
                <w:sz w:val="21"/>
                <w:szCs w:val="21"/>
                <w:lang w:val="en-US" w:eastAsia="zh-CN"/>
              </w:rPr>
              <w:t>1</w:t>
            </w:r>
            <w:r>
              <w:rPr>
                <w:rFonts w:hint="default" w:ascii="Arial" w:hAnsi="Arial" w:eastAsia="宋体" w:cs="Arial"/>
                <w:sz w:val="21"/>
                <w:szCs w:val="21"/>
              </w:rPr>
              <w:t>、防水功能：镜子全防水设计，无需防水盖。且插头杆部无电气接点，有效避免意外浸泡的进水及电气接点被洗消液腐蚀的风险</w:t>
            </w:r>
          </w:p>
          <w:p w14:paraId="4DE8409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lang w:eastAsia="zh-CN"/>
              </w:rPr>
            </w:pPr>
            <w:r>
              <w:rPr>
                <w:rFonts w:hint="eastAsia" w:ascii="Arial" w:hAnsi="Arial" w:cs="Arial"/>
                <w:b/>
                <w:bCs/>
                <w:sz w:val="21"/>
                <w:szCs w:val="21"/>
                <w:lang w:val="en-US" w:eastAsia="zh-CN"/>
              </w:rPr>
              <w:t>三</w:t>
            </w:r>
            <w:r>
              <w:rPr>
                <w:rFonts w:hint="default" w:ascii="Arial" w:hAnsi="Arial" w:eastAsia="宋体" w:cs="Arial"/>
                <w:b/>
                <w:bCs/>
                <w:sz w:val="21"/>
                <w:szCs w:val="21"/>
                <w:lang w:val="en-US" w:eastAsia="zh-CN"/>
              </w:rPr>
              <w:t>、</w:t>
            </w:r>
            <w:r>
              <w:rPr>
                <w:rFonts w:hint="default" w:ascii="Arial" w:hAnsi="Arial" w:eastAsia="宋体" w:cs="Arial"/>
                <w:b/>
                <w:bCs/>
                <w:sz w:val="21"/>
                <w:szCs w:val="21"/>
              </w:rPr>
              <w:t>电子</w:t>
            </w:r>
            <w:r>
              <w:rPr>
                <w:rFonts w:hint="default" w:ascii="Arial" w:hAnsi="Arial" w:eastAsia="宋体" w:cs="Arial"/>
                <w:b/>
                <w:bCs/>
                <w:sz w:val="21"/>
                <w:szCs w:val="21"/>
                <w:lang w:val="en-US" w:eastAsia="zh-CN"/>
              </w:rPr>
              <w:t>上消化道</w:t>
            </w:r>
            <w:r>
              <w:rPr>
                <w:rFonts w:hint="default" w:ascii="Arial" w:hAnsi="Arial" w:eastAsia="宋体" w:cs="Arial"/>
                <w:b/>
                <w:bCs/>
                <w:sz w:val="21"/>
                <w:szCs w:val="21"/>
              </w:rPr>
              <w:t>内窥镜</w:t>
            </w:r>
            <w:r>
              <w:rPr>
                <w:rFonts w:hint="default" w:ascii="Arial" w:hAnsi="Arial" w:eastAsia="宋体" w:cs="Arial"/>
                <w:b/>
                <w:bCs/>
                <w:sz w:val="21"/>
                <w:szCs w:val="21"/>
                <w:lang w:eastAsia="zh-CN"/>
              </w:rPr>
              <w:t>（</w:t>
            </w:r>
            <w:r>
              <w:rPr>
                <w:rFonts w:hint="default" w:ascii="Arial" w:hAnsi="Arial" w:eastAsia="宋体" w:cs="Arial"/>
                <w:b/>
                <w:bCs/>
                <w:sz w:val="21"/>
                <w:szCs w:val="21"/>
                <w:lang w:val="en-US" w:eastAsia="zh-CN"/>
              </w:rPr>
              <w:t>治疗</w:t>
            </w:r>
            <w:r>
              <w:rPr>
                <w:rFonts w:hint="default" w:ascii="Arial" w:hAnsi="Arial" w:eastAsia="宋体" w:cs="Arial"/>
                <w:b/>
                <w:bCs/>
                <w:sz w:val="21"/>
                <w:szCs w:val="21"/>
                <w:lang w:eastAsia="zh-CN"/>
              </w:rPr>
              <w:t>）</w:t>
            </w:r>
          </w:p>
          <w:p w14:paraId="583445B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1、观察方向0°(直视)</w:t>
            </w:r>
          </w:p>
          <w:p w14:paraId="6038B91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rPr>
              <w:t>2、视野角度≥140°</w:t>
            </w:r>
          </w:p>
          <w:p w14:paraId="1825FCB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cs="Arial"/>
                <w:color w:val="000000"/>
              </w:rPr>
              <w:t>▲</w:t>
            </w:r>
            <w:r>
              <w:rPr>
                <w:rFonts w:hint="default" w:ascii="Arial" w:hAnsi="Arial" w:eastAsia="宋体" w:cs="Arial"/>
                <w:sz w:val="21"/>
                <w:szCs w:val="21"/>
                <w:lang w:val="en-US" w:eastAsia="zh-CN"/>
              </w:rPr>
              <w:t>3</w:t>
            </w:r>
            <w:r>
              <w:rPr>
                <w:rFonts w:hint="default" w:ascii="Arial" w:hAnsi="Arial" w:eastAsia="宋体" w:cs="Arial"/>
                <w:sz w:val="21"/>
                <w:szCs w:val="21"/>
              </w:rPr>
              <w:t>、观察景深：至少涵盖2～100mm。</w:t>
            </w:r>
          </w:p>
          <w:p w14:paraId="4242392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4</w:t>
            </w:r>
            <w:r>
              <w:rPr>
                <w:rFonts w:hint="default" w:ascii="Arial" w:hAnsi="Arial" w:eastAsia="宋体" w:cs="Arial"/>
                <w:sz w:val="21"/>
                <w:szCs w:val="21"/>
              </w:rPr>
              <w:t>、先端部直径：≤</w:t>
            </w:r>
            <w:r>
              <w:rPr>
                <w:rFonts w:hint="default" w:ascii="Arial" w:hAnsi="Arial" w:eastAsia="宋体" w:cs="Arial"/>
                <w:sz w:val="21"/>
                <w:szCs w:val="21"/>
                <w:lang w:val="en-US" w:eastAsia="zh-CN"/>
              </w:rPr>
              <w:t>7</w:t>
            </w:r>
            <w:r>
              <w:rPr>
                <w:rFonts w:hint="default" w:ascii="Arial" w:hAnsi="Arial" w:eastAsia="宋体" w:cs="Arial"/>
                <w:sz w:val="21"/>
                <w:szCs w:val="21"/>
              </w:rPr>
              <w:t>.</w:t>
            </w:r>
            <w:r>
              <w:rPr>
                <w:rFonts w:hint="default" w:ascii="Arial" w:hAnsi="Arial" w:eastAsia="宋体" w:cs="Arial"/>
                <w:sz w:val="21"/>
                <w:szCs w:val="21"/>
                <w:lang w:val="en-US" w:eastAsia="zh-CN"/>
              </w:rPr>
              <w:t>9</w:t>
            </w:r>
            <w:r>
              <w:rPr>
                <w:rFonts w:hint="default" w:ascii="Arial" w:hAnsi="Arial" w:eastAsia="宋体" w:cs="Arial"/>
                <w:sz w:val="21"/>
                <w:szCs w:val="21"/>
              </w:rPr>
              <w:t>mm。</w:t>
            </w:r>
          </w:p>
          <w:p w14:paraId="261B250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5</w:t>
            </w:r>
            <w:r>
              <w:rPr>
                <w:rFonts w:hint="default" w:ascii="Arial" w:hAnsi="Arial" w:eastAsia="宋体" w:cs="Arial"/>
                <w:sz w:val="21"/>
                <w:szCs w:val="21"/>
              </w:rPr>
              <w:t>、软性部直径：≤</w:t>
            </w:r>
            <w:r>
              <w:rPr>
                <w:rFonts w:hint="default" w:ascii="Arial" w:hAnsi="Arial" w:eastAsia="宋体" w:cs="Arial"/>
                <w:sz w:val="21"/>
                <w:szCs w:val="21"/>
                <w:lang w:val="en-US" w:eastAsia="zh-CN"/>
              </w:rPr>
              <w:t>7</w:t>
            </w:r>
            <w:r>
              <w:rPr>
                <w:rFonts w:hint="default" w:ascii="Arial" w:hAnsi="Arial" w:eastAsia="宋体" w:cs="Arial"/>
                <w:sz w:val="21"/>
                <w:szCs w:val="21"/>
              </w:rPr>
              <w:t>.</w:t>
            </w:r>
            <w:r>
              <w:rPr>
                <w:rFonts w:hint="default" w:ascii="Arial" w:hAnsi="Arial" w:eastAsia="宋体" w:cs="Arial"/>
                <w:sz w:val="21"/>
                <w:szCs w:val="21"/>
                <w:lang w:val="en-US" w:eastAsia="zh-CN"/>
              </w:rPr>
              <w:t>9</w:t>
            </w:r>
            <w:r>
              <w:rPr>
                <w:rFonts w:hint="default" w:ascii="Arial" w:hAnsi="Arial" w:eastAsia="宋体" w:cs="Arial"/>
                <w:sz w:val="21"/>
                <w:szCs w:val="21"/>
              </w:rPr>
              <w:t>mm。</w:t>
            </w:r>
          </w:p>
          <w:p w14:paraId="3F94006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6</w:t>
            </w:r>
            <w:r>
              <w:rPr>
                <w:rFonts w:hint="default" w:ascii="Arial" w:hAnsi="Arial" w:eastAsia="宋体" w:cs="Arial"/>
                <w:sz w:val="21"/>
                <w:szCs w:val="21"/>
              </w:rPr>
              <w:t>、有效长度≥1100mm。</w:t>
            </w:r>
          </w:p>
          <w:p w14:paraId="2C93B2A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7</w:t>
            </w:r>
            <w:r>
              <w:rPr>
                <w:rFonts w:hint="default" w:ascii="Arial" w:hAnsi="Arial" w:eastAsia="宋体" w:cs="Arial"/>
                <w:sz w:val="21"/>
                <w:szCs w:val="21"/>
              </w:rPr>
              <w:t>、全长≥1400mm。</w:t>
            </w:r>
          </w:p>
          <w:p w14:paraId="396AA1D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8</w:t>
            </w:r>
            <w:r>
              <w:rPr>
                <w:rFonts w:hint="default" w:ascii="Arial" w:hAnsi="Arial" w:eastAsia="宋体" w:cs="Arial"/>
                <w:sz w:val="21"/>
                <w:szCs w:val="21"/>
              </w:rPr>
              <w:t>、弯曲角度：上：≥210°、下：≥160°、左：≥100°、右：≥100°；</w:t>
            </w:r>
          </w:p>
          <w:p w14:paraId="555A6EA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cs="Arial"/>
                <w:color w:val="000000"/>
              </w:rPr>
              <w:t>▲</w:t>
            </w:r>
            <w:r>
              <w:rPr>
                <w:rFonts w:hint="default" w:ascii="Arial" w:hAnsi="Arial" w:eastAsia="宋体" w:cs="Arial"/>
                <w:sz w:val="21"/>
                <w:szCs w:val="21"/>
                <w:lang w:val="en-US" w:eastAsia="zh-CN"/>
              </w:rPr>
              <w:t>9</w:t>
            </w:r>
            <w:r>
              <w:rPr>
                <w:rFonts w:hint="default" w:ascii="Arial" w:hAnsi="Arial" w:eastAsia="宋体" w:cs="Arial"/>
                <w:sz w:val="21"/>
                <w:szCs w:val="21"/>
              </w:rPr>
              <w:t>、钳道直径：≥3.2mm。</w:t>
            </w:r>
          </w:p>
          <w:p w14:paraId="32E8EBD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10</w:t>
            </w:r>
            <w:r>
              <w:rPr>
                <w:rFonts w:hint="default" w:ascii="Arial" w:hAnsi="Arial" w:eastAsia="宋体" w:cs="Arial"/>
                <w:sz w:val="21"/>
                <w:szCs w:val="21"/>
              </w:rPr>
              <w:t>、图像传感器：CMOS图像传感器生产超高清图像。</w:t>
            </w:r>
          </w:p>
          <w:p w14:paraId="7735780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r>
              <w:rPr>
                <w:rFonts w:hint="default" w:ascii="Arial" w:hAnsi="Arial" w:eastAsia="宋体" w:cs="Arial"/>
                <w:sz w:val="21"/>
                <w:szCs w:val="21"/>
                <w:lang w:val="en-US" w:eastAsia="zh-CN"/>
              </w:rPr>
              <w:t>11</w:t>
            </w:r>
            <w:r>
              <w:rPr>
                <w:rFonts w:hint="default" w:ascii="Arial" w:hAnsi="Arial" w:eastAsia="宋体" w:cs="Arial"/>
                <w:sz w:val="21"/>
                <w:szCs w:val="21"/>
              </w:rPr>
              <w:t>、防水功能：镜子全防水设计，无需防水盖。且插头杆部无电气接点，有效避免意外浸泡的进水及电气接点被洗消液腐蚀的风险。</w:t>
            </w:r>
          </w:p>
          <w:p w14:paraId="323651E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rPr>
            </w:pPr>
          </w:p>
          <w:p w14:paraId="34526A0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rPr>
            </w:pPr>
            <w:r>
              <w:rPr>
                <w:rFonts w:hint="eastAsia" w:ascii="Arial" w:hAnsi="Arial" w:cs="Arial"/>
                <w:b/>
                <w:bCs/>
                <w:sz w:val="21"/>
                <w:szCs w:val="21"/>
                <w:lang w:val="en-US" w:eastAsia="zh-CN"/>
              </w:rPr>
              <w:t>四</w:t>
            </w:r>
            <w:r>
              <w:rPr>
                <w:rFonts w:hint="default" w:ascii="Arial" w:hAnsi="Arial" w:eastAsia="宋体" w:cs="Arial"/>
                <w:b/>
                <w:bCs/>
                <w:sz w:val="21"/>
                <w:szCs w:val="21"/>
              </w:rPr>
              <w:t>、电子</w:t>
            </w:r>
            <w:r>
              <w:rPr>
                <w:rFonts w:hint="default" w:ascii="Arial" w:hAnsi="Arial" w:eastAsia="宋体" w:cs="Arial"/>
                <w:b/>
                <w:bCs/>
                <w:sz w:val="21"/>
                <w:szCs w:val="21"/>
                <w:lang w:eastAsia="zh-CN"/>
              </w:rPr>
              <w:t>下消化道</w:t>
            </w:r>
            <w:r>
              <w:rPr>
                <w:rFonts w:hint="default" w:ascii="Arial" w:hAnsi="Arial" w:eastAsia="宋体" w:cs="Arial"/>
                <w:b/>
                <w:bCs/>
                <w:sz w:val="21"/>
                <w:szCs w:val="21"/>
              </w:rPr>
              <w:t>内窥镜</w:t>
            </w:r>
            <w:r>
              <w:rPr>
                <w:rFonts w:hint="default" w:ascii="Arial" w:hAnsi="Arial" w:eastAsia="宋体" w:cs="Arial"/>
                <w:b/>
                <w:bCs/>
                <w:sz w:val="21"/>
                <w:szCs w:val="21"/>
                <w:lang w:eastAsia="zh-CN"/>
              </w:rPr>
              <w:t>（检查）</w:t>
            </w:r>
          </w:p>
          <w:p w14:paraId="03B18D3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1、视野角度：≥170°</w:t>
            </w:r>
          </w:p>
          <w:p w14:paraId="1F08A09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2、观察景深至少涵盖：2～100mm</w:t>
            </w:r>
          </w:p>
          <w:p w14:paraId="49334D2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3、先端部、软性部直径：≤12.8mm</w:t>
            </w:r>
          </w:p>
          <w:p w14:paraId="152C4DC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4、有效长度≥1330mm</w:t>
            </w:r>
          </w:p>
          <w:p w14:paraId="3A76589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 xml:space="preserve">5、全长≥1630mm   </w:t>
            </w:r>
          </w:p>
          <w:p w14:paraId="77FF77C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6、钳道直径：≥3.8mm</w:t>
            </w:r>
          </w:p>
          <w:p w14:paraId="380DB89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7、图像传感器：CMOS图像传感器生产超高清图像</w:t>
            </w:r>
          </w:p>
          <w:p w14:paraId="52E22B8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8、顺应弯曲：有</w:t>
            </w:r>
          </w:p>
          <w:p w14:paraId="46523AD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9、精准传导：有</w:t>
            </w:r>
          </w:p>
          <w:p w14:paraId="2EAB166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10、防水功能：镜子全防水设计，无需防水盖。且插头杆部无电气接点，有效避免意外浸泡的进水及电气接点被洗消液腐蚀的风险。</w:t>
            </w:r>
          </w:p>
          <w:p w14:paraId="5AF0EAC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lang w:val="en-US" w:eastAsia="zh-CN"/>
              </w:rPr>
            </w:pPr>
          </w:p>
          <w:p w14:paraId="0F14762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rPr>
            </w:pPr>
            <w:r>
              <w:rPr>
                <w:rFonts w:hint="eastAsia" w:ascii="Arial" w:hAnsi="Arial" w:cs="Arial"/>
                <w:b/>
                <w:bCs/>
                <w:sz w:val="21"/>
                <w:szCs w:val="21"/>
                <w:lang w:val="en-US" w:eastAsia="zh-CN"/>
              </w:rPr>
              <w:t>五</w:t>
            </w:r>
            <w:r>
              <w:rPr>
                <w:rFonts w:hint="default" w:ascii="Arial" w:hAnsi="Arial" w:eastAsia="宋体" w:cs="Arial"/>
                <w:b/>
                <w:bCs/>
                <w:sz w:val="21"/>
                <w:szCs w:val="21"/>
              </w:rPr>
              <w:t>、电子</w:t>
            </w:r>
            <w:r>
              <w:rPr>
                <w:rFonts w:hint="default" w:ascii="Arial" w:hAnsi="Arial" w:eastAsia="宋体" w:cs="Arial"/>
                <w:b/>
                <w:bCs/>
                <w:sz w:val="21"/>
                <w:szCs w:val="21"/>
                <w:lang w:eastAsia="zh-CN"/>
              </w:rPr>
              <w:t>下消化道</w:t>
            </w:r>
            <w:r>
              <w:rPr>
                <w:rFonts w:hint="default" w:ascii="Arial" w:hAnsi="Arial" w:eastAsia="宋体" w:cs="Arial"/>
                <w:b/>
                <w:bCs/>
                <w:sz w:val="21"/>
                <w:szCs w:val="21"/>
              </w:rPr>
              <w:t>内窥</w:t>
            </w:r>
            <w:r>
              <w:rPr>
                <w:rFonts w:hint="default" w:ascii="Arial" w:hAnsi="Arial" w:eastAsia="宋体" w:cs="Arial"/>
                <w:b/>
                <w:bCs/>
                <w:sz w:val="21"/>
                <w:szCs w:val="21"/>
                <w:lang w:val="en-US" w:eastAsia="zh-CN"/>
              </w:rPr>
              <w:t>镜（治疗）</w:t>
            </w:r>
          </w:p>
          <w:p w14:paraId="0B6D787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1、视野角度：≥170°</w:t>
            </w:r>
          </w:p>
          <w:p w14:paraId="38DFC53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cs="Arial"/>
                <w:color w:val="000000"/>
              </w:rPr>
              <w:t>▲</w:t>
            </w:r>
            <w:r>
              <w:rPr>
                <w:rFonts w:hint="default" w:ascii="Arial" w:hAnsi="Arial" w:eastAsia="宋体" w:cs="Arial"/>
                <w:sz w:val="21"/>
                <w:szCs w:val="21"/>
                <w:lang w:val="en-US" w:eastAsia="zh-CN"/>
              </w:rPr>
              <w:t>2、观察景深至少涵盖：2～100mm</w:t>
            </w:r>
          </w:p>
          <w:p w14:paraId="72C0A09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cs="Arial"/>
                <w:color w:val="000000"/>
              </w:rPr>
              <w:t>▲</w:t>
            </w:r>
            <w:r>
              <w:rPr>
                <w:rFonts w:hint="default" w:ascii="Arial" w:hAnsi="Arial" w:eastAsia="宋体" w:cs="Arial"/>
                <w:sz w:val="21"/>
                <w:szCs w:val="21"/>
                <w:lang w:val="en-US" w:eastAsia="zh-CN"/>
              </w:rPr>
              <w:t>3、先端部、软性部直径：≤12.0mm</w:t>
            </w:r>
          </w:p>
          <w:p w14:paraId="7257488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4、有效长度≥1330mm</w:t>
            </w:r>
          </w:p>
          <w:p w14:paraId="44A2AC6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 xml:space="preserve">5、全长≥1630mm   </w:t>
            </w:r>
          </w:p>
          <w:p w14:paraId="7F360CB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6、钳道直径：≥3.8mm</w:t>
            </w:r>
          </w:p>
          <w:p w14:paraId="13A345C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7、图像传感器：CMOS图像传感器生产超高清图像</w:t>
            </w:r>
          </w:p>
          <w:p w14:paraId="531AC43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8、插入技术：至少包含硬度可调、顺应弯曲、精准传导技术</w:t>
            </w:r>
          </w:p>
          <w:p w14:paraId="07F7B5F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9、防水功能：镜子全防水设计，无需防水盖。且插头杆部无电气接点，有效避免意外浸泡的进水及电气接点被洗消液腐蚀的风险。</w:t>
            </w:r>
          </w:p>
          <w:p w14:paraId="1BF03F3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color w:val="EE0000"/>
                <w:sz w:val="21"/>
                <w:szCs w:val="21"/>
              </w:rPr>
            </w:pPr>
          </w:p>
          <w:p w14:paraId="3F5691E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bCs/>
                <w:sz w:val="21"/>
                <w:szCs w:val="21"/>
                <w:lang w:val="en-US" w:eastAsia="zh-CN"/>
              </w:rPr>
            </w:pPr>
            <w:r>
              <w:rPr>
                <w:rFonts w:hint="eastAsia" w:ascii="Arial" w:hAnsi="Arial" w:cs="Arial"/>
                <w:b/>
                <w:bCs/>
                <w:sz w:val="21"/>
                <w:szCs w:val="21"/>
                <w:lang w:val="en-US" w:eastAsia="zh-CN"/>
              </w:rPr>
              <w:t>六</w:t>
            </w:r>
            <w:r>
              <w:rPr>
                <w:rFonts w:hint="default" w:ascii="Arial" w:hAnsi="Arial" w:eastAsia="宋体" w:cs="Arial"/>
                <w:b/>
                <w:bCs/>
                <w:sz w:val="21"/>
                <w:szCs w:val="21"/>
                <w:lang w:val="en-US" w:eastAsia="zh-CN"/>
              </w:rPr>
              <w:t>、主要配置至少包括：</w:t>
            </w:r>
          </w:p>
          <w:p w14:paraId="60AA7A8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一</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电子内窥镜处理器（含光源）1</w:t>
            </w:r>
          </w:p>
          <w:p w14:paraId="3461E3F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二</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电子上消化道内窥镜（放大） 1</w:t>
            </w:r>
          </w:p>
          <w:p w14:paraId="49CDCAD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三</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电子上消化道内窥镜（治疗）1</w:t>
            </w:r>
          </w:p>
          <w:p w14:paraId="58CAC14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四</w:t>
            </w:r>
            <w:r>
              <w:rPr>
                <w:rFonts w:hint="default" w:ascii="Arial" w:hAnsi="Arial" w:eastAsia="宋体" w:cs="Arial"/>
                <w:sz w:val="21"/>
                <w:szCs w:val="21"/>
                <w:lang w:val="en-US" w:eastAsia="zh-CN"/>
              </w:rPr>
              <w:tab/>
            </w:r>
            <w:r>
              <w:rPr>
                <w:rFonts w:hint="default" w:ascii="Arial" w:hAnsi="Arial" w:eastAsia="宋体" w:cs="Arial"/>
                <w:bCs/>
                <w:sz w:val="21"/>
                <w:szCs w:val="21"/>
              </w:rPr>
              <w:t>电子</w:t>
            </w:r>
            <w:r>
              <w:rPr>
                <w:rFonts w:hint="default" w:ascii="Arial" w:hAnsi="Arial" w:eastAsia="宋体" w:cs="Arial"/>
                <w:bCs/>
                <w:sz w:val="21"/>
                <w:szCs w:val="21"/>
                <w:lang w:eastAsia="zh-CN"/>
              </w:rPr>
              <w:t>下消化道</w:t>
            </w:r>
            <w:r>
              <w:rPr>
                <w:rFonts w:hint="default" w:ascii="Arial" w:hAnsi="Arial" w:eastAsia="宋体" w:cs="Arial"/>
                <w:bCs/>
                <w:sz w:val="21"/>
                <w:szCs w:val="21"/>
              </w:rPr>
              <w:t>内窥镜</w:t>
            </w:r>
            <w:r>
              <w:rPr>
                <w:rFonts w:hint="default" w:ascii="Arial" w:hAnsi="Arial" w:eastAsia="宋体" w:cs="Arial"/>
                <w:bCs/>
                <w:sz w:val="21"/>
                <w:szCs w:val="21"/>
                <w:lang w:eastAsia="zh-CN"/>
              </w:rPr>
              <w:t>（检查）</w:t>
            </w:r>
            <w:r>
              <w:rPr>
                <w:rFonts w:hint="default" w:ascii="Arial" w:hAnsi="Arial" w:eastAsia="宋体" w:cs="Arial"/>
                <w:sz w:val="21"/>
                <w:szCs w:val="21"/>
                <w:lang w:val="en-US" w:eastAsia="zh-CN"/>
              </w:rPr>
              <w:t>1</w:t>
            </w:r>
          </w:p>
          <w:p w14:paraId="64CDBB7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Cs/>
                <w:sz w:val="21"/>
                <w:szCs w:val="21"/>
                <w:lang w:val="en-US" w:eastAsia="zh-CN"/>
              </w:rPr>
            </w:pPr>
            <w:r>
              <w:rPr>
                <w:rFonts w:hint="default" w:ascii="Arial" w:hAnsi="Arial" w:eastAsia="宋体" w:cs="Arial"/>
                <w:sz w:val="21"/>
                <w:szCs w:val="21"/>
                <w:lang w:val="en-US" w:eastAsia="zh-CN"/>
              </w:rPr>
              <w:t xml:space="preserve">五  </w:t>
            </w:r>
            <w:r>
              <w:rPr>
                <w:rFonts w:hint="default" w:ascii="Arial" w:hAnsi="Arial" w:eastAsia="宋体" w:cs="Arial"/>
                <w:bCs/>
                <w:sz w:val="21"/>
                <w:szCs w:val="21"/>
              </w:rPr>
              <w:t>电子</w:t>
            </w:r>
            <w:r>
              <w:rPr>
                <w:rFonts w:hint="default" w:ascii="Arial" w:hAnsi="Arial" w:eastAsia="宋体" w:cs="Arial"/>
                <w:bCs/>
                <w:sz w:val="21"/>
                <w:szCs w:val="21"/>
                <w:lang w:eastAsia="zh-CN"/>
              </w:rPr>
              <w:t>下消化道</w:t>
            </w:r>
            <w:r>
              <w:rPr>
                <w:rFonts w:hint="default" w:ascii="Arial" w:hAnsi="Arial" w:eastAsia="宋体" w:cs="Arial"/>
                <w:bCs/>
                <w:sz w:val="21"/>
                <w:szCs w:val="21"/>
              </w:rPr>
              <w:t>内窥镜</w:t>
            </w:r>
            <w:r>
              <w:rPr>
                <w:rFonts w:hint="default" w:ascii="Arial" w:hAnsi="Arial" w:eastAsia="宋体" w:cs="Arial"/>
                <w:bCs/>
                <w:sz w:val="21"/>
                <w:szCs w:val="21"/>
                <w:lang w:val="en-US" w:eastAsia="zh-CN"/>
              </w:rPr>
              <w:t>（治疗） 1</w:t>
            </w:r>
          </w:p>
          <w:p w14:paraId="40010F5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六</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4K监视器 1</w:t>
            </w:r>
          </w:p>
          <w:p w14:paraId="6099419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七</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内窥镜专用台车 1</w:t>
            </w:r>
          </w:p>
          <w:p w14:paraId="45F511B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八</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内镜送水装置 1</w:t>
            </w:r>
          </w:p>
          <w:p w14:paraId="5DC344B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九</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二氧化碳气泵1</w:t>
            </w:r>
          </w:p>
          <w:p w14:paraId="10F99E8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十</w:t>
            </w:r>
            <w:r>
              <w:rPr>
                <w:rFonts w:hint="default" w:ascii="Arial" w:hAnsi="Arial" w:eastAsia="宋体" w:cs="Arial"/>
                <w:sz w:val="21"/>
                <w:szCs w:val="21"/>
                <w:lang w:val="en-US" w:eastAsia="zh-CN"/>
              </w:rPr>
              <w:tab/>
            </w:r>
            <w:r>
              <w:rPr>
                <w:rFonts w:hint="default" w:ascii="Arial" w:hAnsi="Arial" w:eastAsia="宋体" w:cs="Arial"/>
                <w:sz w:val="21"/>
                <w:szCs w:val="21"/>
                <w:lang w:val="en-US" w:eastAsia="zh-CN"/>
              </w:rPr>
              <w:t xml:space="preserve">高清图文工作站 </w:t>
            </w:r>
            <w:r>
              <w:rPr>
                <w:rFonts w:hint="eastAsia" w:ascii="Arial" w:hAnsi="Arial" w:eastAsia="宋体" w:cs="Arial"/>
                <w:sz w:val="21"/>
                <w:szCs w:val="21"/>
                <w:lang w:val="en-US" w:eastAsia="zh-CN"/>
              </w:rPr>
              <w:t>1</w:t>
            </w:r>
          </w:p>
          <w:p w14:paraId="4BF8F67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十一  自动清洗机1</w:t>
            </w:r>
          </w:p>
          <w:p w14:paraId="32C8D360">
            <w:pPr>
              <w:keepNext w:val="0"/>
              <w:keepLines w:val="0"/>
              <w:spacing w:line="360" w:lineRule="exact"/>
              <w:rPr>
                <w:rFonts w:hint="default" w:ascii="Arial" w:hAnsi="Arial" w:eastAsia="宋体" w:cs="Arial"/>
                <w:sz w:val="21"/>
                <w:szCs w:val="21"/>
                <w:lang w:val="en-US" w:eastAsia="zh-CN"/>
              </w:rPr>
            </w:pPr>
            <w:r>
              <w:rPr>
                <w:rFonts w:hint="default" w:ascii="Arial" w:hAnsi="Arial" w:eastAsia="宋体" w:cs="Arial"/>
                <w:sz w:val="21"/>
                <w:szCs w:val="21"/>
                <w:lang w:val="en-US" w:eastAsia="zh-CN"/>
              </w:rPr>
              <w:t>十二  氩气高频电刀1</w:t>
            </w:r>
          </w:p>
          <w:p w14:paraId="4A7B18A7">
            <w:pPr>
              <w:keepNext w:val="0"/>
              <w:keepLines w:val="0"/>
              <w:spacing w:line="360" w:lineRule="exact"/>
              <w:rPr>
                <w:rFonts w:hint="default" w:ascii="Arial" w:hAnsi="Arial" w:cs="Arial"/>
                <w:lang w:val="en-US" w:eastAsia="zh-CN"/>
              </w:rPr>
            </w:pPr>
            <w:r>
              <w:rPr>
                <w:rFonts w:hint="default" w:ascii="Arial" w:hAnsi="Arial" w:eastAsia="宋体" w:cs="Arial"/>
                <w:sz w:val="21"/>
                <w:szCs w:val="21"/>
                <w:lang w:val="en-US" w:eastAsia="zh-CN"/>
              </w:rPr>
              <w:t xml:space="preserve">十三  双门储镜柜1  </w:t>
            </w:r>
          </w:p>
        </w:tc>
        <w:tc>
          <w:tcPr>
            <w:tcW w:w="800" w:type="dxa"/>
            <w:tcBorders>
              <w:top w:val="single" w:color="auto" w:sz="4" w:space="0"/>
              <w:left w:val="single" w:color="auto" w:sz="4" w:space="0"/>
              <w:bottom w:val="single" w:color="auto" w:sz="4" w:space="0"/>
              <w:right w:val="single" w:color="auto" w:sz="4" w:space="0"/>
            </w:tcBorders>
            <w:noWrap w:val="0"/>
            <w:vAlign w:val="center"/>
          </w:tcPr>
          <w:p w14:paraId="50268643">
            <w:pPr>
              <w:snapToGrid w:val="0"/>
              <w:spacing w:line="320" w:lineRule="exact"/>
              <w:jc w:val="center"/>
              <w:outlineLvl w:val="3"/>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10FABEF2">
            <w:pPr>
              <w:adjustRightInd w:val="0"/>
              <w:snapToGrid w:val="0"/>
              <w:spacing w:line="360" w:lineRule="exact"/>
              <w:jc w:val="center"/>
              <w:outlineLvl w:val="3"/>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套</w:t>
            </w:r>
          </w:p>
        </w:tc>
      </w:tr>
    </w:tbl>
    <w:p w14:paraId="5B003EF9">
      <w:pPr>
        <w:ind w:firstLine="281" w:firstLineChars="100"/>
        <w:rPr>
          <w:rFonts w:ascii="Arial" w:hAnsi="Arial" w:cs="Arial"/>
          <w:color w:val="000000" w:themeColor="text1"/>
          <w:szCs w:val="21"/>
          <w14:textFill>
            <w14:solidFill>
              <w14:schemeClr w14:val="tx1"/>
            </w14:solidFill>
          </w14:textFill>
        </w:rPr>
      </w:pPr>
      <w:r>
        <w:rPr>
          <w:rFonts w:hint="eastAsia" w:cs="Times New Roman"/>
          <w:b/>
          <w:bCs/>
          <w:color w:val="auto"/>
          <w:kern w:val="2"/>
          <w:sz w:val="28"/>
          <w:szCs w:val="28"/>
          <w:lang w:val="en-US" w:eastAsia="zh-CN" w:bidi="ar-SA"/>
        </w:rPr>
        <w:t>标项一：</w:t>
      </w:r>
      <w:r>
        <w:rPr>
          <w:rFonts w:hint="eastAsia" w:ascii="Times New Roman" w:hAnsi="Times New Roman" w:eastAsia="宋体" w:cs="Times New Roman"/>
          <w:b/>
          <w:bCs/>
          <w:color w:val="auto"/>
          <w:kern w:val="2"/>
          <w:sz w:val="28"/>
          <w:szCs w:val="28"/>
          <w:lang w:val="en-US" w:eastAsia="zh-CN" w:bidi="ar-SA"/>
        </w:rPr>
        <w:t>电子胃镜系统</w:t>
      </w:r>
    </w:p>
    <w:tbl>
      <w:tblPr>
        <w:tblStyle w:val="55"/>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1994"/>
        <w:gridCol w:w="7612"/>
      </w:tblGrid>
      <w:tr w14:paraId="300B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464" w:hRule="atLeast"/>
          <w:jc w:val="center"/>
        </w:trPr>
        <w:tc>
          <w:tcPr>
            <w:tcW w:w="9606" w:type="dxa"/>
            <w:gridSpan w:val="2"/>
            <w:tcBorders>
              <w:top w:val="single" w:color="auto" w:sz="4" w:space="0"/>
              <w:left w:val="single" w:color="auto" w:sz="4" w:space="0"/>
              <w:bottom w:val="single" w:color="auto" w:sz="4" w:space="0"/>
              <w:right w:val="single" w:color="auto" w:sz="4" w:space="0"/>
            </w:tcBorders>
            <w:noWrap w:val="0"/>
            <w:vAlign w:val="center"/>
          </w:tcPr>
          <w:p w14:paraId="09A258A3">
            <w:pPr>
              <w:adjustRightInd w:val="0"/>
              <w:snapToGrid w:val="0"/>
              <w:spacing w:line="360" w:lineRule="exact"/>
              <w:jc w:val="left"/>
              <w:textAlignment w:val="center"/>
              <w:outlineLvl w:val="3"/>
              <w:rPr>
                <w:rFonts w:hint="eastAsia" w:ascii="宋体" w:hAnsi="宋体" w:eastAsia="宋体" w:cs="宋体"/>
                <w:b/>
                <w:color w:val="000000"/>
                <w:szCs w:val="21"/>
                <w:highlight w:val="none"/>
              </w:rPr>
            </w:pPr>
            <w:r>
              <w:rPr>
                <w:rFonts w:hint="eastAsia" w:ascii="仿宋_GB2312" w:hAnsi="宋体" w:eastAsia="仿宋_GB2312" w:cs="仿宋_GB2312"/>
                <w:color w:val="000000"/>
                <w:kern w:val="0"/>
                <w:sz w:val="21"/>
                <w:szCs w:val="21"/>
                <w:lang w:eastAsia="zh-CN" w:bidi="ar"/>
              </w:rPr>
              <w:t>▲</w:t>
            </w:r>
            <w:r>
              <w:rPr>
                <w:rFonts w:hint="eastAsia" w:ascii="宋体" w:hAnsi="宋体" w:eastAsia="宋体" w:cs="宋体"/>
                <w:b/>
                <w:color w:val="000000"/>
                <w:szCs w:val="21"/>
                <w:highlight w:val="none"/>
              </w:rPr>
              <w:t>商务要求</w:t>
            </w:r>
          </w:p>
        </w:tc>
      </w:tr>
      <w:tr w14:paraId="1A3A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79BE4C5E">
            <w:pPr>
              <w:spacing w:line="360" w:lineRule="exact"/>
              <w:jc w:val="center"/>
              <w:rPr>
                <w:rFonts w:hint="eastAsia" w:ascii="宋体" w:hAnsi="宋体" w:eastAsia="宋体" w:cs="宋体"/>
                <w:b/>
                <w:color w:val="000000"/>
                <w:sz w:val="21"/>
                <w:szCs w:val="21"/>
                <w:highlight w:val="none"/>
                <w:lang w:eastAsia="zh-CN" w:bidi="ar"/>
              </w:rPr>
            </w:pPr>
            <w:r>
              <w:rPr>
                <w:rFonts w:hint="eastAsia" w:ascii="宋体" w:hAnsi="宋体" w:eastAsia="宋体" w:cs="宋体"/>
                <w:b/>
                <w:color w:val="000000"/>
                <w:sz w:val="21"/>
                <w:szCs w:val="21"/>
                <w:highlight w:val="none"/>
                <w:lang w:eastAsia="zh-CN" w:bidi="ar"/>
              </w:rPr>
              <w:t>合同签订时间及</w:t>
            </w:r>
          </w:p>
          <w:p w14:paraId="50704225">
            <w:pPr>
              <w:kinsoku/>
              <w:autoSpaceDE/>
              <w:autoSpaceDN/>
              <w:adjustRightInd/>
              <w:snapToGrid/>
              <w:spacing w:line="420" w:lineRule="exact"/>
              <w:ind w:firstLine="13" w:firstLineChars="6"/>
              <w:jc w:val="center"/>
              <w:textAlignment w:val="auto"/>
              <w:rPr>
                <w:rFonts w:hint="eastAsia" w:ascii="宋体" w:hAnsi="宋体" w:eastAsia="宋体" w:cs="宋体"/>
                <w:b/>
                <w:color w:val="000000"/>
                <w:kern w:val="0"/>
                <w:szCs w:val="21"/>
                <w:highlight w:val="none"/>
              </w:rPr>
            </w:pPr>
            <w:r>
              <w:rPr>
                <w:rFonts w:hint="eastAsia" w:ascii="宋体" w:hAnsi="宋体" w:eastAsia="宋体" w:cs="宋体"/>
                <w:b/>
                <w:color w:val="000000"/>
                <w:sz w:val="21"/>
                <w:szCs w:val="21"/>
                <w:highlight w:val="none"/>
                <w:lang w:eastAsia="zh-CN" w:bidi="ar"/>
              </w:rPr>
              <w:t>地点</w:t>
            </w:r>
          </w:p>
        </w:tc>
        <w:tc>
          <w:tcPr>
            <w:tcW w:w="7612" w:type="dxa"/>
            <w:tcBorders>
              <w:top w:val="single" w:color="auto" w:sz="4" w:space="0"/>
              <w:left w:val="single" w:color="auto" w:sz="4" w:space="0"/>
              <w:bottom w:val="single" w:color="auto" w:sz="4" w:space="0"/>
              <w:right w:val="single" w:color="auto" w:sz="4" w:space="0"/>
            </w:tcBorders>
            <w:noWrap w:val="0"/>
            <w:vAlign w:val="center"/>
          </w:tcPr>
          <w:p w14:paraId="34983389">
            <w:pPr>
              <w:keepNext w:val="0"/>
              <w:keepLines w:val="0"/>
              <w:pageBreakBefore w:val="0"/>
              <w:widowControl/>
              <w:kinsoku/>
              <w:wordWrap/>
              <w:overflowPunct/>
              <w:topLinePunct w:val="0"/>
              <w:autoSpaceDE/>
              <w:autoSpaceDN/>
              <w:bidi w:val="0"/>
              <w:adjustRightInd/>
              <w:snapToGrid/>
              <w:spacing w:line="420" w:lineRule="exact"/>
              <w:ind w:firstLine="12" w:firstLineChars="6"/>
              <w:jc w:val="both"/>
              <w:textAlignment w:val="auto"/>
              <w:rPr>
                <w:rFonts w:hint="eastAsia" w:ascii="宋体" w:hAnsi="宋体" w:eastAsia="宋体" w:cs="宋体"/>
                <w:color w:val="000000"/>
                <w:sz w:val="21"/>
                <w:szCs w:val="21"/>
                <w:highlight w:val="none"/>
                <w:lang w:eastAsia="zh-CN" w:bidi="ar"/>
              </w:rPr>
            </w:pPr>
            <w:r>
              <w:rPr>
                <w:rFonts w:hint="eastAsia" w:ascii="宋体" w:hAnsi="宋体" w:eastAsia="宋体" w:cs="宋体"/>
                <w:color w:val="000000"/>
                <w:sz w:val="21"/>
                <w:szCs w:val="21"/>
                <w:highlight w:val="none"/>
                <w:lang w:eastAsia="zh-CN" w:bidi="ar"/>
              </w:rPr>
              <w:t>1</w:t>
            </w:r>
            <w:r>
              <w:rPr>
                <w:rFonts w:hint="eastAsia" w:ascii="宋体" w:hAnsi="宋体" w:eastAsia="宋体" w:cs="宋体"/>
                <w:color w:val="000000"/>
                <w:sz w:val="21"/>
                <w:szCs w:val="21"/>
                <w:highlight w:val="none"/>
                <w:lang w:val="en-US" w:eastAsia="zh-CN" w:bidi="ar"/>
              </w:rPr>
              <w:t>.</w:t>
            </w:r>
            <w:r>
              <w:rPr>
                <w:rFonts w:hint="eastAsia" w:ascii="宋体" w:hAnsi="宋体" w:eastAsia="宋体" w:cs="宋体"/>
                <w:color w:val="000000"/>
                <w:sz w:val="21"/>
                <w:szCs w:val="21"/>
                <w:highlight w:val="none"/>
                <w:lang w:eastAsia="zh-CN" w:bidi="ar"/>
              </w:rPr>
              <w:t>签订合同时间：自中标通知书发出之日25日内。</w:t>
            </w:r>
          </w:p>
          <w:p w14:paraId="045A990B">
            <w:pPr>
              <w:keepNext w:val="0"/>
              <w:keepLines w:val="0"/>
              <w:pageBreakBefore w:val="0"/>
              <w:widowControl/>
              <w:kinsoku/>
              <w:wordWrap/>
              <w:overflowPunct/>
              <w:topLinePunct w:val="0"/>
              <w:autoSpaceDE/>
              <w:autoSpaceDN/>
              <w:bidi w:val="0"/>
              <w:adjustRightInd/>
              <w:snapToGrid/>
              <w:spacing w:line="420" w:lineRule="exact"/>
              <w:ind w:firstLine="12" w:firstLineChars="6"/>
              <w:jc w:val="both"/>
              <w:textAlignment w:val="auto"/>
              <w:rPr>
                <w:rFonts w:hint="eastAsia" w:ascii="宋体" w:hAnsi="宋体" w:eastAsia="宋体" w:cs="宋体"/>
                <w:b w:val="0"/>
                <w:bCs w:val="0"/>
                <w:color w:val="000000"/>
                <w:sz w:val="21"/>
                <w:szCs w:val="21"/>
                <w:highlight w:val="none"/>
              </w:rPr>
            </w:pPr>
            <w:r>
              <w:rPr>
                <w:rFonts w:hint="eastAsia" w:ascii="宋体" w:hAnsi="宋体" w:eastAsia="宋体" w:cs="宋体"/>
                <w:color w:val="000000"/>
                <w:sz w:val="21"/>
                <w:szCs w:val="21"/>
                <w:highlight w:val="none"/>
                <w:lang w:eastAsia="zh-CN" w:bidi="ar"/>
              </w:rPr>
              <w:t>2</w:t>
            </w:r>
            <w:r>
              <w:rPr>
                <w:rFonts w:hint="eastAsia" w:ascii="宋体" w:hAnsi="宋体" w:eastAsia="宋体" w:cs="宋体"/>
                <w:color w:val="000000"/>
                <w:sz w:val="21"/>
                <w:szCs w:val="21"/>
                <w:highlight w:val="none"/>
                <w:lang w:val="en-US" w:eastAsia="zh-CN" w:bidi="ar"/>
              </w:rPr>
              <w:t>.</w:t>
            </w:r>
            <w:r>
              <w:rPr>
                <w:rFonts w:hint="eastAsia" w:ascii="宋体" w:hAnsi="宋体" w:eastAsia="宋体" w:cs="宋体"/>
                <w:color w:val="000000"/>
                <w:sz w:val="21"/>
                <w:szCs w:val="21"/>
                <w:highlight w:val="none"/>
                <w:lang w:eastAsia="zh-CN" w:bidi="ar"/>
              </w:rPr>
              <w:t>签订合同地点：广西壮族自治区南溪山医院（广西壮族自治区第二人民医院）指定地点。</w:t>
            </w:r>
          </w:p>
        </w:tc>
      </w:tr>
      <w:tr w14:paraId="76C7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1BE4FEB9">
            <w:pPr>
              <w:adjustRightInd w:val="0"/>
              <w:snapToGrid w:val="0"/>
              <w:spacing w:line="360" w:lineRule="auto"/>
              <w:jc w:val="center"/>
              <w:outlineLvl w:val="3"/>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Cs w:val="21"/>
                <w:highlight w:val="none"/>
              </w:rPr>
              <w:t>交付时间及地点</w:t>
            </w:r>
          </w:p>
        </w:tc>
        <w:tc>
          <w:tcPr>
            <w:tcW w:w="7612" w:type="dxa"/>
            <w:tcBorders>
              <w:top w:val="single" w:color="auto" w:sz="4" w:space="0"/>
              <w:left w:val="single" w:color="auto" w:sz="4" w:space="0"/>
              <w:bottom w:val="single" w:color="auto" w:sz="4" w:space="0"/>
              <w:right w:val="single" w:color="auto" w:sz="4" w:space="0"/>
            </w:tcBorders>
            <w:noWrap w:val="0"/>
            <w:vAlign w:val="center"/>
          </w:tcPr>
          <w:p w14:paraId="50FE7320">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lang w:val="en-US" w:eastAsia="zh-CN"/>
              </w:rPr>
              <w:t>1.</w:t>
            </w:r>
            <w:r>
              <w:rPr>
                <w:rFonts w:hint="eastAsia" w:ascii="Times New Roman" w:hAnsi="Times New Roman" w:cs="宋体"/>
                <w:color w:val="000000"/>
                <w:szCs w:val="21"/>
                <w:highlight w:val="none"/>
              </w:rPr>
              <w:t>交付时间：自签订合同之日起</w:t>
            </w:r>
            <w:r>
              <w:rPr>
                <w:rFonts w:hint="eastAsia" w:ascii="Times New Roman" w:hAnsi="Times New Roman" w:cs="宋体"/>
                <w:color w:val="000000"/>
                <w:szCs w:val="21"/>
                <w:highlight w:val="none"/>
                <w:lang w:val="en-US" w:eastAsia="zh-CN"/>
              </w:rPr>
              <w:t>9</w:t>
            </w:r>
            <w:r>
              <w:rPr>
                <w:rFonts w:hint="eastAsia" w:ascii="Times New Roman" w:hAnsi="Times New Roman" w:cs="宋体"/>
                <w:color w:val="000000"/>
                <w:szCs w:val="21"/>
                <w:highlight w:val="none"/>
              </w:rPr>
              <w:t>0个日历日内完成安装及调试工作</w:t>
            </w:r>
            <w:r>
              <w:rPr>
                <w:rFonts w:hint="eastAsia" w:ascii="宋体" w:hAnsi="宋体" w:eastAsia="宋体" w:cs="宋体"/>
                <w:color w:val="000000"/>
                <w:sz w:val="21"/>
                <w:szCs w:val="21"/>
                <w:highlight w:val="none"/>
              </w:rPr>
              <w:t>并交付使用</w:t>
            </w:r>
            <w:r>
              <w:rPr>
                <w:rFonts w:hint="eastAsia" w:ascii="Times New Roman" w:hAnsi="Times New Roman" w:cs="宋体"/>
                <w:color w:val="000000"/>
                <w:szCs w:val="21"/>
                <w:highlight w:val="none"/>
              </w:rPr>
              <w:t>。</w:t>
            </w:r>
          </w:p>
          <w:p w14:paraId="33B78B30">
            <w:pPr>
              <w:adjustRightInd w:val="0"/>
              <w:snapToGrid w:val="0"/>
              <w:spacing w:line="360" w:lineRule="auto"/>
              <w:jc w:val="left"/>
              <w:outlineLvl w:val="3"/>
              <w:rPr>
                <w:rFonts w:hint="eastAsia" w:ascii="宋体" w:hAnsi="宋体" w:eastAsia="宋体" w:cs="宋体"/>
                <w:b w:val="0"/>
                <w:bCs w:val="0"/>
                <w:color w:val="000000"/>
                <w:kern w:val="2"/>
                <w:sz w:val="21"/>
                <w:szCs w:val="21"/>
                <w:highlight w:val="none"/>
                <w:lang w:val="en-US" w:eastAsia="zh-CN" w:bidi="ar-SA"/>
              </w:rPr>
            </w:pPr>
            <w:r>
              <w:rPr>
                <w:rFonts w:hint="eastAsia" w:ascii="Times New Roman" w:hAnsi="Times New Roman" w:cs="宋体"/>
                <w:color w:val="000000"/>
                <w:szCs w:val="21"/>
                <w:highlight w:val="none"/>
                <w:lang w:val="en-US" w:eastAsia="zh-CN"/>
              </w:rPr>
              <w:t>2.</w:t>
            </w:r>
            <w:r>
              <w:rPr>
                <w:rFonts w:hint="eastAsia" w:ascii="Times New Roman" w:hAnsi="Times New Roman" w:cs="宋体"/>
                <w:color w:val="000000"/>
                <w:szCs w:val="21"/>
                <w:highlight w:val="none"/>
              </w:rPr>
              <w:t>交付地点：</w:t>
            </w:r>
            <w:r>
              <w:rPr>
                <w:rFonts w:hint="eastAsia" w:ascii="Times New Roman" w:hAnsi="Times New Roman" w:cs="宋体"/>
                <w:color w:val="000000"/>
                <w:szCs w:val="21"/>
                <w:highlight w:val="none"/>
                <w:lang w:eastAsia="zh-CN"/>
              </w:rPr>
              <w:t>桂林市</w:t>
            </w:r>
            <w:r>
              <w:rPr>
                <w:rFonts w:hint="eastAsia" w:ascii="Times New Roman" w:hAnsi="Times New Roman" w:cs="宋体"/>
                <w:color w:val="000000"/>
                <w:szCs w:val="21"/>
                <w:highlight w:val="none"/>
              </w:rPr>
              <w:t>采购人指定地点。</w:t>
            </w:r>
          </w:p>
        </w:tc>
      </w:tr>
      <w:tr w14:paraId="4CAE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631963A3">
            <w:pPr>
              <w:adjustRightInd w:val="0"/>
              <w:snapToGrid w:val="0"/>
              <w:spacing w:line="360" w:lineRule="auto"/>
              <w:jc w:val="center"/>
              <w:outlineLvl w:val="3"/>
              <w:rPr>
                <w:rFonts w:hint="eastAsia"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付款方式</w:t>
            </w:r>
          </w:p>
        </w:tc>
        <w:tc>
          <w:tcPr>
            <w:tcW w:w="7612" w:type="dxa"/>
            <w:tcBorders>
              <w:top w:val="single" w:color="auto" w:sz="4" w:space="0"/>
              <w:left w:val="single" w:color="auto" w:sz="4" w:space="0"/>
              <w:bottom w:val="single" w:color="auto" w:sz="4" w:space="0"/>
              <w:right w:val="single" w:color="auto" w:sz="4" w:space="0"/>
            </w:tcBorders>
            <w:noWrap w:val="0"/>
            <w:vAlign w:val="center"/>
          </w:tcPr>
          <w:p w14:paraId="31A7B64C">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1.付款进度安排：签订合同后30个工作日内，支付合同价款的30%，设备安装验收合格正常使用后30个工作日内，支付合同价款的70%。</w:t>
            </w:r>
            <w:r>
              <w:rPr>
                <w:rFonts w:hint="eastAsia" w:ascii="Times New Roman" w:hAnsi="Times New Roman" w:cs="宋体"/>
                <w:color w:val="000000"/>
                <w:szCs w:val="21"/>
                <w:highlight w:val="none"/>
                <w:lang w:val="en-US" w:eastAsia="zh-CN"/>
              </w:rPr>
              <w:t>中标供应商</w:t>
            </w:r>
            <w:r>
              <w:rPr>
                <w:rFonts w:hint="eastAsia" w:ascii="Times New Roman" w:hAnsi="Times New Roman" w:cs="宋体"/>
                <w:color w:val="000000"/>
                <w:szCs w:val="21"/>
                <w:highlight w:val="none"/>
              </w:rPr>
              <w:t>须在设备验收合格后及时向</w:t>
            </w:r>
            <w:r>
              <w:rPr>
                <w:rFonts w:hint="eastAsia" w:ascii="Times New Roman" w:hAnsi="Times New Roman" w:cs="宋体"/>
                <w:color w:val="000000"/>
                <w:szCs w:val="21"/>
                <w:highlight w:val="none"/>
                <w:lang w:val="en-US" w:eastAsia="zh-CN"/>
              </w:rPr>
              <w:t>采购人</w:t>
            </w:r>
            <w:r>
              <w:rPr>
                <w:rFonts w:hint="eastAsia" w:ascii="Times New Roman" w:hAnsi="Times New Roman" w:cs="宋体"/>
                <w:color w:val="000000"/>
                <w:szCs w:val="21"/>
                <w:highlight w:val="none"/>
              </w:rPr>
              <w:t>提供符合国家规定及</w:t>
            </w:r>
            <w:r>
              <w:rPr>
                <w:rFonts w:hint="eastAsia" w:ascii="Times New Roman" w:hAnsi="Times New Roman" w:cs="宋体"/>
                <w:color w:val="000000"/>
                <w:szCs w:val="21"/>
                <w:highlight w:val="none"/>
                <w:lang w:val="en-US" w:eastAsia="zh-CN"/>
              </w:rPr>
              <w:t>采购人</w:t>
            </w:r>
            <w:r>
              <w:rPr>
                <w:rFonts w:hint="eastAsia" w:ascii="Times New Roman" w:hAnsi="Times New Roman" w:cs="宋体"/>
                <w:color w:val="000000"/>
                <w:szCs w:val="21"/>
                <w:highlight w:val="none"/>
              </w:rPr>
              <w:t>要求的全额有效的税务发票，</w:t>
            </w:r>
            <w:r>
              <w:rPr>
                <w:rFonts w:hint="eastAsia" w:ascii="Times New Roman" w:hAnsi="Times New Roman" w:cs="宋体"/>
                <w:color w:val="000000"/>
                <w:szCs w:val="21"/>
                <w:highlight w:val="none"/>
                <w:lang w:val="en-US" w:eastAsia="zh-CN"/>
              </w:rPr>
              <w:t>采购人</w:t>
            </w:r>
            <w:r>
              <w:rPr>
                <w:rFonts w:hint="eastAsia" w:ascii="Times New Roman" w:hAnsi="Times New Roman" w:cs="宋体"/>
                <w:color w:val="000000"/>
                <w:szCs w:val="21"/>
                <w:highlight w:val="none"/>
              </w:rPr>
              <w:t>未收到发票的，有权不予支付相应款项直至</w:t>
            </w:r>
            <w:r>
              <w:rPr>
                <w:rFonts w:hint="eastAsia" w:ascii="Times New Roman" w:hAnsi="Times New Roman" w:cs="宋体"/>
                <w:color w:val="000000"/>
                <w:szCs w:val="21"/>
                <w:highlight w:val="none"/>
                <w:lang w:val="en-US" w:eastAsia="zh-CN"/>
              </w:rPr>
              <w:t>中标供应商</w:t>
            </w:r>
            <w:r>
              <w:rPr>
                <w:rFonts w:hint="eastAsia" w:ascii="Times New Roman" w:hAnsi="Times New Roman" w:cs="宋体"/>
                <w:color w:val="000000"/>
                <w:szCs w:val="21"/>
                <w:highlight w:val="none"/>
              </w:rPr>
              <w:t>提供合格发票，并不承担延迟付款责任。发票认证通过是付款的必要前提之一。</w:t>
            </w:r>
          </w:p>
          <w:p w14:paraId="4B5E38A9">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2．本合同执行中相关的一切税费均由</w:t>
            </w:r>
            <w:r>
              <w:rPr>
                <w:rFonts w:hint="eastAsia" w:ascii="Times New Roman" w:hAnsi="Times New Roman" w:cs="宋体"/>
                <w:color w:val="000000"/>
                <w:szCs w:val="21"/>
                <w:highlight w:val="none"/>
                <w:lang w:val="en-US" w:eastAsia="zh-CN"/>
              </w:rPr>
              <w:t>中标供应商</w:t>
            </w:r>
            <w:r>
              <w:rPr>
                <w:rFonts w:hint="eastAsia" w:ascii="Times New Roman" w:hAnsi="Times New Roman" w:cs="宋体"/>
                <w:color w:val="000000"/>
                <w:szCs w:val="21"/>
                <w:highlight w:val="none"/>
              </w:rPr>
              <w:t>负担。</w:t>
            </w:r>
          </w:p>
          <w:p w14:paraId="0F58710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3"/>
              <w:rPr>
                <w:rFonts w:hint="eastAsia" w:ascii="宋体" w:hAnsi="宋体" w:eastAsia="宋体" w:cs="宋体"/>
                <w:b w:val="0"/>
                <w:bCs w:val="0"/>
                <w:color w:val="000000"/>
                <w:sz w:val="21"/>
                <w:szCs w:val="21"/>
                <w:highlight w:val="none"/>
                <w:lang w:val="en-US" w:eastAsia="zh-CN"/>
              </w:rPr>
            </w:pPr>
            <w:r>
              <w:rPr>
                <w:rFonts w:hint="eastAsia" w:ascii="Times New Roman" w:hAnsi="Times New Roman" w:cs="宋体"/>
                <w:color w:val="000000"/>
                <w:szCs w:val="21"/>
                <w:highlight w:val="none"/>
                <w:lang w:val="en-US" w:eastAsia="zh-CN"/>
              </w:rPr>
              <w:t>3.</w:t>
            </w:r>
            <w:r>
              <w:rPr>
                <w:rFonts w:hint="eastAsia" w:ascii="Times New Roman" w:hAnsi="Times New Roman" w:cs="宋体"/>
                <w:color w:val="000000"/>
                <w:szCs w:val="21"/>
                <w:highlight w:val="none"/>
              </w:rPr>
              <w:t>票据要求：</w:t>
            </w:r>
            <w:r>
              <w:rPr>
                <w:rFonts w:hint="eastAsia" w:cs="宋体"/>
                <w:color w:val="000000"/>
                <w:szCs w:val="21"/>
                <w:highlight w:val="none"/>
                <w:lang w:eastAsia="zh-CN"/>
              </w:rPr>
              <w:t>中标供应商</w:t>
            </w:r>
            <w:r>
              <w:rPr>
                <w:rFonts w:hint="eastAsia" w:ascii="Times New Roman" w:hAnsi="Times New Roman" w:cs="宋体"/>
                <w:color w:val="000000"/>
                <w:szCs w:val="21"/>
                <w:highlight w:val="none"/>
              </w:rPr>
              <w:t>必须按照采购人要求提供真实、有效、合法的正式发票。一旦发现</w:t>
            </w:r>
            <w:r>
              <w:rPr>
                <w:rFonts w:hint="eastAsia" w:cs="宋体"/>
                <w:color w:val="000000"/>
                <w:szCs w:val="21"/>
                <w:highlight w:val="none"/>
                <w:lang w:eastAsia="zh-CN"/>
              </w:rPr>
              <w:t>中标供应商</w:t>
            </w:r>
            <w:r>
              <w:rPr>
                <w:rFonts w:hint="eastAsia" w:ascii="Times New Roman" w:hAnsi="Times New Roman" w:cs="宋体"/>
                <w:color w:val="000000"/>
                <w:szCs w:val="21"/>
                <w:highlight w:val="none"/>
              </w:rPr>
              <w:t>提供虚假发票，除须向采购人补开合法发票外，须赔偿采购人发票票面金额一倍的违约金，且采购人有权终止合同，供应商不得提出异议，因终止合同而产生的一切损失均由供应商承担。</w:t>
            </w:r>
          </w:p>
        </w:tc>
      </w:tr>
      <w:tr w14:paraId="2A2B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2409"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551DE7CD">
            <w:pPr>
              <w:adjustRightInd w:val="0"/>
              <w:snapToGrid w:val="0"/>
              <w:spacing w:line="360" w:lineRule="auto"/>
              <w:jc w:val="center"/>
              <w:outlineLvl w:val="3"/>
              <w:rPr>
                <w:rFonts w:hint="eastAsia" w:ascii="宋体" w:hAnsi="宋体" w:eastAsia="宋体" w:cs="宋体"/>
                <w:b/>
                <w:color w:val="000000"/>
                <w:kern w:val="0"/>
                <w:szCs w:val="21"/>
                <w:highlight w:val="none"/>
                <w:lang w:val="en-US" w:eastAsia="zh-CN"/>
              </w:rPr>
            </w:pPr>
            <w:r>
              <w:rPr>
                <w:rFonts w:hint="eastAsia" w:ascii="宋体" w:hAnsi="宋体" w:eastAsia="宋体" w:cs="宋体"/>
                <w:b/>
                <w:bCs/>
                <w:color w:val="000000"/>
                <w:szCs w:val="21"/>
                <w:highlight w:val="none"/>
                <w:lang w:val="en-US" w:eastAsia="zh-CN"/>
              </w:rPr>
              <w:t>售后服务要求</w:t>
            </w:r>
          </w:p>
        </w:tc>
        <w:tc>
          <w:tcPr>
            <w:tcW w:w="7612" w:type="dxa"/>
            <w:tcBorders>
              <w:top w:val="single" w:color="auto" w:sz="4" w:space="0"/>
              <w:left w:val="single" w:color="auto" w:sz="4" w:space="0"/>
              <w:bottom w:val="single" w:color="auto" w:sz="4" w:space="0"/>
              <w:right w:val="single" w:color="auto" w:sz="4" w:space="0"/>
            </w:tcBorders>
            <w:noWrap w:val="0"/>
            <w:vAlign w:val="center"/>
          </w:tcPr>
          <w:p w14:paraId="4F0B4B1F">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1.</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应按照国家有关法律法规规定以及</w:t>
            </w:r>
            <w:r>
              <w:rPr>
                <w:rFonts w:hint="eastAsia" w:ascii="Times New Roman" w:hAnsi="Times New Roman" w:cs="宋体"/>
                <w:color w:val="000000"/>
                <w:szCs w:val="21"/>
                <w:highlight w:val="none"/>
                <w:lang w:eastAsia="zh-CN"/>
              </w:rPr>
              <w:t>竞标</w:t>
            </w:r>
            <w:r>
              <w:rPr>
                <w:rFonts w:hint="eastAsia" w:ascii="Times New Roman" w:hAnsi="Times New Roman" w:cs="宋体"/>
                <w:color w:val="000000"/>
                <w:szCs w:val="21"/>
                <w:highlight w:val="none"/>
              </w:rPr>
              <w:t>承诺，为</w:t>
            </w:r>
            <w:r>
              <w:rPr>
                <w:rFonts w:hint="eastAsia" w:ascii="Times New Roman" w:hAnsi="Times New Roman" w:cs="宋体"/>
                <w:color w:val="000000"/>
                <w:szCs w:val="21"/>
                <w:highlight w:val="none"/>
                <w:lang w:eastAsia="zh-CN"/>
              </w:rPr>
              <w:t>采购人</w:t>
            </w:r>
            <w:r>
              <w:rPr>
                <w:rFonts w:hint="eastAsia" w:ascii="Times New Roman" w:hAnsi="Times New Roman" w:cs="宋体"/>
                <w:color w:val="000000"/>
                <w:szCs w:val="21"/>
                <w:highlight w:val="none"/>
              </w:rPr>
              <w:t>提供售后服务。</w:t>
            </w:r>
          </w:p>
          <w:p w14:paraId="083C9D80">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2.质量保修范围</w:t>
            </w:r>
            <w:r>
              <w:rPr>
                <w:rFonts w:hint="eastAsia" w:ascii="Times New Roman" w:hAnsi="Times New Roman" w:cs="宋体"/>
                <w:color w:val="000000"/>
                <w:szCs w:val="21"/>
                <w:highlight w:val="none"/>
                <w:lang w:eastAsia="zh-CN"/>
              </w:rPr>
              <w:t>：</w:t>
            </w:r>
            <w:r>
              <w:rPr>
                <w:rFonts w:hint="eastAsia" w:ascii="Times New Roman" w:hAnsi="Times New Roman" w:cs="宋体"/>
                <w:color w:val="000000"/>
                <w:szCs w:val="21"/>
                <w:highlight w:val="none"/>
              </w:rPr>
              <w:t>本项目采购范围内的所有设备。免费保修期内上门维修（维修费和元器件费包含在</w:t>
            </w:r>
            <w:r>
              <w:rPr>
                <w:rFonts w:hint="eastAsia" w:ascii="Times New Roman" w:hAnsi="Times New Roman" w:cs="宋体"/>
                <w:color w:val="000000"/>
                <w:szCs w:val="21"/>
                <w:highlight w:val="none"/>
                <w:lang w:eastAsia="zh-CN"/>
              </w:rPr>
              <w:t>响应</w:t>
            </w:r>
            <w:r>
              <w:rPr>
                <w:rFonts w:hint="eastAsia" w:ascii="Times New Roman" w:hAnsi="Times New Roman" w:cs="宋体"/>
                <w:color w:val="000000"/>
                <w:szCs w:val="21"/>
                <w:highlight w:val="none"/>
              </w:rPr>
              <w:t>报价中）、更换零部件，软件终身免费升级服务，设备生产厂家提供远程联机维护服务，能对设备进行软件升级及故障分析；</w:t>
            </w:r>
            <w:r>
              <w:rPr>
                <w:rFonts w:hint="eastAsia" w:ascii="Times New Roman" w:hAnsi="Times New Roman" w:cs="宋体"/>
                <w:strike w:val="0"/>
                <w:dstrike w:val="0"/>
                <w:color w:val="000000"/>
                <w:szCs w:val="21"/>
                <w:highlight w:val="none"/>
              </w:rPr>
              <w:t>保修期：按</w:t>
            </w:r>
            <w:r>
              <w:rPr>
                <w:rFonts w:hint="eastAsia" w:ascii="Times New Roman" w:hAnsi="Times New Roman" w:cs="宋体"/>
                <w:strike w:val="0"/>
                <w:dstrike w:val="0"/>
                <w:color w:val="000000"/>
                <w:szCs w:val="21"/>
                <w:highlight w:val="none"/>
                <w:lang w:eastAsia="zh-CN"/>
              </w:rPr>
              <w:t>中标供应商</w:t>
            </w:r>
            <w:r>
              <w:rPr>
                <w:rFonts w:hint="eastAsia" w:ascii="Times New Roman" w:hAnsi="Times New Roman" w:cs="宋体"/>
                <w:strike w:val="0"/>
                <w:dstrike w:val="0"/>
                <w:color w:val="000000"/>
                <w:szCs w:val="21"/>
                <w:highlight w:val="none"/>
              </w:rPr>
              <w:t>投标承诺（且不低于</w:t>
            </w:r>
            <w:r>
              <w:rPr>
                <w:rFonts w:hint="eastAsia" w:ascii="Times New Roman" w:hAnsi="Times New Roman" w:cs="宋体"/>
                <w:strike w:val="0"/>
                <w:dstrike w:val="0"/>
                <w:color w:val="000000"/>
                <w:szCs w:val="21"/>
                <w:highlight w:val="none"/>
                <w:lang w:eastAsia="zh-CN"/>
              </w:rPr>
              <w:t>采购人</w:t>
            </w:r>
            <w:r>
              <w:rPr>
                <w:rFonts w:hint="eastAsia" w:ascii="Times New Roman" w:hAnsi="Times New Roman" w:cs="宋体"/>
                <w:strike w:val="0"/>
                <w:dstrike w:val="0"/>
                <w:color w:val="000000"/>
                <w:szCs w:val="21"/>
                <w:highlight w:val="none"/>
              </w:rPr>
              <w:t>要求）执行</w:t>
            </w:r>
            <w:r>
              <w:rPr>
                <w:rFonts w:hint="eastAsia" w:ascii="Times New Roman" w:hAnsi="Times New Roman" w:cs="宋体"/>
                <w:color w:val="000000"/>
                <w:szCs w:val="21"/>
                <w:highlight w:val="none"/>
              </w:rPr>
              <w:t>。</w:t>
            </w:r>
          </w:p>
          <w:p w14:paraId="69E8EA9D">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3.免费保修期：按国家有关产品“三包”规定执行“三包”；</w:t>
            </w:r>
            <w:r>
              <w:rPr>
                <w:rFonts w:hint="eastAsia" w:ascii="Times New Roman" w:hAnsi="Times New Roman" w:cs="宋体"/>
                <w:color w:val="000000"/>
                <w:szCs w:val="21"/>
                <w:highlight w:val="none"/>
                <w:lang w:val="en-US" w:eastAsia="zh-CN"/>
              </w:rPr>
              <w:t>整机</w:t>
            </w:r>
            <w:r>
              <w:rPr>
                <w:rFonts w:hint="eastAsia" w:ascii="Times New Roman" w:hAnsi="Times New Roman" w:cs="宋体"/>
                <w:color w:val="000000"/>
                <w:szCs w:val="21"/>
                <w:highlight w:val="none"/>
              </w:rPr>
              <w:t>免费保修期为</w:t>
            </w:r>
            <w:r>
              <w:rPr>
                <w:rFonts w:hint="eastAsia" w:ascii="Times New Roman" w:hAnsi="Times New Roman" w:cs="宋体"/>
                <w:color w:val="000000"/>
                <w:szCs w:val="21"/>
                <w:highlight w:val="none"/>
                <w:u w:val="single"/>
              </w:rPr>
              <w:t xml:space="preserve"> </w:t>
            </w:r>
            <w:r>
              <w:rPr>
                <w:rFonts w:hint="eastAsia" w:ascii="Times New Roman" w:hAnsi="Times New Roman" w:cs="宋体"/>
                <w:color w:val="000000"/>
                <w:szCs w:val="21"/>
                <w:highlight w:val="none"/>
                <w:u w:val="single"/>
                <w:lang w:val="en-US" w:eastAsia="zh-CN"/>
              </w:rPr>
              <w:t xml:space="preserve">5 </w:t>
            </w:r>
            <w:r>
              <w:rPr>
                <w:rFonts w:hint="eastAsia" w:ascii="Times New Roman" w:hAnsi="Times New Roman" w:cs="宋体"/>
                <w:color w:val="000000"/>
                <w:szCs w:val="21"/>
                <w:highlight w:val="none"/>
              </w:rPr>
              <w:t>年（免费保修期从设备验收合格之日起计算），免费保修期内上门维修不收取任何费用</w:t>
            </w:r>
            <w:r>
              <w:rPr>
                <w:rFonts w:hint="eastAsia" w:ascii="Times New Roman" w:hAnsi="Times New Roman" w:cs="宋体"/>
                <w:color w:val="000000"/>
                <w:szCs w:val="21"/>
                <w:highlight w:val="none"/>
                <w:lang w:eastAsia="zh-CN"/>
              </w:rPr>
              <w:t>，</w:t>
            </w:r>
            <w:r>
              <w:rPr>
                <w:rFonts w:hint="eastAsia" w:ascii="Times New Roman" w:hAnsi="Times New Roman" w:cs="宋体"/>
                <w:color w:val="000000"/>
                <w:szCs w:val="21"/>
                <w:highlight w:val="none"/>
                <w:lang w:val="en-US" w:eastAsia="zh-CN"/>
              </w:rPr>
              <w:t>不提供备用机</w:t>
            </w:r>
            <w:r>
              <w:rPr>
                <w:rFonts w:hint="eastAsia" w:ascii="Times New Roman" w:hAnsi="Times New Roman" w:cs="宋体"/>
                <w:color w:val="000000"/>
                <w:szCs w:val="21"/>
                <w:highlight w:val="none"/>
              </w:rPr>
              <w:t>。</w:t>
            </w:r>
          </w:p>
          <w:p w14:paraId="6154B54E">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4.在免费保修期内因货物本身的质量问题发生故障，</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应负责免费修理和更换零部件。对达不到技术要求者，根据实际情况，</w:t>
            </w:r>
            <w:r>
              <w:rPr>
                <w:rFonts w:hint="eastAsia" w:ascii="Times New Roman" w:hAnsi="Times New Roman" w:cs="宋体"/>
                <w:color w:val="000000"/>
                <w:szCs w:val="21"/>
                <w:highlight w:val="none"/>
                <w:lang w:val="en-US" w:eastAsia="zh-CN"/>
              </w:rPr>
              <w:t>采购人有权</w:t>
            </w:r>
            <w:r>
              <w:rPr>
                <w:rFonts w:hint="eastAsia" w:ascii="Times New Roman" w:hAnsi="Times New Roman" w:cs="宋体"/>
                <w:color w:val="000000"/>
                <w:szCs w:val="21"/>
                <w:highlight w:val="none"/>
              </w:rPr>
              <w:t>按以下办法处理：</w:t>
            </w:r>
          </w:p>
          <w:p w14:paraId="6D852EDD">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（1）更换：由</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承担所发生的全部费用。</w:t>
            </w:r>
          </w:p>
          <w:p w14:paraId="2989C328">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（2）贬值处理：由</w:t>
            </w:r>
            <w:r>
              <w:rPr>
                <w:rFonts w:hint="eastAsia" w:ascii="Times New Roman" w:hAnsi="Times New Roman" w:cs="宋体"/>
                <w:color w:val="000000"/>
                <w:szCs w:val="21"/>
                <w:highlight w:val="none"/>
                <w:lang w:eastAsia="zh-CN"/>
              </w:rPr>
              <w:t>中标供应商和</w:t>
            </w:r>
            <w:r>
              <w:rPr>
                <w:rFonts w:hint="eastAsia" w:ascii="Times New Roman" w:hAnsi="Times New Roman" w:cs="宋体"/>
                <w:color w:val="000000"/>
                <w:szCs w:val="21"/>
                <w:highlight w:val="none"/>
                <w:lang w:val="en-US" w:eastAsia="zh-CN"/>
              </w:rPr>
              <w:t>采购人</w:t>
            </w:r>
            <w:r>
              <w:rPr>
                <w:rFonts w:hint="eastAsia" w:ascii="Times New Roman" w:hAnsi="Times New Roman" w:cs="宋体"/>
                <w:color w:val="000000"/>
                <w:szCs w:val="21"/>
                <w:highlight w:val="none"/>
              </w:rPr>
              <w:t>双方合议定价。</w:t>
            </w:r>
          </w:p>
          <w:p w14:paraId="7BA795FB">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（3）退货处理：</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应退还</w:t>
            </w:r>
            <w:r>
              <w:rPr>
                <w:rFonts w:hint="eastAsia" w:ascii="Times New Roman" w:hAnsi="Times New Roman" w:cs="宋体"/>
                <w:color w:val="000000"/>
                <w:szCs w:val="21"/>
                <w:highlight w:val="none"/>
                <w:lang w:val="en-US" w:eastAsia="zh-CN"/>
              </w:rPr>
              <w:t>采购人</w:t>
            </w:r>
            <w:r>
              <w:rPr>
                <w:rFonts w:hint="eastAsia" w:ascii="Times New Roman" w:hAnsi="Times New Roman" w:cs="宋体"/>
                <w:color w:val="000000"/>
                <w:szCs w:val="21"/>
                <w:highlight w:val="none"/>
              </w:rPr>
              <w:t>支付的合同款，同时应承担该货物的直接费用（运输、保险、检验、货款利息及银行手续费等）。</w:t>
            </w:r>
          </w:p>
          <w:p w14:paraId="6A08F062">
            <w:pPr>
              <w:spacing w:line="400" w:lineRule="exact"/>
              <w:rPr>
                <w:rFonts w:hint="eastAsia" w:ascii="Times New Roman" w:hAnsi="Times New Roman" w:cs="宋体"/>
                <w:color w:val="000000"/>
                <w:szCs w:val="21"/>
                <w:highlight w:val="none"/>
                <w:lang w:eastAsia="zh-CN"/>
              </w:rPr>
            </w:pPr>
            <w:r>
              <w:rPr>
                <w:rFonts w:hint="eastAsia" w:ascii="Times New Roman" w:hAnsi="Times New Roman" w:cs="宋体"/>
                <w:color w:val="000000"/>
                <w:szCs w:val="21"/>
                <w:highlight w:val="none"/>
                <w:lang w:eastAsia="zh-CN"/>
              </w:rPr>
              <w:t>5</w:t>
            </w:r>
            <w:r>
              <w:rPr>
                <w:rFonts w:hint="eastAsia" w:ascii="Times New Roman" w:hAnsi="Times New Roman" w:cs="宋体"/>
                <w:color w:val="000000"/>
                <w:szCs w:val="21"/>
                <w:highlight w:val="none"/>
              </w:rPr>
              <w:t>.如在使用过程中发生质量问题，</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在接到</w:t>
            </w:r>
            <w:r>
              <w:rPr>
                <w:rFonts w:hint="eastAsia" w:ascii="Times New Roman" w:hAnsi="Times New Roman" w:cs="宋体"/>
                <w:color w:val="000000"/>
                <w:szCs w:val="21"/>
                <w:highlight w:val="none"/>
                <w:lang w:val="en-US" w:eastAsia="zh-CN"/>
              </w:rPr>
              <w:t>采购人</w:t>
            </w:r>
            <w:r>
              <w:rPr>
                <w:rFonts w:hint="eastAsia" w:ascii="Times New Roman" w:hAnsi="Times New Roman" w:cs="宋体"/>
                <w:color w:val="000000"/>
                <w:szCs w:val="21"/>
                <w:highlight w:val="none"/>
              </w:rPr>
              <w:t>通知后</w:t>
            </w:r>
            <w:r>
              <w:rPr>
                <w:rFonts w:hint="eastAsia" w:ascii="Times New Roman" w:hAnsi="Times New Roman" w:cs="宋体"/>
                <w:color w:val="000000"/>
                <w:szCs w:val="21"/>
                <w:highlight w:val="none"/>
                <w:u w:val="single"/>
                <w:lang w:val="en-US" w:eastAsia="zh-CN"/>
              </w:rPr>
              <w:t xml:space="preserve"> 半 </w:t>
            </w:r>
            <w:r>
              <w:rPr>
                <w:rFonts w:hint="eastAsia" w:ascii="Times New Roman" w:hAnsi="Times New Roman" w:cs="宋体"/>
                <w:color w:val="000000"/>
                <w:szCs w:val="21"/>
                <w:highlight w:val="none"/>
              </w:rPr>
              <w:t>小时内响应，</w:t>
            </w:r>
            <w:r>
              <w:rPr>
                <w:rFonts w:hint="eastAsia" w:ascii="Times New Roman" w:hAnsi="Times New Roman" w:cs="宋体"/>
                <w:color w:val="000000"/>
                <w:szCs w:val="21"/>
                <w:highlight w:val="none"/>
                <w:u w:val="single"/>
                <w:lang w:val="en-US" w:eastAsia="zh-CN"/>
              </w:rPr>
              <w:t xml:space="preserve"> 12 </w:t>
            </w:r>
            <w:r>
              <w:rPr>
                <w:rFonts w:hint="eastAsia" w:ascii="Times New Roman" w:hAnsi="Times New Roman" w:cs="宋体"/>
                <w:color w:val="000000"/>
                <w:szCs w:val="21"/>
                <w:highlight w:val="none"/>
              </w:rPr>
              <w:t>小时内到达现场进行处理，到达现场后</w:t>
            </w:r>
            <w:r>
              <w:rPr>
                <w:rFonts w:hint="eastAsia" w:ascii="Times New Roman" w:hAnsi="Times New Roman" w:cs="宋体"/>
                <w:color w:val="000000"/>
                <w:szCs w:val="21"/>
                <w:highlight w:val="none"/>
                <w:u w:val="single"/>
                <w:lang w:val="en-US" w:eastAsia="zh-CN"/>
              </w:rPr>
              <w:t xml:space="preserve"> 24 </w:t>
            </w:r>
            <w:r>
              <w:rPr>
                <w:rFonts w:hint="eastAsia" w:ascii="Times New Roman" w:hAnsi="Times New Roman" w:cs="宋体"/>
                <w:color w:val="000000"/>
                <w:szCs w:val="21"/>
                <w:highlight w:val="none"/>
              </w:rPr>
              <w:t>小时内排除故障，恢复正常使用。</w:t>
            </w:r>
            <w:r>
              <w:rPr>
                <w:rFonts w:hint="eastAsia" w:ascii="Times New Roman" w:hAnsi="Times New Roman" w:cs="宋体"/>
                <w:color w:val="000000"/>
                <w:szCs w:val="21"/>
                <w:highlight w:val="none"/>
                <w:u w:val="single"/>
                <w:lang w:val="en-US" w:eastAsia="zh-CN"/>
              </w:rPr>
              <w:t>如果在36</w:t>
            </w:r>
            <w:r>
              <w:rPr>
                <w:rFonts w:hint="eastAsia" w:ascii="Times New Roman" w:hAnsi="Times New Roman" w:cs="宋体"/>
                <w:color w:val="000000"/>
                <w:szCs w:val="21"/>
                <w:highlight w:val="none"/>
              </w:rPr>
              <w:t>小时内</w:t>
            </w:r>
            <w:r>
              <w:rPr>
                <w:rFonts w:hint="eastAsia" w:ascii="Times New Roman" w:hAnsi="Times New Roman" w:cs="宋体"/>
                <w:color w:val="000000"/>
                <w:szCs w:val="21"/>
                <w:highlight w:val="none"/>
                <w:lang w:val="en-US" w:eastAsia="zh-CN"/>
              </w:rPr>
              <w:t>无法解决</w:t>
            </w:r>
            <w:r>
              <w:rPr>
                <w:rFonts w:hint="eastAsia" w:ascii="Times New Roman" w:hAnsi="Times New Roman" w:cs="宋体"/>
                <w:color w:val="000000"/>
                <w:szCs w:val="21"/>
                <w:highlight w:val="none"/>
              </w:rPr>
              <w:t>故障，</w:t>
            </w:r>
            <w:r>
              <w:rPr>
                <w:rFonts w:hint="eastAsia" w:ascii="Times New Roman" w:hAnsi="Times New Roman" w:eastAsia="宋体" w:cs="宋体"/>
                <w:color w:val="000000"/>
                <w:szCs w:val="21"/>
                <w:highlight w:val="none"/>
                <w:lang w:val="en-US" w:eastAsia="zh-CN"/>
              </w:rPr>
              <w:t>不提</w:t>
            </w:r>
            <w:r>
              <w:rPr>
                <w:rFonts w:hint="eastAsia" w:ascii="Times New Roman" w:hAnsi="Times New Roman" w:cs="宋体"/>
                <w:color w:val="000000"/>
                <w:szCs w:val="21"/>
                <w:highlight w:val="none"/>
                <w:lang w:val="en-US" w:eastAsia="zh-CN"/>
              </w:rPr>
              <w:t>供备用机。</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lang w:val="en-US" w:eastAsia="zh-CN"/>
              </w:rPr>
              <w:t>逾期响应、到达现场、排除故障或者无法排除故障的，采购人有权自行或寻找第三方机构获得维修、维护等售后服务，全部费用由</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lang w:val="en-US" w:eastAsia="zh-CN"/>
              </w:rPr>
              <w:t>承担，且无需经过</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lang w:val="en-US" w:eastAsia="zh-CN"/>
              </w:rPr>
              <w:t>同意、确认。</w:t>
            </w:r>
          </w:p>
          <w:p w14:paraId="45BD600D">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lang w:eastAsia="zh-CN"/>
              </w:rPr>
              <w:t>6</w:t>
            </w:r>
            <w:r>
              <w:rPr>
                <w:rFonts w:hint="eastAsia" w:ascii="Times New Roman" w:hAnsi="Times New Roman" w:cs="宋体"/>
                <w:color w:val="000000"/>
                <w:szCs w:val="21"/>
                <w:highlight w:val="none"/>
              </w:rPr>
              <w:t>.在</w:t>
            </w:r>
            <w:r>
              <w:rPr>
                <w:rFonts w:hint="eastAsia" w:ascii="Times New Roman" w:hAnsi="Times New Roman" w:cs="宋体"/>
                <w:color w:val="000000"/>
                <w:szCs w:val="21"/>
                <w:highlight w:val="none"/>
                <w:lang w:eastAsia="zh-CN"/>
              </w:rPr>
              <w:t>免费保修期</w:t>
            </w:r>
            <w:r>
              <w:rPr>
                <w:rFonts w:hint="eastAsia" w:ascii="Times New Roman" w:hAnsi="Times New Roman" w:cs="宋体"/>
                <w:color w:val="000000"/>
                <w:szCs w:val="21"/>
                <w:highlight w:val="none"/>
              </w:rPr>
              <w:t>内，</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应对货物出现的质量及安全问题负责处理解决并承担一切费用。</w:t>
            </w:r>
          </w:p>
          <w:p w14:paraId="048B8772">
            <w:pPr>
              <w:spacing w:line="400" w:lineRule="exact"/>
              <w:rPr>
                <w:rFonts w:hint="eastAsia" w:ascii="Times New Roman" w:hAnsi="Times New Roman" w:cs="宋体"/>
                <w:color w:val="000000"/>
                <w:szCs w:val="21"/>
                <w:highlight w:val="none"/>
                <w:lang w:eastAsia="zh-CN"/>
              </w:rPr>
            </w:pPr>
            <w:r>
              <w:rPr>
                <w:rFonts w:hint="eastAsia" w:ascii="Times New Roman" w:hAnsi="Times New Roman" w:cs="宋体"/>
                <w:color w:val="000000"/>
                <w:szCs w:val="21"/>
                <w:highlight w:val="none"/>
                <w:lang w:eastAsia="zh-CN"/>
              </w:rPr>
              <w:t>7</w:t>
            </w:r>
            <w:r>
              <w:rPr>
                <w:rFonts w:hint="eastAsia" w:ascii="Times New Roman" w:hAnsi="Times New Roman" w:cs="宋体"/>
                <w:color w:val="000000"/>
                <w:szCs w:val="21"/>
                <w:highlight w:val="none"/>
              </w:rPr>
              <w:t>.</w:t>
            </w:r>
            <w:r>
              <w:rPr>
                <w:rFonts w:hint="eastAsia" w:ascii="Times New Roman" w:hAnsi="Times New Roman" w:cs="宋体"/>
                <w:color w:val="000000"/>
                <w:szCs w:val="21"/>
                <w:highlight w:val="none"/>
                <w:lang w:eastAsia="zh-CN"/>
              </w:rPr>
              <w:t>本项目采购范围内的</w:t>
            </w:r>
            <w:r>
              <w:rPr>
                <w:rFonts w:hint="eastAsia" w:ascii="Times New Roman" w:hAnsi="Times New Roman" w:cs="宋体"/>
                <w:color w:val="000000"/>
                <w:szCs w:val="21"/>
                <w:highlight w:val="none"/>
              </w:rPr>
              <w:t>货物因人为因素出现的故障不在免费保修范围内。超过</w:t>
            </w:r>
            <w:r>
              <w:rPr>
                <w:rFonts w:hint="eastAsia" w:ascii="Times New Roman" w:hAnsi="Times New Roman" w:cs="宋体"/>
                <w:color w:val="000000"/>
                <w:szCs w:val="21"/>
                <w:highlight w:val="none"/>
                <w:lang w:eastAsia="zh-CN"/>
              </w:rPr>
              <w:t>免费保修期</w:t>
            </w:r>
            <w:r>
              <w:rPr>
                <w:rFonts w:hint="eastAsia" w:ascii="Times New Roman" w:hAnsi="Times New Roman" w:cs="宋体"/>
                <w:color w:val="000000"/>
                <w:szCs w:val="21"/>
                <w:highlight w:val="none"/>
              </w:rPr>
              <w:t>的机器设备，</w:t>
            </w:r>
            <w:r>
              <w:rPr>
                <w:rFonts w:hint="eastAsia" w:ascii="Times New Roman" w:hAnsi="Times New Roman" w:cs="宋体"/>
                <w:color w:val="000000"/>
                <w:szCs w:val="21"/>
                <w:highlight w:val="none"/>
                <w:lang w:eastAsia="zh-CN"/>
              </w:rPr>
              <w:t>提供</w:t>
            </w:r>
            <w:r>
              <w:rPr>
                <w:rFonts w:hint="eastAsia" w:ascii="Times New Roman" w:hAnsi="Times New Roman" w:cs="宋体"/>
                <w:color w:val="000000"/>
                <w:szCs w:val="21"/>
                <w:highlight w:val="none"/>
              </w:rPr>
              <w:t>终生维修</w:t>
            </w:r>
            <w:r>
              <w:rPr>
                <w:rFonts w:hint="eastAsia" w:ascii="Times New Roman" w:hAnsi="Times New Roman" w:cs="宋体"/>
                <w:color w:val="000000"/>
                <w:szCs w:val="21"/>
                <w:highlight w:val="none"/>
                <w:lang w:eastAsia="zh-CN"/>
              </w:rPr>
              <w:t>服务，中标供应商</w:t>
            </w:r>
            <w:r>
              <w:rPr>
                <w:rFonts w:hint="eastAsia" w:ascii="Times New Roman" w:hAnsi="Times New Roman" w:cs="宋体"/>
                <w:color w:val="000000"/>
                <w:szCs w:val="21"/>
                <w:highlight w:val="none"/>
                <w:lang w:val="en-US" w:eastAsia="zh-CN"/>
              </w:rPr>
              <w:t>仅收取合理成本</w:t>
            </w:r>
            <w:r>
              <w:rPr>
                <w:rFonts w:hint="eastAsia" w:ascii="Times New Roman" w:hAnsi="Times New Roman" w:cs="宋体"/>
                <w:color w:val="000000"/>
                <w:szCs w:val="21"/>
                <w:highlight w:val="none"/>
              </w:rPr>
              <w:t>。</w:t>
            </w:r>
          </w:p>
          <w:p w14:paraId="51AB2C3C">
            <w:pPr>
              <w:spacing w:line="400" w:lineRule="exact"/>
              <w:rPr>
                <w:rFonts w:hint="eastAsia" w:ascii="Times New Roman" w:hAnsi="Times New Roman" w:cs="宋体"/>
                <w:color w:val="000000"/>
                <w:szCs w:val="21"/>
                <w:highlight w:val="none"/>
              </w:rPr>
            </w:pPr>
            <w:r>
              <w:rPr>
                <w:rFonts w:hint="eastAsia" w:ascii="Times New Roman" w:hAnsi="Times New Roman" w:cs="宋体"/>
                <w:color w:val="000000"/>
                <w:szCs w:val="21"/>
                <w:highlight w:val="none"/>
              </w:rPr>
              <w:t>8.</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提供的货物在免费保修期内，因设计、工艺或材料的缺陷和其它质量原因造成的问题，由</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负责，费用从最后一笔支付的合同价款当中扣除，不足以扣除的，由</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另行支付。</w:t>
            </w:r>
          </w:p>
          <w:p w14:paraId="693DEA18">
            <w:pPr>
              <w:spacing w:line="400" w:lineRule="exact"/>
              <w:rPr>
                <w:rFonts w:hint="eastAsia" w:ascii="Times New Roman" w:hAnsi="Times New Roman" w:eastAsia="宋体" w:cs="宋体"/>
                <w:color w:val="000000"/>
                <w:kern w:val="2"/>
                <w:sz w:val="21"/>
                <w:szCs w:val="21"/>
                <w:highlight w:val="none"/>
                <w:lang w:val="en-US" w:eastAsia="zh-CN" w:bidi="ar-SA"/>
              </w:rPr>
            </w:pPr>
            <w:r>
              <w:rPr>
                <w:rFonts w:hint="eastAsia" w:ascii="Times New Roman" w:hAnsi="Times New Roman" w:cs="宋体"/>
                <w:color w:val="000000"/>
                <w:szCs w:val="21"/>
                <w:highlight w:val="none"/>
              </w:rPr>
              <w:t>9.</w:t>
            </w:r>
            <w:r>
              <w:rPr>
                <w:rFonts w:hint="eastAsia" w:ascii="Times New Roman" w:hAnsi="Times New Roman" w:cs="宋体"/>
                <w:color w:val="000000"/>
                <w:szCs w:val="21"/>
                <w:highlight w:val="none"/>
                <w:lang w:eastAsia="zh-CN"/>
              </w:rPr>
              <w:t>中标供应商</w:t>
            </w:r>
            <w:r>
              <w:rPr>
                <w:rFonts w:hint="eastAsia" w:ascii="Times New Roman" w:hAnsi="Times New Roman" w:cs="宋体"/>
                <w:color w:val="000000"/>
                <w:szCs w:val="21"/>
                <w:highlight w:val="none"/>
              </w:rPr>
              <w:t>提供的服务承诺和售后服务及免费保修期责任等其它具体约定事项。</w:t>
            </w:r>
          </w:p>
        </w:tc>
      </w:tr>
      <w:tr w14:paraId="0523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543"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7C6AA1DF">
            <w:pPr>
              <w:adjustRightInd w:val="0"/>
              <w:snapToGrid w:val="0"/>
              <w:spacing w:line="360" w:lineRule="auto"/>
              <w:jc w:val="center"/>
              <w:outlineLvl w:val="3"/>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bCs/>
                <w:color w:val="000000"/>
                <w:szCs w:val="21"/>
                <w:highlight w:val="none"/>
              </w:rPr>
              <w:t>验收要求</w:t>
            </w:r>
          </w:p>
        </w:tc>
        <w:tc>
          <w:tcPr>
            <w:tcW w:w="7612" w:type="dxa"/>
            <w:tcBorders>
              <w:top w:val="single" w:color="auto" w:sz="4" w:space="0"/>
              <w:left w:val="single" w:color="auto" w:sz="4" w:space="0"/>
              <w:bottom w:val="single" w:color="auto" w:sz="4" w:space="0"/>
              <w:right w:val="single" w:color="auto" w:sz="4" w:space="0"/>
            </w:tcBorders>
            <w:noWrap w:val="0"/>
            <w:vAlign w:val="center"/>
          </w:tcPr>
          <w:p w14:paraId="09617453">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（1）初步验收：</w:t>
            </w:r>
          </w:p>
          <w:p w14:paraId="28DC1D0D">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标的在规定的时间内到货，标的（含包装）完整、完好，与</w:t>
            </w:r>
            <w:r>
              <w:rPr>
                <w:rFonts w:hint="eastAsia" w:ascii="宋体" w:hAnsi="宋体" w:eastAsia="宋体" w:cs="宋体"/>
                <w:bCs/>
                <w:color w:val="000000"/>
                <w:sz w:val="21"/>
                <w:szCs w:val="21"/>
                <w:highlight w:val="none"/>
                <w:lang w:eastAsia="zh-CN"/>
              </w:rPr>
              <w:t>投标</w:t>
            </w:r>
            <w:r>
              <w:rPr>
                <w:rFonts w:hint="eastAsia" w:ascii="宋体" w:hAnsi="宋体" w:eastAsia="宋体" w:cs="宋体"/>
                <w:bCs/>
                <w:color w:val="000000"/>
                <w:sz w:val="21"/>
                <w:szCs w:val="21"/>
                <w:highlight w:val="none"/>
              </w:rPr>
              <w:t>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采购人在初步验收后七个工作日内以书面形式向</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提出，</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应自收到采购人书面异议后七个工作日内及时予以解决，否则，视为初步验收不合格，不予进行交付验收。</w:t>
            </w:r>
          </w:p>
          <w:p w14:paraId="1AA3E579">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（2）交付验收：</w:t>
            </w:r>
          </w:p>
          <w:p w14:paraId="760542AE">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标的的技术指标与</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的</w:t>
            </w:r>
            <w:r>
              <w:rPr>
                <w:rFonts w:hint="eastAsia" w:ascii="宋体" w:hAnsi="宋体" w:eastAsia="宋体" w:cs="宋体"/>
                <w:bCs/>
                <w:color w:val="000000"/>
                <w:sz w:val="21"/>
                <w:szCs w:val="21"/>
                <w:highlight w:val="none"/>
                <w:lang w:eastAsia="zh-CN"/>
              </w:rPr>
              <w:t>投标</w:t>
            </w:r>
            <w:r>
              <w:rPr>
                <w:rFonts w:hint="eastAsia" w:ascii="宋体" w:hAnsi="宋体" w:eastAsia="宋体" w:cs="宋体"/>
                <w:bCs/>
                <w:color w:val="000000"/>
                <w:sz w:val="21"/>
                <w:szCs w:val="21"/>
                <w:highlight w:val="none"/>
              </w:rPr>
              <w:t>承诺一致或更高，且满足采购文件全部实质性要求，视为交付验收合格。标的不符合上述情形的，采购人在交付验收后七个工作日内以书面形式向</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提出，</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应自收到采购人书面异议后七个工作日内及时予以解决，否则，视为交付验收不合格。</w:t>
            </w:r>
          </w:p>
          <w:p w14:paraId="1A749E91">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（3）最终验收：</w:t>
            </w:r>
          </w:p>
          <w:p w14:paraId="675A87C9">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标的交付验收合格投入使用后，</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提供的售后服务与其</w:t>
            </w:r>
            <w:r>
              <w:rPr>
                <w:rFonts w:hint="eastAsia" w:ascii="宋体" w:hAnsi="宋体" w:eastAsia="宋体" w:cs="宋体"/>
                <w:bCs/>
                <w:color w:val="000000"/>
                <w:sz w:val="21"/>
                <w:szCs w:val="21"/>
                <w:highlight w:val="none"/>
                <w:lang w:eastAsia="zh-CN"/>
              </w:rPr>
              <w:t>投标</w:t>
            </w:r>
            <w:r>
              <w:rPr>
                <w:rFonts w:hint="eastAsia" w:ascii="宋体" w:hAnsi="宋体" w:eastAsia="宋体" w:cs="宋体"/>
                <w:bCs/>
                <w:color w:val="000000"/>
                <w:sz w:val="21"/>
                <w:szCs w:val="21"/>
                <w:highlight w:val="none"/>
              </w:rPr>
              <w:t>承诺一致或更优，且</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履行完合同约定的应当由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履行的全部事项之，视为最终验收合格。</w:t>
            </w:r>
          </w:p>
          <w:p w14:paraId="33A86444">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（4）其他事项：</w:t>
            </w:r>
          </w:p>
          <w:p w14:paraId="75E35F77">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1）验收时，双方应当派员在场，并对验收结果签署意见，否则视为其同意验收结果。</w:t>
            </w:r>
          </w:p>
          <w:p w14:paraId="3B61AA1C">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2）由于</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的原因造成采购人验收不合格、影响采购人正常使用的，由此造成的损失由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承担。初步验收或交付验收不合格的，采购人有权终止合同并全部退货，同时报相关监督管理部门处理，由此造成甲方经济损失的由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负责承担全部赔偿责任。</w:t>
            </w:r>
          </w:p>
          <w:p w14:paraId="357AD739">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3）对技术复杂的货物，采购人可请国家认可的专业检测机构参与初步验收及交付验收，并由其出具质量检测报告，费用由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承担。</w:t>
            </w:r>
          </w:p>
          <w:p w14:paraId="01C2B6C8">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4）验收过程中所产生的一切费用均由</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承担，</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在</w:t>
            </w:r>
            <w:r>
              <w:rPr>
                <w:rFonts w:hint="eastAsia" w:ascii="宋体" w:hAnsi="宋体" w:eastAsia="宋体" w:cs="宋体"/>
                <w:bCs/>
                <w:color w:val="000000"/>
                <w:sz w:val="21"/>
                <w:szCs w:val="21"/>
                <w:highlight w:val="none"/>
                <w:lang w:eastAsia="zh-CN"/>
              </w:rPr>
              <w:t>投标报价</w:t>
            </w:r>
            <w:r>
              <w:rPr>
                <w:rFonts w:hint="eastAsia" w:ascii="宋体" w:hAnsi="宋体" w:eastAsia="宋体" w:cs="宋体"/>
                <w:bCs/>
                <w:color w:val="000000"/>
                <w:sz w:val="21"/>
                <w:szCs w:val="21"/>
                <w:highlight w:val="none"/>
              </w:rPr>
              <w:t>时应综合考虑相关费用。</w:t>
            </w:r>
          </w:p>
          <w:p w14:paraId="1C16EC11">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5）采购人对产品的验收不免除</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的质量保证责任。</w:t>
            </w:r>
          </w:p>
          <w:p w14:paraId="650E272A">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54FA9EC8">
            <w:pPr>
              <w:keepNext w:val="0"/>
              <w:keepLines w:val="0"/>
              <w:pageBreakBefore w:val="0"/>
              <w:widowControl/>
              <w:kinsoku/>
              <w:wordWrap/>
              <w:overflowPunct/>
              <w:topLinePunct w:val="0"/>
              <w:bidi w:val="0"/>
              <w:spacing w:line="420" w:lineRule="exact"/>
              <w:ind w:firstLine="12" w:firstLineChars="6"/>
              <w:rPr>
                <w:rFonts w:hint="eastAsia" w:ascii="宋体" w:hAnsi="宋体" w:eastAsia="宋体" w:cs="宋体"/>
                <w:b w:val="0"/>
                <w:bCs w:val="0"/>
                <w:color w:val="000000"/>
                <w:kern w:val="2"/>
                <w:sz w:val="21"/>
                <w:szCs w:val="21"/>
                <w:highlight w:val="none"/>
                <w:u w:val="none"/>
                <w:lang w:val="en-US" w:eastAsia="zh-CN" w:bidi="ar-SA"/>
              </w:rPr>
            </w:pPr>
            <w:r>
              <w:rPr>
                <w:rFonts w:hint="eastAsia" w:ascii="宋体" w:hAnsi="宋体" w:eastAsia="宋体" w:cs="宋体"/>
                <w:bCs/>
                <w:color w:val="000000"/>
                <w:sz w:val="21"/>
                <w:szCs w:val="21"/>
                <w:highlight w:val="none"/>
              </w:rPr>
              <w:t>7）验收产生的费用</w:t>
            </w:r>
            <w:r>
              <w:rPr>
                <w:rFonts w:hint="eastAsia" w:ascii="宋体" w:hAnsi="宋体" w:eastAsia="宋体" w:cs="宋体"/>
                <w:bCs/>
                <w:color w:val="000000"/>
                <w:sz w:val="21"/>
                <w:szCs w:val="21"/>
                <w:highlight w:val="none"/>
                <w:lang w:eastAsia="zh-CN"/>
              </w:rPr>
              <w:t>中标人</w:t>
            </w:r>
            <w:r>
              <w:rPr>
                <w:rFonts w:hint="eastAsia" w:ascii="宋体" w:hAnsi="宋体" w:eastAsia="宋体" w:cs="宋体"/>
                <w:bCs/>
                <w:color w:val="000000"/>
                <w:sz w:val="21"/>
                <w:szCs w:val="21"/>
                <w:highlight w:val="none"/>
              </w:rPr>
              <w:t>负责。</w:t>
            </w:r>
          </w:p>
        </w:tc>
      </w:tr>
      <w:tr w14:paraId="4BE3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1172" w:hRule="atLeast"/>
          <w:jc w:val="center"/>
        </w:trPr>
        <w:tc>
          <w:tcPr>
            <w:tcW w:w="1994" w:type="dxa"/>
            <w:tcBorders>
              <w:top w:val="single" w:color="auto" w:sz="4" w:space="0"/>
              <w:left w:val="single" w:color="auto" w:sz="4" w:space="0"/>
              <w:bottom w:val="single" w:color="auto" w:sz="4" w:space="0"/>
              <w:right w:val="single" w:color="auto" w:sz="4" w:space="0"/>
            </w:tcBorders>
            <w:noWrap w:val="0"/>
            <w:vAlign w:val="center"/>
          </w:tcPr>
          <w:p w14:paraId="012C7E2D">
            <w:pPr>
              <w:adjustRightInd w:val="0"/>
              <w:snapToGrid w:val="0"/>
              <w:spacing w:line="360" w:lineRule="auto"/>
              <w:jc w:val="center"/>
              <w:outlineLvl w:val="3"/>
              <w:rPr>
                <w:rFonts w:hint="default" w:ascii="宋体" w:hAnsi="宋体" w:eastAsia="宋体" w:cs="宋体"/>
                <w:b/>
                <w:color w:val="000000"/>
                <w:kern w:val="0"/>
                <w:szCs w:val="21"/>
                <w:highlight w:val="none"/>
                <w:lang w:val="en-US" w:eastAsia="zh-CN"/>
              </w:rPr>
            </w:pPr>
            <w:r>
              <w:rPr>
                <w:rFonts w:hint="eastAsia" w:ascii="宋体" w:hAnsi="宋体" w:eastAsia="宋体" w:cs="宋体"/>
                <w:b/>
                <w:color w:val="000000"/>
                <w:kern w:val="0"/>
                <w:szCs w:val="21"/>
                <w:highlight w:val="none"/>
                <w:lang w:val="en-US" w:eastAsia="zh-CN"/>
              </w:rPr>
              <w:t>其他要求</w:t>
            </w:r>
          </w:p>
        </w:tc>
        <w:tc>
          <w:tcPr>
            <w:tcW w:w="7612" w:type="dxa"/>
            <w:tcBorders>
              <w:top w:val="single" w:color="auto" w:sz="4" w:space="0"/>
              <w:left w:val="single" w:color="auto" w:sz="4" w:space="0"/>
              <w:bottom w:val="single" w:color="auto" w:sz="4" w:space="0"/>
              <w:right w:val="single" w:color="auto" w:sz="4" w:space="0"/>
            </w:tcBorders>
            <w:noWrap w:val="0"/>
            <w:vAlign w:val="center"/>
          </w:tcPr>
          <w:p w14:paraId="7A95992B">
            <w:pPr>
              <w:numPr>
                <w:ilvl w:val="0"/>
                <w:numId w:val="1"/>
              </w:numPr>
              <w:adjustRightInd/>
              <w:snapToGrid w:val="0"/>
              <w:spacing w:line="360" w:lineRule="auto"/>
              <w:jc w:val="left"/>
              <w:outlineLvl w:val="9"/>
              <w:rPr>
                <w:rFonts w:hint="eastAsia" w:ascii="宋体" w:hAnsi="宋体" w:cs="宋体"/>
                <w:color w:val="000000"/>
                <w:szCs w:val="21"/>
              </w:rPr>
            </w:pPr>
            <w:r>
              <w:rPr>
                <w:rFonts w:hint="eastAsia" w:ascii="宋体" w:hAnsi="宋体" w:cs="宋体"/>
                <w:color w:val="000000"/>
                <w:szCs w:val="21"/>
              </w:rPr>
              <w:t>本</w:t>
            </w:r>
            <w:r>
              <w:rPr>
                <w:rFonts w:hint="eastAsia" w:ascii="宋体" w:hAnsi="宋体" w:eastAsia="宋体" w:cs="宋体"/>
                <w:color w:val="000000"/>
                <w:szCs w:val="21"/>
                <w:highlight w:val="none"/>
                <w:lang w:val="en-US" w:eastAsia="zh-CN"/>
              </w:rPr>
              <w:t>标项</w:t>
            </w:r>
            <w:r>
              <w:rPr>
                <w:rFonts w:hint="eastAsia" w:ascii="宋体" w:hAnsi="宋体" w:cs="宋体"/>
                <w:color w:val="000000"/>
                <w:szCs w:val="21"/>
              </w:rPr>
              <w:t>货物所涉及的货物不接受进口产品（即通过中国海关报关验放进入中国境内且产自关境外的产品）参与投标，</w:t>
            </w:r>
            <w:r>
              <w:rPr>
                <w:rFonts w:hint="eastAsia" w:ascii="宋体" w:hAnsi="宋体" w:cs="宋体"/>
                <w:b/>
                <w:color w:val="000000"/>
                <w:szCs w:val="21"/>
              </w:rPr>
              <w:t>如有进口产品参与投标的作无效</w:t>
            </w:r>
            <w:r>
              <w:rPr>
                <w:rFonts w:hint="eastAsia" w:ascii="宋体" w:hAnsi="宋体" w:cs="宋体"/>
                <w:b/>
                <w:color w:val="000000"/>
                <w:szCs w:val="21"/>
                <w:lang w:eastAsia="zh-CN"/>
              </w:rPr>
              <w:t>投</w:t>
            </w:r>
            <w:r>
              <w:rPr>
                <w:rFonts w:hint="eastAsia" w:ascii="宋体" w:hAnsi="宋体" w:cs="宋体"/>
                <w:b/>
                <w:color w:val="000000"/>
                <w:szCs w:val="21"/>
              </w:rPr>
              <w:t>标处理</w:t>
            </w:r>
            <w:r>
              <w:rPr>
                <w:rFonts w:hint="eastAsia" w:ascii="宋体" w:hAnsi="宋体" w:cs="宋体"/>
                <w:color w:val="000000"/>
                <w:szCs w:val="21"/>
              </w:rPr>
              <w:t>。</w:t>
            </w:r>
          </w:p>
          <w:p w14:paraId="5974CB1B">
            <w:pPr>
              <w:numPr>
                <w:ilvl w:val="0"/>
                <w:numId w:val="1"/>
              </w:numPr>
              <w:adjustRightInd/>
              <w:snapToGrid w:val="0"/>
              <w:spacing w:line="360" w:lineRule="auto"/>
              <w:jc w:val="left"/>
              <w:outlineLvl w:val="9"/>
              <w:rPr>
                <w:rFonts w:hint="default" w:ascii="宋体" w:hAnsi="宋体" w:cs="宋体"/>
                <w:color w:val="000000"/>
                <w:szCs w:val="21"/>
                <w:lang w:val="en-US" w:eastAsia="zh-CN"/>
              </w:rPr>
            </w:pPr>
            <w:r>
              <w:rPr>
                <w:rFonts w:hint="eastAsia" w:ascii="宋体" w:hAnsi="宋体" w:cs="宋体"/>
                <w:color w:val="000000"/>
                <w:szCs w:val="21"/>
                <w:lang w:val="en-US" w:eastAsia="zh-CN"/>
              </w:rPr>
              <w:t>根据</w:t>
            </w:r>
            <w:bookmarkStart w:id="14" w:name="OLE_LINK11"/>
            <w:r>
              <w:rPr>
                <w:rFonts w:hint="eastAsia" w:ascii="宋体" w:hAnsi="宋体" w:eastAsia="宋体" w:cs="宋体"/>
                <w:color w:val="000000"/>
                <w:szCs w:val="21"/>
                <w:highlight w:val="none"/>
                <w:lang w:val="en-US" w:eastAsia="zh-CN"/>
              </w:rPr>
              <w:t>《国务院办公厅关于在政府采购中实施本国产品标准及相关政策的通知》（国办发</w:t>
            </w:r>
            <w:r>
              <w:rPr>
                <w:rFonts w:hint="eastAsia" w:ascii="宋体" w:hAnsi="宋体" w:eastAsia="宋体" w:cs="宋体"/>
                <w:color w:val="000000"/>
                <w:szCs w:val="21"/>
                <w:highlight w:val="none"/>
              </w:rPr>
              <w:t>〔202</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34</w:t>
            </w:r>
            <w:r>
              <w:rPr>
                <w:rFonts w:hint="eastAsia" w:ascii="宋体" w:hAnsi="宋体" w:eastAsia="宋体" w:cs="宋体"/>
                <w:color w:val="000000"/>
                <w:szCs w:val="21"/>
                <w:highlight w:val="none"/>
              </w:rPr>
              <w:t>号）</w:t>
            </w:r>
            <w:bookmarkEnd w:id="14"/>
            <w:r>
              <w:rPr>
                <w:rFonts w:hint="eastAsia" w:ascii="宋体" w:hAnsi="宋体" w:cs="宋体"/>
                <w:color w:val="000000"/>
                <w:szCs w:val="21"/>
              </w:rPr>
              <w:t>的规定</w:t>
            </w:r>
            <w:r>
              <w:rPr>
                <w:rFonts w:hint="eastAsia" w:ascii="宋体" w:hAnsi="宋体" w:cs="宋体"/>
                <w:color w:val="000000"/>
                <w:szCs w:val="21"/>
                <w:lang w:eastAsia="zh-CN"/>
              </w:rPr>
              <w:t>，</w:t>
            </w:r>
            <w:r>
              <w:rPr>
                <w:rFonts w:hint="eastAsia" w:ascii="宋体" w:hAnsi="宋体" w:eastAsia="宋体" w:cs="宋体"/>
                <w:i w:val="0"/>
                <w:iCs w:val="0"/>
                <w:caps w:val="0"/>
                <w:color w:val="000000"/>
                <w:spacing w:val="0"/>
                <w:sz w:val="21"/>
                <w:szCs w:val="21"/>
                <w:shd w:val="clear" w:color="auto" w:fill="FFFFFF"/>
              </w:rPr>
              <w:t>政府采购活动中既有本国产品又有非本国产品参与竞争的，依法对</w:t>
            </w:r>
            <w:r>
              <w:rPr>
                <w:rFonts w:hint="eastAsia" w:ascii="宋体" w:hAnsi="宋体" w:cs="宋体"/>
                <w:i w:val="0"/>
                <w:iCs w:val="0"/>
                <w:caps w:val="0"/>
                <w:color w:val="000000"/>
                <w:spacing w:val="0"/>
                <w:sz w:val="21"/>
                <w:szCs w:val="21"/>
                <w:shd w:val="clear" w:color="auto" w:fill="FFFFFF"/>
                <w:lang w:val="en-US" w:eastAsia="zh-CN"/>
              </w:rPr>
              <w:t>符合政策要求的</w:t>
            </w:r>
            <w:r>
              <w:rPr>
                <w:rFonts w:hint="eastAsia" w:ascii="宋体" w:hAnsi="宋体" w:eastAsia="宋体" w:cs="宋体"/>
                <w:i w:val="0"/>
                <w:iCs w:val="0"/>
                <w:caps w:val="0"/>
                <w:color w:val="000000"/>
                <w:spacing w:val="0"/>
                <w:sz w:val="21"/>
                <w:szCs w:val="21"/>
                <w:shd w:val="clear" w:color="auto" w:fill="FFFFFF"/>
              </w:rPr>
              <w:t>本国产品给予价格评审优惠</w:t>
            </w:r>
            <w:r>
              <w:rPr>
                <w:rFonts w:hint="eastAsia" w:ascii="宋体" w:hAnsi="宋体" w:cs="宋体"/>
                <w:i w:val="0"/>
                <w:iCs w:val="0"/>
                <w:caps w:val="0"/>
                <w:color w:val="000000"/>
                <w:spacing w:val="0"/>
                <w:sz w:val="21"/>
                <w:szCs w:val="21"/>
                <w:shd w:val="clear" w:color="auto" w:fill="FFFFFF"/>
                <w:lang w:eastAsia="zh-CN"/>
              </w:rPr>
              <w:t>，</w:t>
            </w:r>
            <w:r>
              <w:rPr>
                <w:rFonts w:hint="eastAsia" w:ascii="宋体" w:hAnsi="宋体" w:cs="宋体"/>
                <w:b/>
                <w:bCs/>
                <w:color w:val="000000"/>
                <w:szCs w:val="21"/>
              </w:rPr>
              <w:t>具体详见“</w:t>
            </w:r>
            <w:r>
              <w:rPr>
                <w:rFonts w:hint="eastAsia" w:ascii="宋体" w:hAnsi="宋体" w:cs="宋体"/>
                <w:b/>
                <w:bCs/>
                <w:color w:val="000000"/>
                <w:szCs w:val="21"/>
                <w:lang w:eastAsia="zh-CN"/>
              </w:rPr>
              <w:t>评标</w:t>
            </w:r>
            <w:r>
              <w:rPr>
                <w:rFonts w:hint="eastAsia" w:ascii="宋体" w:hAnsi="宋体" w:cs="宋体"/>
                <w:b/>
                <w:bCs/>
                <w:color w:val="000000"/>
                <w:szCs w:val="21"/>
                <w:lang w:val="en-US" w:eastAsia="zh-CN"/>
              </w:rPr>
              <w:t>办法</w:t>
            </w:r>
            <w:r>
              <w:rPr>
                <w:rFonts w:hint="eastAsia" w:ascii="宋体" w:hAnsi="宋体" w:cs="宋体"/>
                <w:b/>
                <w:bCs/>
                <w:color w:val="000000"/>
                <w:szCs w:val="21"/>
              </w:rPr>
              <w:t>”</w:t>
            </w:r>
            <w:r>
              <w:rPr>
                <w:rFonts w:hint="eastAsia" w:ascii="宋体" w:hAnsi="宋体" w:cs="宋体"/>
                <w:color w:val="000000"/>
                <w:szCs w:val="21"/>
                <w:lang w:eastAsia="zh-CN"/>
              </w:rPr>
              <w:t>。</w:t>
            </w:r>
            <w:r>
              <w:rPr>
                <w:rFonts w:hint="eastAsia" w:ascii="宋体" w:hAnsi="宋体" w:eastAsia="宋体" w:cs="宋体"/>
                <w:i w:val="0"/>
                <w:iCs w:val="0"/>
                <w:caps w:val="0"/>
                <w:color w:val="000000"/>
                <w:spacing w:val="0"/>
                <w:sz w:val="21"/>
                <w:szCs w:val="21"/>
                <w:highlight w:val="none"/>
                <w:shd w:val="clear" w:color="auto" w:fill="auto"/>
              </w:rPr>
              <w:t>产品在中国境内生产的组件成本，按照《中国境内生产的组件成本核算基本规则》计算。</w:t>
            </w:r>
          </w:p>
        </w:tc>
      </w:tr>
    </w:tbl>
    <w:p w14:paraId="3387E0E9">
      <w:pPr>
        <w:rPr>
          <w:rFonts w:ascii="Arial" w:hAnsi="Arial" w:cs="Arial"/>
          <w:color w:val="000000" w:themeColor="text1"/>
          <w:szCs w:val="21"/>
          <w14:textFill>
            <w14:solidFill>
              <w14:schemeClr w14:val="tx1"/>
            </w14:solidFill>
          </w14:textFill>
        </w:rPr>
      </w:pPr>
    </w:p>
    <w:p w14:paraId="3A1C3FE1">
      <w:pPr>
        <w:spacing w:line="360" w:lineRule="auto"/>
        <w:rPr>
          <w:rFonts w:ascii="Arial" w:hAnsi="Arial" w:cs="Arial"/>
          <w:color w:val="000000" w:themeColor="text1"/>
          <w:szCs w:val="21"/>
          <w14:textFill>
            <w14:solidFill>
              <w14:schemeClr w14:val="tx1"/>
            </w14:solidFill>
          </w14:textFill>
        </w:rPr>
      </w:pPr>
    </w:p>
    <w:bookmarkEnd w:id="12"/>
    <w:bookmarkEnd w:id="13"/>
    <w:p w14:paraId="3A33ECE9">
      <w:pPr>
        <w:spacing w:line="360" w:lineRule="auto"/>
        <w:jc w:val="center"/>
        <w:rPr>
          <w:rFonts w:ascii="Arial" w:hAnsi="Arial" w:cs="Arial"/>
          <w:b/>
          <w:bCs/>
          <w:color w:val="000000" w:themeColor="text1"/>
          <w:szCs w:val="21"/>
          <w14:textFill>
            <w14:solidFill>
              <w14:schemeClr w14:val="tx1"/>
            </w14:solidFill>
          </w14:textFill>
        </w:rPr>
      </w:pPr>
      <w:r>
        <w:rPr>
          <w:rFonts w:ascii="Arial" w:hAnsi="Arial" w:cs="Arial"/>
          <w:color w:val="000000" w:themeColor="text1"/>
          <w:sz w:val="32"/>
          <w:szCs w:val="32"/>
          <w14:textFill>
            <w14:solidFill>
              <w14:schemeClr w14:val="tx1"/>
            </w14:solidFill>
          </w14:textFill>
        </w:rPr>
        <w:br w:type="page"/>
      </w:r>
      <w:r>
        <w:rPr>
          <w:rFonts w:hint="eastAsia" w:ascii="Arial" w:hAnsi="Arial" w:cs="Arial"/>
          <w:b/>
          <w:bCs/>
          <w:color w:val="000000" w:themeColor="text1"/>
          <w:sz w:val="32"/>
          <w:szCs w:val="32"/>
          <w14:textFill>
            <w14:solidFill>
              <w14:schemeClr w14:val="tx1"/>
            </w14:solidFill>
          </w14:textFill>
        </w:rPr>
        <w:t>标项二：肺功能测试系统</w:t>
      </w:r>
    </w:p>
    <w:p w14:paraId="57CB3F0A">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1.一般说明</w:t>
      </w:r>
    </w:p>
    <w:p w14:paraId="55D1A911">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（1）本表中如提及品牌型号，仅起参考作用。供应商可选用其他品牌型号替代，但这些替代的品牌型号要实质上参照或相当于或优于参考品牌型号及其技术参数性能（配置）要求。</w:t>
      </w:r>
    </w:p>
    <w:p w14:paraId="587C1DF2">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08EC8100">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2.核心产品</w:t>
      </w:r>
    </w:p>
    <w:p w14:paraId="72BD424B">
      <w:pPr>
        <w:spacing w:line="360" w:lineRule="auto"/>
        <w:rPr>
          <w:rFonts w:ascii="Arial" w:hAnsi="Arial" w:cs="Arial"/>
          <w:b/>
          <w:bCs/>
          <w:color w:val="000000" w:themeColor="text1"/>
          <w:szCs w:val="21"/>
          <w14:textFill>
            <w14:solidFill>
              <w14:schemeClr w14:val="tx1"/>
            </w14:solidFill>
          </w14:textFill>
        </w:rPr>
      </w:pPr>
      <w:r>
        <w:rPr>
          <w:rFonts w:ascii="Arial" w:hAnsi="Arial" w:cs="Arial"/>
          <w:b/>
          <w:bCs/>
          <w:color w:val="000000" w:themeColor="text1"/>
          <w:szCs w:val="21"/>
          <w14:textFill>
            <w14:solidFill>
              <w14:schemeClr w14:val="tx1"/>
            </w14:solidFill>
          </w14:textFill>
        </w:rPr>
        <w:t>本</w:t>
      </w:r>
      <w:r>
        <w:rPr>
          <w:rFonts w:hint="eastAsia" w:ascii="Arial" w:hAnsi="Arial" w:cs="Arial"/>
          <w:b/>
          <w:bCs/>
          <w:color w:val="000000" w:themeColor="text1"/>
          <w:szCs w:val="21"/>
          <w:lang w:val="en-US" w:eastAsia="zh-CN"/>
          <w14:textFill>
            <w14:solidFill>
              <w14:schemeClr w14:val="tx1"/>
            </w14:solidFill>
          </w14:textFill>
        </w:rPr>
        <w:t>标项</w:t>
      </w:r>
      <w:r>
        <w:rPr>
          <w:rFonts w:ascii="Arial" w:hAnsi="Arial" w:cs="Arial"/>
          <w:b/>
          <w:bCs/>
          <w:color w:val="000000" w:themeColor="text1"/>
          <w:szCs w:val="21"/>
          <w14:textFill>
            <w14:solidFill>
              <w14:schemeClr w14:val="tx1"/>
            </w14:solidFill>
          </w14:textFill>
        </w:rPr>
        <w:t>为货物采购项目，核心产品为：</w:t>
      </w:r>
      <w:r>
        <w:rPr>
          <w:rFonts w:hint="eastAsia" w:ascii="Arial" w:hAnsi="Arial" w:cs="Arial"/>
          <w:b/>
          <w:bCs/>
          <w:color w:val="000000" w:themeColor="text1"/>
          <w:szCs w:val="21"/>
          <w14:textFill>
            <w14:solidFill>
              <w14:schemeClr w14:val="tx1"/>
            </w14:solidFill>
          </w14:textFill>
        </w:rPr>
        <w:t>肺功能测试系统</w:t>
      </w:r>
      <w:r>
        <w:rPr>
          <w:rFonts w:ascii="Arial" w:hAnsi="Arial" w:cs="Arial"/>
          <w:b/>
          <w:bCs/>
          <w:color w:val="000000" w:themeColor="text1"/>
          <w:szCs w:val="21"/>
          <w14:textFill>
            <w14:solidFill>
              <w14:schemeClr w14:val="tx1"/>
            </w14:solidFill>
          </w14:textFill>
        </w:rPr>
        <w:t>。</w:t>
      </w:r>
    </w:p>
    <w:p w14:paraId="283D5570">
      <w:pPr>
        <w:numPr>
          <w:ilvl w:val="0"/>
          <w:numId w:val="1"/>
        </w:numPr>
        <w:spacing w:line="360" w:lineRule="auto"/>
        <w:ind w:left="0" w:leftChars="0" w:firstLine="0" w:firstLineChars="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标的名称、数量、需满足的质量、技术规格、物理特性、性能、材料、结构、外观、安全，或者服务内容和标准：</w:t>
      </w:r>
    </w:p>
    <w:tbl>
      <w:tblPr>
        <w:tblStyle w:val="55"/>
        <w:tblW w:w="10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6" w:type="dxa"/>
          <w:left w:w="96" w:type="dxa"/>
          <w:bottom w:w="56" w:type="dxa"/>
          <w:right w:w="96" w:type="dxa"/>
        </w:tblCellMar>
      </w:tblPr>
      <w:tblGrid>
        <w:gridCol w:w="513"/>
        <w:gridCol w:w="1050"/>
        <w:gridCol w:w="7903"/>
        <w:gridCol w:w="464"/>
        <w:gridCol w:w="426"/>
      </w:tblGrid>
      <w:tr w14:paraId="2B0D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464" w:hRule="atLeast"/>
          <w:jc w:val="center"/>
        </w:trPr>
        <w:tc>
          <w:tcPr>
            <w:tcW w:w="10356" w:type="dxa"/>
            <w:gridSpan w:val="5"/>
            <w:tcBorders>
              <w:top w:val="single" w:color="auto" w:sz="4" w:space="0"/>
              <w:left w:val="single" w:color="auto" w:sz="4" w:space="0"/>
              <w:bottom w:val="single" w:color="auto" w:sz="4" w:space="0"/>
              <w:right w:val="single" w:color="auto" w:sz="4" w:space="0"/>
            </w:tcBorders>
            <w:noWrap w:val="0"/>
            <w:vAlign w:val="center"/>
          </w:tcPr>
          <w:p w14:paraId="04F064AB">
            <w:pPr>
              <w:adjustRightInd w:val="0"/>
              <w:snapToGrid w:val="0"/>
              <w:spacing w:line="360" w:lineRule="exact"/>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采购内容及技术要求</w:t>
            </w:r>
          </w:p>
        </w:tc>
      </w:tr>
      <w:tr w14:paraId="09BB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811" w:hRule="atLeast"/>
          <w:jc w:val="center"/>
        </w:trPr>
        <w:tc>
          <w:tcPr>
            <w:tcW w:w="513" w:type="dxa"/>
            <w:tcBorders>
              <w:top w:val="single" w:color="auto" w:sz="4" w:space="0"/>
              <w:left w:val="single" w:color="auto" w:sz="4" w:space="0"/>
              <w:bottom w:val="single" w:color="auto" w:sz="4" w:space="0"/>
              <w:right w:val="single" w:color="auto" w:sz="4" w:space="0"/>
            </w:tcBorders>
            <w:noWrap w:val="0"/>
            <w:vAlign w:val="center"/>
          </w:tcPr>
          <w:p w14:paraId="10C189ED">
            <w:pPr>
              <w:adjustRightInd w:val="0"/>
              <w:snapToGrid w:val="0"/>
              <w:spacing w:line="360" w:lineRule="exact"/>
              <w:jc w:val="center"/>
              <w:outlineLvl w:val="3"/>
              <w:rPr>
                <w:rFonts w:hint="default" w:ascii="Arial" w:hAnsi="Arial" w:eastAsia="宋体" w:cs="Arial"/>
                <w:b/>
                <w:bCs/>
                <w:color w:val="auto"/>
                <w:szCs w:val="21"/>
                <w:highlight w:val="none"/>
              </w:rPr>
            </w:pPr>
            <w:r>
              <w:rPr>
                <w:rFonts w:hint="default" w:ascii="Arial" w:hAnsi="Arial" w:eastAsia="宋体" w:cs="Arial"/>
                <w:b/>
                <w:color w:val="auto"/>
                <w:szCs w:val="21"/>
                <w:highlight w:val="none"/>
              </w:rPr>
              <w:t>项号</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A6D78C9">
            <w:pPr>
              <w:widowControl/>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lang w:val="en-US" w:eastAsia="zh-CN"/>
              </w:rPr>
              <w:t>标的</w:t>
            </w:r>
            <w:r>
              <w:rPr>
                <w:rFonts w:hint="default" w:ascii="Arial" w:hAnsi="Arial" w:eastAsia="宋体" w:cs="Arial"/>
                <w:b/>
                <w:color w:val="auto"/>
                <w:szCs w:val="21"/>
                <w:highlight w:val="none"/>
              </w:rPr>
              <w:t>名称</w:t>
            </w:r>
          </w:p>
        </w:tc>
        <w:tc>
          <w:tcPr>
            <w:tcW w:w="7903" w:type="dxa"/>
            <w:tcBorders>
              <w:top w:val="single" w:color="auto" w:sz="4" w:space="0"/>
              <w:left w:val="single" w:color="auto" w:sz="4" w:space="0"/>
              <w:bottom w:val="single" w:color="auto" w:sz="4" w:space="0"/>
              <w:right w:val="single" w:color="auto" w:sz="4" w:space="0"/>
            </w:tcBorders>
            <w:noWrap w:val="0"/>
            <w:vAlign w:val="center"/>
          </w:tcPr>
          <w:p w14:paraId="47C381CB">
            <w:pPr>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技术要求</w:t>
            </w:r>
          </w:p>
        </w:tc>
        <w:tc>
          <w:tcPr>
            <w:tcW w:w="464" w:type="dxa"/>
            <w:tcBorders>
              <w:top w:val="single" w:color="auto" w:sz="4" w:space="0"/>
              <w:left w:val="single" w:color="auto" w:sz="4" w:space="0"/>
              <w:bottom w:val="single" w:color="auto" w:sz="4" w:space="0"/>
              <w:right w:val="single" w:color="auto" w:sz="4" w:space="0"/>
            </w:tcBorders>
            <w:noWrap w:val="0"/>
            <w:vAlign w:val="center"/>
          </w:tcPr>
          <w:p w14:paraId="6C1DD074">
            <w:pPr>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数量</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227D84E9">
            <w:pPr>
              <w:adjustRightInd w:val="0"/>
              <w:snapToGrid w:val="0"/>
              <w:spacing w:line="360" w:lineRule="exact"/>
              <w:jc w:val="center"/>
              <w:outlineLvl w:val="3"/>
              <w:rPr>
                <w:rFonts w:hint="default" w:ascii="Arial" w:hAnsi="Arial" w:eastAsia="宋体" w:cs="Arial"/>
                <w:b/>
                <w:color w:val="auto"/>
                <w:szCs w:val="21"/>
                <w:highlight w:val="none"/>
              </w:rPr>
            </w:pPr>
            <w:r>
              <w:rPr>
                <w:rFonts w:hint="default" w:ascii="Arial" w:hAnsi="Arial" w:eastAsia="宋体" w:cs="Arial"/>
                <w:b/>
                <w:color w:val="auto"/>
                <w:szCs w:val="21"/>
                <w:highlight w:val="none"/>
              </w:rPr>
              <w:t>单位</w:t>
            </w:r>
          </w:p>
        </w:tc>
      </w:tr>
      <w:tr w14:paraId="55CF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3360" w:hRule="atLeast"/>
          <w:jc w:val="center"/>
        </w:trPr>
        <w:tc>
          <w:tcPr>
            <w:tcW w:w="513" w:type="dxa"/>
            <w:tcBorders>
              <w:top w:val="single" w:color="auto" w:sz="4" w:space="0"/>
              <w:left w:val="single" w:color="auto" w:sz="4" w:space="0"/>
              <w:bottom w:val="single" w:color="auto" w:sz="4" w:space="0"/>
              <w:right w:val="single" w:color="auto" w:sz="4" w:space="0"/>
            </w:tcBorders>
            <w:noWrap w:val="0"/>
            <w:vAlign w:val="center"/>
          </w:tcPr>
          <w:p w14:paraId="179F67BC">
            <w:pPr>
              <w:widowControl/>
              <w:adjustRightInd w:val="0"/>
              <w:snapToGrid w:val="0"/>
              <w:spacing w:line="360" w:lineRule="exact"/>
              <w:jc w:val="center"/>
              <w:outlineLvl w:val="3"/>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1</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3C442CE">
            <w:pPr>
              <w:widowControl/>
              <w:adjustRightInd w:val="0"/>
              <w:snapToGrid w:val="0"/>
              <w:spacing w:line="360" w:lineRule="auto"/>
              <w:jc w:val="center"/>
              <w:outlineLvl w:val="3"/>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lang w:eastAsia="zh-CN"/>
              </w:rPr>
              <w:t>肺功能测试系统</w:t>
            </w:r>
          </w:p>
          <w:p w14:paraId="05145161">
            <w:pPr>
              <w:widowControl/>
              <w:adjustRightInd w:val="0"/>
              <w:snapToGrid w:val="0"/>
              <w:spacing w:line="360" w:lineRule="auto"/>
              <w:jc w:val="center"/>
              <w:outlineLvl w:val="3"/>
              <w:rPr>
                <w:rFonts w:hint="default" w:ascii="Arial" w:hAnsi="Arial" w:eastAsia="宋体" w:cs="Arial"/>
                <w:color w:val="auto"/>
                <w:szCs w:val="21"/>
                <w:highlight w:val="none"/>
              </w:rPr>
            </w:pPr>
          </w:p>
        </w:tc>
        <w:tc>
          <w:tcPr>
            <w:tcW w:w="7903" w:type="dxa"/>
            <w:tcBorders>
              <w:top w:val="single" w:color="auto" w:sz="4" w:space="0"/>
              <w:left w:val="single" w:color="auto" w:sz="4" w:space="0"/>
              <w:bottom w:val="single" w:color="auto" w:sz="4" w:space="0"/>
              <w:right w:val="single" w:color="auto" w:sz="4" w:space="0"/>
            </w:tcBorders>
            <w:noWrap w:val="0"/>
            <w:vAlign w:val="top"/>
          </w:tcPr>
          <w:p w14:paraId="5CD856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 w:lineRule="exact"/>
              <w:ind w:left="0" w:leftChars="0" w:right="0" w:rightChars="0"/>
              <w:jc w:val="left"/>
              <w:textAlignment w:val="auto"/>
              <w:rPr>
                <w:rFonts w:hint="default" w:ascii="Arial" w:hAnsi="Arial" w:eastAsia="宋体" w:cs="Arial"/>
                <w:sz w:val="15"/>
                <w:szCs w:val="15"/>
              </w:rPr>
            </w:pPr>
          </w:p>
          <w:p w14:paraId="037FA48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一、整体概述</w:t>
            </w:r>
          </w:p>
          <w:p w14:paraId="4502350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1、设备集成肺通气、支气管激发 / 舒张、弥散残气、脉冲振荡 (IOS)，可升级体积描记检测功能（提供注册证证明）。</w:t>
            </w:r>
          </w:p>
          <w:p w14:paraId="7BC9CF0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2、可配套开展戒烟门诊筛查、术前评估、职业病筛查、呼吸康复诊疗、肺功能报告管理等工作。</w:t>
            </w:r>
          </w:p>
          <w:p w14:paraId="70D04E4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bCs/>
                <w:color w:val="000000"/>
                <w:szCs w:val="21"/>
                <w:highlight w:val="none"/>
                <w:shd w:val="clear" w:color="auto" w:fill="auto"/>
                <w:lang w:val="en-US" w:eastAsia="zh-CN"/>
              </w:rPr>
              <w:t>▲</w:t>
            </w:r>
            <w:r>
              <w:rPr>
                <w:rFonts w:hint="default" w:ascii="Arial" w:hAnsi="Arial" w:eastAsia="宋体" w:cs="Arial"/>
                <w:b w:val="0"/>
                <w:bCs w:val="0"/>
                <w:sz w:val="21"/>
                <w:szCs w:val="21"/>
                <w:highlight w:val="none"/>
                <w:lang w:val="en-US" w:eastAsia="zh-CN"/>
              </w:rPr>
              <w:t>3、符合《国家肺通气功能测试产品注册技术审查指导原则》并兼容 ATS/ERS 国际质控标准。</w:t>
            </w:r>
          </w:p>
          <w:p w14:paraId="2A668DD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4、生产企业及产品具备 ISO 13485:2016体系认证。</w:t>
            </w:r>
          </w:p>
          <w:p w14:paraId="7B866EF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5、肺功能主机及各功能模块设计使用年限≥10 年，软件终生</w:t>
            </w:r>
            <w:r>
              <w:rPr>
                <w:rFonts w:hint="eastAsia" w:ascii="Arial" w:hAnsi="Arial" w:cs="Arial"/>
                <w:b w:val="0"/>
                <w:bCs w:val="0"/>
                <w:sz w:val="21"/>
                <w:szCs w:val="21"/>
                <w:highlight w:val="none"/>
                <w:lang w:val="en-US" w:eastAsia="zh-CN"/>
              </w:rPr>
              <w:t>不收取费用</w:t>
            </w:r>
            <w:r>
              <w:rPr>
                <w:rFonts w:hint="default" w:ascii="Arial" w:hAnsi="Arial" w:eastAsia="宋体" w:cs="Arial"/>
                <w:b w:val="0"/>
                <w:bCs w:val="0"/>
                <w:sz w:val="21"/>
                <w:szCs w:val="21"/>
                <w:highlight w:val="none"/>
                <w:lang w:val="en-US" w:eastAsia="zh-CN"/>
              </w:rPr>
              <w:t>升级。</w:t>
            </w:r>
          </w:p>
          <w:p w14:paraId="2A62499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二、核心硬件参数要求</w:t>
            </w:r>
          </w:p>
          <w:p w14:paraId="74393D4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（一）传感器与基础硬件</w:t>
            </w:r>
          </w:p>
          <w:p w14:paraId="70A8C73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bCs/>
                <w:color w:val="000000"/>
                <w:szCs w:val="21"/>
                <w:highlight w:val="none"/>
                <w:shd w:val="clear" w:color="auto" w:fill="auto"/>
                <w:lang w:val="en-US" w:eastAsia="zh-CN"/>
              </w:rPr>
              <w:t>▲</w:t>
            </w:r>
            <w:r>
              <w:rPr>
                <w:rFonts w:hint="default" w:ascii="Arial" w:hAnsi="Arial" w:eastAsia="宋体" w:cs="Arial"/>
                <w:b w:val="0"/>
                <w:bCs w:val="0"/>
                <w:sz w:val="21"/>
                <w:szCs w:val="21"/>
                <w:highlight w:val="none"/>
                <w:lang w:val="en-US" w:eastAsia="zh-CN"/>
              </w:rPr>
              <w:t>1.传感器类型 ：压差传感器；全程语音吹气引导，提升操作便捷性。</w:t>
            </w:r>
          </w:p>
          <w:p w14:paraId="43773D6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2.流量 / 流速参数</w:t>
            </w:r>
          </w:p>
          <w:p w14:paraId="3724CB3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测量范围：0～20 L/s，误差：-1%～3% 或 ±0.17 L/s（取较大值），分辨率≤0.01 L/s。</w:t>
            </w:r>
          </w:p>
          <w:p w14:paraId="0D1BCBD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3、容量 / 容积参数</w:t>
            </w:r>
          </w:p>
          <w:p w14:paraId="460E8CB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3.1测量范围：0～20L，误差：-0.3%～1.2% 或 ±0.05 L（取较大值），分辨率≤0.01 L。</w:t>
            </w:r>
          </w:p>
          <w:p w14:paraId="565F8F3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4、独立外置环境检测模块（避免设备发热干扰），至少自动采集温度、湿度、大气压，全程自动 BTPS 校正，无需手动录入。</w:t>
            </w:r>
          </w:p>
          <w:p w14:paraId="238030C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5、标配 3L 标准定标桶，支持容量定标、三流量线性验证。</w:t>
            </w:r>
          </w:p>
          <w:p w14:paraId="2E69DBA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（二）肺通气功能模块</w:t>
            </w:r>
          </w:p>
          <w:p w14:paraId="1FAC414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1、检测参数FVC、SVC、MVV。</w:t>
            </w:r>
          </w:p>
          <w:p w14:paraId="29639CA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2、曲线与显示 实时动态展示流量 - 容积 (F-V) 曲线、容积 - 时间 (V-T) 曲线；支持专业检测模式、动画引导模式双模式切换，可自定义报告自动填写模板。</w:t>
            </w:r>
          </w:p>
          <w:p w14:paraId="26CE5D7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3、判定功能 内置多套人群预计值公式（含中国人专属公式）；自动判定FVC、FEV1 指标可接受性、可用性及质量分级；识别呼气起始犹豫、爆发力不足、1 秒内咳嗽、声门关闭等十余项曲线质控问题。</w:t>
            </w:r>
          </w:p>
          <w:p w14:paraId="380A135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4、基础试验 标配支气管舒张试验，自动计算指标变化率、对比曲线，判定试验结果。</w:t>
            </w:r>
          </w:p>
          <w:p w14:paraId="6B491A8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（三）肺弥散功能模块</w:t>
            </w:r>
          </w:p>
          <w:p w14:paraId="0CF094B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1、检测气体与传感器 ：采用 CH4（甲烷）+CO（一氧化碳）混合测试气体；采用红外光谱技术。</w:t>
            </w:r>
          </w:p>
          <w:p w14:paraId="5AB18DA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2、气体浓度参数</w:t>
            </w:r>
          </w:p>
          <w:p w14:paraId="65417F8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2.1气体最少测量范围：≤0%-0.33%；精确范围：±1%。</w:t>
            </w:r>
          </w:p>
          <w:p w14:paraId="0A7725A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3、核心检测参数 至少包括DLCO SB、DLCO/VA、DLCOc SB、DLCOc/VA、VA、VCmax等核心参数。</w:t>
            </w:r>
          </w:p>
          <w:p w14:paraId="2C97941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4、硬件与操作</w:t>
            </w:r>
          </w:p>
          <w:p w14:paraId="48C17B6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4.1管道 / 阻断阀死腔：＜250mL；模块预热时间≤10 分钟</w:t>
            </w:r>
          </w:p>
          <w:p w14:paraId="0AC901C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4.2支持弥散专项定标与验证，无需手动调整采样管路，一键快速定标，兼容 3L 定标筒完成气路密封性检测。</w:t>
            </w:r>
          </w:p>
          <w:p w14:paraId="1A607A7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bCs/>
                <w:color w:val="000000"/>
                <w:szCs w:val="21"/>
                <w:highlight w:val="none"/>
                <w:shd w:val="clear" w:color="auto" w:fill="auto"/>
                <w:lang w:val="en-US" w:eastAsia="zh-CN"/>
              </w:rPr>
              <w:t>▲</w:t>
            </w:r>
            <w:r>
              <w:rPr>
                <w:rFonts w:hint="default" w:ascii="Arial" w:hAnsi="Arial" w:eastAsia="宋体" w:cs="Arial"/>
                <w:b w:val="0"/>
                <w:bCs w:val="0"/>
                <w:sz w:val="21"/>
                <w:szCs w:val="21"/>
                <w:highlight w:val="none"/>
                <w:lang w:val="en-US" w:eastAsia="zh-CN"/>
              </w:rPr>
              <w:t>4.3配备弥散脱气实操练习模式、模拟测试教学模式，帮助患者掌握动作，避免气体浪费、保障检测精度。</w:t>
            </w:r>
          </w:p>
          <w:p w14:paraId="49EF885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（四）支气管激发试验模块</w:t>
            </w:r>
          </w:p>
          <w:p w14:paraId="158DE40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1、核心配置 系统内置多套临床常用定量雾化激发方案；采用高精度定量雾化技术，配备容量定标、压缩空气流量双重质控，保障压力、流量、释雾量稳定。</w:t>
            </w:r>
          </w:p>
          <w:p w14:paraId="70A86EB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2、雾化与气路参数</w:t>
            </w:r>
          </w:p>
          <w:p w14:paraId="3786AF8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2.1压缩空气流量≥7 L/min，工作压力≥1.6 bar。</w:t>
            </w:r>
          </w:p>
          <w:p w14:paraId="6BBC554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3、触发与检测参数</w:t>
            </w:r>
          </w:p>
          <w:p w14:paraId="1625737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3.1容积触发范围：0.1 L～0.8 L，吸气达到设定容积自动启动雾化，呼气启动即时停止。</w:t>
            </w:r>
          </w:p>
          <w:p w14:paraId="4BC2A9C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3.2可检测指标：PD、PC、PD20、PC20 等激发试验核心指标。</w:t>
            </w:r>
          </w:p>
          <w:p w14:paraId="2AA6E81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（五）连续频率脉冲振荡（IOS）模块</w:t>
            </w:r>
          </w:p>
          <w:p w14:paraId="5E5E02D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1、测试原理 受试者自主呼吸即可完成检测，精准区分大、小气道阻力，输出多维阻抗数据及图形。</w:t>
            </w:r>
          </w:p>
          <w:p w14:paraId="40AB7CE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2、核心参数至少包括 Z5、R5、R20、R5-R20、X5、fres、AX等核心参数。</w:t>
            </w:r>
          </w:p>
          <w:p w14:paraId="5C58EF1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3、脉冲信号参数脉冲时长 45ms（误差 ±2ms），脉冲间隔 0.1～6s（误差 ±1%），脉冲频率范围 0～100Hz；40Hz 处信号功率谱＞-20dB。</w:t>
            </w:r>
          </w:p>
          <w:p w14:paraId="01B24F9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4、质控与显示</w:t>
            </w:r>
          </w:p>
          <w:p w14:paraId="26D3242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4.1支持高、中、低三档阻抗器全档位验证质控</w:t>
            </w:r>
          </w:p>
          <w:p w14:paraId="39E6ED1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4.2 界面同步显示：频谱分析图、潮气呼吸容积阻抗图、阻抗容积图、USG 解释图、结构参数图；支持手动 / 自动截取数据片段、重复性判定，系统自动出具解读结论及正式报告。</w:t>
            </w:r>
          </w:p>
          <w:p w14:paraId="065E1A6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（六）呼出气一氧化碳（CO）检测功能</w:t>
            </w:r>
          </w:p>
          <w:p w14:paraId="6B8D32A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1、功能用途 用于戒烟门诊患者 FeCO 浓度筛查评估。</w:t>
            </w:r>
          </w:p>
          <w:p w14:paraId="6C6362B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2、硬件与功能 采用电化学 CO 传感器，终身免频繁更换，使用成本低；检测页面配备动画引导，辅助患者规范吹气。</w:t>
            </w:r>
          </w:p>
          <w:p w14:paraId="2826733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（七）呼吸肌力测定模块</w:t>
            </w:r>
          </w:p>
          <w:p w14:paraId="5DFCEF0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可检测参数：MIP（最大吸气压）、MEP（最大呼气压）。</w:t>
            </w:r>
          </w:p>
          <w:p w14:paraId="5F5BA347">
            <w:pPr>
              <w:keepNext w:val="0"/>
              <w:keepLines w:val="0"/>
              <w:pageBreakBefore w:val="0"/>
              <w:widowControl w:val="0"/>
              <w:numPr>
                <w:ilvl w:val="0"/>
                <w:numId w:val="2"/>
              </w:numPr>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肺功能信息化管理软件系统</w:t>
            </w:r>
          </w:p>
          <w:p w14:paraId="54C18F3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（一）基础患者与流程管理</w:t>
            </w:r>
          </w:p>
          <w:p w14:paraId="48BEFD9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1、支持患者快速检索、报告查询、设备运维等快捷操作；设置定期质控、待解读 / 待审核报告、风险指标待办提醒。</w:t>
            </w:r>
          </w:p>
          <w:p w14:paraId="5E99255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2、全流程患者管理：区分应检、待检、已检人群，对应检患者专项标识，提升检测完成率。</w:t>
            </w:r>
          </w:p>
          <w:p w14:paraId="2F1E4A0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3、需</w:t>
            </w:r>
            <w:r>
              <w:rPr>
                <w:rFonts w:hint="eastAsia" w:ascii="Arial" w:hAnsi="Arial" w:cs="Arial"/>
                <w:b w:val="0"/>
                <w:bCs w:val="0"/>
                <w:sz w:val="21"/>
                <w:szCs w:val="21"/>
                <w:highlight w:val="none"/>
                <w:lang w:val="en-US" w:eastAsia="zh-CN"/>
              </w:rPr>
              <w:t>不收取费用</w:t>
            </w:r>
            <w:r>
              <w:rPr>
                <w:rFonts w:hint="default" w:ascii="Arial" w:hAnsi="Arial" w:eastAsia="宋体" w:cs="Arial"/>
                <w:b w:val="0"/>
                <w:bCs w:val="0"/>
                <w:sz w:val="21"/>
                <w:szCs w:val="21"/>
                <w:highlight w:val="none"/>
                <w:lang w:val="en-US" w:eastAsia="zh-CN"/>
              </w:rPr>
              <w:t>对接</w:t>
            </w:r>
            <w:r>
              <w:rPr>
                <w:rFonts w:hint="eastAsia" w:ascii="Arial" w:hAnsi="Arial" w:cs="Arial"/>
                <w:b w:val="0"/>
                <w:bCs w:val="0"/>
                <w:sz w:val="21"/>
                <w:szCs w:val="21"/>
                <w:highlight w:val="none"/>
                <w:lang w:val="en-US" w:eastAsia="zh-CN"/>
              </w:rPr>
              <w:t>采购人</w:t>
            </w:r>
            <w:r>
              <w:rPr>
                <w:rFonts w:hint="default" w:ascii="Arial" w:hAnsi="Arial" w:eastAsia="宋体" w:cs="Arial"/>
                <w:b w:val="0"/>
                <w:bCs w:val="0"/>
                <w:sz w:val="21"/>
                <w:szCs w:val="21"/>
                <w:highlight w:val="none"/>
                <w:lang w:val="en-US" w:eastAsia="zh-CN"/>
              </w:rPr>
              <w:t>HIS 系统，自动同步检查医嘱、预约状态、执行状态，全流程跟踪管理，提升临床效率。</w:t>
            </w:r>
          </w:p>
          <w:p w14:paraId="5290BFC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（二）报告与数据综合管理</w:t>
            </w:r>
          </w:p>
          <w:p w14:paraId="30ADAF8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1、患者档案整合：集中存储肺功能全类型报告；支持历史报告对比、关键指标趋势曲线图绘制。</w:t>
            </w:r>
          </w:p>
          <w:p w14:paraId="2FB4462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2、搭建多院区、多科室统一报告解读平台，集中审核、统一质控，降低人力成本。</w:t>
            </w:r>
          </w:p>
          <w:p w14:paraId="3E5CD16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3、全院数据库：支持全院、多院区数据汇总、检索、统计，所有报告分类归档。</w:t>
            </w:r>
          </w:p>
          <w:p w14:paraId="645C39F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（三）系统权限与运维</w:t>
            </w:r>
          </w:p>
          <w:p w14:paraId="0B8D141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1、角色权限管理：可维护科室、设备、医护人员信息，按岗位分配操作、审核、管理等不同权限。</w:t>
            </w:r>
          </w:p>
          <w:p w14:paraId="7089A7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2、数据导出：所有统计报表、患者数据支持 Excel 格式导出；软件具备正规计算机软件著作权证书。</w:t>
            </w:r>
          </w:p>
          <w:p w14:paraId="3AE908D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3、通讯协议：支持 HTTP 协议完成患者信息、PDF 报告自动解析与同步。支持第三方设备报告上传、数据导入。</w:t>
            </w:r>
          </w:p>
          <w:p w14:paraId="5B7CC0C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四、呼吸康复管理系统及配套设备</w:t>
            </w:r>
          </w:p>
          <w:p w14:paraId="4037160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1、患者档案管理：信息登记、关键词检索，记录全周期康复数据。智能评估与处方：自动完成 GOLD 分级、COPD 分组、BODE 评分，智能推荐个性化运动及训练处方。</w:t>
            </w:r>
          </w:p>
          <w:p w14:paraId="43AE3F3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2、趋势统计：单患者周数据对比、全院患者数据可视化统计；开放接口，支持第三方设备报告上传、数据导入。</w:t>
            </w:r>
          </w:p>
          <w:p w14:paraId="6453A70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3、需配置便携式肺功能仪、六分钟步行试验、呼吸神经肌肉刺激仪、呼吸压力与训练排痰设备并提供对应产品的注册证与软著。</w:t>
            </w:r>
          </w:p>
          <w:p w14:paraId="3AC0ABC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五、其他要求</w:t>
            </w:r>
          </w:p>
          <w:p w14:paraId="75419BA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1、整机全面支持院内 HIS 系统对接，实现医嘱、患者信息、报告数据双向流转。</w:t>
            </w:r>
          </w:p>
          <w:p w14:paraId="2261935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2、全系统支持报告预览、下载、打印，模板丰富，适配体检、临床、康复、职业病等多场景使用。</w:t>
            </w:r>
          </w:p>
          <w:p w14:paraId="1851F92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3、所有硬件、软件、耗材需提供统一售后、校准、质控服务。</w:t>
            </w:r>
          </w:p>
          <w:p w14:paraId="055A73AB">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Pr>
                <w:rFonts w:hint="default" w:ascii="Arial" w:hAnsi="Arial" w:eastAsia="宋体" w:cs="Arial"/>
                <w:color w:val="000000"/>
                <w:sz w:val="21"/>
                <w:szCs w:val="21"/>
                <w:highlight w:val="none"/>
                <w:lang w:val="en-US" w:eastAsia="zh-CN"/>
              </w:rPr>
            </w:pPr>
            <w:r>
              <w:rPr>
                <w:rFonts w:hint="default" w:ascii="Arial" w:hAnsi="Arial" w:eastAsia="宋体" w:cs="Arial"/>
                <w:color w:val="000000"/>
                <w:sz w:val="21"/>
                <w:szCs w:val="21"/>
                <w:highlight w:val="none"/>
              </w:rPr>
              <w:t>配置清单</w:t>
            </w:r>
            <w:r>
              <w:rPr>
                <w:rFonts w:hint="default" w:ascii="Arial" w:hAnsi="Arial" w:eastAsia="宋体" w:cs="Arial"/>
                <w:color w:val="000000"/>
                <w:sz w:val="21"/>
                <w:szCs w:val="21"/>
                <w:highlight w:val="none"/>
                <w:lang w:val="en-US" w:eastAsia="zh-CN"/>
              </w:rPr>
              <w:t>至少包括</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
              <w:gridCol w:w="2388"/>
              <w:gridCol w:w="846"/>
              <w:gridCol w:w="2160"/>
            </w:tblGrid>
            <w:tr w14:paraId="0D30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33223973">
                  <w:pPr>
                    <w:numPr>
                      <w:ilvl w:val="0"/>
                      <w:numId w:val="0"/>
                    </w:numPr>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序号</w:t>
                  </w:r>
                </w:p>
              </w:tc>
              <w:tc>
                <w:tcPr>
                  <w:tcW w:w="2388" w:type="dxa"/>
                  <w:noWrap w:val="0"/>
                  <w:vAlign w:val="center"/>
                </w:tcPr>
                <w:p w14:paraId="23EE723B">
                  <w:pPr>
                    <w:numPr>
                      <w:ilvl w:val="0"/>
                      <w:numId w:val="0"/>
                    </w:numPr>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设备 / 配件名称</w:t>
                  </w:r>
                </w:p>
              </w:tc>
              <w:tc>
                <w:tcPr>
                  <w:tcW w:w="739" w:type="dxa"/>
                  <w:noWrap w:val="0"/>
                  <w:vAlign w:val="center"/>
                </w:tcPr>
                <w:p w14:paraId="26D5158E">
                  <w:pPr>
                    <w:numPr>
                      <w:ilvl w:val="0"/>
                      <w:numId w:val="0"/>
                    </w:numPr>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数量</w:t>
                  </w:r>
                </w:p>
              </w:tc>
              <w:tc>
                <w:tcPr>
                  <w:tcW w:w="2160" w:type="dxa"/>
                  <w:noWrap w:val="0"/>
                  <w:vAlign w:val="center"/>
                </w:tcPr>
                <w:p w14:paraId="27316931">
                  <w:pPr>
                    <w:numPr>
                      <w:ilvl w:val="0"/>
                      <w:numId w:val="0"/>
                    </w:numPr>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备注</w:t>
                  </w:r>
                </w:p>
              </w:tc>
            </w:tr>
            <w:tr w14:paraId="050E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09C4807D">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w:t>
                  </w:r>
                </w:p>
              </w:tc>
              <w:tc>
                <w:tcPr>
                  <w:tcW w:w="2388" w:type="dxa"/>
                  <w:noWrap w:val="0"/>
                  <w:vAlign w:val="center"/>
                </w:tcPr>
                <w:p w14:paraId="19AF0B53">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常规肺通气模块</w:t>
                  </w:r>
                </w:p>
              </w:tc>
              <w:tc>
                <w:tcPr>
                  <w:tcW w:w="739" w:type="dxa"/>
                  <w:noWrap w:val="0"/>
                  <w:vAlign w:val="center"/>
                </w:tcPr>
                <w:p w14:paraId="22848E19">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2103F07F">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 xml:space="preserve"> </w:t>
                  </w:r>
                </w:p>
              </w:tc>
            </w:tr>
            <w:tr w14:paraId="6A07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0D78818E">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2</w:t>
                  </w:r>
                </w:p>
              </w:tc>
              <w:tc>
                <w:tcPr>
                  <w:tcW w:w="2388" w:type="dxa"/>
                  <w:noWrap w:val="0"/>
                  <w:vAlign w:val="center"/>
                </w:tcPr>
                <w:p w14:paraId="134B134B">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肺弥散模块</w:t>
                  </w:r>
                </w:p>
              </w:tc>
              <w:tc>
                <w:tcPr>
                  <w:tcW w:w="739" w:type="dxa"/>
                  <w:noWrap w:val="0"/>
                  <w:vAlign w:val="center"/>
                </w:tcPr>
                <w:p w14:paraId="1C585F8A">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247CAFEA">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p>
              </w:tc>
            </w:tr>
            <w:tr w14:paraId="76BD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2E5D9ABF">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3</w:t>
                  </w:r>
                </w:p>
              </w:tc>
              <w:tc>
                <w:tcPr>
                  <w:tcW w:w="2388" w:type="dxa"/>
                  <w:noWrap w:val="0"/>
                  <w:vAlign w:val="center"/>
                </w:tcPr>
                <w:p w14:paraId="6BF2F0E0">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环境模块（自动温湿度、大气压检测）</w:t>
                  </w:r>
                </w:p>
              </w:tc>
              <w:tc>
                <w:tcPr>
                  <w:tcW w:w="739" w:type="dxa"/>
                  <w:noWrap w:val="0"/>
                  <w:vAlign w:val="center"/>
                </w:tcPr>
                <w:p w14:paraId="5F7F82F2">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1472BE82">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p>
              </w:tc>
            </w:tr>
            <w:tr w14:paraId="1F57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3C1C82B5">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4</w:t>
                  </w:r>
                </w:p>
              </w:tc>
              <w:tc>
                <w:tcPr>
                  <w:tcW w:w="2388" w:type="dxa"/>
                  <w:noWrap w:val="0"/>
                  <w:vAlign w:val="center"/>
                </w:tcPr>
                <w:p w14:paraId="135F57B2">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医用台车工作站</w:t>
                  </w:r>
                </w:p>
              </w:tc>
              <w:tc>
                <w:tcPr>
                  <w:tcW w:w="739" w:type="dxa"/>
                  <w:noWrap w:val="0"/>
                  <w:vAlign w:val="center"/>
                </w:tcPr>
                <w:p w14:paraId="168B7694">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67F410B1">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含工业电脑、打印机、原厂检测软件</w:t>
                  </w:r>
                </w:p>
              </w:tc>
            </w:tr>
            <w:tr w14:paraId="3649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635D80B8">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5</w:t>
                  </w:r>
                </w:p>
              </w:tc>
              <w:tc>
                <w:tcPr>
                  <w:tcW w:w="2388" w:type="dxa"/>
                  <w:noWrap w:val="0"/>
                  <w:vAlign w:val="center"/>
                </w:tcPr>
                <w:p w14:paraId="1F799EB5">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激发试验模块</w:t>
                  </w:r>
                </w:p>
              </w:tc>
              <w:tc>
                <w:tcPr>
                  <w:tcW w:w="739" w:type="dxa"/>
                  <w:noWrap w:val="0"/>
                  <w:vAlign w:val="center"/>
                </w:tcPr>
                <w:p w14:paraId="520BECA9">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5118884F">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 xml:space="preserve"> （APS）</w:t>
                  </w:r>
                </w:p>
              </w:tc>
            </w:tr>
            <w:tr w14:paraId="4EFC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355947B8">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6</w:t>
                  </w:r>
                </w:p>
              </w:tc>
              <w:tc>
                <w:tcPr>
                  <w:tcW w:w="2388" w:type="dxa"/>
                  <w:noWrap w:val="0"/>
                  <w:vAlign w:val="center"/>
                </w:tcPr>
                <w:p w14:paraId="6CC71130">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脉冲振荡 IOS 模块</w:t>
                  </w:r>
                </w:p>
              </w:tc>
              <w:tc>
                <w:tcPr>
                  <w:tcW w:w="739" w:type="dxa"/>
                  <w:noWrap w:val="0"/>
                  <w:vAlign w:val="center"/>
                </w:tcPr>
                <w:p w14:paraId="1B556BEF">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5D0AB3F3">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 xml:space="preserve"> （IOS）</w:t>
                  </w:r>
                </w:p>
              </w:tc>
            </w:tr>
            <w:tr w14:paraId="7DF2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2BAE6116">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7</w:t>
                  </w:r>
                </w:p>
              </w:tc>
              <w:tc>
                <w:tcPr>
                  <w:tcW w:w="2388" w:type="dxa"/>
                  <w:noWrap w:val="0"/>
                  <w:vAlign w:val="center"/>
                </w:tcPr>
                <w:p w14:paraId="7ACB1E92">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一氧化碳/一氧化氮检测仪器</w:t>
                  </w:r>
                </w:p>
              </w:tc>
              <w:tc>
                <w:tcPr>
                  <w:tcW w:w="739" w:type="dxa"/>
                  <w:noWrap w:val="0"/>
                  <w:vAlign w:val="center"/>
                </w:tcPr>
                <w:p w14:paraId="12658D3D">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lang w:val="en-US" w:eastAsia="zh-CN"/>
                    </w:rPr>
                    <w:t>1</w:t>
                  </w:r>
                  <w:r>
                    <w:rPr>
                      <w:rFonts w:hint="default" w:ascii="Arial" w:hAnsi="Arial" w:eastAsia="宋体" w:cs="Arial"/>
                      <w:sz w:val="21"/>
                      <w:szCs w:val="21"/>
                      <w:highlight w:val="none"/>
                    </w:rPr>
                    <w:t>套</w:t>
                  </w:r>
                </w:p>
              </w:tc>
              <w:tc>
                <w:tcPr>
                  <w:tcW w:w="2160" w:type="dxa"/>
                  <w:noWrap w:val="0"/>
                  <w:vAlign w:val="center"/>
                </w:tcPr>
                <w:p w14:paraId="7EAB160B">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p>
              </w:tc>
            </w:tr>
            <w:tr w14:paraId="7471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6EB3F1E2">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8</w:t>
                  </w:r>
                </w:p>
              </w:tc>
              <w:tc>
                <w:tcPr>
                  <w:tcW w:w="2388" w:type="dxa"/>
                  <w:noWrap w:val="0"/>
                  <w:vAlign w:val="center"/>
                </w:tcPr>
                <w:p w14:paraId="6D1959CE">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全院肺功能管理系统 + 呼吸康复管理系统</w:t>
                  </w:r>
                </w:p>
              </w:tc>
              <w:tc>
                <w:tcPr>
                  <w:tcW w:w="739" w:type="dxa"/>
                  <w:noWrap w:val="0"/>
                  <w:vAlign w:val="center"/>
                </w:tcPr>
                <w:p w14:paraId="42E4855A">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0201CC4C">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含加密 U 盘、软件著作权，支持 HIS 对接</w:t>
                  </w:r>
                </w:p>
              </w:tc>
            </w:tr>
            <w:tr w14:paraId="3E05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5C5BB6DD">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9</w:t>
                  </w:r>
                </w:p>
              </w:tc>
              <w:tc>
                <w:tcPr>
                  <w:tcW w:w="2388" w:type="dxa"/>
                  <w:noWrap w:val="0"/>
                  <w:vAlign w:val="center"/>
                </w:tcPr>
                <w:p w14:paraId="6B934769">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3L 标准定标桶</w:t>
                  </w:r>
                </w:p>
              </w:tc>
              <w:tc>
                <w:tcPr>
                  <w:tcW w:w="739" w:type="dxa"/>
                  <w:noWrap w:val="0"/>
                  <w:vAlign w:val="center"/>
                </w:tcPr>
                <w:p w14:paraId="2C5BF730">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个</w:t>
                  </w:r>
                </w:p>
              </w:tc>
              <w:tc>
                <w:tcPr>
                  <w:tcW w:w="2160" w:type="dxa"/>
                  <w:noWrap w:val="0"/>
                  <w:vAlign w:val="center"/>
                </w:tcPr>
                <w:p w14:paraId="72EA4686">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p>
              </w:tc>
            </w:tr>
            <w:tr w14:paraId="5D88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58E519B1">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10</w:t>
                  </w:r>
                </w:p>
              </w:tc>
              <w:tc>
                <w:tcPr>
                  <w:tcW w:w="2388" w:type="dxa"/>
                  <w:noWrap w:val="0"/>
                  <w:vAlign w:val="center"/>
                </w:tcPr>
                <w:p w14:paraId="08537A53">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肺弥散专用测试气体 + 减压表</w:t>
                  </w:r>
                </w:p>
              </w:tc>
              <w:tc>
                <w:tcPr>
                  <w:tcW w:w="739" w:type="dxa"/>
                  <w:noWrap w:val="0"/>
                  <w:vAlign w:val="center"/>
                </w:tcPr>
                <w:p w14:paraId="32066A70">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49DCC58C">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p>
              </w:tc>
            </w:tr>
            <w:tr w14:paraId="7084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3D3C6B8F">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11</w:t>
                  </w:r>
                </w:p>
              </w:tc>
              <w:tc>
                <w:tcPr>
                  <w:tcW w:w="2388" w:type="dxa"/>
                  <w:noWrap w:val="0"/>
                  <w:vAlign w:val="center"/>
                </w:tcPr>
                <w:p w14:paraId="0582E875">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肺功能专用咬嘴</w:t>
                  </w:r>
                </w:p>
              </w:tc>
              <w:tc>
                <w:tcPr>
                  <w:tcW w:w="739" w:type="dxa"/>
                  <w:noWrap w:val="0"/>
                  <w:vAlign w:val="center"/>
                </w:tcPr>
                <w:p w14:paraId="6E6CE072">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50</w:t>
                  </w:r>
                  <w:r>
                    <w:rPr>
                      <w:rFonts w:hint="default" w:ascii="Arial" w:hAnsi="Arial" w:eastAsia="宋体" w:cs="Arial"/>
                      <w:sz w:val="21"/>
                      <w:szCs w:val="21"/>
                      <w:highlight w:val="none"/>
                      <w:lang w:val="en-US" w:eastAsia="zh-CN"/>
                    </w:rPr>
                    <w:t>0</w:t>
                  </w:r>
                  <w:r>
                    <w:rPr>
                      <w:rFonts w:hint="default" w:ascii="Arial" w:hAnsi="Arial" w:eastAsia="宋体" w:cs="Arial"/>
                      <w:sz w:val="21"/>
                      <w:szCs w:val="21"/>
                      <w:highlight w:val="none"/>
                    </w:rPr>
                    <w:t>个</w:t>
                  </w:r>
                </w:p>
              </w:tc>
              <w:tc>
                <w:tcPr>
                  <w:tcW w:w="2160" w:type="dxa"/>
                  <w:noWrap w:val="0"/>
                  <w:vAlign w:val="center"/>
                </w:tcPr>
                <w:p w14:paraId="651F3F21">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p>
              </w:tc>
            </w:tr>
            <w:tr w14:paraId="2DEA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7A94CF80">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12</w:t>
                  </w:r>
                </w:p>
              </w:tc>
              <w:tc>
                <w:tcPr>
                  <w:tcW w:w="2388" w:type="dxa"/>
                  <w:noWrap w:val="0"/>
                  <w:vAlign w:val="center"/>
                </w:tcPr>
                <w:p w14:paraId="17CCCF84">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说明书、产品合格证、</w:t>
                  </w:r>
                  <w:r>
                    <w:rPr>
                      <w:rFonts w:hint="default" w:ascii="Arial" w:hAnsi="Arial" w:eastAsia="宋体" w:cs="Arial"/>
                      <w:sz w:val="21"/>
                      <w:szCs w:val="21"/>
                      <w:highlight w:val="none"/>
                      <w:lang w:val="en-US" w:eastAsia="zh-CN"/>
                    </w:rPr>
                    <w:t>检验报告、保修卡</w:t>
                  </w:r>
                </w:p>
              </w:tc>
              <w:tc>
                <w:tcPr>
                  <w:tcW w:w="739" w:type="dxa"/>
                  <w:noWrap w:val="0"/>
                  <w:vAlign w:val="center"/>
                </w:tcPr>
                <w:p w14:paraId="75449F2D">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 套</w:t>
                  </w:r>
                </w:p>
              </w:tc>
              <w:tc>
                <w:tcPr>
                  <w:tcW w:w="2160" w:type="dxa"/>
                  <w:noWrap w:val="0"/>
                  <w:vAlign w:val="center"/>
                </w:tcPr>
                <w:p w14:paraId="7DED970E">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p>
              </w:tc>
            </w:tr>
            <w:tr w14:paraId="0AAD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noWrap w:val="0"/>
                  <w:vAlign w:val="center"/>
                </w:tcPr>
                <w:p w14:paraId="219A2E56">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13</w:t>
                  </w:r>
                </w:p>
              </w:tc>
              <w:tc>
                <w:tcPr>
                  <w:tcW w:w="2388" w:type="dxa"/>
                  <w:noWrap w:val="0"/>
                  <w:vAlign w:val="center"/>
                </w:tcPr>
                <w:p w14:paraId="7317AE84">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配套呼吸康复设备</w:t>
                  </w:r>
                </w:p>
              </w:tc>
              <w:tc>
                <w:tcPr>
                  <w:tcW w:w="739" w:type="dxa"/>
                  <w:noWrap w:val="0"/>
                  <w:vAlign w:val="center"/>
                </w:tcPr>
                <w:p w14:paraId="1D713E96">
                  <w:pPr>
                    <w:numPr>
                      <w:ilvl w:val="0"/>
                      <w:numId w:val="0"/>
                    </w:numPr>
                    <w:spacing w:line="240" w:lineRule="auto"/>
                    <w:ind w:left="0" w:leftChars="0"/>
                    <w:jc w:val="center"/>
                    <w:rPr>
                      <w:rFonts w:hint="default" w:ascii="Arial" w:hAnsi="Arial" w:eastAsia="宋体" w:cs="Arial"/>
                      <w:sz w:val="21"/>
                      <w:szCs w:val="21"/>
                      <w:highlight w:val="none"/>
                      <w:vertAlign w:val="baseline"/>
                      <w:lang w:val="en-US" w:eastAsia="zh-CN"/>
                    </w:rPr>
                  </w:pPr>
                  <w:r>
                    <w:rPr>
                      <w:rFonts w:hint="eastAsia"/>
                      <w:lang w:val="en-US" w:eastAsia="zh-CN"/>
                    </w:rPr>
                    <w:t>10台（套）</w:t>
                  </w:r>
                </w:p>
              </w:tc>
              <w:tc>
                <w:tcPr>
                  <w:tcW w:w="2160" w:type="dxa"/>
                  <w:noWrap w:val="0"/>
                  <w:vAlign w:val="center"/>
                </w:tcPr>
                <w:p w14:paraId="56EAF337">
                  <w:pPr>
                    <w:numPr>
                      <w:ilvl w:val="0"/>
                      <w:numId w:val="0"/>
                    </w:numPr>
                    <w:spacing w:line="240" w:lineRule="auto"/>
                    <w:ind w:left="0" w:leftChars="0"/>
                    <w:jc w:val="both"/>
                    <w:rPr>
                      <w:rFonts w:hint="default" w:ascii="Arial" w:hAnsi="Arial" w:eastAsia="宋体" w:cs="Arial"/>
                      <w:sz w:val="21"/>
                      <w:szCs w:val="21"/>
                      <w:highlight w:val="none"/>
                      <w:vertAlign w:val="baseline"/>
                      <w:lang w:val="en-US" w:eastAsia="zh-CN"/>
                    </w:rPr>
                  </w:pPr>
                  <w:r>
                    <w:rPr>
                      <w:rFonts w:hint="default" w:ascii="Arial" w:hAnsi="Arial" w:eastAsia="宋体" w:cs="Arial"/>
                      <w:sz w:val="21"/>
                      <w:szCs w:val="21"/>
                      <w:highlight w:val="none"/>
                    </w:rPr>
                    <w:t>六分钟步行试验系统 1 套</w:t>
                  </w:r>
                  <w:r>
                    <w:rPr>
                      <w:rFonts w:hint="default" w:ascii="Arial" w:hAnsi="Arial" w:eastAsia="宋体" w:cs="Arial"/>
                      <w:sz w:val="21"/>
                      <w:szCs w:val="21"/>
                      <w:highlight w:val="none"/>
                      <w:lang w:eastAsia="zh-CN"/>
                    </w:rPr>
                    <w:t>；</w:t>
                  </w:r>
                  <w:r>
                    <w:rPr>
                      <w:rFonts w:hint="default" w:ascii="Arial" w:hAnsi="Arial" w:eastAsia="宋体" w:cs="Arial"/>
                      <w:sz w:val="21"/>
                      <w:szCs w:val="21"/>
                      <w:highlight w:val="none"/>
                    </w:rPr>
                    <w:t xml:space="preserve">呼吸神经肌肉刺激仪 </w:t>
                  </w:r>
                  <w:r>
                    <w:rPr>
                      <w:rFonts w:hint="default" w:ascii="Arial" w:hAnsi="Arial" w:eastAsia="宋体" w:cs="Arial"/>
                      <w:sz w:val="21"/>
                      <w:szCs w:val="21"/>
                      <w:highlight w:val="none"/>
                      <w:lang w:val="en-US" w:eastAsia="zh-CN"/>
                    </w:rPr>
                    <w:t>3</w:t>
                  </w:r>
                  <w:r>
                    <w:rPr>
                      <w:rFonts w:hint="default" w:ascii="Arial" w:hAnsi="Arial" w:eastAsia="宋体" w:cs="Arial"/>
                      <w:sz w:val="21"/>
                      <w:szCs w:val="21"/>
                      <w:highlight w:val="none"/>
                    </w:rPr>
                    <w:t xml:space="preserve"> 台</w:t>
                  </w:r>
                  <w:r>
                    <w:rPr>
                      <w:rFonts w:hint="default" w:ascii="Arial" w:hAnsi="Arial" w:eastAsia="宋体" w:cs="Arial"/>
                      <w:sz w:val="21"/>
                      <w:szCs w:val="21"/>
                      <w:highlight w:val="none"/>
                      <w:lang w:eastAsia="zh-CN"/>
                    </w:rPr>
                    <w:t>；</w:t>
                  </w:r>
                  <w:r>
                    <w:rPr>
                      <w:rFonts w:hint="default" w:ascii="Arial" w:hAnsi="Arial" w:eastAsia="宋体" w:cs="Arial"/>
                      <w:sz w:val="21"/>
                      <w:szCs w:val="21"/>
                      <w:highlight w:val="none"/>
                    </w:rPr>
                    <w:t>便携式肺功能仪3 台</w:t>
                  </w:r>
                  <w:r>
                    <w:rPr>
                      <w:rFonts w:hint="default" w:ascii="Arial" w:hAnsi="Arial" w:eastAsia="宋体" w:cs="Arial"/>
                      <w:sz w:val="21"/>
                      <w:szCs w:val="21"/>
                      <w:highlight w:val="none"/>
                      <w:lang w:eastAsia="zh-CN"/>
                    </w:rPr>
                    <w:t>；</w:t>
                  </w:r>
                  <w:r>
                    <w:rPr>
                      <w:rFonts w:hint="default" w:ascii="Arial" w:hAnsi="Arial" w:eastAsia="宋体" w:cs="Arial"/>
                      <w:sz w:val="21"/>
                      <w:szCs w:val="21"/>
                      <w:highlight w:val="none"/>
                    </w:rPr>
                    <w:t>呼吸</w:t>
                  </w:r>
                  <w:r>
                    <w:rPr>
                      <w:rFonts w:hint="default" w:ascii="Arial" w:hAnsi="Arial" w:eastAsia="宋体" w:cs="Arial"/>
                      <w:sz w:val="21"/>
                      <w:szCs w:val="21"/>
                      <w:highlight w:val="none"/>
                      <w:lang w:val="en-US" w:eastAsia="zh-CN"/>
                    </w:rPr>
                    <w:t>压力与训练排痰设备</w:t>
                  </w:r>
                  <w:r>
                    <w:rPr>
                      <w:rFonts w:hint="default" w:ascii="Arial" w:hAnsi="Arial" w:eastAsia="宋体" w:cs="Arial"/>
                      <w:sz w:val="21"/>
                      <w:szCs w:val="21"/>
                      <w:highlight w:val="none"/>
                    </w:rPr>
                    <w:t>3台（套）。</w:t>
                  </w:r>
                </w:p>
              </w:tc>
            </w:tr>
          </w:tbl>
          <w:p w14:paraId="3178B1B3">
            <w:pPr>
              <w:snapToGrid/>
              <w:spacing w:line="240" w:lineRule="auto"/>
              <w:ind w:left="0" w:leftChars="0"/>
              <w:rPr>
                <w:rFonts w:hint="default" w:ascii="Arial" w:hAnsi="Arial" w:eastAsia="宋体" w:cs="Arial"/>
                <w:sz w:val="21"/>
                <w:szCs w:val="21"/>
                <w:highlight w:val="none"/>
                <w:lang w:val="en-US" w:eastAsia="zh-CN" w:bidi="ar"/>
              </w:rPr>
            </w:pPr>
          </w:p>
        </w:tc>
        <w:tc>
          <w:tcPr>
            <w:tcW w:w="464" w:type="dxa"/>
            <w:tcBorders>
              <w:top w:val="single" w:color="auto" w:sz="4" w:space="0"/>
              <w:left w:val="single" w:color="auto" w:sz="4" w:space="0"/>
              <w:bottom w:val="single" w:color="auto" w:sz="4" w:space="0"/>
              <w:right w:val="single" w:color="auto" w:sz="4" w:space="0"/>
            </w:tcBorders>
            <w:noWrap w:val="0"/>
            <w:vAlign w:val="center"/>
          </w:tcPr>
          <w:p w14:paraId="6CC13EC8">
            <w:pPr>
              <w:snapToGrid w:val="0"/>
              <w:spacing w:line="320" w:lineRule="exact"/>
              <w:jc w:val="center"/>
              <w:outlineLvl w:val="3"/>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1</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5CBB8FF8">
            <w:pPr>
              <w:adjustRightInd w:val="0"/>
              <w:snapToGrid w:val="0"/>
              <w:spacing w:line="360" w:lineRule="exact"/>
              <w:jc w:val="center"/>
              <w:outlineLvl w:val="3"/>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台</w:t>
            </w:r>
          </w:p>
        </w:tc>
      </w:tr>
    </w:tbl>
    <w:p w14:paraId="726788BC">
      <w:pPr>
        <w:pStyle w:val="3"/>
        <w:numPr>
          <w:ilvl w:val="0"/>
          <w:numId w:val="0"/>
        </w:numPr>
        <w:ind w:leftChars="0"/>
      </w:pPr>
    </w:p>
    <w:p w14:paraId="7F09BA51">
      <w:pPr>
        <w:rPr>
          <w:rFonts w:hint="eastAsia" w:cs="Times New Roman"/>
          <w:b/>
          <w:bCs/>
          <w:color w:val="auto"/>
          <w:kern w:val="2"/>
          <w:sz w:val="28"/>
          <w:szCs w:val="28"/>
          <w:lang w:val="en-US" w:eastAsia="zh-CN" w:bidi="ar-SA"/>
        </w:rPr>
      </w:pPr>
      <w:r>
        <w:rPr>
          <w:rFonts w:hint="eastAsia" w:cs="Times New Roman"/>
          <w:b/>
          <w:bCs/>
          <w:color w:val="auto"/>
          <w:kern w:val="2"/>
          <w:sz w:val="28"/>
          <w:szCs w:val="28"/>
          <w:lang w:val="en-US" w:eastAsia="zh-CN" w:bidi="ar-SA"/>
        </w:rPr>
        <w:br w:type="page"/>
      </w:r>
    </w:p>
    <w:p w14:paraId="0EC49B0E">
      <w:pPr>
        <w:jc w:val="left"/>
        <w:rPr>
          <w:rFonts w:hint="default"/>
          <w:b/>
          <w:bCs/>
          <w:color w:val="auto"/>
          <w:sz w:val="32"/>
          <w:szCs w:val="36"/>
          <w:highlight w:val="none"/>
          <w:lang w:val="en-US" w:eastAsia="zh-CN"/>
        </w:rPr>
      </w:pPr>
      <w:r>
        <w:rPr>
          <w:rFonts w:hint="eastAsia" w:cs="Times New Roman"/>
          <w:b/>
          <w:bCs/>
          <w:color w:val="auto"/>
          <w:kern w:val="2"/>
          <w:sz w:val="28"/>
          <w:szCs w:val="28"/>
          <w:lang w:val="en-US" w:eastAsia="zh-CN" w:bidi="ar-SA"/>
        </w:rPr>
        <w:t>标项二：</w:t>
      </w:r>
      <w:r>
        <w:rPr>
          <w:rFonts w:hint="eastAsia"/>
          <w:b/>
          <w:bCs/>
          <w:color w:val="auto"/>
          <w:sz w:val="28"/>
          <w:szCs w:val="28"/>
          <w:highlight w:val="none"/>
          <w:lang w:val="en-US" w:eastAsia="zh-CN"/>
        </w:rPr>
        <w:t>肺功能测试系统</w:t>
      </w:r>
    </w:p>
    <w:tbl>
      <w:tblPr>
        <w:tblStyle w:val="55"/>
        <w:tblW w:w="10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2067"/>
        <w:gridCol w:w="8273"/>
      </w:tblGrid>
      <w:tr w14:paraId="7910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464" w:hRule="atLeast"/>
          <w:jc w:val="center"/>
        </w:trPr>
        <w:tc>
          <w:tcPr>
            <w:tcW w:w="10340" w:type="dxa"/>
            <w:gridSpan w:val="2"/>
            <w:tcBorders>
              <w:top w:val="single" w:color="auto" w:sz="4" w:space="0"/>
              <w:left w:val="single" w:color="auto" w:sz="4" w:space="0"/>
              <w:bottom w:val="single" w:color="auto" w:sz="4" w:space="0"/>
              <w:right w:val="single" w:color="auto" w:sz="4" w:space="0"/>
            </w:tcBorders>
            <w:noWrap w:val="0"/>
            <w:vAlign w:val="center"/>
          </w:tcPr>
          <w:p w14:paraId="2DC5BE57">
            <w:pPr>
              <w:adjustRightInd w:val="0"/>
              <w:snapToGrid w:val="0"/>
              <w:spacing w:line="360" w:lineRule="exact"/>
              <w:jc w:val="left"/>
              <w:textAlignment w:val="center"/>
              <w:outlineLvl w:val="3"/>
              <w:rPr>
                <w:rFonts w:hint="default" w:ascii="Arial" w:hAnsi="Arial" w:eastAsia="宋体" w:cs="Arial"/>
                <w:b/>
                <w:color w:val="auto"/>
                <w:szCs w:val="21"/>
                <w:highlight w:val="none"/>
              </w:rPr>
            </w:pPr>
            <w:r>
              <w:rPr>
                <w:rFonts w:hint="default" w:ascii="Arial" w:hAnsi="Arial" w:eastAsia="仿宋_GB2312" w:cs="Arial"/>
                <w:color w:val="000000"/>
                <w:kern w:val="0"/>
                <w:sz w:val="21"/>
                <w:szCs w:val="21"/>
                <w:lang w:eastAsia="zh-CN" w:bidi="ar"/>
              </w:rPr>
              <w:t>▲</w:t>
            </w:r>
            <w:r>
              <w:rPr>
                <w:rFonts w:hint="default" w:ascii="Arial" w:hAnsi="Arial" w:eastAsia="宋体" w:cs="Arial"/>
                <w:b/>
                <w:color w:val="auto"/>
                <w:szCs w:val="21"/>
                <w:highlight w:val="none"/>
              </w:rPr>
              <w:t>商务要求</w:t>
            </w:r>
          </w:p>
        </w:tc>
      </w:tr>
      <w:tr w14:paraId="400A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2067" w:type="dxa"/>
            <w:tcBorders>
              <w:top w:val="single" w:color="auto" w:sz="4" w:space="0"/>
              <w:left w:val="single" w:color="auto" w:sz="4" w:space="0"/>
              <w:bottom w:val="single" w:color="auto" w:sz="4" w:space="0"/>
              <w:right w:val="single" w:color="auto" w:sz="4" w:space="0"/>
            </w:tcBorders>
            <w:noWrap w:val="0"/>
            <w:vAlign w:val="center"/>
          </w:tcPr>
          <w:p w14:paraId="2E062FFE">
            <w:pPr>
              <w:spacing w:line="360" w:lineRule="exact"/>
              <w:jc w:val="center"/>
              <w:rPr>
                <w:rFonts w:hint="default" w:ascii="Arial" w:hAnsi="Arial" w:eastAsia="宋体" w:cs="Arial"/>
                <w:b/>
                <w:color w:val="auto"/>
                <w:sz w:val="21"/>
                <w:szCs w:val="21"/>
                <w:highlight w:val="none"/>
                <w:lang w:eastAsia="zh-CN" w:bidi="ar"/>
              </w:rPr>
            </w:pPr>
            <w:r>
              <w:rPr>
                <w:rFonts w:hint="default" w:ascii="Arial" w:hAnsi="Arial" w:eastAsia="宋体" w:cs="Arial"/>
                <w:b/>
                <w:color w:val="auto"/>
                <w:sz w:val="21"/>
                <w:szCs w:val="21"/>
                <w:highlight w:val="none"/>
                <w:lang w:eastAsia="zh-CN" w:bidi="ar"/>
              </w:rPr>
              <w:t>合同签订时间及</w:t>
            </w:r>
          </w:p>
          <w:p w14:paraId="1D34039A">
            <w:pPr>
              <w:kinsoku/>
              <w:autoSpaceDE/>
              <w:autoSpaceDN/>
              <w:adjustRightInd/>
              <w:snapToGrid/>
              <w:spacing w:line="420" w:lineRule="exact"/>
              <w:ind w:firstLine="13" w:firstLineChars="6"/>
              <w:jc w:val="center"/>
              <w:textAlignment w:val="auto"/>
              <w:rPr>
                <w:rFonts w:hint="default" w:ascii="Arial" w:hAnsi="Arial" w:eastAsia="宋体" w:cs="Arial"/>
                <w:b/>
                <w:color w:val="auto"/>
                <w:kern w:val="0"/>
                <w:szCs w:val="21"/>
                <w:highlight w:val="none"/>
              </w:rPr>
            </w:pPr>
            <w:r>
              <w:rPr>
                <w:rFonts w:hint="default" w:ascii="Arial" w:hAnsi="Arial" w:eastAsia="宋体" w:cs="Arial"/>
                <w:b/>
                <w:color w:val="auto"/>
                <w:sz w:val="21"/>
                <w:szCs w:val="21"/>
                <w:highlight w:val="none"/>
                <w:lang w:eastAsia="zh-CN" w:bidi="ar"/>
              </w:rPr>
              <w:t>地点</w:t>
            </w:r>
          </w:p>
        </w:tc>
        <w:tc>
          <w:tcPr>
            <w:tcW w:w="8273" w:type="dxa"/>
            <w:tcBorders>
              <w:top w:val="single" w:color="auto" w:sz="4" w:space="0"/>
              <w:left w:val="single" w:color="auto" w:sz="4" w:space="0"/>
              <w:bottom w:val="single" w:color="auto" w:sz="4" w:space="0"/>
              <w:right w:val="single" w:color="auto" w:sz="4" w:space="0"/>
            </w:tcBorders>
            <w:noWrap w:val="0"/>
            <w:vAlign w:val="center"/>
          </w:tcPr>
          <w:p w14:paraId="347B074A">
            <w:pPr>
              <w:keepNext w:val="0"/>
              <w:keepLines w:val="0"/>
              <w:pageBreakBefore w:val="0"/>
              <w:widowControl/>
              <w:kinsoku/>
              <w:wordWrap/>
              <w:overflowPunct/>
              <w:topLinePunct w:val="0"/>
              <w:autoSpaceDE/>
              <w:autoSpaceDN/>
              <w:bidi w:val="0"/>
              <w:adjustRightInd/>
              <w:snapToGrid/>
              <w:spacing w:line="420" w:lineRule="exact"/>
              <w:ind w:firstLine="12" w:firstLineChars="6"/>
              <w:jc w:val="both"/>
              <w:textAlignment w:val="auto"/>
              <w:rPr>
                <w:rFonts w:hint="default" w:ascii="Arial" w:hAnsi="Arial" w:eastAsia="宋体" w:cs="Arial"/>
                <w:color w:val="auto"/>
                <w:sz w:val="21"/>
                <w:szCs w:val="21"/>
                <w:highlight w:val="none"/>
                <w:lang w:eastAsia="zh-CN" w:bidi="ar"/>
              </w:rPr>
            </w:pPr>
            <w:r>
              <w:rPr>
                <w:rFonts w:hint="default" w:ascii="Arial" w:hAnsi="Arial" w:eastAsia="宋体" w:cs="Arial"/>
                <w:color w:val="auto"/>
                <w:sz w:val="21"/>
                <w:szCs w:val="21"/>
                <w:highlight w:val="none"/>
                <w:lang w:eastAsia="zh-CN" w:bidi="ar"/>
              </w:rPr>
              <w:t>1</w:t>
            </w:r>
            <w:r>
              <w:rPr>
                <w:rFonts w:hint="default" w:ascii="Arial" w:hAnsi="Arial" w:eastAsia="宋体" w:cs="Arial"/>
                <w:color w:val="auto"/>
                <w:sz w:val="21"/>
                <w:szCs w:val="21"/>
                <w:highlight w:val="none"/>
                <w:lang w:val="en-US" w:eastAsia="zh-CN" w:bidi="ar"/>
              </w:rPr>
              <w:t>.</w:t>
            </w:r>
            <w:r>
              <w:rPr>
                <w:rFonts w:hint="default" w:ascii="Arial" w:hAnsi="Arial" w:eastAsia="宋体" w:cs="Arial"/>
                <w:color w:val="auto"/>
                <w:sz w:val="21"/>
                <w:szCs w:val="21"/>
                <w:highlight w:val="none"/>
                <w:lang w:eastAsia="zh-CN" w:bidi="ar"/>
              </w:rPr>
              <w:t>签订合同时间：自中标通知书发出之日25日内。</w:t>
            </w:r>
          </w:p>
          <w:p w14:paraId="3CD254CA">
            <w:pPr>
              <w:keepNext w:val="0"/>
              <w:keepLines w:val="0"/>
              <w:pageBreakBefore w:val="0"/>
              <w:widowControl/>
              <w:kinsoku/>
              <w:wordWrap/>
              <w:overflowPunct/>
              <w:topLinePunct w:val="0"/>
              <w:autoSpaceDE/>
              <w:autoSpaceDN/>
              <w:bidi w:val="0"/>
              <w:adjustRightInd/>
              <w:snapToGrid/>
              <w:spacing w:line="420" w:lineRule="exact"/>
              <w:ind w:firstLine="12" w:firstLineChars="6"/>
              <w:jc w:val="both"/>
              <w:textAlignment w:val="auto"/>
              <w:rPr>
                <w:rFonts w:hint="default" w:ascii="Arial" w:hAnsi="Arial" w:eastAsia="宋体" w:cs="Arial"/>
                <w:b w:val="0"/>
                <w:bCs w:val="0"/>
                <w:color w:val="auto"/>
                <w:sz w:val="21"/>
                <w:szCs w:val="21"/>
                <w:highlight w:val="none"/>
              </w:rPr>
            </w:pPr>
            <w:r>
              <w:rPr>
                <w:rFonts w:hint="default" w:ascii="Arial" w:hAnsi="Arial" w:eastAsia="宋体" w:cs="Arial"/>
                <w:color w:val="auto"/>
                <w:sz w:val="21"/>
                <w:szCs w:val="21"/>
                <w:highlight w:val="none"/>
                <w:lang w:eastAsia="zh-CN" w:bidi="ar"/>
              </w:rPr>
              <w:t>2</w:t>
            </w:r>
            <w:r>
              <w:rPr>
                <w:rFonts w:hint="default" w:ascii="Arial" w:hAnsi="Arial" w:eastAsia="宋体" w:cs="Arial"/>
                <w:color w:val="auto"/>
                <w:sz w:val="21"/>
                <w:szCs w:val="21"/>
                <w:highlight w:val="none"/>
                <w:lang w:val="en-US" w:eastAsia="zh-CN" w:bidi="ar"/>
              </w:rPr>
              <w:t>.</w:t>
            </w:r>
            <w:r>
              <w:rPr>
                <w:rFonts w:hint="default" w:ascii="Arial" w:hAnsi="Arial" w:eastAsia="宋体" w:cs="Arial"/>
                <w:color w:val="auto"/>
                <w:sz w:val="21"/>
                <w:szCs w:val="21"/>
                <w:highlight w:val="none"/>
                <w:lang w:eastAsia="zh-CN" w:bidi="ar"/>
              </w:rPr>
              <w:t>签订合同地点：广西壮族自治区南溪山医院（广西壮族自治区第二人民医院）指定地点。</w:t>
            </w:r>
          </w:p>
        </w:tc>
      </w:tr>
      <w:tr w14:paraId="079F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2067" w:type="dxa"/>
            <w:tcBorders>
              <w:top w:val="single" w:color="auto" w:sz="4" w:space="0"/>
              <w:left w:val="single" w:color="auto" w:sz="4" w:space="0"/>
              <w:bottom w:val="single" w:color="auto" w:sz="4" w:space="0"/>
              <w:right w:val="single" w:color="auto" w:sz="4" w:space="0"/>
            </w:tcBorders>
            <w:noWrap w:val="0"/>
            <w:vAlign w:val="center"/>
          </w:tcPr>
          <w:p w14:paraId="0EA60048">
            <w:pPr>
              <w:adjustRightInd w:val="0"/>
              <w:snapToGrid w:val="0"/>
              <w:spacing w:line="360" w:lineRule="auto"/>
              <w:jc w:val="center"/>
              <w:outlineLvl w:val="3"/>
              <w:rPr>
                <w:rFonts w:hint="default" w:ascii="Arial" w:hAnsi="Arial" w:eastAsia="宋体" w:cs="Arial"/>
                <w:b/>
                <w:color w:val="auto"/>
                <w:kern w:val="0"/>
                <w:sz w:val="21"/>
                <w:szCs w:val="21"/>
                <w:highlight w:val="none"/>
                <w:lang w:val="en-US" w:eastAsia="zh-CN" w:bidi="ar-SA"/>
              </w:rPr>
            </w:pPr>
            <w:r>
              <w:rPr>
                <w:rFonts w:hint="default" w:ascii="Arial" w:hAnsi="Arial" w:eastAsia="宋体" w:cs="Arial"/>
                <w:b/>
                <w:color w:val="auto"/>
                <w:kern w:val="0"/>
                <w:szCs w:val="21"/>
                <w:highlight w:val="none"/>
              </w:rPr>
              <w:t>交付时间及地点</w:t>
            </w:r>
          </w:p>
        </w:tc>
        <w:tc>
          <w:tcPr>
            <w:tcW w:w="8273" w:type="dxa"/>
            <w:tcBorders>
              <w:top w:val="single" w:color="auto" w:sz="4" w:space="0"/>
              <w:left w:val="single" w:color="auto" w:sz="4" w:space="0"/>
              <w:bottom w:val="single" w:color="auto" w:sz="4" w:space="0"/>
              <w:right w:val="single" w:color="auto" w:sz="4" w:space="0"/>
            </w:tcBorders>
            <w:noWrap w:val="0"/>
            <w:vAlign w:val="center"/>
          </w:tcPr>
          <w:p w14:paraId="533D5CD6">
            <w:pPr>
              <w:spacing w:line="400" w:lineRule="exact"/>
              <w:rPr>
                <w:rFonts w:hint="default" w:ascii="Arial" w:hAnsi="Arial" w:cs="Arial"/>
                <w:color w:val="auto"/>
                <w:szCs w:val="21"/>
                <w:highlight w:val="none"/>
              </w:rPr>
            </w:pPr>
            <w:r>
              <w:rPr>
                <w:rFonts w:hint="default" w:ascii="Arial" w:hAnsi="Arial" w:cs="Arial"/>
                <w:color w:val="auto"/>
                <w:szCs w:val="21"/>
                <w:highlight w:val="none"/>
                <w:lang w:val="en-US" w:eastAsia="zh-CN"/>
              </w:rPr>
              <w:t>1.</w:t>
            </w:r>
            <w:r>
              <w:rPr>
                <w:rFonts w:hint="default" w:ascii="Arial" w:hAnsi="Arial" w:cs="Arial"/>
                <w:color w:val="auto"/>
                <w:szCs w:val="21"/>
                <w:highlight w:val="none"/>
              </w:rPr>
              <w:t>交付时间：</w:t>
            </w:r>
            <w:r>
              <w:rPr>
                <w:rFonts w:hint="default" w:ascii="Arial" w:hAnsi="Arial" w:cs="Arial"/>
                <w:szCs w:val="21"/>
              </w:rPr>
              <w:t>自签订合同之日起30</w:t>
            </w:r>
            <w:r>
              <w:rPr>
                <w:rFonts w:hint="eastAsia" w:ascii="Times New Roman" w:hAnsi="Times New Roman" w:cs="宋体"/>
                <w:color w:val="000000"/>
                <w:szCs w:val="21"/>
                <w:highlight w:val="none"/>
              </w:rPr>
              <w:t>个日历日</w:t>
            </w:r>
            <w:r>
              <w:rPr>
                <w:rFonts w:hint="default" w:ascii="Arial" w:hAnsi="Arial" w:cs="Arial"/>
                <w:szCs w:val="21"/>
              </w:rPr>
              <w:t>内安装调试并交付使用</w:t>
            </w:r>
            <w:r>
              <w:rPr>
                <w:rFonts w:hint="default" w:ascii="Arial" w:hAnsi="Arial" w:cs="Arial"/>
                <w:color w:val="auto"/>
                <w:szCs w:val="21"/>
                <w:highlight w:val="none"/>
              </w:rPr>
              <w:t>。</w:t>
            </w:r>
          </w:p>
          <w:p w14:paraId="11B28F83">
            <w:pPr>
              <w:adjustRightInd w:val="0"/>
              <w:snapToGrid w:val="0"/>
              <w:spacing w:line="360" w:lineRule="auto"/>
              <w:jc w:val="left"/>
              <w:outlineLvl w:val="3"/>
              <w:rPr>
                <w:rFonts w:hint="default" w:ascii="Arial" w:hAnsi="Arial" w:eastAsia="宋体" w:cs="Arial"/>
                <w:b w:val="0"/>
                <w:bCs w:val="0"/>
                <w:color w:val="auto"/>
                <w:kern w:val="2"/>
                <w:sz w:val="21"/>
                <w:szCs w:val="21"/>
                <w:highlight w:val="none"/>
                <w:lang w:val="en-US" w:eastAsia="zh-CN" w:bidi="ar-SA"/>
              </w:rPr>
            </w:pPr>
            <w:r>
              <w:rPr>
                <w:rFonts w:hint="default" w:ascii="Arial" w:hAnsi="Arial" w:cs="Arial"/>
                <w:color w:val="auto"/>
                <w:szCs w:val="21"/>
                <w:highlight w:val="none"/>
                <w:lang w:val="en-US" w:eastAsia="zh-CN"/>
              </w:rPr>
              <w:t>2.</w:t>
            </w:r>
            <w:r>
              <w:rPr>
                <w:rFonts w:hint="default" w:ascii="Arial" w:hAnsi="Arial" w:cs="Arial"/>
                <w:color w:val="auto"/>
                <w:szCs w:val="21"/>
                <w:highlight w:val="none"/>
              </w:rPr>
              <w:t>交付地点：</w:t>
            </w:r>
            <w:r>
              <w:rPr>
                <w:rFonts w:hint="default" w:ascii="Arial" w:hAnsi="Arial" w:cs="Arial"/>
                <w:color w:val="auto"/>
                <w:szCs w:val="21"/>
                <w:highlight w:val="none"/>
                <w:lang w:eastAsia="zh-CN"/>
              </w:rPr>
              <w:t>桂林市</w:t>
            </w:r>
            <w:r>
              <w:rPr>
                <w:rFonts w:hint="default" w:ascii="Arial" w:hAnsi="Arial" w:cs="Arial"/>
                <w:color w:val="auto"/>
                <w:szCs w:val="21"/>
                <w:highlight w:val="none"/>
              </w:rPr>
              <w:t>采购人指定地点。</w:t>
            </w:r>
          </w:p>
        </w:tc>
      </w:tr>
      <w:tr w14:paraId="670D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2067" w:type="dxa"/>
            <w:tcBorders>
              <w:top w:val="single" w:color="auto" w:sz="4" w:space="0"/>
              <w:left w:val="single" w:color="auto" w:sz="4" w:space="0"/>
              <w:bottom w:val="single" w:color="auto" w:sz="4" w:space="0"/>
              <w:right w:val="single" w:color="auto" w:sz="4" w:space="0"/>
            </w:tcBorders>
            <w:noWrap w:val="0"/>
            <w:vAlign w:val="center"/>
          </w:tcPr>
          <w:p w14:paraId="120AF7AF">
            <w:pPr>
              <w:adjustRightInd w:val="0"/>
              <w:snapToGrid w:val="0"/>
              <w:spacing w:line="360" w:lineRule="auto"/>
              <w:jc w:val="center"/>
              <w:outlineLvl w:val="3"/>
              <w:rPr>
                <w:rFonts w:hint="default" w:ascii="Arial" w:hAnsi="Arial" w:eastAsia="宋体" w:cs="Arial"/>
                <w:b/>
                <w:color w:val="auto"/>
                <w:kern w:val="0"/>
                <w:szCs w:val="21"/>
                <w:highlight w:val="none"/>
              </w:rPr>
            </w:pPr>
            <w:r>
              <w:rPr>
                <w:rFonts w:hint="default" w:ascii="Arial" w:hAnsi="Arial" w:eastAsia="宋体" w:cs="Arial"/>
                <w:b/>
                <w:color w:val="auto"/>
                <w:kern w:val="0"/>
                <w:szCs w:val="21"/>
                <w:highlight w:val="none"/>
              </w:rPr>
              <w:t>付款方式</w:t>
            </w:r>
          </w:p>
        </w:tc>
        <w:tc>
          <w:tcPr>
            <w:tcW w:w="8273" w:type="dxa"/>
            <w:tcBorders>
              <w:top w:val="single" w:color="auto" w:sz="4" w:space="0"/>
              <w:left w:val="single" w:color="auto" w:sz="4" w:space="0"/>
              <w:bottom w:val="single" w:color="auto" w:sz="4" w:space="0"/>
              <w:right w:val="single" w:color="auto" w:sz="4" w:space="0"/>
            </w:tcBorders>
            <w:noWrap w:val="0"/>
            <w:vAlign w:val="center"/>
          </w:tcPr>
          <w:p w14:paraId="3C62B46D">
            <w:pPr>
              <w:keepNext w:val="0"/>
              <w:keepLines w:val="0"/>
              <w:pageBreakBefore w:val="0"/>
              <w:widowControl w:val="0"/>
              <w:kinsoku/>
              <w:wordWrap/>
              <w:overflowPunct/>
              <w:topLinePunct w:val="0"/>
              <w:autoSpaceDE/>
              <w:autoSpaceDN/>
              <w:bidi w:val="0"/>
              <w:spacing w:line="400" w:lineRule="exact"/>
              <w:textAlignment w:val="auto"/>
              <w:rPr>
                <w:rFonts w:hint="default" w:ascii="Arial" w:hAnsi="Arial" w:cs="Arial"/>
                <w:color w:val="auto"/>
                <w:szCs w:val="21"/>
                <w:highlight w:val="none"/>
              </w:rPr>
            </w:pPr>
            <w:r>
              <w:rPr>
                <w:rFonts w:hint="default" w:ascii="Arial" w:hAnsi="Arial" w:cs="Arial"/>
                <w:color w:val="auto"/>
                <w:szCs w:val="21"/>
                <w:highlight w:val="none"/>
              </w:rPr>
              <w:t>1.付款进度安排:签订合同后30个工作日内，支付合同价款的30%，设备安装验收合格正常使用后30个工作日内，支付合同价款的70%。</w:t>
            </w:r>
            <w:r>
              <w:rPr>
                <w:rFonts w:hint="default" w:ascii="Arial" w:hAnsi="Arial" w:cs="Arial"/>
                <w:color w:val="auto"/>
                <w:szCs w:val="21"/>
                <w:highlight w:val="none"/>
                <w:lang w:val="en-US" w:eastAsia="zh-CN"/>
              </w:rPr>
              <w:t>中标供应商</w:t>
            </w:r>
            <w:r>
              <w:rPr>
                <w:rFonts w:hint="default" w:ascii="Arial" w:hAnsi="Arial" w:cs="Arial"/>
                <w:color w:val="auto"/>
                <w:szCs w:val="21"/>
                <w:highlight w:val="none"/>
              </w:rPr>
              <w:t>须在设备验收合格后及时向</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提供符合国家规定及</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要求的全额有效的税务发票，</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未收到发票的，有权不予支付相应款项直至</w:t>
            </w:r>
            <w:r>
              <w:rPr>
                <w:rFonts w:hint="default" w:ascii="Arial" w:hAnsi="Arial" w:cs="Arial"/>
                <w:color w:val="auto"/>
                <w:szCs w:val="21"/>
                <w:highlight w:val="none"/>
                <w:lang w:val="en-US" w:eastAsia="zh-CN"/>
              </w:rPr>
              <w:t>中标供应商</w:t>
            </w:r>
            <w:r>
              <w:rPr>
                <w:rFonts w:hint="default" w:ascii="Arial" w:hAnsi="Arial" w:cs="Arial"/>
                <w:color w:val="auto"/>
                <w:szCs w:val="21"/>
                <w:highlight w:val="none"/>
              </w:rPr>
              <w:t>提供合格发票，并不承担延迟付款责任。发票认证通过是付款的必要前提之一。</w:t>
            </w:r>
          </w:p>
          <w:p w14:paraId="4E40675D">
            <w:pPr>
              <w:keepNext w:val="0"/>
              <w:keepLines w:val="0"/>
              <w:pageBreakBefore w:val="0"/>
              <w:widowControl w:val="0"/>
              <w:kinsoku/>
              <w:wordWrap/>
              <w:overflowPunct/>
              <w:topLinePunct w:val="0"/>
              <w:autoSpaceDE/>
              <w:autoSpaceDN/>
              <w:bidi w:val="0"/>
              <w:snapToGrid w:val="0"/>
              <w:spacing w:line="400" w:lineRule="exact"/>
              <w:ind w:right="-16"/>
              <w:textAlignment w:val="auto"/>
              <w:rPr>
                <w:rFonts w:hint="default" w:ascii="Arial" w:hAnsi="Arial" w:cs="Arial"/>
                <w:color w:val="auto"/>
                <w:szCs w:val="21"/>
                <w:highlight w:val="none"/>
              </w:rPr>
            </w:pPr>
            <w:r>
              <w:rPr>
                <w:rFonts w:hint="default" w:ascii="Arial" w:hAnsi="Arial" w:cs="Arial"/>
                <w:color w:val="auto"/>
                <w:szCs w:val="21"/>
                <w:highlight w:val="none"/>
              </w:rPr>
              <w:t>2．本合同执行中相关的一切税费均由</w:t>
            </w:r>
            <w:r>
              <w:rPr>
                <w:rFonts w:hint="default" w:ascii="Arial" w:hAnsi="Arial" w:cs="Arial"/>
                <w:color w:val="auto"/>
                <w:szCs w:val="21"/>
                <w:highlight w:val="none"/>
                <w:lang w:val="en-US" w:eastAsia="zh-CN"/>
              </w:rPr>
              <w:t>中标供应商</w:t>
            </w:r>
            <w:r>
              <w:rPr>
                <w:rFonts w:hint="default" w:ascii="Arial" w:hAnsi="Arial" w:cs="Arial"/>
                <w:color w:val="auto"/>
                <w:szCs w:val="21"/>
                <w:highlight w:val="none"/>
              </w:rPr>
              <w:t>负担。</w:t>
            </w:r>
          </w:p>
          <w:p w14:paraId="6092476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3"/>
              <w:rPr>
                <w:rFonts w:hint="default" w:ascii="Arial" w:hAnsi="Arial" w:eastAsia="宋体" w:cs="Arial"/>
                <w:b w:val="0"/>
                <w:bCs w:val="0"/>
                <w:color w:val="auto"/>
                <w:sz w:val="21"/>
                <w:szCs w:val="21"/>
                <w:highlight w:val="none"/>
                <w:lang w:val="en-US" w:eastAsia="zh-CN"/>
              </w:rPr>
            </w:pPr>
            <w:r>
              <w:rPr>
                <w:rFonts w:hint="default" w:ascii="Arial" w:hAnsi="Arial" w:cs="Arial"/>
                <w:color w:val="auto"/>
                <w:szCs w:val="21"/>
                <w:highlight w:val="none"/>
                <w:lang w:val="en-US" w:eastAsia="zh-CN"/>
              </w:rPr>
              <w:t>3.</w:t>
            </w:r>
            <w:r>
              <w:rPr>
                <w:rFonts w:hint="default" w:ascii="Arial" w:hAnsi="Arial" w:cs="Arial"/>
                <w:color w:val="auto"/>
                <w:szCs w:val="21"/>
                <w:highlight w:val="none"/>
              </w:rPr>
              <w:t>票据要求：</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必须按照采购人要求提供真实、有效、合法的正式发票。一旦发现</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提供虚假发票，除须向采购人补开合法发票外，须赔偿采购人发票票面金额一倍的违约金，且采购人有权终止合同，供应商不得提出异议，因终止合同而产生的一切损失均由供应商承担。</w:t>
            </w:r>
          </w:p>
        </w:tc>
      </w:tr>
      <w:tr w14:paraId="1ED6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2409" w:hRule="atLeast"/>
          <w:jc w:val="center"/>
        </w:trPr>
        <w:tc>
          <w:tcPr>
            <w:tcW w:w="2067" w:type="dxa"/>
            <w:tcBorders>
              <w:top w:val="single" w:color="auto" w:sz="4" w:space="0"/>
              <w:left w:val="single" w:color="auto" w:sz="4" w:space="0"/>
              <w:bottom w:val="single" w:color="auto" w:sz="4" w:space="0"/>
              <w:right w:val="single" w:color="auto" w:sz="4" w:space="0"/>
            </w:tcBorders>
            <w:noWrap w:val="0"/>
            <w:vAlign w:val="center"/>
          </w:tcPr>
          <w:p w14:paraId="008DF282">
            <w:pPr>
              <w:adjustRightInd w:val="0"/>
              <w:snapToGrid w:val="0"/>
              <w:spacing w:line="360" w:lineRule="auto"/>
              <w:jc w:val="center"/>
              <w:outlineLvl w:val="3"/>
              <w:rPr>
                <w:rFonts w:hint="default" w:ascii="Arial" w:hAnsi="Arial" w:eastAsia="宋体" w:cs="Arial"/>
                <w:b/>
                <w:color w:val="auto"/>
                <w:kern w:val="0"/>
                <w:szCs w:val="21"/>
                <w:highlight w:val="none"/>
                <w:lang w:val="en-US" w:eastAsia="zh-CN"/>
              </w:rPr>
            </w:pPr>
            <w:r>
              <w:rPr>
                <w:rFonts w:hint="default" w:ascii="Arial" w:hAnsi="Arial" w:eastAsia="宋体" w:cs="Arial"/>
                <w:b/>
                <w:bCs/>
                <w:color w:val="auto"/>
                <w:szCs w:val="21"/>
                <w:highlight w:val="none"/>
                <w:lang w:val="en-US" w:eastAsia="zh-CN"/>
              </w:rPr>
              <w:t>售后服务要求</w:t>
            </w:r>
          </w:p>
        </w:tc>
        <w:tc>
          <w:tcPr>
            <w:tcW w:w="8273" w:type="dxa"/>
            <w:tcBorders>
              <w:top w:val="single" w:color="auto" w:sz="4" w:space="0"/>
              <w:left w:val="single" w:color="auto" w:sz="4" w:space="0"/>
              <w:bottom w:val="single" w:color="auto" w:sz="4" w:space="0"/>
              <w:right w:val="single" w:color="auto" w:sz="4" w:space="0"/>
            </w:tcBorders>
            <w:noWrap w:val="0"/>
            <w:vAlign w:val="center"/>
          </w:tcPr>
          <w:p w14:paraId="4714ACA1">
            <w:pPr>
              <w:spacing w:line="400" w:lineRule="exact"/>
              <w:rPr>
                <w:rFonts w:hint="default" w:ascii="Arial" w:hAnsi="Arial" w:cs="Arial"/>
                <w:color w:val="auto"/>
                <w:szCs w:val="21"/>
                <w:highlight w:val="none"/>
              </w:rPr>
            </w:pPr>
            <w:r>
              <w:rPr>
                <w:rFonts w:hint="default" w:ascii="Arial" w:hAnsi="Arial" w:cs="Arial"/>
                <w:color w:val="auto"/>
                <w:szCs w:val="21"/>
                <w:highlight w:val="none"/>
              </w:rPr>
              <w:t>1.</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应按照国家有关法律法规规定以及</w:t>
            </w:r>
            <w:r>
              <w:rPr>
                <w:rFonts w:hint="default" w:ascii="Arial" w:hAnsi="Arial" w:cs="Arial"/>
                <w:color w:val="auto"/>
                <w:szCs w:val="21"/>
                <w:highlight w:val="none"/>
                <w:lang w:eastAsia="zh-CN"/>
              </w:rPr>
              <w:t>竞标</w:t>
            </w:r>
            <w:r>
              <w:rPr>
                <w:rFonts w:hint="default" w:ascii="Arial" w:hAnsi="Arial" w:cs="Arial"/>
                <w:color w:val="auto"/>
                <w:szCs w:val="21"/>
                <w:highlight w:val="none"/>
              </w:rPr>
              <w:t>承诺，为</w:t>
            </w:r>
            <w:r>
              <w:rPr>
                <w:rFonts w:hint="default" w:ascii="Arial" w:hAnsi="Arial" w:cs="Arial"/>
                <w:color w:val="auto"/>
                <w:szCs w:val="21"/>
                <w:highlight w:val="none"/>
                <w:lang w:eastAsia="zh-CN"/>
              </w:rPr>
              <w:t>采购人</w:t>
            </w:r>
            <w:r>
              <w:rPr>
                <w:rFonts w:hint="default" w:ascii="Arial" w:hAnsi="Arial" w:cs="Arial"/>
                <w:color w:val="auto"/>
                <w:szCs w:val="21"/>
                <w:highlight w:val="none"/>
              </w:rPr>
              <w:t>提供售后服务。</w:t>
            </w:r>
          </w:p>
          <w:p w14:paraId="1D777948">
            <w:pPr>
              <w:spacing w:line="400" w:lineRule="exact"/>
              <w:rPr>
                <w:rFonts w:hint="default" w:ascii="Arial" w:hAnsi="Arial" w:cs="Arial"/>
                <w:color w:val="auto"/>
                <w:szCs w:val="21"/>
                <w:highlight w:val="none"/>
              </w:rPr>
            </w:pPr>
            <w:r>
              <w:rPr>
                <w:rFonts w:hint="default" w:ascii="Arial" w:hAnsi="Arial" w:cs="Arial"/>
                <w:color w:val="auto"/>
                <w:szCs w:val="21"/>
                <w:highlight w:val="none"/>
              </w:rPr>
              <w:t>2.质量保修范围</w:t>
            </w:r>
            <w:r>
              <w:rPr>
                <w:rFonts w:hint="default" w:ascii="Arial" w:hAnsi="Arial" w:cs="Arial"/>
                <w:color w:val="auto"/>
                <w:szCs w:val="21"/>
                <w:highlight w:val="none"/>
                <w:lang w:eastAsia="zh-CN"/>
              </w:rPr>
              <w:t>：</w:t>
            </w:r>
            <w:r>
              <w:rPr>
                <w:rFonts w:hint="default" w:ascii="Arial" w:hAnsi="Arial" w:cs="Arial"/>
                <w:color w:val="auto"/>
                <w:szCs w:val="21"/>
                <w:highlight w:val="none"/>
              </w:rPr>
              <w:t>本项目采购范围内的所有设备。免费保修期内上门维修（维修费和元器件费包含在</w:t>
            </w:r>
            <w:r>
              <w:rPr>
                <w:rFonts w:hint="default" w:ascii="Arial" w:hAnsi="Arial" w:cs="Arial"/>
                <w:color w:val="auto"/>
                <w:szCs w:val="21"/>
                <w:highlight w:val="none"/>
                <w:lang w:eastAsia="zh-CN"/>
              </w:rPr>
              <w:t>响应</w:t>
            </w:r>
            <w:r>
              <w:rPr>
                <w:rFonts w:hint="default" w:ascii="Arial" w:hAnsi="Arial" w:cs="Arial"/>
                <w:color w:val="auto"/>
                <w:szCs w:val="21"/>
                <w:highlight w:val="none"/>
              </w:rPr>
              <w:t>报价中）、更换零部件，软件终身免费升级服务，设备生产厂家提供远程联机维护服务，能对设备进行软件升级及故障分析；</w:t>
            </w:r>
            <w:r>
              <w:rPr>
                <w:rFonts w:hint="default" w:ascii="Arial" w:hAnsi="Arial" w:cs="Arial"/>
                <w:strike w:val="0"/>
                <w:dstrike w:val="0"/>
                <w:color w:val="auto"/>
                <w:szCs w:val="21"/>
                <w:highlight w:val="none"/>
              </w:rPr>
              <w:t>保修期：按</w:t>
            </w:r>
            <w:r>
              <w:rPr>
                <w:rFonts w:hint="default" w:ascii="Arial" w:hAnsi="Arial" w:cs="Arial"/>
                <w:strike w:val="0"/>
                <w:dstrike w:val="0"/>
                <w:color w:val="auto"/>
                <w:szCs w:val="21"/>
                <w:highlight w:val="none"/>
                <w:lang w:eastAsia="zh-CN"/>
              </w:rPr>
              <w:t>中标供应商</w:t>
            </w:r>
            <w:r>
              <w:rPr>
                <w:rFonts w:hint="default" w:ascii="Arial" w:hAnsi="Arial" w:cs="Arial"/>
                <w:strike w:val="0"/>
                <w:dstrike w:val="0"/>
                <w:color w:val="auto"/>
                <w:szCs w:val="21"/>
                <w:highlight w:val="none"/>
              </w:rPr>
              <w:t>投标承诺（且不低于</w:t>
            </w:r>
            <w:r>
              <w:rPr>
                <w:rFonts w:hint="default" w:ascii="Arial" w:hAnsi="Arial" w:cs="Arial"/>
                <w:strike w:val="0"/>
                <w:dstrike w:val="0"/>
                <w:color w:val="auto"/>
                <w:szCs w:val="21"/>
                <w:highlight w:val="none"/>
                <w:lang w:eastAsia="zh-CN"/>
              </w:rPr>
              <w:t>采购人</w:t>
            </w:r>
            <w:r>
              <w:rPr>
                <w:rFonts w:hint="default" w:ascii="Arial" w:hAnsi="Arial" w:cs="Arial"/>
                <w:strike w:val="0"/>
                <w:dstrike w:val="0"/>
                <w:color w:val="auto"/>
                <w:szCs w:val="21"/>
                <w:highlight w:val="none"/>
              </w:rPr>
              <w:t>要求）执行</w:t>
            </w:r>
            <w:r>
              <w:rPr>
                <w:rFonts w:hint="default" w:ascii="Arial" w:hAnsi="Arial" w:cs="Arial"/>
                <w:color w:val="auto"/>
                <w:szCs w:val="21"/>
                <w:highlight w:val="none"/>
              </w:rPr>
              <w:t>。</w:t>
            </w:r>
          </w:p>
          <w:p w14:paraId="30FEB370">
            <w:pPr>
              <w:spacing w:line="400" w:lineRule="exact"/>
              <w:rPr>
                <w:rFonts w:hint="default" w:ascii="Arial" w:hAnsi="Arial" w:cs="Arial"/>
                <w:color w:val="auto"/>
                <w:szCs w:val="21"/>
                <w:highlight w:val="none"/>
                <w:lang w:val="en-US" w:eastAsia="zh-CN"/>
              </w:rPr>
            </w:pPr>
            <w:r>
              <w:rPr>
                <w:rFonts w:hint="default" w:ascii="Arial" w:hAnsi="Arial" w:cs="Arial"/>
                <w:color w:val="auto"/>
                <w:szCs w:val="21"/>
                <w:highlight w:val="none"/>
              </w:rPr>
              <w:t>3.免费保修期：按国家有关产品“三包”规定执行“三包”；</w:t>
            </w:r>
            <w:r>
              <w:rPr>
                <w:rFonts w:hint="default" w:ascii="Arial" w:hAnsi="Arial" w:cs="Arial"/>
                <w:color w:val="000000"/>
                <w:szCs w:val="21"/>
                <w:highlight w:val="none"/>
                <w:lang w:val="en-US" w:eastAsia="zh-CN"/>
              </w:rPr>
              <w:t>整机</w:t>
            </w:r>
            <w:r>
              <w:rPr>
                <w:rFonts w:hint="default" w:ascii="Arial" w:hAnsi="Arial" w:cs="Arial"/>
                <w:color w:val="000000"/>
                <w:szCs w:val="21"/>
                <w:highlight w:val="none"/>
              </w:rPr>
              <w:t>免费保修期为</w:t>
            </w:r>
            <w:r>
              <w:rPr>
                <w:rFonts w:hint="default" w:ascii="Arial" w:hAnsi="Arial" w:cs="Arial"/>
                <w:color w:val="000000"/>
                <w:szCs w:val="21"/>
                <w:highlight w:val="none"/>
                <w:u w:val="single"/>
              </w:rPr>
              <w:t xml:space="preserve"> </w:t>
            </w:r>
            <w:r>
              <w:rPr>
                <w:rFonts w:hint="default" w:ascii="Arial" w:hAnsi="Arial" w:cs="Arial"/>
                <w:color w:val="000000"/>
                <w:szCs w:val="21"/>
                <w:highlight w:val="none"/>
                <w:u w:val="single"/>
                <w:lang w:val="en-US" w:eastAsia="zh-CN"/>
              </w:rPr>
              <w:t xml:space="preserve">5 </w:t>
            </w:r>
            <w:r>
              <w:rPr>
                <w:rFonts w:hint="default" w:ascii="Arial" w:hAnsi="Arial" w:cs="Arial"/>
                <w:color w:val="000000"/>
                <w:szCs w:val="21"/>
                <w:highlight w:val="none"/>
              </w:rPr>
              <w:t>年</w:t>
            </w:r>
            <w:r>
              <w:rPr>
                <w:rFonts w:hint="default" w:ascii="Arial" w:hAnsi="Arial" w:cs="Arial"/>
                <w:color w:val="auto"/>
                <w:szCs w:val="21"/>
                <w:highlight w:val="none"/>
              </w:rPr>
              <w:t>（免费保修期从设备验收合格之日起计算），免费保修期内上门维修不收取任何费用</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不提供备用机</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所有软件系统终身免费升级；质保期后连接管路（易损件）不超过300元/套。</w:t>
            </w:r>
          </w:p>
          <w:p w14:paraId="327A16C5">
            <w:pPr>
              <w:spacing w:line="400" w:lineRule="exact"/>
              <w:rPr>
                <w:rFonts w:hint="default" w:ascii="Arial" w:hAnsi="Arial" w:cs="Arial"/>
                <w:color w:val="auto"/>
                <w:szCs w:val="21"/>
                <w:highlight w:val="none"/>
              </w:rPr>
            </w:pPr>
            <w:r>
              <w:rPr>
                <w:rFonts w:hint="default" w:ascii="Arial" w:hAnsi="Arial" w:cs="Arial"/>
                <w:color w:val="auto"/>
                <w:szCs w:val="21"/>
                <w:highlight w:val="none"/>
              </w:rPr>
              <w:t>4.在免费保修期内因货物本身的质量问题发生故障，</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应负责免费修理和更换零部件。对达不到技术要求者，根据实际情况，</w:t>
            </w:r>
            <w:r>
              <w:rPr>
                <w:rFonts w:hint="default" w:ascii="Arial" w:hAnsi="Arial" w:cs="Arial"/>
                <w:color w:val="auto"/>
                <w:szCs w:val="21"/>
                <w:highlight w:val="none"/>
                <w:lang w:val="en-US" w:eastAsia="zh-CN"/>
              </w:rPr>
              <w:t>采购人有权</w:t>
            </w:r>
            <w:r>
              <w:rPr>
                <w:rFonts w:hint="default" w:ascii="Arial" w:hAnsi="Arial" w:cs="Arial"/>
                <w:color w:val="auto"/>
                <w:szCs w:val="21"/>
                <w:highlight w:val="none"/>
              </w:rPr>
              <w:t>按以下办法处理：</w:t>
            </w:r>
          </w:p>
          <w:p w14:paraId="6B9D99A5">
            <w:pPr>
              <w:spacing w:line="400" w:lineRule="exact"/>
              <w:rPr>
                <w:rFonts w:hint="default" w:ascii="Arial" w:hAnsi="Arial" w:cs="Arial"/>
                <w:color w:val="auto"/>
                <w:szCs w:val="21"/>
                <w:highlight w:val="none"/>
              </w:rPr>
            </w:pPr>
            <w:r>
              <w:rPr>
                <w:rFonts w:hint="default" w:ascii="Arial" w:hAnsi="Arial" w:cs="Arial"/>
                <w:color w:val="auto"/>
                <w:szCs w:val="21"/>
                <w:highlight w:val="none"/>
              </w:rPr>
              <w:t>（1）更换：由</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承担所发生的全部费用。</w:t>
            </w:r>
          </w:p>
          <w:p w14:paraId="4CF44915">
            <w:pPr>
              <w:spacing w:line="400" w:lineRule="exact"/>
              <w:rPr>
                <w:rFonts w:hint="default" w:ascii="Arial" w:hAnsi="Arial" w:cs="Arial"/>
                <w:color w:val="auto"/>
                <w:szCs w:val="21"/>
                <w:highlight w:val="none"/>
              </w:rPr>
            </w:pPr>
            <w:r>
              <w:rPr>
                <w:rFonts w:hint="default" w:ascii="Arial" w:hAnsi="Arial" w:cs="Arial"/>
                <w:color w:val="auto"/>
                <w:szCs w:val="21"/>
                <w:highlight w:val="none"/>
              </w:rPr>
              <w:t>（2）贬值处理：由</w:t>
            </w:r>
            <w:r>
              <w:rPr>
                <w:rFonts w:hint="default" w:ascii="Arial" w:hAnsi="Arial" w:cs="Arial"/>
                <w:color w:val="auto"/>
                <w:szCs w:val="21"/>
                <w:highlight w:val="none"/>
                <w:lang w:eastAsia="zh-CN"/>
              </w:rPr>
              <w:t>中标供应商和</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双方合议定价。</w:t>
            </w:r>
          </w:p>
          <w:p w14:paraId="3F423033">
            <w:pPr>
              <w:spacing w:line="400" w:lineRule="exact"/>
              <w:rPr>
                <w:rFonts w:hint="default" w:ascii="Arial" w:hAnsi="Arial" w:cs="Arial"/>
                <w:color w:val="auto"/>
                <w:szCs w:val="21"/>
                <w:highlight w:val="none"/>
              </w:rPr>
            </w:pPr>
            <w:r>
              <w:rPr>
                <w:rFonts w:hint="default" w:ascii="Arial" w:hAnsi="Arial" w:cs="Arial"/>
                <w:color w:val="auto"/>
                <w:szCs w:val="21"/>
                <w:highlight w:val="none"/>
              </w:rPr>
              <w:t>（3）退货处理：</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应退还</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支付的合同款，同时应承担该货物的直接费用（运输、保险、检验、货款利息及银行手续费等）。</w:t>
            </w:r>
          </w:p>
          <w:p w14:paraId="1F393171">
            <w:pPr>
              <w:spacing w:line="400" w:lineRule="exact"/>
              <w:rPr>
                <w:rFonts w:hint="default" w:ascii="Arial" w:hAnsi="Arial" w:cs="Arial"/>
                <w:color w:val="auto"/>
                <w:szCs w:val="21"/>
                <w:highlight w:val="none"/>
                <w:lang w:eastAsia="zh-CN"/>
              </w:rPr>
            </w:pPr>
            <w:r>
              <w:rPr>
                <w:rFonts w:hint="default" w:ascii="Arial" w:hAnsi="Arial" w:cs="Arial"/>
                <w:color w:val="auto"/>
                <w:szCs w:val="21"/>
                <w:highlight w:val="none"/>
                <w:lang w:eastAsia="zh-CN"/>
              </w:rPr>
              <w:t>5</w:t>
            </w:r>
            <w:r>
              <w:rPr>
                <w:rFonts w:hint="default" w:ascii="Arial" w:hAnsi="Arial" w:cs="Arial"/>
                <w:color w:val="auto"/>
                <w:szCs w:val="21"/>
                <w:highlight w:val="none"/>
              </w:rPr>
              <w:t>.如在使用过程中发生质量问题，</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在接到</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通知后</w:t>
            </w:r>
            <w:r>
              <w:rPr>
                <w:rFonts w:hint="default" w:ascii="Arial" w:hAnsi="Arial" w:cs="Arial"/>
                <w:color w:val="auto"/>
                <w:szCs w:val="21"/>
                <w:highlight w:val="none"/>
                <w:u w:val="single"/>
                <w:lang w:val="en-US" w:eastAsia="zh-CN"/>
              </w:rPr>
              <w:t xml:space="preserve"> 半 </w:t>
            </w:r>
            <w:r>
              <w:rPr>
                <w:rFonts w:hint="default" w:ascii="Arial" w:hAnsi="Arial" w:cs="Arial"/>
                <w:color w:val="auto"/>
                <w:szCs w:val="21"/>
                <w:highlight w:val="none"/>
              </w:rPr>
              <w:t>小时内响应，</w:t>
            </w:r>
            <w:r>
              <w:rPr>
                <w:rFonts w:hint="default" w:ascii="Arial" w:hAnsi="Arial" w:cs="Arial"/>
                <w:color w:val="auto"/>
                <w:szCs w:val="21"/>
                <w:highlight w:val="none"/>
                <w:u w:val="single"/>
                <w:lang w:val="en-US" w:eastAsia="zh-CN"/>
              </w:rPr>
              <w:t xml:space="preserve"> 12 </w:t>
            </w:r>
            <w:r>
              <w:rPr>
                <w:rFonts w:hint="default" w:ascii="Arial" w:hAnsi="Arial" w:cs="Arial"/>
                <w:color w:val="auto"/>
                <w:szCs w:val="21"/>
                <w:highlight w:val="none"/>
              </w:rPr>
              <w:t>小时内到达现场进行处理，</w:t>
            </w:r>
            <w:r>
              <w:rPr>
                <w:rFonts w:hint="default" w:ascii="Arial" w:hAnsi="Arial" w:cs="Arial"/>
                <w:color w:val="auto"/>
                <w:szCs w:val="21"/>
                <w:highlight w:val="none"/>
                <w:lang w:val="en-US" w:eastAsia="zh-CN"/>
              </w:rPr>
              <w:t>一般故障处理时限不超过</w:t>
            </w:r>
            <w:r>
              <w:rPr>
                <w:rFonts w:hint="default" w:ascii="Arial" w:hAnsi="Arial" w:cs="Arial"/>
                <w:color w:val="auto"/>
                <w:szCs w:val="21"/>
                <w:highlight w:val="none"/>
                <w:u w:val="single"/>
                <w:lang w:val="en-US" w:eastAsia="zh-CN"/>
              </w:rPr>
              <w:t xml:space="preserve"> 24 </w:t>
            </w:r>
            <w:r>
              <w:rPr>
                <w:rFonts w:hint="default" w:ascii="Arial" w:hAnsi="Arial" w:cs="Arial"/>
                <w:color w:val="auto"/>
                <w:szCs w:val="21"/>
                <w:highlight w:val="none"/>
              </w:rPr>
              <w:t>小时</w:t>
            </w:r>
            <w:r>
              <w:rPr>
                <w:rFonts w:hint="default" w:ascii="Arial" w:hAnsi="Arial" w:cs="Arial"/>
                <w:color w:val="auto"/>
                <w:szCs w:val="21"/>
                <w:highlight w:val="none"/>
                <w:lang w:val="en-US" w:eastAsia="zh-CN"/>
              </w:rPr>
              <w:t>修复</w:t>
            </w:r>
            <w:r>
              <w:rPr>
                <w:rFonts w:hint="default" w:ascii="Arial" w:hAnsi="Arial" w:cs="Arial"/>
                <w:color w:val="auto"/>
                <w:szCs w:val="21"/>
                <w:highlight w:val="none"/>
              </w:rPr>
              <w:t>，</w:t>
            </w:r>
            <w:r>
              <w:rPr>
                <w:rFonts w:hint="default" w:ascii="Arial" w:hAnsi="Arial" w:cs="Arial"/>
                <w:color w:val="auto"/>
                <w:szCs w:val="21"/>
                <w:highlight w:val="none"/>
                <w:lang w:val="en-US" w:eastAsia="zh-CN"/>
              </w:rPr>
              <w:t>重大故障处理时限不超过48小时修复</w:t>
            </w:r>
            <w:r>
              <w:rPr>
                <w:rFonts w:hint="default" w:ascii="Arial" w:hAnsi="Arial" w:cs="Arial"/>
                <w:color w:val="auto"/>
                <w:szCs w:val="21"/>
                <w:highlight w:val="none"/>
              </w:rPr>
              <w:t>。</w:t>
            </w:r>
            <w:r>
              <w:rPr>
                <w:rFonts w:hint="default" w:ascii="Arial" w:hAnsi="Arial" w:cs="Arial"/>
                <w:color w:val="auto"/>
                <w:szCs w:val="21"/>
                <w:highlight w:val="none"/>
                <w:lang w:eastAsia="zh-CN"/>
              </w:rPr>
              <w:t>中标供应商</w:t>
            </w:r>
            <w:r>
              <w:rPr>
                <w:rFonts w:hint="default" w:ascii="Arial" w:hAnsi="Arial" w:cs="Arial"/>
                <w:color w:val="auto"/>
                <w:szCs w:val="21"/>
                <w:highlight w:val="none"/>
                <w:lang w:val="en-US" w:eastAsia="zh-CN"/>
              </w:rPr>
              <w:t>逾期响应、到达现场、排除故障或者无法排除故障的，采购人有权自行或寻找第三方机构获得维修、维护等售后服务，全部费用由</w:t>
            </w:r>
            <w:r>
              <w:rPr>
                <w:rFonts w:hint="default" w:ascii="Arial" w:hAnsi="Arial" w:cs="Arial"/>
                <w:color w:val="auto"/>
                <w:szCs w:val="21"/>
                <w:highlight w:val="none"/>
                <w:lang w:eastAsia="zh-CN"/>
              </w:rPr>
              <w:t>中标供应商</w:t>
            </w:r>
            <w:r>
              <w:rPr>
                <w:rFonts w:hint="default" w:ascii="Arial" w:hAnsi="Arial" w:cs="Arial"/>
                <w:color w:val="auto"/>
                <w:szCs w:val="21"/>
                <w:highlight w:val="none"/>
                <w:lang w:val="en-US" w:eastAsia="zh-CN"/>
              </w:rPr>
              <w:t>承担，且无需经过</w:t>
            </w:r>
            <w:r>
              <w:rPr>
                <w:rFonts w:hint="default" w:ascii="Arial" w:hAnsi="Arial" w:cs="Arial"/>
                <w:color w:val="auto"/>
                <w:szCs w:val="21"/>
                <w:highlight w:val="none"/>
                <w:lang w:eastAsia="zh-CN"/>
              </w:rPr>
              <w:t>中标供应商</w:t>
            </w:r>
            <w:r>
              <w:rPr>
                <w:rFonts w:hint="default" w:ascii="Arial" w:hAnsi="Arial" w:cs="Arial"/>
                <w:color w:val="auto"/>
                <w:szCs w:val="21"/>
                <w:highlight w:val="none"/>
                <w:lang w:val="en-US" w:eastAsia="zh-CN"/>
              </w:rPr>
              <w:t>同意、确认。</w:t>
            </w:r>
          </w:p>
          <w:p w14:paraId="630A7BE9">
            <w:pPr>
              <w:spacing w:line="400" w:lineRule="exact"/>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eastAsia="zh-CN"/>
              </w:rPr>
              <w:t>6</w:t>
            </w:r>
            <w:r>
              <w:rPr>
                <w:rFonts w:hint="default" w:ascii="Arial" w:hAnsi="Arial" w:cs="Arial"/>
                <w:color w:val="auto"/>
                <w:szCs w:val="21"/>
                <w:highlight w:val="none"/>
              </w:rPr>
              <w:t>.在</w:t>
            </w:r>
            <w:r>
              <w:rPr>
                <w:rFonts w:hint="default" w:ascii="Arial" w:hAnsi="Arial" w:cs="Arial"/>
                <w:color w:val="auto"/>
                <w:szCs w:val="21"/>
                <w:highlight w:val="none"/>
                <w:lang w:eastAsia="zh-CN"/>
              </w:rPr>
              <w:t>免费保修期</w:t>
            </w:r>
            <w:r>
              <w:rPr>
                <w:rFonts w:hint="default" w:ascii="Arial" w:hAnsi="Arial" w:cs="Arial"/>
                <w:color w:val="auto"/>
                <w:szCs w:val="21"/>
                <w:highlight w:val="none"/>
              </w:rPr>
              <w:t>内，</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应对货物出现的质量及安全问题负责处理解决并承担一切费用</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维保期过后，每年维保费用不超过总价的3%；</w:t>
            </w:r>
          </w:p>
          <w:p w14:paraId="325E13D2">
            <w:pPr>
              <w:spacing w:line="400" w:lineRule="exact"/>
              <w:rPr>
                <w:rFonts w:hint="default" w:ascii="Arial" w:hAnsi="Arial" w:cs="Arial"/>
                <w:color w:val="auto"/>
                <w:szCs w:val="21"/>
                <w:highlight w:val="none"/>
                <w:lang w:eastAsia="zh-CN"/>
              </w:rPr>
            </w:pPr>
            <w:r>
              <w:rPr>
                <w:rFonts w:hint="default" w:ascii="Arial" w:hAnsi="Arial" w:cs="Arial"/>
                <w:color w:val="auto"/>
                <w:szCs w:val="21"/>
                <w:highlight w:val="none"/>
                <w:lang w:eastAsia="zh-CN"/>
              </w:rPr>
              <w:t>7</w:t>
            </w:r>
            <w:r>
              <w:rPr>
                <w:rFonts w:hint="default" w:ascii="Arial" w:hAnsi="Arial" w:cs="Arial"/>
                <w:color w:val="auto"/>
                <w:szCs w:val="21"/>
                <w:highlight w:val="none"/>
              </w:rPr>
              <w:t>.</w:t>
            </w:r>
            <w:r>
              <w:rPr>
                <w:rFonts w:hint="default" w:ascii="Arial" w:hAnsi="Arial" w:cs="Arial"/>
                <w:color w:val="auto"/>
                <w:szCs w:val="21"/>
                <w:highlight w:val="none"/>
                <w:lang w:eastAsia="zh-CN"/>
              </w:rPr>
              <w:t>本项目采购范围内的</w:t>
            </w:r>
            <w:r>
              <w:rPr>
                <w:rFonts w:hint="default" w:ascii="Arial" w:hAnsi="Arial" w:cs="Arial"/>
                <w:color w:val="auto"/>
                <w:szCs w:val="21"/>
                <w:highlight w:val="none"/>
              </w:rPr>
              <w:t>货物因人为因素出现的故障不在免费保修范围内。超过</w:t>
            </w:r>
            <w:r>
              <w:rPr>
                <w:rFonts w:hint="default" w:ascii="Arial" w:hAnsi="Arial" w:cs="Arial"/>
                <w:color w:val="auto"/>
                <w:szCs w:val="21"/>
                <w:highlight w:val="none"/>
                <w:lang w:eastAsia="zh-CN"/>
              </w:rPr>
              <w:t>免费保修期</w:t>
            </w:r>
            <w:r>
              <w:rPr>
                <w:rFonts w:hint="default" w:ascii="Arial" w:hAnsi="Arial" w:cs="Arial"/>
                <w:color w:val="auto"/>
                <w:szCs w:val="21"/>
                <w:highlight w:val="none"/>
              </w:rPr>
              <w:t>的机器设备，</w:t>
            </w:r>
            <w:r>
              <w:rPr>
                <w:rFonts w:hint="default" w:ascii="Arial" w:hAnsi="Arial" w:cs="Arial"/>
                <w:color w:val="auto"/>
                <w:szCs w:val="21"/>
                <w:highlight w:val="none"/>
                <w:lang w:eastAsia="zh-CN"/>
              </w:rPr>
              <w:t>提供</w:t>
            </w:r>
            <w:r>
              <w:rPr>
                <w:rFonts w:hint="default" w:ascii="Arial" w:hAnsi="Arial" w:cs="Arial"/>
                <w:color w:val="auto"/>
                <w:szCs w:val="21"/>
                <w:highlight w:val="none"/>
              </w:rPr>
              <w:t>终生维修</w:t>
            </w:r>
            <w:r>
              <w:rPr>
                <w:rFonts w:hint="default" w:ascii="Arial" w:hAnsi="Arial" w:cs="Arial"/>
                <w:color w:val="auto"/>
                <w:szCs w:val="21"/>
                <w:highlight w:val="none"/>
                <w:lang w:eastAsia="zh-CN"/>
              </w:rPr>
              <w:t>服务，中标供应商</w:t>
            </w:r>
            <w:r>
              <w:rPr>
                <w:rFonts w:hint="default" w:ascii="Arial" w:hAnsi="Arial" w:cs="Arial"/>
                <w:color w:val="auto"/>
                <w:szCs w:val="21"/>
                <w:highlight w:val="none"/>
                <w:lang w:val="en-US" w:eastAsia="zh-CN"/>
              </w:rPr>
              <w:t>仅收取合理成本</w:t>
            </w:r>
            <w:r>
              <w:rPr>
                <w:rFonts w:hint="default" w:ascii="Arial" w:hAnsi="Arial" w:cs="Arial"/>
                <w:color w:val="auto"/>
                <w:szCs w:val="21"/>
                <w:highlight w:val="none"/>
              </w:rPr>
              <w:t>。</w:t>
            </w:r>
          </w:p>
          <w:p w14:paraId="153D4F4A">
            <w:pPr>
              <w:spacing w:line="400" w:lineRule="exact"/>
              <w:rPr>
                <w:rFonts w:hint="default" w:ascii="Arial" w:hAnsi="Arial" w:cs="Arial"/>
                <w:color w:val="auto"/>
                <w:szCs w:val="21"/>
                <w:highlight w:val="none"/>
              </w:rPr>
            </w:pPr>
            <w:r>
              <w:rPr>
                <w:rFonts w:hint="default" w:ascii="Arial" w:hAnsi="Arial" w:cs="Arial"/>
                <w:color w:val="auto"/>
                <w:szCs w:val="21"/>
                <w:highlight w:val="none"/>
              </w:rPr>
              <w:t>8.</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提供的货物在免费保修期内，因设计、工艺或材料的缺陷和其它质量原因造成的问题，由</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负责，费用从最后一笔支付的合同价款当中扣除，不足以扣除的，由</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另行支付。</w:t>
            </w:r>
          </w:p>
          <w:p w14:paraId="0E59D722">
            <w:pPr>
              <w:spacing w:line="400" w:lineRule="exact"/>
              <w:rPr>
                <w:rFonts w:hint="default" w:ascii="Arial" w:hAnsi="Arial" w:cs="Arial"/>
                <w:color w:val="auto"/>
                <w:szCs w:val="21"/>
                <w:highlight w:val="none"/>
              </w:rPr>
            </w:pPr>
            <w:r>
              <w:rPr>
                <w:rFonts w:hint="default" w:ascii="Arial" w:hAnsi="Arial" w:cs="Arial"/>
                <w:color w:val="auto"/>
                <w:szCs w:val="21"/>
                <w:highlight w:val="none"/>
              </w:rPr>
              <w:t>9.</w:t>
            </w:r>
            <w:r>
              <w:rPr>
                <w:rFonts w:hint="default" w:ascii="Arial" w:hAnsi="Arial" w:cs="Arial"/>
                <w:color w:val="auto"/>
                <w:szCs w:val="21"/>
                <w:highlight w:val="none"/>
                <w:lang w:eastAsia="zh-CN"/>
              </w:rPr>
              <w:t>中标供应商</w:t>
            </w:r>
            <w:r>
              <w:rPr>
                <w:rFonts w:hint="default" w:ascii="Arial" w:hAnsi="Arial" w:cs="Arial"/>
                <w:color w:val="auto"/>
                <w:szCs w:val="21"/>
                <w:highlight w:val="none"/>
              </w:rPr>
              <w:t>提供的服务承诺和售后服务及免费保修期责任等其它具体约定事项。</w:t>
            </w:r>
          </w:p>
          <w:p w14:paraId="1F33B622">
            <w:pPr>
              <w:spacing w:line="400" w:lineRule="exact"/>
              <w:rPr>
                <w:rFonts w:hint="default" w:ascii="Arial" w:hAnsi="Arial" w:eastAsia="宋体" w:cs="Arial"/>
                <w:lang w:val="en-US" w:eastAsia="zh-CN"/>
              </w:rPr>
            </w:pPr>
            <w:r>
              <w:rPr>
                <w:rFonts w:hint="default" w:ascii="Arial" w:hAnsi="Arial" w:eastAsia="宋体" w:cs="Arial"/>
                <w:b w:val="0"/>
                <w:bCs w:val="0"/>
                <w:color w:val="auto"/>
                <w:sz w:val="21"/>
                <w:szCs w:val="21"/>
                <w:highlight w:val="none"/>
                <w:lang w:val="en-US" w:eastAsia="zh-CN"/>
              </w:rPr>
              <w:t>10.一氧化氮耗材≤39元/人。</w:t>
            </w:r>
          </w:p>
        </w:tc>
      </w:tr>
      <w:tr w14:paraId="6344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543" w:hRule="atLeast"/>
          <w:jc w:val="center"/>
        </w:trPr>
        <w:tc>
          <w:tcPr>
            <w:tcW w:w="2067" w:type="dxa"/>
            <w:tcBorders>
              <w:top w:val="single" w:color="auto" w:sz="4" w:space="0"/>
              <w:left w:val="single" w:color="auto" w:sz="4" w:space="0"/>
              <w:bottom w:val="single" w:color="auto" w:sz="4" w:space="0"/>
              <w:right w:val="single" w:color="auto" w:sz="4" w:space="0"/>
            </w:tcBorders>
            <w:noWrap w:val="0"/>
            <w:vAlign w:val="center"/>
          </w:tcPr>
          <w:p w14:paraId="586B4A67">
            <w:pPr>
              <w:adjustRightInd w:val="0"/>
              <w:snapToGrid w:val="0"/>
              <w:spacing w:line="360" w:lineRule="auto"/>
              <w:jc w:val="center"/>
              <w:outlineLvl w:val="3"/>
              <w:rPr>
                <w:rFonts w:hint="default" w:ascii="Arial" w:hAnsi="Arial" w:eastAsia="宋体" w:cs="Arial"/>
                <w:b/>
                <w:color w:val="auto"/>
                <w:kern w:val="0"/>
                <w:sz w:val="21"/>
                <w:szCs w:val="21"/>
                <w:highlight w:val="none"/>
                <w:lang w:val="en-US" w:eastAsia="zh-CN" w:bidi="ar-SA"/>
              </w:rPr>
            </w:pPr>
            <w:r>
              <w:rPr>
                <w:rFonts w:hint="default" w:ascii="Arial" w:hAnsi="Arial" w:eastAsia="宋体" w:cs="Arial"/>
                <w:b/>
                <w:bCs/>
                <w:color w:val="auto"/>
                <w:szCs w:val="21"/>
                <w:highlight w:val="none"/>
              </w:rPr>
              <w:t>验收要求</w:t>
            </w:r>
          </w:p>
        </w:tc>
        <w:tc>
          <w:tcPr>
            <w:tcW w:w="8273" w:type="dxa"/>
            <w:tcBorders>
              <w:top w:val="single" w:color="auto" w:sz="4" w:space="0"/>
              <w:left w:val="single" w:color="auto" w:sz="4" w:space="0"/>
              <w:bottom w:val="single" w:color="auto" w:sz="4" w:space="0"/>
              <w:right w:val="single" w:color="auto" w:sz="4" w:space="0"/>
            </w:tcBorders>
            <w:noWrap w:val="0"/>
            <w:vAlign w:val="center"/>
          </w:tcPr>
          <w:p w14:paraId="0FDACBE7">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（1）初步验收：</w:t>
            </w:r>
          </w:p>
          <w:p w14:paraId="473EDA2C">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标的在规定的时间内到货，标的（含包装）完整、完好，与</w:t>
            </w:r>
            <w:r>
              <w:rPr>
                <w:rFonts w:hint="default" w:ascii="Arial" w:hAnsi="Arial" w:eastAsia="宋体" w:cs="Arial"/>
                <w:bCs/>
                <w:color w:val="auto"/>
                <w:sz w:val="21"/>
                <w:szCs w:val="21"/>
                <w:highlight w:val="none"/>
                <w:lang w:eastAsia="zh-CN"/>
              </w:rPr>
              <w:t>投标</w:t>
            </w:r>
            <w:r>
              <w:rPr>
                <w:rFonts w:hint="default" w:ascii="Arial" w:hAnsi="Arial" w:eastAsia="宋体" w:cs="Arial"/>
                <w:bCs/>
                <w:color w:val="auto"/>
                <w:sz w:val="21"/>
                <w:szCs w:val="21"/>
                <w:highlight w:val="none"/>
              </w:rPr>
              <w:t>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采购人在初步验收后七个工作日内以书面形式向</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提出，</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应自收到采购人书面异议后七个工作日内及时予以解决，否则，视为初步验收不合格，不予进行交付验收。</w:t>
            </w:r>
          </w:p>
          <w:p w14:paraId="43A6D8B9">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（2）交付验收：</w:t>
            </w:r>
          </w:p>
          <w:p w14:paraId="24EBADD9">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标的的技术指标与</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的</w:t>
            </w:r>
            <w:r>
              <w:rPr>
                <w:rFonts w:hint="default" w:ascii="Arial" w:hAnsi="Arial" w:eastAsia="宋体" w:cs="Arial"/>
                <w:bCs/>
                <w:color w:val="auto"/>
                <w:sz w:val="21"/>
                <w:szCs w:val="21"/>
                <w:highlight w:val="none"/>
                <w:lang w:eastAsia="zh-CN"/>
              </w:rPr>
              <w:t>投标</w:t>
            </w:r>
            <w:r>
              <w:rPr>
                <w:rFonts w:hint="default" w:ascii="Arial" w:hAnsi="Arial" w:eastAsia="宋体" w:cs="Arial"/>
                <w:bCs/>
                <w:color w:val="auto"/>
                <w:sz w:val="21"/>
                <w:szCs w:val="21"/>
                <w:highlight w:val="none"/>
              </w:rPr>
              <w:t>承诺一致或更高，且满足采购文件全部实质性要求，视为交付验收合格。标的不符合上述情形的，采购人在交付验收后七个工作日内以书面形式向</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提出，</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应自收到采购人书面异议后七个工作日内及时予以解决，否则，视为交付验收不合格。</w:t>
            </w:r>
          </w:p>
          <w:p w14:paraId="5720C538">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（3）最终验收：</w:t>
            </w:r>
          </w:p>
          <w:p w14:paraId="67D78083">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标的交付验收合格投入使用后，</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提供的售后服务与其</w:t>
            </w:r>
            <w:r>
              <w:rPr>
                <w:rFonts w:hint="default" w:ascii="Arial" w:hAnsi="Arial" w:eastAsia="宋体" w:cs="Arial"/>
                <w:bCs/>
                <w:color w:val="auto"/>
                <w:sz w:val="21"/>
                <w:szCs w:val="21"/>
                <w:highlight w:val="none"/>
                <w:lang w:eastAsia="zh-CN"/>
              </w:rPr>
              <w:t>投标</w:t>
            </w:r>
            <w:r>
              <w:rPr>
                <w:rFonts w:hint="default" w:ascii="Arial" w:hAnsi="Arial" w:eastAsia="宋体" w:cs="Arial"/>
                <w:bCs/>
                <w:color w:val="auto"/>
                <w:sz w:val="21"/>
                <w:szCs w:val="21"/>
                <w:highlight w:val="none"/>
              </w:rPr>
              <w:t>承诺一致或更优，且</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履行完合同约定的应当由</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履行的全部事项之，视为最终验收合格。</w:t>
            </w:r>
          </w:p>
          <w:p w14:paraId="3BE69C5A">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（4）其他事项：</w:t>
            </w:r>
          </w:p>
          <w:p w14:paraId="2F6018B0">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1）验收时，双方应当派员在场，并对验收结果签署意见，否则视为其同意验收结果。</w:t>
            </w:r>
          </w:p>
          <w:p w14:paraId="44AD337A">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2）由于</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的原因造成采购人验收不合格、影响采购人正常使用的，由此造成的损失由</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承担。初步验收或交付验收不合格的，采购人有权终止合同并全部退货，同时报相关监督管理部门处理，由此造成甲方经济损失的由</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负责承担全部赔偿责任。</w:t>
            </w:r>
          </w:p>
          <w:p w14:paraId="01449D91">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3）对技术复杂的货物，采购人可请国家认可的专业检测机构参与初步验收及交付验收，并由其出具质量检测报告，费用由</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承担。</w:t>
            </w:r>
          </w:p>
          <w:p w14:paraId="277CED9B">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4）验收过程中所产生的一切费用均由</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承担，</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在</w:t>
            </w:r>
            <w:r>
              <w:rPr>
                <w:rFonts w:hint="default" w:ascii="Arial" w:hAnsi="Arial" w:eastAsia="宋体" w:cs="Arial"/>
                <w:bCs/>
                <w:color w:val="auto"/>
                <w:sz w:val="21"/>
                <w:szCs w:val="21"/>
                <w:highlight w:val="none"/>
                <w:lang w:eastAsia="zh-CN"/>
              </w:rPr>
              <w:t>投标报价</w:t>
            </w:r>
            <w:r>
              <w:rPr>
                <w:rFonts w:hint="default" w:ascii="Arial" w:hAnsi="Arial" w:eastAsia="宋体" w:cs="Arial"/>
                <w:bCs/>
                <w:color w:val="auto"/>
                <w:sz w:val="21"/>
                <w:szCs w:val="21"/>
                <w:highlight w:val="none"/>
              </w:rPr>
              <w:t>时应综合考虑相关费用。</w:t>
            </w:r>
          </w:p>
          <w:p w14:paraId="2AE06AB8">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5）采购人对产品的验收不免除</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的质量保证责任。</w:t>
            </w:r>
          </w:p>
          <w:p w14:paraId="6722D10D">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25E77039">
            <w:pPr>
              <w:keepNext w:val="0"/>
              <w:keepLines w:val="0"/>
              <w:pageBreakBefore w:val="0"/>
              <w:widowControl/>
              <w:kinsoku/>
              <w:wordWrap/>
              <w:overflowPunct/>
              <w:topLinePunct w:val="0"/>
              <w:bidi w:val="0"/>
              <w:spacing w:line="420" w:lineRule="exact"/>
              <w:ind w:firstLine="12" w:firstLineChars="6"/>
              <w:rPr>
                <w:rFonts w:hint="default" w:ascii="Arial" w:hAnsi="Arial" w:eastAsia="宋体" w:cs="Arial"/>
                <w:b w:val="0"/>
                <w:bCs w:val="0"/>
                <w:color w:val="auto"/>
                <w:kern w:val="2"/>
                <w:sz w:val="21"/>
                <w:szCs w:val="21"/>
                <w:highlight w:val="none"/>
                <w:u w:val="none"/>
                <w:lang w:val="en-US" w:eastAsia="zh-CN" w:bidi="ar-SA"/>
              </w:rPr>
            </w:pPr>
            <w:r>
              <w:rPr>
                <w:rFonts w:hint="default" w:ascii="Arial" w:hAnsi="Arial" w:eastAsia="宋体" w:cs="Arial"/>
                <w:bCs/>
                <w:color w:val="auto"/>
                <w:sz w:val="21"/>
                <w:szCs w:val="21"/>
                <w:highlight w:val="none"/>
              </w:rPr>
              <w:t>7）验收产生的费用</w:t>
            </w:r>
            <w:r>
              <w:rPr>
                <w:rFonts w:hint="default" w:ascii="Arial" w:hAnsi="Arial" w:eastAsia="宋体" w:cs="Arial"/>
                <w:bCs/>
                <w:color w:val="auto"/>
                <w:sz w:val="21"/>
                <w:szCs w:val="21"/>
                <w:highlight w:val="none"/>
                <w:lang w:eastAsia="zh-CN"/>
              </w:rPr>
              <w:t>中标人</w:t>
            </w:r>
            <w:r>
              <w:rPr>
                <w:rFonts w:hint="default" w:ascii="Arial" w:hAnsi="Arial" w:eastAsia="宋体" w:cs="Arial"/>
                <w:bCs/>
                <w:color w:val="auto"/>
                <w:sz w:val="21"/>
                <w:szCs w:val="21"/>
                <w:highlight w:val="none"/>
              </w:rPr>
              <w:t>负责。</w:t>
            </w:r>
          </w:p>
        </w:tc>
      </w:tr>
      <w:tr w14:paraId="01FB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1172" w:hRule="atLeast"/>
          <w:jc w:val="center"/>
        </w:trPr>
        <w:tc>
          <w:tcPr>
            <w:tcW w:w="2067" w:type="dxa"/>
            <w:tcBorders>
              <w:top w:val="single" w:color="auto" w:sz="4" w:space="0"/>
              <w:left w:val="single" w:color="auto" w:sz="4" w:space="0"/>
              <w:bottom w:val="single" w:color="auto" w:sz="4" w:space="0"/>
              <w:right w:val="single" w:color="auto" w:sz="4" w:space="0"/>
            </w:tcBorders>
            <w:noWrap w:val="0"/>
            <w:vAlign w:val="center"/>
          </w:tcPr>
          <w:p w14:paraId="60384AB7">
            <w:pPr>
              <w:adjustRightInd w:val="0"/>
              <w:snapToGrid w:val="0"/>
              <w:spacing w:line="360" w:lineRule="auto"/>
              <w:jc w:val="center"/>
              <w:outlineLvl w:val="3"/>
              <w:rPr>
                <w:rFonts w:hint="default" w:ascii="Arial" w:hAnsi="Arial" w:eastAsia="宋体" w:cs="Arial"/>
                <w:b/>
                <w:color w:val="auto"/>
                <w:kern w:val="0"/>
                <w:szCs w:val="21"/>
                <w:highlight w:val="none"/>
                <w:lang w:val="en-US" w:eastAsia="zh-CN"/>
              </w:rPr>
            </w:pPr>
            <w:r>
              <w:rPr>
                <w:rFonts w:hint="default" w:ascii="Arial" w:hAnsi="Arial" w:eastAsia="宋体" w:cs="Arial"/>
                <w:b/>
                <w:color w:val="auto"/>
                <w:kern w:val="0"/>
                <w:szCs w:val="21"/>
                <w:highlight w:val="none"/>
                <w:lang w:val="en-US" w:eastAsia="zh-CN"/>
              </w:rPr>
              <w:t>其他要求</w:t>
            </w:r>
          </w:p>
        </w:tc>
        <w:tc>
          <w:tcPr>
            <w:tcW w:w="8273" w:type="dxa"/>
            <w:tcBorders>
              <w:top w:val="single" w:color="auto" w:sz="4" w:space="0"/>
              <w:left w:val="single" w:color="auto" w:sz="4" w:space="0"/>
              <w:bottom w:val="single" w:color="auto" w:sz="4" w:space="0"/>
              <w:right w:val="single" w:color="auto" w:sz="4" w:space="0"/>
            </w:tcBorders>
            <w:noWrap w:val="0"/>
            <w:vAlign w:val="center"/>
          </w:tcPr>
          <w:p w14:paraId="7EE3CBDE">
            <w:pPr>
              <w:numPr>
                <w:ilvl w:val="0"/>
                <w:numId w:val="1"/>
              </w:numPr>
              <w:adjustRightInd/>
              <w:snapToGrid w:val="0"/>
              <w:spacing w:line="360" w:lineRule="auto"/>
              <w:jc w:val="left"/>
              <w:outlineLvl w:val="9"/>
              <w:rPr>
                <w:rFonts w:hint="default" w:ascii="Arial" w:hAnsi="Arial" w:cs="Arial"/>
                <w:color w:val="auto"/>
                <w:szCs w:val="21"/>
              </w:rPr>
            </w:pPr>
            <w:r>
              <w:rPr>
                <w:rFonts w:hint="default" w:ascii="Arial" w:hAnsi="Arial" w:cs="Arial"/>
                <w:color w:val="auto"/>
                <w:szCs w:val="21"/>
              </w:rPr>
              <w:t>本</w:t>
            </w:r>
            <w:r>
              <w:rPr>
                <w:rFonts w:hint="default" w:ascii="Arial" w:hAnsi="Arial" w:eastAsia="宋体" w:cs="Arial"/>
                <w:color w:val="auto"/>
                <w:szCs w:val="21"/>
                <w:lang w:val="en-US" w:eastAsia="zh-CN"/>
              </w:rPr>
              <w:t>标项</w:t>
            </w:r>
            <w:r>
              <w:rPr>
                <w:rFonts w:hint="default" w:ascii="Arial" w:hAnsi="Arial" w:cs="Arial"/>
                <w:color w:val="auto"/>
                <w:szCs w:val="21"/>
              </w:rPr>
              <w:t>货物所涉及的货物不接受进口产品（即通过中国海关报关验放进入中国境内且产自关境外的产品）参与投标，</w:t>
            </w:r>
            <w:r>
              <w:rPr>
                <w:rFonts w:hint="default" w:ascii="Arial" w:hAnsi="Arial" w:cs="Arial"/>
                <w:b/>
                <w:color w:val="auto"/>
                <w:szCs w:val="21"/>
              </w:rPr>
              <w:t>如有进口产品参与投标的作无效</w:t>
            </w:r>
            <w:r>
              <w:rPr>
                <w:rFonts w:hint="default" w:ascii="Arial" w:hAnsi="Arial" w:cs="Arial"/>
                <w:b/>
                <w:color w:val="auto"/>
                <w:szCs w:val="21"/>
                <w:lang w:eastAsia="zh-CN"/>
              </w:rPr>
              <w:t>投</w:t>
            </w:r>
            <w:r>
              <w:rPr>
                <w:rFonts w:hint="default" w:ascii="Arial" w:hAnsi="Arial" w:cs="Arial"/>
                <w:b/>
                <w:color w:val="auto"/>
                <w:szCs w:val="21"/>
              </w:rPr>
              <w:t>标处理</w:t>
            </w:r>
            <w:r>
              <w:rPr>
                <w:rFonts w:hint="default" w:ascii="Arial" w:hAnsi="Arial" w:cs="Arial"/>
                <w:color w:val="auto"/>
                <w:szCs w:val="21"/>
              </w:rPr>
              <w:t>。</w:t>
            </w:r>
          </w:p>
          <w:p w14:paraId="7C5734D4">
            <w:pPr>
              <w:numPr>
                <w:ilvl w:val="0"/>
                <w:numId w:val="1"/>
              </w:numPr>
              <w:adjustRightInd/>
              <w:snapToGrid w:val="0"/>
              <w:spacing w:line="360" w:lineRule="auto"/>
              <w:jc w:val="left"/>
              <w:outlineLvl w:val="9"/>
              <w:rPr>
                <w:rFonts w:hint="default" w:ascii="Arial" w:hAnsi="Arial" w:cs="Arial"/>
                <w:color w:val="auto"/>
                <w:szCs w:val="21"/>
                <w:lang w:val="en-US" w:eastAsia="zh-CN"/>
              </w:rPr>
            </w:pPr>
            <w:r>
              <w:rPr>
                <w:rFonts w:hint="default" w:ascii="Arial" w:hAnsi="Arial" w:cs="Arial"/>
                <w:color w:val="auto"/>
                <w:szCs w:val="21"/>
                <w:lang w:val="en-US" w:eastAsia="zh-CN"/>
              </w:rPr>
              <w:t>根据</w:t>
            </w:r>
            <w:r>
              <w:rPr>
                <w:rFonts w:hint="default" w:ascii="Arial" w:hAnsi="Arial" w:eastAsia="宋体" w:cs="Arial"/>
                <w:color w:val="auto"/>
                <w:szCs w:val="21"/>
                <w:highlight w:val="none"/>
                <w:lang w:val="en-US" w:eastAsia="zh-CN"/>
              </w:rPr>
              <w:t>《国务院办公厅关于在政府采购中实施本国产品标准及相关政策的通知》（国办发</w:t>
            </w:r>
            <w:r>
              <w:rPr>
                <w:rFonts w:hint="default" w:ascii="Arial" w:hAnsi="Arial" w:eastAsia="宋体" w:cs="Arial"/>
                <w:color w:val="auto"/>
                <w:szCs w:val="21"/>
                <w:highlight w:val="none"/>
              </w:rPr>
              <w:t>〔202</w:t>
            </w:r>
            <w:r>
              <w:rPr>
                <w:rFonts w:hint="default" w:ascii="Arial" w:hAnsi="Arial" w:eastAsia="宋体" w:cs="Arial"/>
                <w:color w:val="auto"/>
                <w:szCs w:val="21"/>
                <w:highlight w:val="none"/>
                <w:lang w:val="en-US" w:eastAsia="zh-CN"/>
              </w:rPr>
              <w:t>5</w:t>
            </w:r>
            <w:r>
              <w:rPr>
                <w:rFonts w:hint="default" w:ascii="Arial" w:hAnsi="Arial" w:eastAsia="宋体" w:cs="Arial"/>
                <w:color w:val="auto"/>
                <w:szCs w:val="21"/>
                <w:highlight w:val="none"/>
              </w:rPr>
              <w:t>〕</w:t>
            </w:r>
            <w:r>
              <w:rPr>
                <w:rFonts w:hint="default" w:ascii="Arial" w:hAnsi="Arial" w:eastAsia="宋体" w:cs="Arial"/>
                <w:color w:val="auto"/>
                <w:szCs w:val="21"/>
                <w:highlight w:val="none"/>
                <w:lang w:val="en-US" w:eastAsia="zh-CN"/>
              </w:rPr>
              <w:t>34</w:t>
            </w:r>
            <w:r>
              <w:rPr>
                <w:rFonts w:hint="default" w:ascii="Arial" w:hAnsi="Arial" w:eastAsia="宋体" w:cs="Arial"/>
                <w:color w:val="auto"/>
                <w:szCs w:val="21"/>
                <w:highlight w:val="none"/>
              </w:rPr>
              <w:t>号）</w:t>
            </w:r>
            <w:r>
              <w:rPr>
                <w:rFonts w:hint="default" w:ascii="Arial" w:hAnsi="Arial" w:cs="Arial"/>
                <w:color w:val="auto"/>
                <w:szCs w:val="21"/>
              </w:rPr>
              <w:t>的规定</w:t>
            </w:r>
            <w:r>
              <w:rPr>
                <w:rFonts w:hint="default" w:ascii="Arial" w:hAnsi="Arial" w:cs="Arial"/>
                <w:color w:val="auto"/>
                <w:szCs w:val="21"/>
                <w:lang w:eastAsia="zh-CN"/>
              </w:rPr>
              <w:t>，</w:t>
            </w:r>
            <w:r>
              <w:rPr>
                <w:rFonts w:hint="default" w:ascii="Arial" w:hAnsi="Arial" w:eastAsia="宋体" w:cs="Arial"/>
                <w:i w:val="0"/>
                <w:iCs w:val="0"/>
                <w:caps w:val="0"/>
                <w:color w:val="auto"/>
                <w:spacing w:val="0"/>
                <w:sz w:val="21"/>
                <w:szCs w:val="21"/>
                <w:shd w:val="clear" w:color="auto" w:fill="FFFFFF"/>
              </w:rPr>
              <w:t>政府采购活动中既有本国产品又有非本国产品参与竞争的，依法对</w:t>
            </w:r>
            <w:r>
              <w:rPr>
                <w:rFonts w:hint="default" w:ascii="Arial" w:hAnsi="Arial" w:cs="Arial"/>
                <w:i w:val="0"/>
                <w:iCs w:val="0"/>
                <w:caps w:val="0"/>
                <w:color w:val="auto"/>
                <w:spacing w:val="0"/>
                <w:sz w:val="21"/>
                <w:szCs w:val="21"/>
                <w:shd w:val="clear" w:color="auto" w:fill="FFFFFF"/>
                <w:lang w:val="en-US" w:eastAsia="zh-CN"/>
              </w:rPr>
              <w:t>符合政策要求的</w:t>
            </w:r>
            <w:r>
              <w:rPr>
                <w:rFonts w:hint="default" w:ascii="Arial" w:hAnsi="Arial" w:eastAsia="宋体" w:cs="Arial"/>
                <w:i w:val="0"/>
                <w:iCs w:val="0"/>
                <w:caps w:val="0"/>
                <w:color w:val="auto"/>
                <w:spacing w:val="0"/>
                <w:sz w:val="21"/>
                <w:szCs w:val="21"/>
                <w:shd w:val="clear" w:color="auto" w:fill="FFFFFF"/>
              </w:rPr>
              <w:t>本国产品给予价格评审优惠</w:t>
            </w:r>
            <w:r>
              <w:rPr>
                <w:rFonts w:hint="default" w:ascii="Arial" w:hAnsi="Arial" w:cs="Arial"/>
                <w:i w:val="0"/>
                <w:iCs w:val="0"/>
                <w:caps w:val="0"/>
                <w:color w:val="auto"/>
                <w:spacing w:val="0"/>
                <w:sz w:val="21"/>
                <w:szCs w:val="21"/>
                <w:shd w:val="clear" w:color="auto" w:fill="FFFFFF"/>
                <w:lang w:eastAsia="zh-CN"/>
              </w:rPr>
              <w:t>，</w:t>
            </w:r>
            <w:r>
              <w:rPr>
                <w:rFonts w:hint="default" w:ascii="Arial" w:hAnsi="Arial" w:cs="Arial"/>
                <w:b/>
                <w:bCs/>
                <w:color w:val="auto"/>
                <w:szCs w:val="21"/>
              </w:rPr>
              <w:t>具体详见“</w:t>
            </w:r>
            <w:r>
              <w:rPr>
                <w:rFonts w:hint="default" w:ascii="Arial" w:hAnsi="Arial" w:cs="Arial"/>
                <w:b/>
                <w:bCs/>
                <w:color w:val="auto"/>
                <w:szCs w:val="21"/>
                <w:lang w:eastAsia="zh-CN"/>
              </w:rPr>
              <w:t>评标</w:t>
            </w:r>
            <w:r>
              <w:rPr>
                <w:rFonts w:hint="default" w:ascii="Arial" w:hAnsi="Arial" w:cs="Arial"/>
                <w:b/>
                <w:bCs/>
                <w:color w:val="auto"/>
                <w:szCs w:val="21"/>
                <w:lang w:val="en-US" w:eastAsia="zh-CN"/>
              </w:rPr>
              <w:t>办法</w:t>
            </w:r>
            <w:r>
              <w:rPr>
                <w:rFonts w:hint="default" w:ascii="Arial" w:hAnsi="Arial" w:cs="Arial"/>
                <w:b/>
                <w:bCs/>
                <w:color w:val="auto"/>
                <w:szCs w:val="21"/>
              </w:rPr>
              <w:t>”</w:t>
            </w:r>
            <w:r>
              <w:rPr>
                <w:rFonts w:hint="default" w:ascii="Arial" w:hAnsi="Arial" w:cs="Arial"/>
                <w:color w:val="auto"/>
                <w:szCs w:val="21"/>
                <w:lang w:eastAsia="zh-CN"/>
              </w:rPr>
              <w:t>。</w:t>
            </w:r>
            <w:r>
              <w:rPr>
                <w:rFonts w:hint="default" w:ascii="Arial" w:hAnsi="Arial" w:eastAsia="宋体" w:cs="Arial"/>
                <w:i w:val="0"/>
                <w:iCs w:val="0"/>
                <w:caps w:val="0"/>
                <w:color w:val="auto"/>
                <w:spacing w:val="0"/>
                <w:sz w:val="21"/>
                <w:szCs w:val="21"/>
                <w:highlight w:val="none"/>
                <w:shd w:val="clear" w:color="auto" w:fill="auto"/>
              </w:rPr>
              <w:t>产品在中国境内生产的组件成本，按照《中国境内生产的组件成本核算基本规则》计算。</w:t>
            </w:r>
          </w:p>
        </w:tc>
      </w:tr>
    </w:tbl>
    <w:p w14:paraId="26410503">
      <w:pPr>
        <w:rPr>
          <w:rFonts w:ascii="Arial" w:hAnsi="Arial" w:cs="Arial"/>
          <w:color w:val="000000" w:themeColor="text1"/>
          <w:sz w:val="32"/>
          <w:szCs w:val="32"/>
          <w14:textFill>
            <w14:solidFill>
              <w14:schemeClr w14:val="tx1"/>
            </w14:solidFill>
          </w14:textFill>
        </w:rPr>
      </w:pPr>
      <w:r>
        <w:rPr>
          <w:rFonts w:ascii="Arial" w:hAnsi="Arial" w:cs="Arial"/>
          <w:color w:val="000000" w:themeColor="text1"/>
          <w:sz w:val="32"/>
          <w:szCs w:val="32"/>
          <w14:textFill>
            <w14:solidFill>
              <w14:schemeClr w14:val="tx1"/>
            </w14:solidFill>
          </w14:textFill>
        </w:rPr>
        <w:br w:type="page"/>
      </w:r>
    </w:p>
    <w:p w14:paraId="304ECAA1">
      <w:pPr>
        <w:pStyle w:val="3"/>
      </w:pPr>
    </w:p>
    <w:p w14:paraId="7FD0E553">
      <w:pPr>
        <w:pStyle w:val="30"/>
        <w:snapToGrid w:val="0"/>
        <w:spacing w:before="120" w:after="120" w:line="320" w:lineRule="exact"/>
        <w:jc w:val="center"/>
        <w:outlineLvl w:val="0"/>
        <w:rPr>
          <w:rFonts w:ascii="Arial" w:hAnsi="Arial" w:cs="Arial"/>
          <w:color w:val="000000" w:themeColor="text1"/>
          <w:sz w:val="32"/>
          <w:szCs w:val="32"/>
          <w14:textFill>
            <w14:solidFill>
              <w14:schemeClr w14:val="tx1"/>
            </w14:solidFill>
          </w14:textFill>
        </w:rPr>
      </w:pPr>
      <w:bookmarkStart w:id="15" w:name="_Toc13905"/>
      <w:r>
        <w:rPr>
          <w:rFonts w:ascii="Arial" w:hAnsi="Arial" w:cs="Arial"/>
          <w:color w:val="000000" w:themeColor="text1"/>
          <w:sz w:val="32"/>
          <w:szCs w:val="32"/>
          <w14:textFill>
            <w14:solidFill>
              <w14:schemeClr w14:val="tx1"/>
            </w14:solidFill>
          </w14:textFill>
        </w:rPr>
        <w:t>第三章  供应商须知</w:t>
      </w:r>
      <w:bookmarkEnd w:id="15"/>
      <w:bookmarkStart w:id="16" w:name="_Toc254970526"/>
      <w:bookmarkStart w:id="17" w:name="_Toc254970667"/>
    </w:p>
    <w:bookmarkEnd w:id="16"/>
    <w:bookmarkEnd w:id="17"/>
    <w:p w14:paraId="37EEB666">
      <w:pPr>
        <w:jc w:val="center"/>
        <w:rPr>
          <w:rFonts w:ascii="Arial" w:hAnsi="Arial" w:cs="Arial"/>
          <w:color w:val="000000" w:themeColor="text1"/>
          <w:sz w:val="28"/>
          <w:szCs w:val="36"/>
          <w14:textFill>
            <w14:solidFill>
              <w14:schemeClr w14:val="tx1"/>
            </w14:solidFill>
          </w14:textFill>
        </w:rPr>
      </w:pPr>
      <w:bookmarkStart w:id="18" w:name="_投标人须知前附表"/>
      <w:bookmarkEnd w:id="18"/>
      <w:bookmarkStart w:id="19" w:name="_Hlk19048934"/>
      <w:r>
        <w:rPr>
          <w:rFonts w:ascii="Arial" w:hAnsi="Arial" w:cs="Arial"/>
          <w:color w:val="000000" w:themeColor="text1"/>
          <w:sz w:val="28"/>
          <w:szCs w:val="36"/>
          <w14:textFill>
            <w14:solidFill>
              <w14:schemeClr w14:val="tx1"/>
            </w14:solidFill>
          </w14:textFill>
        </w:rPr>
        <w:t>供应商须知前附表</w:t>
      </w:r>
    </w:p>
    <w:tbl>
      <w:tblPr>
        <w:tblStyle w:val="55"/>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1230"/>
        <w:gridCol w:w="7229"/>
      </w:tblGrid>
      <w:tr w14:paraId="64089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55" w:type="dxa"/>
            <w:tcBorders>
              <w:top w:val="single" w:color="auto" w:sz="4" w:space="0"/>
              <w:left w:val="single" w:color="auto" w:sz="4" w:space="0"/>
              <w:bottom w:val="single" w:color="auto" w:sz="4" w:space="0"/>
              <w:right w:val="single" w:color="auto" w:sz="4" w:space="0"/>
            </w:tcBorders>
            <w:vAlign w:val="center"/>
          </w:tcPr>
          <w:p w14:paraId="7DAADCB4">
            <w:pPr>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654EC849">
            <w:pPr>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62A9AD42">
            <w:pPr>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内容、要求</w:t>
            </w:r>
          </w:p>
        </w:tc>
      </w:tr>
      <w:tr w14:paraId="36F46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55" w:type="dxa"/>
            <w:tcBorders>
              <w:top w:val="single" w:color="auto" w:sz="4" w:space="0"/>
              <w:left w:val="single" w:color="auto" w:sz="4" w:space="0"/>
              <w:bottom w:val="single" w:color="auto" w:sz="4" w:space="0"/>
              <w:right w:val="single" w:color="auto" w:sz="4" w:space="0"/>
            </w:tcBorders>
            <w:vAlign w:val="center"/>
          </w:tcPr>
          <w:p w14:paraId="594F490C">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1.3.1</w:t>
            </w:r>
          </w:p>
        </w:tc>
        <w:tc>
          <w:tcPr>
            <w:tcW w:w="1230" w:type="dxa"/>
            <w:tcBorders>
              <w:top w:val="single" w:color="auto" w:sz="4" w:space="0"/>
              <w:left w:val="single" w:color="auto" w:sz="4" w:space="0"/>
              <w:bottom w:val="single" w:color="auto" w:sz="4" w:space="0"/>
              <w:right w:val="single" w:color="auto" w:sz="4" w:space="0"/>
            </w:tcBorders>
            <w:vAlign w:val="center"/>
          </w:tcPr>
          <w:p w14:paraId="1206F5D2">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16F056DD">
            <w:pPr>
              <w:spacing w:line="300" w:lineRule="exact"/>
              <w:jc w:val="left"/>
              <w:rPr>
                <w:rFonts w:hint="eastAsia" w:ascii="Arial" w:hAnsi="Arial" w:eastAsia="宋体" w:cs="Arial"/>
                <w:color w:val="000000" w:themeColor="text1"/>
                <w:lang w:eastAsia="zh-CN"/>
                <w14:textFill>
                  <w14:solidFill>
                    <w14:schemeClr w14:val="tx1"/>
                  </w14:solidFill>
                </w14:textFill>
              </w:rPr>
            </w:pPr>
            <w:r>
              <w:rPr>
                <w:rFonts w:ascii="Arial" w:hAnsi="Arial" w:cs="Arial"/>
                <w:color w:val="000000" w:themeColor="text1"/>
                <w14:textFill>
                  <w14:solidFill>
                    <w14:schemeClr w14:val="tx1"/>
                  </w14:solidFill>
                </w14:textFill>
              </w:rPr>
              <w:t>项目名称：</w:t>
            </w:r>
            <w:r>
              <w:rPr>
                <w:rFonts w:hint="eastAsia" w:ascii="Arial" w:hAnsi="Arial" w:cs="Arial"/>
                <w:color w:val="000000" w:themeColor="text1"/>
                <w:lang w:eastAsia="zh-CN"/>
                <w14:textFill>
                  <w14:solidFill>
                    <w14:schemeClr w14:val="tx1"/>
                  </w14:solidFill>
                </w14:textFill>
              </w:rPr>
              <w:t>南溪山医院医疗设备一批项目(十二)(电子胃镜系统、肺功能测试系统)</w:t>
            </w:r>
          </w:p>
          <w:p w14:paraId="1E205223">
            <w:pPr>
              <w:spacing w:line="300" w:lineRule="exact"/>
              <w:jc w:val="left"/>
              <w:rPr>
                <w:rFonts w:hint="eastAsia" w:ascii="Arial" w:hAnsi="Arial" w:eastAsia="宋体" w:cs="Arial"/>
                <w:color w:val="000000" w:themeColor="text1"/>
                <w:lang w:eastAsia="zh-CN"/>
                <w14:textFill>
                  <w14:solidFill>
                    <w14:schemeClr w14:val="tx1"/>
                  </w14:solidFill>
                </w14:textFill>
              </w:rPr>
            </w:pPr>
            <w:r>
              <w:rPr>
                <w:rFonts w:ascii="Arial" w:hAnsi="Arial" w:cs="Arial"/>
                <w:color w:val="000000" w:themeColor="text1"/>
                <w14:textFill>
                  <w14:solidFill>
                    <w14:schemeClr w14:val="tx1"/>
                  </w14:solidFill>
                </w14:textFill>
              </w:rPr>
              <w:t>项目编号：</w:t>
            </w:r>
            <w:r>
              <w:rPr>
                <w:rFonts w:hint="eastAsia" w:ascii="Arial" w:hAnsi="Arial" w:cs="Arial"/>
                <w:color w:val="000000" w:themeColor="text1"/>
                <w:lang w:eastAsia="zh-CN"/>
                <w14:textFill>
                  <w14:solidFill>
                    <w14:schemeClr w14:val="tx1"/>
                  </w14:solidFill>
                </w14:textFill>
              </w:rPr>
              <w:t>GXZC2026-G1-002738-JDZB</w:t>
            </w:r>
          </w:p>
          <w:p w14:paraId="11C39093">
            <w:pPr>
              <w:spacing w:line="300" w:lineRule="exact"/>
              <w:jc w:val="left"/>
              <w:rPr>
                <w:rFonts w:ascii="Arial" w:hAnsi="Arial" w:cs="Arial"/>
                <w:color w:val="000000" w:themeColor="text1"/>
                <w:szCs w:val="21"/>
                <w:u w:val="single"/>
                <w14:textFill>
                  <w14:solidFill>
                    <w14:schemeClr w14:val="tx1"/>
                  </w14:solidFill>
                </w14:textFill>
              </w:rPr>
            </w:pPr>
            <w:r>
              <w:rPr>
                <w:rFonts w:ascii="Arial" w:hAnsi="Arial" w:cs="Arial"/>
                <w:color w:val="000000" w:themeColor="text1"/>
                <w:highlight w:val="none"/>
                <w14:textFill>
                  <w14:solidFill>
                    <w14:schemeClr w14:val="tx1"/>
                  </w14:solidFill>
                </w14:textFill>
              </w:rPr>
              <w:t>采购计划文号：</w:t>
            </w:r>
            <w:r>
              <w:rPr>
                <w:rFonts w:hint="eastAsia" w:ascii="Arial" w:hAnsi="Arial" w:cs="Arial"/>
                <w:color w:val="000000" w:themeColor="text1"/>
                <w:highlight w:val="none"/>
                <w14:textFill>
                  <w14:solidFill>
                    <w14:schemeClr w14:val="tx1"/>
                  </w14:solidFill>
                </w14:textFill>
              </w:rPr>
              <w:t>广西政采[2026]17200号</w:t>
            </w:r>
            <w:r>
              <w:rPr>
                <w:rFonts w:ascii="Arial" w:hAnsi="Arial" w:cs="Arial"/>
                <w:color w:val="000000" w:themeColor="text1"/>
                <w:highlight w:val="none"/>
                <w14:textFill>
                  <w14:solidFill>
                    <w14:schemeClr w14:val="tx1"/>
                  </w14:solidFill>
                </w14:textFill>
              </w:rPr>
              <w:t xml:space="preserve"> </w:t>
            </w:r>
          </w:p>
        </w:tc>
      </w:tr>
      <w:tr w14:paraId="1DCFF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55" w:type="dxa"/>
            <w:tcBorders>
              <w:top w:val="single" w:color="auto" w:sz="4" w:space="0"/>
              <w:left w:val="single" w:color="auto" w:sz="4" w:space="0"/>
              <w:bottom w:val="single" w:color="auto" w:sz="4" w:space="0"/>
              <w:right w:val="single" w:color="auto" w:sz="4" w:space="0"/>
            </w:tcBorders>
            <w:vAlign w:val="center"/>
          </w:tcPr>
          <w:p w14:paraId="5280FE22">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1.3.2</w:t>
            </w:r>
          </w:p>
        </w:tc>
        <w:tc>
          <w:tcPr>
            <w:tcW w:w="1230" w:type="dxa"/>
            <w:tcBorders>
              <w:top w:val="single" w:color="auto" w:sz="4" w:space="0"/>
              <w:left w:val="single" w:color="auto" w:sz="4" w:space="0"/>
              <w:bottom w:val="single" w:color="auto" w:sz="4" w:space="0"/>
              <w:right w:val="single" w:color="auto" w:sz="4" w:space="0"/>
            </w:tcBorders>
            <w:vAlign w:val="center"/>
          </w:tcPr>
          <w:p w14:paraId="5385A65C">
            <w:pPr>
              <w:spacing w:line="300" w:lineRule="exact"/>
              <w:jc w:val="center"/>
              <w:rPr>
                <w:rFonts w:ascii="Arial" w:hAnsi="Arial" w:cs="Arial"/>
                <w:color w:val="000000" w:themeColor="text1"/>
                <w:szCs w:val="21"/>
                <w:lang w:val="zh-CN"/>
                <w14:textFill>
                  <w14:solidFill>
                    <w14:schemeClr w14:val="tx1"/>
                  </w14:solidFill>
                </w14:textFill>
              </w:rPr>
            </w:pPr>
            <w:r>
              <w:rPr>
                <w:rFonts w:ascii="Arial" w:hAnsi="Arial" w:cs="Arial"/>
                <w:color w:val="000000" w:themeColor="text1"/>
                <w:szCs w:val="21"/>
                <w:lang w:val="zh-CN"/>
                <w14:textFill>
                  <w14:solidFill>
                    <w14:schemeClr w14:val="tx1"/>
                  </w14:solidFill>
                </w14:textFill>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1CA15A3A">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公开招标</w:t>
            </w:r>
          </w:p>
        </w:tc>
      </w:tr>
      <w:tr w14:paraId="047D5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55" w:type="dxa"/>
            <w:tcBorders>
              <w:top w:val="single" w:color="auto" w:sz="4" w:space="0"/>
              <w:left w:val="single" w:color="auto" w:sz="4" w:space="0"/>
              <w:bottom w:val="single" w:color="auto" w:sz="4" w:space="0"/>
              <w:right w:val="single" w:color="auto" w:sz="4" w:space="0"/>
            </w:tcBorders>
            <w:vAlign w:val="center"/>
          </w:tcPr>
          <w:p w14:paraId="01247E23">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1.4</w:t>
            </w:r>
          </w:p>
        </w:tc>
        <w:tc>
          <w:tcPr>
            <w:tcW w:w="1230" w:type="dxa"/>
            <w:tcBorders>
              <w:top w:val="single" w:color="auto" w:sz="4" w:space="0"/>
              <w:left w:val="single" w:color="auto" w:sz="4" w:space="0"/>
              <w:bottom w:val="single" w:color="auto" w:sz="4" w:space="0"/>
              <w:right w:val="single" w:color="auto" w:sz="4" w:space="0"/>
            </w:tcBorders>
            <w:vAlign w:val="center"/>
          </w:tcPr>
          <w:p w14:paraId="5910CCB9">
            <w:pPr>
              <w:spacing w:line="300" w:lineRule="exact"/>
              <w:jc w:val="center"/>
              <w:rPr>
                <w:rFonts w:ascii="Arial" w:hAnsi="Arial" w:cs="Arial"/>
                <w:color w:val="000000" w:themeColor="text1"/>
                <w:szCs w:val="21"/>
                <w:lang w:val="zh-CN"/>
                <w14:textFill>
                  <w14:solidFill>
                    <w14:schemeClr w14:val="tx1"/>
                  </w14:solidFill>
                </w14:textFill>
              </w:rPr>
            </w:pPr>
            <w:r>
              <w:rPr>
                <w:rFonts w:ascii="Arial" w:hAnsi="Arial" w:cs="Arial"/>
                <w:color w:val="000000" w:themeColor="text1"/>
                <w:szCs w:val="21"/>
                <w:lang w:val="zh-CN"/>
                <w14:textFill>
                  <w14:solidFill>
                    <w14:schemeClr w14:val="tx1"/>
                  </w14:solidFill>
                </w14:textFill>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4F7B3C3E">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本项目非专门面向中小微企业采购。</w:t>
            </w:r>
          </w:p>
        </w:tc>
      </w:tr>
      <w:tr w14:paraId="56E3C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68614026">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1.5.1</w:t>
            </w:r>
          </w:p>
        </w:tc>
        <w:tc>
          <w:tcPr>
            <w:tcW w:w="1230" w:type="dxa"/>
            <w:tcBorders>
              <w:top w:val="single" w:color="auto" w:sz="4" w:space="0"/>
              <w:left w:val="single" w:color="auto" w:sz="4" w:space="0"/>
              <w:bottom w:val="single" w:color="auto" w:sz="4" w:space="0"/>
              <w:right w:val="single" w:color="auto" w:sz="4" w:space="0"/>
            </w:tcBorders>
            <w:vAlign w:val="center"/>
          </w:tcPr>
          <w:p w14:paraId="0AFD9CD8">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lang w:val="zh-CN"/>
                <w14:textFill>
                  <w14:solidFill>
                    <w14:schemeClr w14:val="tx1"/>
                  </w14:solidFill>
                </w14:textFill>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102FD38F">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详见招标公告。</w:t>
            </w:r>
          </w:p>
        </w:tc>
      </w:tr>
      <w:tr w14:paraId="787B6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55" w:type="dxa"/>
            <w:tcBorders>
              <w:top w:val="single" w:color="auto" w:sz="4" w:space="0"/>
              <w:left w:val="single" w:color="auto" w:sz="4" w:space="0"/>
              <w:right w:val="single" w:color="auto" w:sz="4" w:space="0"/>
            </w:tcBorders>
            <w:vAlign w:val="center"/>
          </w:tcPr>
          <w:p w14:paraId="785F877E">
            <w:pPr>
              <w:spacing w:line="300" w:lineRule="exact"/>
              <w:jc w:val="center"/>
              <w:rPr>
                <w:rFonts w:ascii="Arial" w:hAnsi="Arial" w:cs="Arial"/>
                <w:b/>
                <w:color w:val="000000" w:themeColor="text1"/>
                <w:szCs w:val="21"/>
                <w14:textFill>
                  <w14:solidFill>
                    <w14:schemeClr w14:val="tx1"/>
                  </w14:solidFill>
                </w14:textFill>
              </w:rPr>
            </w:pPr>
            <w:bookmarkStart w:id="20" w:name="_Hlk85555568"/>
            <w:r>
              <w:rPr>
                <w:rFonts w:ascii="Arial" w:hAnsi="Arial" w:cs="Arial"/>
                <w:b/>
                <w:color w:val="000000" w:themeColor="text1"/>
                <w:szCs w:val="21"/>
                <w14:textFill>
                  <w14:solidFill>
                    <w14:schemeClr w14:val="tx1"/>
                  </w14:solidFill>
                </w14:textFill>
              </w:rPr>
              <w:t>1.5.3</w:t>
            </w:r>
          </w:p>
        </w:tc>
        <w:tc>
          <w:tcPr>
            <w:tcW w:w="1230" w:type="dxa"/>
            <w:tcBorders>
              <w:top w:val="single" w:color="auto" w:sz="4" w:space="0"/>
              <w:left w:val="single" w:color="auto" w:sz="4" w:space="0"/>
              <w:right w:val="single" w:color="auto" w:sz="4" w:space="0"/>
            </w:tcBorders>
            <w:vAlign w:val="center"/>
          </w:tcPr>
          <w:p w14:paraId="4C67057B">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联合体</w:t>
            </w:r>
          </w:p>
        </w:tc>
        <w:tc>
          <w:tcPr>
            <w:tcW w:w="7229" w:type="dxa"/>
            <w:tcBorders>
              <w:top w:val="single" w:color="auto" w:sz="4" w:space="0"/>
              <w:left w:val="single" w:color="auto" w:sz="4" w:space="0"/>
              <w:right w:val="single" w:color="auto" w:sz="4" w:space="0"/>
            </w:tcBorders>
            <w:vAlign w:val="center"/>
          </w:tcPr>
          <w:p w14:paraId="0A6D9F8C">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是否接受联合体详见招标公告</w:t>
            </w:r>
          </w:p>
        </w:tc>
      </w:tr>
      <w:bookmarkEnd w:id="20"/>
      <w:tr w14:paraId="1A360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6A5A032B">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1.6</w:t>
            </w:r>
          </w:p>
        </w:tc>
        <w:tc>
          <w:tcPr>
            <w:tcW w:w="1230" w:type="dxa"/>
            <w:tcBorders>
              <w:top w:val="single" w:color="auto" w:sz="4" w:space="0"/>
              <w:left w:val="single" w:color="auto" w:sz="4" w:space="0"/>
              <w:bottom w:val="single" w:color="auto" w:sz="4" w:space="0"/>
              <w:right w:val="single" w:color="auto" w:sz="4" w:space="0"/>
            </w:tcBorders>
            <w:vAlign w:val="center"/>
          </w:tcPr>
          <w:p w14:paraId="4E99A030">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1B9E08C0">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14:textFill>
                  <w14:solidFill>
                    <w14:schemeClr w14:val="tx1"/>
                  </w14:solidFill>
                </w14:textFill>
              </w:rPr>
              <w:t>不组织。</w:t>
            </w:r>
            <w:r>
              <w:rPr>
                <w:rFonts w:ascii="Arial" w:hAnsi="Arial" w:cs="Arial"/>
                <w:color w:val="000000" w:themeColor="text1"/>
                <w:szCs w:val="21"/>
                <w14:textFill>
                  <w14:solidFill>
                    <w14:schemeClr w14:val="tx1"/>
                  </w14:solidFill>
                </w14:textFill>
              </w:rPr>
              <w:t xml:space="preserve">  </w:t>
            </w:r>
          </w:p>
        </w:tc>
      </w:tr>
      <w:tr w14:paraId="50D77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14434CF3">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1.7.2</w:t>
            </w:r>
          </w:p>
        </w:tc>
        <w:tc>
          <w:tcPr>
            <w:tcW w:w="1230" w:type="dxa"/>
            <w:tcBorders>
              <w:top w:val="single" w:color="auto" w:sz="4" w:space="0"/>
              <w:left w:val="single" w:color="auto" w:sz="4" w:space="0"/>
              <w:bottom w:val="single" w:color="auto" w:sz="4" w:space="0"/>
              <w:right w:val="single" w:color="auto" w:sz="4" w:space="0"/>
            </w:tcBorders>
            <w:vAlign w:val="center"/>
          </w:tcPr>
          <w:p w14:paraId="0D2BF16C">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351A5DAF">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是否接受分包详见招标公告</w:t>
            </w:r>
          </w:p>
        </w:tc>
      </w:tr>
      <w:tr w14:paraId="12718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65EB8799">
            <w:pPr>
              <w:spacing w:line="300" w:lineRule="exact"/>
              <w:jc w:val="center"/>
              <w:rPr>
                <w:rFonts w:ascii="Arial" w:hAnsi="Arial" w:cs="Arial"/>
                <w:b/>
                <w:color w:val="000000" w:themeColor="text1"/>
                <w:szCs w:val="21"/>
                <w14:textFill>
                  <w14:solidFill>
                    <w14:schemeClr w14:val="tx1"/>
                  </w14:solidFill>
                </w14:textFill>
              </w:rPr>
            </w:pPr>
            <w:r>
              <w:rPr>
                <w:rFonts w:hint="eastAsia"/>
                <w:b/>
                <w:szCs w:val="21"/>
                <w:lang w:val="en-US" w:eastAsia="zh-CN"/>
              </w:rPr>
              <w:t>1.9</w:t>
            </w:r>
          </w:p>
        </w:tc>
        <w:tc>
          <w:tcPr>
            <w:tcW w:w="1230" w:type="dxa"/>
            <w:tcBorders>
              <w:top w:val="single" w:color="auto" w:sz="4" w:space="0"/>
              <w:left w:val="single" w:color="auto" w:sz="4" w:space="0"/>
              <w:bottom w:val="single" w:color="auto" w:sz="4" w:space="0"/>
              <w:right w:val="single" w:color="auto" w:sz="4" w:space="0"/>
            </w:tcBorders>
            <w:vAlign w:val="center"/>
          </w:tcPr>
          <w:p w14:paraId="6C6BD0AD">
            <w:pPr>
              <w:spacing w:line="300" w:lineRule="exact"/>
              <w:jc w:val="center"/>
              <w:rPr>
                <w:rFonts w:ascii="Arial" w:hAnsi="Arial" w:cs="Arial"/>
                <w:color w:val="000000" w:themeColor="text1"/>
                <w:szCs w:val="21"/>
                <w14:textFill>
                  <w14:solidFill>
                    <w14:schemeClr w14:val="tx1"/>
                  </w14:solidFill>
                </w14:textFill>
              </w:rPr>
            </w:pPr>
            <w:r>
              <w:rPr>
                <w:rFonts w:hint="eastAsia"/>
                <w:szCs w:val="21"/>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1932459A">
            <w:pPr>
              <w:spacing w:line="300" w:lineRule="exact"/>
              <w:jc w:val="left"/>
              <w:rPr>
                <w:rFonts w:hint="eastAsia"/>
                <w:szCs w:val="21"/>
              </w:rPr>
            </w:pPr>
            <w:r>
              <w:rPr>
                <w:rFonts w:hint="eastAsia"/>
                <w:szCs w:val="21"/>
                <w:lang w:eastAsia="zh-CN"/>
              </w:rPr>
              <w:t>☑</w:t>
            </w:r>
            <w:r>
              <w:rPr>
                <w:rFonts w:hint="eastAsia"/>
                <w:szCs w:val="21"/>
              </w:rPr>
              <w:t>适用</w:t>
            </w:r>
          </w:p>
          <w:p w14:paraId="22E0B21F">
            <w:pPr>
              <w:spacing w:line="300" w:lineRule="exact"/>
              <w:jc w:val="left"/>
              <w:rPr>
                <w:rFonts w:ascii="Arial" w:hAnsi="Arial" w:cs="Arial"/>
                <w:color w:val="000000" w:themeColor="text1"/>
                <w:szCs w:val="21"/>
                <w14:textFill>
                  <w14:solidFill>
                    <w14:schemeClr w14:val="tx1"/>
                  </w14:solidFill>
                </w14:textFill>
              </w:rPr>
            </w:pPr>
            <w:r>
              <w:rPr>
                <w:rFonts w:hint="eastAsia"/>
                <w:szCs w:val="21"/>
              </w:rPr>
              <w:t>□不适用</w:t>
            </w:r>
          </w:p>
        </w:tc>
      </w:tr>
      <w:tr w14:paraId="79CB4E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57BF8463">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2.3</w:t>
            </w:r>
          </w:p>
        </w:tc>
        <w:tc>
          <w:tcPr>
            <w:tcW w:w="1230" w:type="dxa"/>
            <w:tcBorders>
              <w:top w:val="single" w:color="auto" w:sz="4" w:space="0"/>
              <w:left w:val="single" w:color="auto" w:sz="4" w:space="0"/>
              <w:bottom w:val="single" w:color="auto" w:sz="4" w:space="0"/>
              <w:right w:val="single" w:color="auto" w:sz="4" w:space="0"/>
            </w:tcBorders>
            <w:vAlign w:val="center"/>
          </w:tcPr>
          <w:p w14:paraId="16C49B09">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招标文件澄清、修改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194BDA93">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在招标公告发布媒介发布。</w:t>
            </w:r>
          </w:p>
        </w:tc>
      </w:tr>
      <w:tr w14:paraId="5673E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55" w:type="dxa"/>
            <w:tcBorders>
              <w:top w:val="single" w:color="auto" w:sz="4" w:space="0"/>
              <w:left w:val="single" w:color="auto" w:sz="4" w:space="0"/>
              <w:bottom w:val="single" w:color="auto" w:sz="4" w:space="0"/>
              <w:right w:val="single" w:color="auto" w:sz="4" w:space="0"/>
            </w:tcBorders>
            <w:vAlign w:val="center"/>
          </w:tcPr>
          <w:p w14:paraId="7ECC7229">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2.3</w:t>
            </w:r>
          </w:p>
        </w:tc>
        <w:tc>
          <w:tcPr>
            <w:tcW w:w="1230" w:type="dxa"/>
            <w:tcBorders>
              <w:top w:val="single" w:color="auto" w:sz="4" w:space="0"/>
              <w:left w:val="single" w:color="auto" w:sz="4" w:space="0"/>
              <w:bottom w:val="single" w:color="auto" w:sz="4" w:space="0"/>
              <w:right w:val="single" w:color="auto" w:sz="4" w:space="0"/>
            </w:tcBorders>
            <w:vAlign w:val="center"/>
          </w:tcPr>
          <w:p w14:paraId="2D054D08">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1FDEFFB3">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澄清、修改文件自招标公告发布媒体发布之日起，视为供应商已收到该澄清、修改。供应商未及时关注招标公告发布媒体造成的损失，由供应商自行负责。</w:t>
            </w:r>
          </w:p>
        </w:tc>
      </w:tr>
      <w:tr w14:paraId="48555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55" w:type="dxa"/>
            <w:tcBorders>
              <w:top w:val="single" w:color="auto" w:sz="4" w:space="0"/>
              <w:left w:val="single" w:color="auto" w:sz="4" w:space="0"/>
              <w:bottom w:val="single" w:color="auto" w:sz="4" w:space="0"/>
              <w:right w:val="single" w:color="auto" w:sz="4" w:space="0"/>
            </w:tcBorders>
            <w:vAlign w:val="center"/>
          </w:tcPr>
          <w:p w14:paraId="67883536">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3.4.1</w:t>
            </w:r>
          </w:p>
        </w:tc>
        <w:tc>
          <w:tcPr>
            <w:tcW w:w="1230" w:type="dxa"/>
            <w:tcBorders>
              <w:top w:val="single" w:color="auto" w:sz="4" w:space="0"/>
              <w:left w:val="single" w:color="auto" w:sz="4" w:space="0"/>
              <w:bottom w:val="single" w:color="auto" w:sz="4" w:space="0"/>
              <w:right w:val="single" w:color="auto" w:sz="4" w:space="0"/>
            </w:tcBorders>
            <w:vAlign w:val="center"/>
          </w:tcPr>
          <w:p w14:paraId="63CF0D3E">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投标有效期</w:t>
            </w:r>
          </w:p>
        </w:tc>
        <w:tc>
          <w:tcPr>
            <w:tcW w:w="7229" w:type="dxa"/>
            <w:tcBorders>
              <w:top w:val="single" w:color="auto" w:sz="4" w:space="0"/>
              <w:left w:val="single" w:color="auto" w:sz="4" w:space="0"/>
              <w:bottom w:val="single" w:color="auto" w:sz="4" w:space="0"/>
              <w:right w:val="single" w:color="auto" w:sz="4" w:space="0"/>
            </w:tcBorders>
            <w:vAlign w:val="center"/>
          </w:tcPr>
          <w:p w14:paraId="4FDED42B">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投标截止之日起90天。</w:t>
            </w:r>
          </w:p>
        </w:tc>
      </w:tr>
      <w:tr w14:paraId="366EC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vAlign w:val="center"/>
          </w:tcPr>
          <w:p w14:paraId="43FE9916">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3.5</w:t>
            </w:r>
          </w:p>
        </w:tc>
        <w:tc>
          <w:tcPr>
            <w:tcW w:w="1230" w:type="dxa"/>
            <w:tcBorders>
              <w:top w:val="single" w:color="auto" w:sz="4" w:space="0"/>
              <w:left w:val="single" w:color="auto" w:sz="4" w:space="0"/>
              <w:bottom w:val="single" w:color="auto" w:sz="4" w:space="0"/>
              <w:right w:val="single" w:color="auto" w:sz="4" w:space="0"/>
            </w:tcBorders>
            <w:vAlign w:val="center"/>
          </w:tcPr>
          <w:p w14:paraId="41F026C9">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投标保证金</w:t>
            </w:r>
          </w:p>
        </w:tc>
        <w:tc>
          <w:tcPr>
            <w:tcW w:w="7229" w:type="dxa"/>
            <w:tcBorders>
              <w:top w:val="single" w:color="auto" w:sz="4" w:space="0"/>
              <w:left w:val="single" w:color="auto" w:sz="4" w:space="0"/>
              <w:bottom w:val="single" w:color="auto" w:sz="4" w:space="0"/>
              <w:right w:val="single" w:color="auto" w:sz="4" w:space="0"/>
            </w:tcBorders>
            <w:vAlign w:val="center"/>
          </w:tcPr>
          <w:p w14:paraId="56D864D5">
            <w:pPr>
              <w:spacing w:line="300" w:lineRule="exact"/>
              <w:rPr>
                <w:rFonts w:ascii="Arial" w:hAnsi="Arial" w:cs="Arial"/>
                <w:color w:val="000000" w:themeColor="text1"/>
                <w:szCs w:val="21"/>
                <w14:textFill>
                  <w14:solidFill>
                    <w14:schemeClr w14:val="tx1"/>
                  </w14:solidFill>
                </w14:textFill>
              </w:rPr>
            </w:pPr>
            <w:r>
              <w:rPr>
                <w:rFonts w:ascii="Arial" w:hAnsi="Arial" w:cs="Arial"/>
                <w:color w:val="000000" w:themeColor="text1"/>
                <w14:textFill>
                  <w14:solidFill>
                    <w14:schemeClr w14:val="tx1"/>
                  </w14:solidFill>
                </w14:textFill>
              </w:rPr>
              <w:t>本项目无需缴纳投标保证金。</w:t>
            </w:r>
          </w:p>
        </w:tc>
      </w:tr>
      <w:tr w14:paraId="37275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55" w:type="dxa"/>
            <w:tcBorders>
              <w:left w:val="single" w:color="auto" w:sz="4" w:space="0"/>
              <w:right w:val="single" w:color="auto" w:sz="4" w:space="0"/>
            </w:tcBorders>
            <w:vAlign w:val="center"/>
          </w:tcPr>
          <w:p w14:paraId="5BB227B6">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3.6</w:t>
            </w:r>
          </w:p>
        </w:tc>
        <w:tc>
          <w:tcPr>
            <w:tcW w:w="1230" w:type="dxa"/>
            <w:tcBorders>
              <w:top w:val="single" w:color="auto" w:sz="4" w:space="0"/>
              <w:left w:val="single" w:color="auto" w:sz="4" w:space="0"/>
              <w:right w:val="single" w:color="auto" w:sz="4" w:space="0"/>
            </w:tcBorders>
            <w:vAlign w:val="center"/>
          </w:tcPr>
          <w:p w14:paraId="7FE6AE25">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投标文件的编制</w:t>
            </w:r>
          </w:p>
        </w:tc>
        <w:tc>
          <w:tcPr>
            <w:tcW w:w="7229" w:type="dxa"/>
            <w:tcBorders>
              <w:top w:val="single" w:color="auto" w:sz="4" w:space="0"/>
              <w:left w:val="single" w:color="auto" w:sz="4" w:space="0"/>
              <w:right w:val="single" w:color="auto" w:sz="4" w:space="0"/>
            </w:tcBorders>
            <w:vAlign w:val="center"/>
          </w:tcPr>
          <w:p w14:paraId="463E4EDF">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投标文件应按第六章投标文件格式分别编制并使用下载的广西政府采购云平台新版客户端制作并上传。</w:t>
            </w:r>
          </w:p>
        </w:tc>
      </w:tr>
      <w:tr w14:paraId="39387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5" w:type="dxa"/>
            <w:tcBorders>
              <w:top w:val="single" w:color="auto" w:sz="4" w:space="0"/>
              <w:left w:val="single" w:color="auto" w:sz="4" w:space="0"/>
              <w:bottom w:val="single" w:color="auto" w:sz="4" w:space="0"/>
              <w:right w:val="single" w:color="auto" w:sz="4" w:space="0"/>
            </w:tcBorders>
            <w:vAlign w:val="center"/>
          </w:tcPr>
          <w:p w14:paraId="7AE7B46D">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3.7</w:t>
            </w:r>
          </w:p>
        </w:tc>
        <w:tc>
          <w:tcPr>
            <w:tcW w:w="1230" w:type="dxa"/>
            <w:tcBorders>
              <w:top w:val="single" w:color="auto" w:sz="4" w:space="0"/>
              <w:left w:val="single" w:color="auto" w:sz="4" w:space="0"/>
              <w:bottom w:val="single" w:color="auto" w:sz="4" w:space="0"/>
              <w:right w:val="single" w:color="auto" w:sz="4" w:space="0"/>
            </w:tcBorders>
            <w:vAlign w:val="center"/>
          </w:tcPr>
          <w:p w14:paraId="1200815F">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投标文件递交截止时间及开标时间</w:t>
            </w:r>
          </w:p>
        </w:tc>
        <w:tc>
          <w:tcPr>
            <w:tcW w:w="7229" w:type="dxa"/>
            <w:tcBorders>
              <w:top w:val="single" w:color="auto" w:sz="4" w:space="0"/>
              <w:left w:val="single" w:color="auto" w:sz="4" w:space="0"/>
              <w:bottom w:val="single" w:color="auto" w:sz="4" w:space="0"/>
              <w:right w:val="single" w:color="auto" w:sz="4" w:space="0"/>
            </w:tcBorders>
            <w:vAlign w:val="center"/>
          </w:tcPr>
          <w:p w14:paraId="2D28FF4B">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见招标公告要求</w:t>
            </w:r>
            <w:r>
              <w:rPr>
                <w:rFonts w:ascii="Arial" w:hAnsi="Arial" w:cs="Arial"/>
                <w:color w:val="000000" w:themeColor="text1"/>
                <w:szCs w:val="21"/>
                <w14:textFill>
                  <w14:solidFill>
                    <w14:schemeClr w14:val="tx1"/>
                  </w14:solidFill>
                </w14:textFill>
              </w:rPr>
              <w:t>。</w:t>
            </w:r>
          </w:p>
        </w:tc>
      </w:tr>
      <w:tr w14:paraId="2FBD1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274D141E">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4.2</w:t>
            </w:r>
          </w:p>
        </w:tc>
        <w:tc>
          <w:tcPr>
            <w:tcW w:w="1230" w:type="dxa"/>
            <w:tcBorders>
              <w:top w:val="single" w:color="auto" w:sz="4" w:space="0"/>
              <w:left w:val="single" w:color="auto" w:sz="4" w:space="0"/>
              <w:bottom w:val="single" w:color="auto" w:sz="4" w:space="0"/>
              <w:right w:val="single" w:color="auto" w:sz="4" w:space="0"/>
            </w:tcBorders>
            <w:vAlign w:val="center"/>
          </w:tcPr>
          <w:p w14:paraId="559892DC">
            <w:pPr>
              <w:spacing w:line="300" w:lineRule="exact"/>
              <w:jc w:val="center"/>
              <w:rPr>
                <w:rFonts w:ascii="Arial" w:hAnsi="Arial" w:cs="Arial"/>
                <w:color w:val="000000" w:themeColor="text1"/>
                <w:szCs w:val="20"/>
                <w14:textFill>
                  <w14:solidFill>
                    <w14:schemeClr w14:val="tx1"/>
                  </w14:solidFill>
                </w14:textFill>
              </w:rPr>
            </w:pPr>
            <w:r>
              <w:rPr>
                <w:rFonts w:ascii="Arial" w:hAnsi="Arial" w:cs="Arial"/>
                <w:color w:val="000000" w:themeColor="text1"/>
                <w:szCs w:val="21"/>
                <w14:textFill>
                  <w14:solidFill>
                    <w14:schemeClr w14:val="tx1"/>
                  </w14:solidFill>
                </w14:textFill>
              </w:rPr>
              <w:t>备份投标文件</w:t>
            </w:r>
          </w:p>
        </w:tc>
        <w:tc>
          <w:tcPr>
            <w:tcW w:w="7229" w:type="dxa"/>
            <w:tcBorders>
              <w:top w:val="single" w:color="auto" w:sz="4" w:space="0"/>
              <w:left w:val="single" w:color="auto" w:sz="4" w:space="0"/>
              <w:bottom w:val="single" w:color="auto" w:sz="4" w:space="0"/>
              <w:right w:val="single" w:color="auto" w:sz="4" w:space="0"/>
            </w:tcBorders>
            <w:vAlign w:val="center"/>
          </w:tcPr>
          <w:p w14:paraId="38B8A81D">
            <w:pPr>
              <w:spacing w:line="276"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本项目</w:t>
            </w:r>
            <w:r>
              <w:rPr>
                <w:rFonts w:ascii="Arial" w:hAnsi="Arial" w:cs="Arial"/>
                <w:color w:val="000000" w:themeColor="text1"/>
                <w:sz w:val="22"/>
                <w:szCs w:val="22"/>
                <w14:textFill>
                  <w14:solidFill>
                    <w14:schemeClr w14:val="tx1"/>
                  </w14:solidFill>
                </w14:textFill>
              </w:rPr>
              <w:sym w:font="Wingdings 2" w:char="F052"/>
            </w:r>
            <w:r>
              <w:rPr>
                <w:rFonts w:ascii="Arial" w:hAnsi="Arial" w:cs="Arial"/>
                <w:color w:val="000000" w:themeColor="text1"/>
                <w:szCs w:val="21"/>
                <w14:textFill>
                  <w14:solidFill>
                    <w14:schemeClr w14:val="tx1"/>
                  </w14:solidFill>
                </w14:textFill>
              </w:rPr>
              <w:t>接受   □不接受备份投标文件</w:t>
            </w:r>
          </w:p>
          <w:p w14:paraId="580212F6">
            <w:pPr>
              <w:spacing w:line="276" w:lineRule="auto"/>
              <w:rPr>
                <w:rFonts w:ascii="Arial" w:hAnsi="Arial" w:cs="Arial"/>
                <w:color w:val="000000" w:themeColor="text1"/>
                <w:sz w:val="22"/>
                <w:szCs w:val="22"/>
                <w14:textFill>
                  <w14:solidFill>
                    <w14:schemeClr w14:val="tx1"/>
                  </w14:solidFill>
                </w14:textFill>
              </w:rPr>
            </w:pPr>
            <w:r>
              <w:rPr>
                <w:rFonts w:ascii="Arial" w:hAnsi="Arial" w:cs="Arial"/>
                <w:color w:val="000000" w:themeColor="text1"/>
                <w:szCs w:val="21"/>
                <w14:textFill>
                  <w14:solidFill>
                    <w14:schemeClr w14:val="tx1"/>
                  </w14:solidFill>
                </w14:textFill>
              </w:rPr>
              <w:t>以</w:t>
            </w:r>
            <w:r>
              <w:rPr>
                <w:rFonts w:ascii="Arial" w:hAnsi="Arial" w:cs="Arial"/>
                <w:color w:val="000000" w:themeColor="text1"/>
                <w:kern w:val="0"/>
                <w:szCs w:val="21"/>
                <w14:textFill>
                  <w14:solidFill>
                    <w14:schemeClr w14:val="tx1"/>
                  </w14:solidFill>
                </w14:textFill>
              </w:rPr>
              <w:t>广西政府采购云平台</w:t>
            </w:r>
            <w:r>
              <w:rPr>
                <w:rFonts w:ascii="Arial" w:hAnsi="Arial" w:cs="Arial"/>
                <w:color w:val="000000" w:themeColor="text1"/>
                <w:szCs w:val="21"/>
                <w14:textFill>
                  <w14:solidFill>
                    <w14:schemeClr w14:val="tx1"/>
                  </w14:solidFill>
                </w14:textFill>
              </w:rPr>
              <w:t>自动生成的备份文件为依据，当项目允许接受备份响应文件时，供应商才可以按规定上传备份投标文件。</w:t>
            </w:r>
          </w:p>
        </w:tc>
      </w:tr>
      <w:tr w14:paraId="4D00B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2E0293C5">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4.3</w:t>
            </w:r>
          </w:p>
        </w:tc>
        <w:tc>
          <w:tcPr>
            <w:tcW w:w="1230" w:type="dxa"/>
            <w:tcBorders>
              <w:top w:val="single" w:color="auto" w:sz="4" w:space="0"/>
              <w:left w:val="single" w:color="auto" w:sz="4" w:space="0"/>
              <w:bottom w:val="single" w:color="auto" w:sz="4" w:space="0"/>
              <w:right w:val="single" w:color="auto" w:sz="4" w:space="0"/>
            </w:tcBorders>
            <w:vAlign w:val="center"/>
          </w:tcPr>
          <w:p w14:paraId="63A965BD">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0"/>
                <w14:textFill>
                  <w14:solidFill>
                    <w14:schemeClr w14:val="tx1"/>
                  </w14:solidFill>
                </w14:textFill>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24B7C02A">
            <w:pPr>
              <w:spacing w:line="276"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本项目无演示</w:t>
            </w:r>
          </w:p>
        </w:tc>
      </w:tr>
      <w:tr w14:paraId="0E5A9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4A802023">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4.4</w:t>
            </w:r>
          </w:p>
        </w:tc>
        <w:tc>
          <w:tcPr>
            <w:tcW w:w="1230" w:type="dxa"/>
            <w:tcBorders>
              <w:top w:val="single" w:color="auto" w:sz="4" w:space="0"/>
              <w:left w:val="single" w:color="auto" w:sz="4" w:space="0"/>
              <w:bottom w:val="single" w:color="auto" w:sz="4" w:space="0"/>
              <w:right w:val="single" w:color="auto" w:sz="4" w:space="0"/>
            </w:tcBorders>
            <w:vAlign w:val="center"/>
          </w:tcPr>
          <w:p w14:paraId="7B71B0B9">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0"/>
                <w14:textFill>
                  <w14:solidFill>
                    <w14:schemeClr w14:val="tx1"/>
                  </w14:solidFill>
                </w14:textFill>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0A1612A6">
            <w:pPr>
              <w:spacing w:line="276"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本项目无需提供样品</w:t>
            </w:r>
          </w:p>
        </w:tc>
      </w:tr>
      <w:tr w14:paraId="68FDB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31D7061F">
            <w:pPr>
              <w:spacing w:line="300" w:lineRule="exact"/>
              <w:jc w:val="center"/>
              <w:rPr>
                <w:rFonts w:ascii="Arial" w:hAnsi="Arial" w:cs="Arial"/>
                <w:b/>
                <w:color w:val="000000" w:themeColor="text1"/>
                <w:szCs w:val="21"/>
                <w14:textFill>
                  <w14:solidFill>
                    <w14:schemeClr w14:val="tx1"/>
                  </w14:solidFill>
                </w14:textFill>
              </w:rPr>
            </w:pPr>
            <w:r>
              <w:rPr>
                <w:rFonts w:hint="eastAsia"/>
                <w:b/>
                <w:szCs w:val="21"/>
                <w:lang w:val="en-US" w:eastAsia="zh-CN"/>
              </w:rPr>
              <w:t>5.3.1</w:t>
            </w:r>
          </w:p>
        </w:tc>
        <w:tc>
          <w:tcPr>
            <w:tcW w:w="1230" w:type="dxa"/>
            <w:tcBorders>
              <w:top w:val="single" w:color="auto" w:sz="4" w:space="0"/>
              <w:left w:val="single" w:color="auto" w:sz="4" w:space="0"/>
              <w:bottom w:val="single" w:color="auto" w:sz="4" w:space="0"/>
              <w:right w:val="single" w:color="auto" w:sz="4" w:space="0"/>
            </w:tcBorders>
            <w:vAlign w:val="center"/>
          </w:tcPr>
          <w:p w14:paraId="7482DEB8">
            <w:pPr>
              <w:spacing w:line="300" w:lineRule="exact"/>
              <w:jc w:val="center"/>
              <w:rPr>
                <w:rFonts w:ascii="Arial" w:hAnsi="Arial" w:cs="Arial"/>
                <w:color w:val="000000" w:themeColor="text1"/>
                <w:szCs w:val="20"/>
                <w14:textFill>
                  <w14:solidFill>
                    <w14:schemeClr w14:val="tx1"/>
                  </w14:solidFill>
                </w14:textFill>
              </w:rPr>
            </w:pPr>
            <w:r>
              <w:rPr>
                <w:rFonts w:hint="eastAsia" w:cs="Times New Roman"/>
                <w:kern w:val="2"/>
                <w:sz w:val="21"/>
                <w:szCs w:val="21"/>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vAlign w:val="center"/>
          </w:tcPr>
          <w:p w14:paraId="4C11BDA6">
            <w:pPr>
              <w:snapToGrid w:val="0"/>
              <w:spacing w:line="380" w:lineRule="exact"/>
              <w:rPr>
                <w:rFonts w:hint="eastAsia" w:ascii="宋体" w:hAnsi="宋体"/>
                <w:szCs w:val="21"/>
                <w:lang w:eastAsia="zh-CN"/>
              </w:rPr>
            </w:pPr>
            <w:r>
              <w:rPr>
                <w:rFonts w:hint="eastAsia" w:ascii="宋体" w:hAnsi="宋体"/>
                <w:szCs w:val="21"/>
                <w:lang w:eastAsia="zh-CN"/>
              </w:rPr>
              <w:t>采购人或者采购代理机构在资格审查结束前，对</w:t>
            </w:r>
            <w:r>
              <w:rPr>
                <w:rFonts w:hint="eastAsia" w:ascii="宋体" w:hAnsi="宋体"/>
                <w:szCs w:val="21"/>
                <w:lang w:val="en-US" w:eastAsia="zh-CN"/>
              </w:rPr>
              <w:t>投标人</w:t>
            </w:r>
            <w:r>
              <w:rPr>
                <w:rFonts w:hint="eastAsia" w:ascii="宋体" w:hAnsi="宋体"/>
                <w:szCs w:val="21"/>
                <w:lang w:eastAsia="zh-CN"/>
              </w:rPr>
              <w:t>进行信用查询。</w:t>
            </w:r>
          </w:p>
          <w:p w14:paraId="71BB2B4F">
            <w:pPr>
              <w:snapToGrid w:val="0"/>
              <w:spacing w:line="380" w:lineRule="exac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）查询渠道：</w:t>
            </w:r>
            <w:r>
              <w:rPr>
                <w:rFonts w:hint="eastAsia" w:ascii="宋体" w:hAnsi="宋体"/>
                <w:szCs w:val="21"/>
                <w:lang w:val="en-US" w:eastAsia="zh-CN"/>
              </w:rPr>
              <w:t>广西政府采购云平台</w:t>
            </w:r>
            <w:r>
              <w:rPr>
                <w:rFonts w:hint="eastAsia" w:ascii="宋体" w:hAnsi="宋体"/>
                <w:szCs w:val="21"/>
                <w:lang w:eastAsia="zh-CN"/>
              </w:rPr>
              <w:t>“信用中国”网站(www.creditchina.gov.cn) 、中国政府采购网(www.ccgp.gov.cn)</w:t>
            </w:r>
            <w:r>
              <w:rPr>
                <w:rFonts w:hint="eastAsia" w:ascii="宋体" w:hAnsi="宋体"/>
                <w:szCs w:val="21"/>
                <w:lang w:val="en-US" w:eastAsia="zh-CN"/>
              </w:rPr>
              <w:t>链接入口</w:t>
            </w:r>
            <w:r>
              <w:rPr>
                <w:rFonts w:hint="eastAsia" w:ascii="宋体" w:hAnsi="宋体"/>
                <w:szCs w:val="21"/>
                <w:lang w:eastAsia="zh-CN"/>
              </w:rPr>
              <w:t>。</w:t>
            </w:r>
          </w:p>
          <w:p w14:paraId="36979E3B">
            <w:pPr>
              <w:snapToGrid w:val="0"/>
              <w:spacing w:line="380" w:lineRule="exac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）信用查询截止时点：</w:t>
            </w:r>
            <w:r>
              <w:rPr>
                <w:rFonts w:hint="eastAsia" w:ascii="宋体" w:hAnsi="宋体"/>
                <w:szCs w:val="21"/>
                <w:lang w:val="en-US" w:eastAsia="zh-CN"/>
              </w:rPr>
              <w:t>资</w:t>
            </w:r>
            <w:r>
              <w:rPr>
                <w:rFonts w:hint="eastAsia" w:ascii="宋体" w:hAnsi="宋体"/>
                <w:szCs w:val="21"/>
                <w:lang w:eastAsia="zh-CN"/>
              </w:rPr>
              <w:t>格审查结束前</w:t>
            </w:r>
          </w:p>
          <w:p w14:paraId="5ED85CE0">
            <w:pPr>
              <w:snapToGrid w:val="0"/>
              <w:spacing w:line="380" w:lineRule="exac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）查询记录和证据留存方式：在查询网站中直接截图查询记录，截图作为在“广西政府采购云”平台作为附件上传保存。</w:t>
            </w:r>
          </w:p>
          <w:p w14:paraId="08DC9018">
            <w:pPr>
              <w:snapToGrid w:val="0"/>
              <w:spacing w:line="380" w:lineRule="exact"/>
              <w:rPr>
                <w:rFonts w:ascii="Arial" w:hAnsi="Arial" w:cs="Arial"/>
                <w:color w:val="000000" w:themeColor="text1"/>
                <w:szCs w:val="21"/>
                <w14:textFill>
                  <w14:solidFill>
                    <w14:schemeClr w14:val="tx1"/>
                  </w14:solidFill>
                </w14:textFill>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CBB6C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3250D484">
            <w:pPr>
              <w:spacing w:line="300" w:lineRule="exact"/>
              <w:jc w:val="center"/>
              <w:rPr>
                <w:rFonts w:ascii="Arial" w:hAnsi="Arial" w:cs="Arial"/>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6.</w:t>
            </w:r>
            <w:r>
              <w:rPr>
                <w:b/>
                <w:color w:val="000000" w:themeColor="text1"/>
                <w:szCs w:val="21"/>
                <w:highlight w:val="none"/>
                <w14:textFill>
                  <w14:solidFill>
                    <w14:schemeClr w14:val="tx1"/>
                  </w14:solidFill>
                </w14:textFill>
              </w:rPr>
              <w:t>3</w:t>
            </w:r>
            <w:r>
              <w:rPr>
                <w:rFonts w:hint="eastAsia"/>
                <w:b/>
                <w:color w:val="000000" w:themeColor="text1"/>
                <w:szCs w:val="21"/>
                <w:highlight w:val="none"/>
                <w14:textFill>
                  <w14:solidFill>
                    <w14:schemeClr w14:val="tx1"/>
                  </w14:solidFill>
                </w14:textFill>
              </w:rPr>
              <w:t>.</w:t>
            </w:r>
            <w:r>
              <w:rPr>
                <w:b/>
                <w:color w:val="000000" w:themeColor="text1"/>
                <w:szCs w:val="21"/>
                <w:highlight w:val="none"/>
                <w14:textFill>
                  <w14:solidFill>
                    <w14:schemeClr w14:val="tx1"/>
                  </w14:solidFill>
                </w14:textFill>
              </w:rPr>
              <w:t>5</w:t>
            </w:r>
          </w:p>
        </w:tc>
        <w:tc>
          <w:tcPr>
            <w:tcW w:w="1230" w:type="dxa"/>
            <w:tcBorders>
              <w:top w:val="single" w:color="auto" w:sz="4" w:space="0"/>
              <w:left w:val="single" w:color="auto" w:sz="4" w:space="0"/>
              <w:bottom w:val="single" w:color="auto" w:sz="4" w:space="0"/>
              <w:right w:val="single" w:color="auto" w:sz="4" w:space="0"/>
            </w:tcBorders>
            <w:vAlign w:val="center"/>
          </w:tcPr>
          <w:p w14:paraId="2BAD6107">
            <w:pPr>
              <w:spacing w:line="300" w:lineRule="exact"/>
              <w:jc w:val="center"/>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异常低价审查</w:t>
            </w:r>
          </w:p>
          <w:p w14:paraId="1E9C7616">
            <w:pPr>
              <w:spacing w:line="300" w:lineRule="exact"/>
              <w:jc w:val="center"/>
              <w:rPr>
                <w:rFonts w:ascii="Arial" w:hAnsi="Arial" w:cs="Arial"/>
                <w:color w:val="000000" w:themeColor="text1"/>
                <w:szCs w:val="20"/>
                <w:highlight w:val="none"/>
                <w14:textFill>
                  <w14:solidFill>
                    <w14:schemeClr w14:val="tx1"/>
                  </w14:solidFill>
                </w14:textFill>
              </w:rPr>
            </w:pPr>
          </w:p>
        </w:tc>
        <w:tc>
          <w:tcPr>
            <w:tcW w:w="7229" w:type="dxa"/>
            <w:tcBorders>
              <w:top w:val="single" w:color="auto" w:sz="4" w:space="0"/>
              <w:left w:val="single" w:color="auto" w:sz="4" w:space="0"/>
              <w:bottom w:val="single" w:color="auto" w:sz="4" w:space="0"/>
              <w:right w:val="single" w:color="auto" w:sz="4" w:space="0"/>
            </w:tcBorders>
            <w:vAlign w:val="center"/>
          </w:tcPr>
          <w:p w14:paraId="6FCCC816">
            <w:pPr>
              <w:spacing w:line="300" w:lineRule="exact"/>
              <w:jc w:val="left"/>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评审中出现下列情形之一的，评审委员会应当启动异常低价响应审查程序：</w:t>
            </w:r>
          </w:p>
          <w:p w14:paraId="5D905650">
            <w:pPr>
              <w:spacing w:line="276" w:lineRule="auto"/>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22D00223">
            <w:pPr>
              <w:spacing w:line="276" w:lineRule="auto"/>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0E499319">
            <w:pPr>
              <w:spacing w:line="276" w:lineRule="auto"/>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（3）投标（响应）报价低于采购项目最高限价45%的，即投标（响应）报价&lt;采购项目最高限价×45%；</w:t>
            </w:r>
          </w:p>
          <w:p w14:paraId="143AC72E">
            <w:pPr>
              <w:spacing w:line="276" w:lineRule="auto"/>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（4）评审委员会基于专业判断，认为供应商报价过低，有可能影响产品质量或者不能诚信履约的其他情形。</w:t>
            </w:r>
          </w:p>
          <w:p w14:paraId="780186D0">
            <w:pPr>
              <w:pStyle w:val="21"/>
              <w:rPr>
                <w:rFonts w:hint="eastAsia"/>
                <w:color w:val="000000" w:themeColor="text1"/>
                <w:sz w:val="21"/>
                <w:szCs w:val="21"/>
                <w:highlight w:val="none"/>
                <w:lang w:val="en-US" w:eastAsia="zh-CN"/>
                <w14:textFill>
                  <w14:solidFill>
                    <w14:schemeClr w14:val="tx1"/>
                  </w14:solidFill>
                </w14:textFill>
              </w:rPr>
            </w:pPr>
            <w:r>
              <w:rPr>
                <w:color w:val="000000" w:themeColor="text1"/>
                <w:sz w:val="21"/>
                <w:szCs w:val="21"/>
                <w:highlight w:val="none"/>
                <w14:textFill>
                  <w14:solidFill>
                    <w14:schemeClr w14:val="tx1"/>
                  </w14:solidFill>
                </w14:textFill>
              </w:rPr>
              <w:sym w:font="Wingdings 2" w:char="0052"/>
            </w:r>
            <w:r>
              <w:rPr>
                <w:rFonts w:hint="eastAsia"/>
                <w:color w:val="000000" w:themeColor="text1"/>
                <w:sz w:val="21"/>
                <w:szCs w:val="21"/>
                <w:highlight w:val="none"/>
                <w:lang w:val="en-US" w:eastAsia="zh-CN"/>
                <w14:textFill>
                  <w14:solidFill>
                    <w14:schemeClr w14:val="tx1"/>
                  </w14:solidFill>
                </w14:textFill>
              </w:rPr>
              <w:t>评审中出现下列情形之一的，评审委员会应当启动异常低价响应审查程序</w:t>
            </w:r>
            <w:r>
              <w:rPr>
                <w:rFonts w:hint="eastAsia"/>
                <w:color w:val="000000" w:themeColor="text1"/>
                <w:sz w:val="21"/>
                <w:szCs w:val="21"/>
                <w:highlight w:val="none"/>
                <w:lang w:eastAsia="zh-CN"/>
                <w14:textFill>
                  <w14:solidFill>
                    <w14:schemeClr w14:val="tx1"/>
                  </w14:solidFill>
                </w14:textFill>
              </w:rPr>
              <w:t>：</w:t>
            </w:r>
          </w:p>
          <w:p w14:paraId="24E02BEE">
            <w:pPr>
              <w:pStyle w:val="21"/>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（1）投标（响应）报价低于全部通过符合性审查供应商投标（响应）报价平均值</w:t>
            </w:r>
            <w:r>
              <w:rPr>
                <w:rFonts w:hint="eastAsia"/>
                <w:color w:val="000000" w:themeColor="text1"/>
                <w:sz w:val="21"/>
                <w:szCs w:val="21"/>
                <w:highlight w:val="none"/>
                <w:u w:val="single"/>
                <w:lang w:val="en-US" w:eastAsia="zh-CN"/>
                <w14:textFill>
                  <w14:solidFill>
                    <w14:schemeClr w14:val="tx1"/>
                  </w14:solidFill>
                </w14:textFill>
              </w:rPr>
              <w:t xml:space="preserve">  65   </w:t>
            </w:r>
            <w:r>
              <w:rPr>
                <w:rFonts w:hint="eastAsia"/>
                <w:color w:val="000000" w:themeColor="text1"/>
                <w:sz w:val="21"/>
                <w:szCs w:val="21"/>
                <w:highlight w:val="none"/>
                <w:lang w:val="en-US" w:eastAsia="zh-CN"/>
                <w14:textFill>
                  <w14:solidFill>
                    <w14:schemeClr w14:val="tx1"/>
                  </w14:solidFill>
                </w14:textFill>
              </w:rPr>
              <w:t>%的，即投标（响应）报价&lt;全部通过符合性审查供应商投标（响应）报价平均值×</w:t>
            </w:r>
            <w:r>
              <w:rPr>
                <w:rFonts w:hint="eastAsia"/>
                <w:color w:val="000000" w:themeColor="text1"/>
                <w:sz w:val="21"/>
                <w:szCs w:val="21"/>
                <w:highlight w:val="none"/>
                <w:u w:val="single"/>
                <w:lang w:val="en-US" w:eastAsia="zh-CN"/>
                <w14:textFill>
                  <w14:solidFill>
                    <w14:schemeClr w14:val="tx1"/>
                  </w14:solidFill>
                </w14:textFill>
              </w:rPr>
              <w:t xml:space="preserve">    65  </w:t>
            </w:r>
            <w:r>
              <w:rPr>
                <w:rFonts w:hint="eastAsia"/>
                <w:color w:val="000000" w:themeColor="text1"/>
                <w:sz w:val="21"/>
                <w:szCs w:val="21"/>
                <w:highlight w:val="none"/>
                <w:lang w:val="en-US" w:eastAsia="zh-CN"/>
                <w14:textFill>
                  <w14:solidFill>
                    <w14:schemeClr w14:val="tx1"/>
                  </w14:solidFill>
                </w14:textFill>
              </w:rPr>
              <w:t>%；</w:t>
            </w:r>
          </w:p>
          <w:p w14:paraId="2B2F960C">
            <w:pPr>
              <w:pStyle w:val="21"/>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（2）投标（响应）报价低于通过符合性审查的次低报价供应商投标（响应）报价</w:t>
            </w:r>
            <w:r>
              <w:rPr>
                <w:rFonts w:hint="eastAsia"/>
                <w:color w:val="000000" w:themeColor="text1"/>
                <w:sz w:val="21"/>
                <w:szCs w:val="21"/>
                <w:highlight w:val="none"/>
                <w:u w:val="single"/>
                <w:lang w:val="en-US" w:eastAsia="zh-CN"/>
                <w14:textFill>
                  <w14:solidFill>
                    <w14:schemeClr w14:val="tx1"/>
                  </w14:solidFill>
                </w14:textFill>
              </w:rPr>
              <w:t xml:space="preserve">    65  </w:t>
            </w:r>
            <w:r>
              <w:rPr>
                <w:rFonts w:hint="eastAsia"/>
                <w:color w:val="000000" w:themeColor="text1"/>
                <w:sz w:val="21"/>
                <w:szCs w:val="21"/>
                <w:highlight w:val="none"/>
                <w:lang w:val="en-US" w:eastAsia="zh-CN"/>
                <w14:textFill>
                  <w14:solidFill>
                    <w14:schemeClr w14:val="tx1"/>
                  </w14:solidFill>
                </w14:textFill>
              </w:rPr>
              <w:t xml:space="preserve">  %的，即投标（响应）报价&lt;通过符合性审查的次低报价供应商投标（响应）报价×</w:t>
            </w:r>
            <w:r>
              <w:rPr>
                <w:rFonts w:hint="eastAsia"/>
                <w:color w:val="000000" w:themeColor="text1"/>
                <w:sz w:val="21"/>
                <w:szCs w:val="21"/>
                <w:highlight w:val="none"/>
                <w:u w:val="single"/>
                <w:lang w:val="en-US" w:eastAsia="zh-CN"/>
                <w14:textFill>
                  <w14:solidFill>
                    <w14:schemeClr w14:val="tx1"/>
                  </w14:solidFill>
                </w14:textFill>
              </w:rPr>
              <w:t xml:space="preserve">   65    </w:t>
            </w:r>
            <w:r>
              <w:rPr>
                <w:rFonts w:hint="eastAsia"/>
                <w:color w:val="000000" w:themeColor="text1"/>
                <w:sz w:val="21"/>
                <w:szCs w:val="21"/>
                <w:highlight w:val="none"/>
                <w:lang w:val="en-US" w:eastAsia="zh-CN"/>
                <w14:textFill>
                  <w14:solidFill>
                    <w14:schemeClr w14:val="tx1"/>
                  </w14:solidFill>
                </w14:textFill>
              </w:rPr>
              <w:t>%；</w:t>
            </w:r>
          </w:p>
          <w:p w14:paraId="09B0F4BD">
            <w:pPr>
              <w:pStyle w:val="21"/>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（3）投标（响应）报价低于采购项目最高限价</w:t>
            </w:r>
            <w:r>
              <w:rPr>
                <w:rFonts w:hint="eastAsia"/>
                <w:color w:val="000000" w:themeColor="text1"/>
                <w:sz w:val="21"/>
                <w:szCs w:val="21"/>
                <w:highlight w:val="none"/>
                <w:u w:val="single"/>
                <w:lang w:val="en-US" w:eastAsia="zh-CN"/>
                <w14:textFill>
                  <w14:solidFill>
                    <w14:schemeClr w14:val="tx1"/>
                  </w14:solidFill>
                </w14:textFill>
              </w:rPr>
              <w:t xml:space="preserve">    65  </w:t>
            </w:r>
            <w:r>
              <w:rPr>
                <w:rFonts w:hint="eastAsia"/>
                <w:color w:val="000000" w:themeColor="text1"/>
                <w:sz w:val="21"/>
                <w:szCs w:val="21"/>
                <w:highlight w:val="none"/>
                <w:lang w:val="en-US" w:eastAsia="zh-CN"/>
                <w14:textFill>
                  <w14:solidFill>
                    <w14:schemeClr w14:val="tx1"/>
                  </w14:solidFill>
                </w14:textFill>
              </w:rPr>
              <w:t>%的，即投标（响应）报价&lt;采购项目最高限价×</w:t>
            </w:r>
            <w:r>
              <w:rPr>
                <w:rFonts w:hint="eastAsia"/>
                <w:color w:val="000000" w:themeColor="text1"/>
                <w:sz w:val="21"/>
                <w:szCs w:val="21"/>
                <w:highlight w:val="none"/>
                <w:u w:val="single"/>
                <w:lang w:val="en-US" w:eastAsia="zh-CN"/>
                <w14:textFill>
                  <w14:solidFill>
                    <w14:schemeClr w14:val="tx1"/>
                  </w14:solidFill>
                </w14:textFill>
              </w:rPr>
              <w:t xml:space="preserve">    65   </w:t>
            </w:r>
            <w:r>
              <w:rPr>
                <w:rFonts w:hint="eastAsia"/>
                <w:color w:val="000000" w:themeColor="text1"/>
                <w:sz w:val="21"/>
                <w:szCs w:val="21"/>
                <w:highlight w:val="none"/>
                <w:lang w:val="en-US" w:eastAsia="zh-CN"/>
                <w14:textFill>
                  <w14:solidFill>
                    <w14:schemeClr w14:val="tx1"/>
                  </w14:solidFill>
                </w14:textFill>
              </w:rPr>
              <w:t>%；</w:t>
            </w:r>
          </w:p>
          <w:p w14:paraId="3362481B">
            <w:pPr>
              <w:pStyle w:val="21"/>
              <w:rPr>
                <w:rFonts w:ascii="Arial" w:hAnsi="Arial" w:cs="Arial"/>
                <w:color w:val="000000" w:themeColor="text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（4）评审委员会基于专业判断，认为供应商报价过低，有可能影响产品质量或者不能诚信履约的其他情形。</w:t>
            </w:r>
          </w:p>
        </w:tc>
      </w:tr>
      <w:tr w14:paraId="204E7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5FB9658C">
            <w:pPr>
              <w:spacing w:line="300" w:lineRule="exact"/>
              <w:jc w:val="center"/>
              <w:rPr>
                <w:rFonts w:hint="eastAsia" w:ascii="Arial" w:hAnsi="Arial" w:eastAsia="宋体" w:cs="Arial"/>
                <w:b/>
                <w:color w:val="000000" w:themeColor="text1"/>
                <w:szCs w:val="21"/>
                <w:lang w:eastAsia="zh-CN"/>
                <w14:textFill>
                  <w14:solidFill>
                    <w14:schemeClr w14:val="tx1"/>
                  </w14:solidFill>
                </w14:textFill>
              </w:rPr>
            </w:pPr>
            <w:r>
              <w:rPr>
                <w:rFonts w:ascii="Arial" w:hAnsi="Arial" w:cs="Arial"/>
                <w:b/>
                <w:color w:val="000000" w:themeColor="text1"/>
                <w:szCs w:val="21"/>
                <w14:textFill>
                  <w14:solidFill>
                    <w14:schemeClr w14:val="tx1"/>
                  </w14:solidFill>
                </w14:textFill>
              </w:rPr>
              <w:t>6.3.</w:t>
            </w:r>
            <w:r>
              <w:rPr>
                <w:rFonts w:hint="eastAsia" w:ascii="Arial" w:hAnsi="Arial" w:cs="Arial"/>
                <w:b/>
                <w:color w:val="000000" w:themeColor="text1"/>
                <w:szCs w:val="21"/>
                <w:lang w:val="en-US" w:eastAsia="zh-CN"/>
                <w14:textFill>
                  <w14:solidFill>
                    <w14:schemeClr w14:val="tx1"/>
                  </w14:solidFill>
                </w14:textFill>
              </w:rPr>
              <w:t>6</w:t>
            </w:r>
          </w:p>
        </w:tc>
        <w:tc>
          <w:tcPr>
            <w:tcW w:w="1230" w:type="dxa"/>
            <w:tcBorders>
              <w:top w:val="single" w:color="auto" w:sz="4" w:space="0"/>
              <w:left w:val="single" w:color="auto" w:sz="4" w:space="0"/>
              <w:bottom w:val="single" w:color="auto" w:sz="4" w:space="0"/>
              <w:right w:val="single" w:color="auto" w:sz="4" w:space="0"/>
            </w:tcBorders>
            <w:vAlign w:val="center"/>
          </w:tcPr>
          <w:p w14:paraId="2121FFA0">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相同品牌推荐方式</w:t>
            </w:r>
          </w:p>
        </w:tc>
        <w:tc>
          <w:tcPr>
            <w:tcW w:w="7229" w:type="dxa"/>
            <w:tcBorders>
              <w:top w:val="single" w:color="auto" w:sz="4" w:space="0"/>
              <w:left w:val="single" w:color="auto" w:sz="4" w:space="0"/>
              <w:bottom w:val="single" w:color="auto" w:sz="4" w:space="0"/>
              <w:right w:val="single" w:color="auto" w:sz="4" w:space="0"/>
            </w:tcBorders>
            <w:vAlign w:val="center"/>
          </w:tcPr>
          <w:p w14:paraId="203CF05F">
            <w:pPr>
              <w:spacing w:line="276"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采购人委托评审委员会确定</w:t>
            </w:r>
          </w:p>
        </w:tc>
      </w:tr>
      <w:tr w14:paraId="43E91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0F7D5A3D">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6.5.1</w:t>
            </w:r>
          </w:p>
        </w:tc>
        <w:tc>
          <w:tcPr>
            <w:tcW w:w="1230" w:type="dxa"/>
            <w:tcBorders>
              <w:top w:val="single" w:color="auto" w:sz="4" w:space="0"/>
              <w:left w:val="single" w:color="auto" w:sz="4" w:space="0"/>
              <w:bottom w:val="single" w:color="auto" w:sz="4" w:space="0"/>
              <w:right w:val="single" w:color="auto" w:sz="4" w:space="0"/>
            </w:tcBorders>
            <w:vAlign w:val="center"/>
          </w:tcPr>
          <w:p w14:paraId="0AC8C5FE">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结果公告</w:t>
            </w:r>
          </w:p>
        </w:tc>
        <w:tc>
          <w:tcPr>
            <w:tcW w:w="7229" w:type="dxa"/>
            <w:tcBorders>
              <w:top w:val="single" w:color="auto" w:sz="4" w:space="0"/>
              <w:left w:val="single" w:color="auto" w:sz="4" w:space="0"/>
              <w:bottom w:val="single" w:color="auto" w:sz="4" w:space="0"/>
              <w:right w:val="single" w:color="auto" w:sz="4" w:space="0"/>
            </w:tcBorders>
            <w:vAlign w:val="center"/>
          </w:tcPr>
          <w:p w14:paraId="2818A5E1">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采购代理机构在采购人依法确认中标人后2个工作日内在招标公告发布的媒体上发布结果公告。</w:t>
            </w:r>
          </w:p>
        </w:tc>
      </w:tr>
      <w:tr w14:paraId="6A128D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47F8D6EC">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6.5.2</w:t>
            </w:r>
          </w:p>
        </w:tc>
        <w:tc>
          <w:tcPr>
            <w:tcW w:w="1230" w:type="dxa"/>
            <w:tcBorders>
              <w:top w:val="single" w:color="auto" w:sz="4" w:space="0"/>
              <w:left w:val="single" w:color="auto" w:sz="4" w:space="0"/>
              <w:bottom w:val="single" w:color="auto" w:sz="4" w:space="0"/>
              <w:right w:val="single" w:color="auto" w:sz="4" w:space="0"/>
            </w:tcBorders>
            <w:vAlign w:val="center"/>
          </w:tcPr>
          <w:p w14:paraId="6AFCEE71">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中标通知书</w:t>
            </w:r>
          </w:p>
        </w:tc>
        <w:tc>
          <w:tcPr>
            <w:tcW w:w="7229" w:type="dxa"/>
            <w:tcBorders>
              <w:top w:val="single" w:color="auto" w:sz="4" w:space="0"/>
              <w:left w:val="single" w:color="auto" w:sz="4" w:space="0"/>
              <w:bottom w:val="single" w:color="auto" w:sz="4" w:space="0"/>
              <w:right w:val="single" w:color="auto" w:sz="4" w:space="0"/>
            </w:tcBorders>
            <w:vAlign w:val="center"/>
          </w:tcPr>
          <w:p w14:paraId="70534BBD">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中标人到代理机构领取中标通知书</w:t>
            </w:r>
          </w:p>
        </w:tc>
      </w:tr>
      <w:tr w14:paraId="0E021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78B45330">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6.5.3</w:t>
            </w:r>
          </w:p>
        </w:tc>
        <w:tc>
          <w:tcPr>
            <w:tcW w:w="1230" w:type="dxa"/>
            <w:tcBorders>
              <w:top w:val="single" w:color="auto" w:sz="4" w:space="0"/>
              <w:left w:val="single" w:color="auto" w:sz="4" w:space="0"/>
              <w:bottom w:val="single" w:color="auto" w:sz="4" w:space="0"/>
              <w:right w:val="single" w:color="auto" w:sz="4" w:space="0"/>
            </w:tcBorders>
            <w:vAlign w:val="center"/>
          </w:tcPr>
          <w:p w14:paraId="36EDB9B5">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招标结果通知书</w:t>
            </w:r>
          </w:p>
        </w:tc>
        <w:tc>
          <w:tcPr>
            <w:tcW w:w="7229" w:type="dxa"/>
            <w:tcBorders>
              <w:top w:val="single" w:color="auto" w:sz="4" w:space="0"/>
              <w:left w:val="single" w:color="auto" w:sz="4" w:space="0"/>
              <w:bottom w:val="single" w:color="auto" w:sz="4" w:space="0"/>
              <w:right w:val="single" w:color="auto" w:sz="4" w:space="0"/>
            </w:tcBorders>
            <w:vAlign w:val="center"/>
          </w:tcPr>
          <w:p w14:paraId="162F66F0">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采购代理机构通过</w:t>
            </w:r>
            <w:r>
              <w:rPr>
                <w:rFonts w:ascii="Arial" w:hAnsi="Arial" w:cs="Arial"/>
                <w:color w:val="000000" w:themeColor="text1"/>
                <w:kern w:val="0"/>
                <w:szCs w:val="21"/>
                <w14:textFill>
                  <w14:solidFill>
                    <w14:schemeClr w14:val="tx1"/>
                  </w14:solidFill>
                </w14:textFill>
              </w:rPr>
              <w:t>广西政府采购云平台</w:t>
            </w:r>
            <w:r>
              <w:rPr>
                <w:rFonts w:ascii="Arial" w:hAnsi="Arial" w:cs="Arial"/>
                <w:color w:val="000000" w:themeColor="text1"/>
                <w:szCs w:val="21"/>
                <w14:textFill>
                  <w14:solidFill>
                    <w14:schemeClr w14:val="tx1"/>
                  </w14:solidFill>
                </w14:textFill>
              </w:rPr>
              <w:t>发出招标结果通知书</w:t>
            </w:r>
          </w:p>
          <w:p w14:paraId="6DC6BB58">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招标结果通知书在广西政府采购云平台推送之日起，视为中标人已收到，中标人自行承担未及时查收的后果。</w:t>
            </w:r>
          </w:p>
        </w:tc>
      </w:tr>
      <w:tr w14:paraId="552A73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vAlign w:val="center"/>
          </w:tcPr>
          <w:p w14:paraId="416DB3F3">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8.1</w:t>
            </w:r>
          </w:p>
        </w:tc>
        <w:tc>
          <w:tcPr>
            <w:tcW w:w="1230" w:type="dxa"/>
            <w:tcBorders>
              <w:top w:val="single" w:color="auto" w:sz="4" w:space="0"/>
              <w:left w:val="single" w:color="auto" w:sz="4" w:space="0"/>
              <w:bottom w:val="single" w:color="auto" w:sz="4" w:space="0"/>
              <w:right w:val="single" w:color="auto" w:sz="4" w:space="0"/>
            </w:tcBorders>
            <w:vAlign w:val="center"/>
          </w:tcPr>
          <w:p w14:paraId="04966F5C">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7E479FA1">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供应商认为招标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CFE2CEF">
            <w:pPr>
              <w:spacing w:line="3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本项目不接受传真、移动通信、广西政府采购云平台等方式送达的质疑材料，供应商可通过现场或邮寄方式递交书面质疑材料。供应商应于质疑有效期内将质疑函原件递交或邮寄至招标公告中采购代理机构信息中的联系人。</w:t>
            </w:r>
          </w:p>
        </w:tc>
      </w:tr>
      <w:tr w14:paraId="32AD85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55" w:type="dxa"/>
            <w:tcBorders>
              <w:top w:val="single" w:color="auto" w:sz="4" w:space="0"/>
              <w:left w:val="single" w:color="auto" w:sz="4" w:space="0"/>
              <w:bottom w:val="single" w:color="auto" w:sz="4" w:space="0"/>
              <w:right w:val="single" w:color="auto" w:sz="4" w:space="0"/>
            </w:tcBorders>
            <w:vAlign w:val="center"/>
          </w:tcPr>
          <w:p w14:paraId="0F053C45">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9.1</w:t>
            </w:r>
          </w:p>
        </w:tc>
        <w:tc>
          <w:tcPr>
            <w:tcW w:w="1230" w:type="dxa"/>
            <w:tcBorders>
              <w:top w:val="single" w:color="auto" w:sz="4" w:space="0"/>
              <w:left w:val="single" w:color="auto" w:sz="4" w:space="0"/>
              <w:bottom w:val="single" w:color="auto" w:sz="4" w:space="0"/>
              <w:right w:val="single" w:color="auto" w:sz="4" w:space="0"/>
            </w:tcBorders>
            <w:vAlign w:val="center"/>
          </w:tcPr>
          <w:p w14:paraId="2D4C6034">
            <w:pPr>
              <w:spacing w:line="30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0"/>
                <w14:textFill>
                  <w14:solidFill>
                    <w14:schemeClr w14:val="tx1"/>
                  </w14:solidFill>
                </w14:textFill>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5DD9D51D">
            <w:pP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（1）代理服务费</w:t>
            </w:r>
          </w:p>
          <w:p w14:paraId="2808C76E">
            <w:pPr>
              <w:spacing w:line="300" w:lineRule="exact"/>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sym w:font="Wingdings 2" w:char="0052"/>
            </w:r>
            <w:r>
              <w:rPr>
                <w:rFonts w:ascii="Arial" w:hAnsi="Arial" w:cs="Arial"/>
                <w:color w:val="000000" w:themeColor="text1"/>
                <w14:textFill>
                  <w14:solidFill>
                    <w14:schemeClr w14:val="tx1"/>
                  </w14:solidFill>
                </w14:textFill>
              </w:rPr>
              <w:t>采购代理机构向中标供应商收取代理服务费。本项目代理服务费按照《招标代理服务费管理暂行办法》 (计价格﹝2002﹞1980号)、《国家发展改革委关于降低部分建设项目收费标准规范收费行为等有关问题的通知》(发改价格﹝2011﹞534号)下浮15%后的</w:t>
            </w:r>
            <w:r>
              <w:rPr>
                <w:rFonts w:hint="eastAsia" w:ascii="Arial" w:hAnsi="Arial" w:cs="Arial"/>
                <w:color w:val="000000" w:themeColor="text1"/>
                <w:lang w:val="en-US" w:eastAsia="zh-CN"/>
                <w14:textFill>
                  <w14:solidFill>
                    <w14:schemeClr w14:val="tx1"/>
                  </w14:solidFill>
                </w14:textFill>
              </w:rPr>
              <w:t>85</w:t>
            </w:r>
            <w:r>
              <w:rPr>
                <w:rFonts w:ascii="Arial" w:hAnsi="Arial" w:cs="Arial"/>
                <w:color w:val="000000" w:themeColor="text1"/>
                <w14:textFill>
                  <w14:solidFill>
                    <w14:schemeClr w14:val="tx1"/>
                  </w14:solidFill>
                </w14:textFill>
              </w:rPr>
              <w:t>%采用差额定率累进法计算。具体费率如下：</w:t>
            </w:r>
          </w:p>
          <w:p w14:paraId="56EC2B15">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①中标金额在100万元以下的：</w:t>
            </w:r>
          </w:p>
          <w:p w14:paraId="550A0745">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货物1.5％；服务招标1.5％；工程招标1.0％；</w:t>
            </w:r>
          </w:p>
          <w:p w14:paraId="2794A011">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②中标金额在100-500万元之间：</w:t>
            </w:r>
          </w:p>
          <w:p w14:paraId="773F0DFB">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货物1.1％；服务招标0.8％；工程招标0.7％；</w:t>
            </w:r>
          </w:p>
          <w:p w14:paraId="574F3A2E">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③中标金额在500-1000万元之间：</w:t>
            </w:r>
          </w:p>
          <w:p w14:paraId="7C07D32D">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货物0.8％；服务招标0.45％；工程招标0.55％；</w:t>
            </w:r>
          </w:p>
          <w:p w14:paraId="3B506D0A">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④中标金额在1000-5000万元之间：</w:t>
            </w:r>
          </w:p>
          <w:p w14:paraId="647C27DE">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货物0.5％；服务招标0.25％；工程招标0.35％；</w:t>
            </w:r>
          </w:p>
          <w:p w14:paraId="61F5DD91">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w:t>
            </w:r>
          </w:p>
          <w:p w14:paraId="124FBEFD">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差额定率累进法计算过程示例：</w:t>
            </w:r>
          </w:p>
          <w:p w14:paraId="5FC0E74A">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例如：某货物招标代理业务中标金额为300万元，招标代理服务费金额按如下计算：</w:t>
            </w:r>
          </w:p>
          <w:p w14:paraId="3628686C">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100万元×1.5%＝1.5万元</w:t>
            </w:r>
          </w:p>
          <w:p w14:paraId="37589D95">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（300－100）万元×1.1%＝2.2万元</w:t>
            </w:r>
          </w:p>
          <w:p w14:paraId="126369B1">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合计收费＝（1.5＋2.2）*85%*</w:t>
            </w:r>
            <w:r>
              <w:rPr>
                <w:rFonts w:hint="eastAsia" w:ascii="Arial" w:hAnsi="Arial" w:cs="Arial"/>
                <w:color w:val="000000" w:themeColor="text1"/>
                <w:lang w:val="en-US" w:eastAsia="zh-CN"/>
                <w14:textFill>
                  <w14:solidFill>
                    <w14:schemeClr w14:val="tx1"/>
                  </w14:solidFill>
                </w14:textFill>
              </w:rPr>
              <w:t>85</w:t>
            </w:r>
            <w:r>
              <w:rPr>
                <w:rFonts w:ascii="Arial" w:hAnsi="Arial" w:cs="Arial"/>
                <w:color w:val="000000" w:themeColor="text1"/>
                <w14:textFill>
                  <w14:solidFill>
                    <w14:schemeClr w14:val="tx1"/>
                  </w14:solidFill>
                </w14:textFill>
              </w:rPr>
              <w:t>%=</w:t>
            </w:r>
            <w:r>
              <w:rPr>
                <w:rFonts w:hint="eastAsia" w:ascii="Arial" w:hAnsi="Arial" w:cs="Arial"/>
                <w:color w:val="000000" w:themeColor="text1"/>
                <w:lang w:val="en-US" w:eastAsia="zh-CN"/>
                <w14:textFill>
                  <w14:solidFill>
                    <w14:schemeClr w14:val="tx1"/>
                  </w14:solidFill>
                </w14:textFill>
              </w:rPr>
              <w:t>2.67</w:t>
            </w:r>
            <w:r>
              <w:rPr>
                <w:rFonts w:ascii="Arial" w:hAnsi="Arial" w:cs="Arial"/>
                <w:color w:val="000000" w:themeColor="text1"/>
                <w14:textFill>
                  <w14:solidFill>
                    <w14:schemeClr w14:val="tx1"/>
                  </w14:solidFill>
                </w14:textFill>
              </w:rPr>
              <w:t>万元</w:t>
            </w:r>
          </w:p>
          <w:p w14:paraId="70984586">
            <w:pPr>
              <w:spacing w:line="288" w:lineRule="auto"/>
              <w:jc w:val="left"/>
              <w:rPr>
                <w:rFonts w:ascii="Arial" w:hAnsi="Arial" w:cs="Arial"/>
                <w:color w:val="000000" w:themeColor="text1"/>
                <w14:textFill>
                  <w14:solidFill>
                    <w14:schemeClr w14:val="tx1"/>
                  </w14:solidFill>
                </w14:textFill>
              </w:rPr>
            </w:pPr>
          </w:p>
          <w:p w14:paraId="33F778AA">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sym w:font="Wingdings 2" w:char="F0A3"/>
            </w:r>
            <w:r>
              <w:rPr>
                <w:rFonts w:ascii="Arial" w:hAnsi="Arial" w:cs="Arial"/>
                <w:color w:val="000000" w:themeColor="text1"/>
                <w14:textFill>
                  <w14:solidFill>
                    <w14:schemeClr w14:val="tx1"/>
                  </w14:solidFill>
                </w14:textFill>
              </w:rPr>
              <w:t>采购代理机构向中标供应商收取代理服务费，具体金额为             。</w:t>
            </w:r>
          </w:p>
          <w:p w14:paraId="0D34EECC">
            <w:pPr>
              <w:spacing w:line="288" w:lineRule="auto"/>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（2）中标供应商在中标通知书发出前以银行转账或现金形式支付代理服务费。</w:t>
            </w:r>
          </w:p>
          <w:p w14:paraId="2F7BA39E">
            <w:pPr>
              <w:spacing w:line="288" w:lineRule="auto"/>
              <w:rPr>
                <w:rFonts w:ascii="Arial" w:hAnsi="Arial" w:cs="Arial"/>
                <w:b/>
                <w:color w:val="000000" w:themeColor="text1"/>
                <w14:textFill>
                  <w14:solidFill>
                    <w14:schemeClr w14:val="tx1"/>
                  </w14:solidFill>
                </w14:textFill>
              </w:rPr>
            </w:pPr>
            <w:r>
              <w:rPr>
                <w:rFonts w:ascii="Arial" w:hAnsi="Arial" w:cs="Arial"/>
                <w:b/>
                <w:color w:val="000000" w:themeColor="text1"/>
                <w14:textFill>
                  <w14:solidFill>
                    <w14:schemeClr w14:val="tx1"/>
                  </w14:solidFill>
                </w14:textFill>
              </w:rPr>
              <w:t>交纳招标代理服务费的银行账户：</w:t>
            </w:r>
          </w:p>
          <w:p w14:paraId="07F118D4">
            <w:pPr>
              <w:spacing w:line="300" w:lineRule="exact"/>
              <w:jc w:val="left"/>
              <w:rPr>
                <w:rFonts w:hint="eastAsia" w:ascii="Arial" w:hAnsi="Arial" w:cs="Arial"/>
                <w:b/>
                <w:color w:val="000000" w:themeColor="text1"/>
                <w:szCs w:val="21"/>
                <w14:textFill>
                  <w14:solidFill>
                    <w14:schemeClr w14:val="tx1"/>
                  </w14:solidFill>
                </w14:textFill>
              </w:rPr>
            </w:pPr>
            <w:r>
              <w:rPr>
                <w:rFonts w:hint="eastAsia" w:ascii="Arial" w:hAnsi="Arial" w:cs="Arial"/>
                <w:b/>
                <w:color w:val="000000" w:themeColor="text1"/>
                <w:szCs w:val="21"/>
                <w14:textFill>
                  <w14:solidFill>
                    <w14:schemeClr w14:val="tx1"/>
                  </w14:solidFill>
                </w14:textFill>
              </w:rPr>
              <w:t>公司名称：广西机电设备招标有限公司桂林七星分公司</w:t>
            </w:r>
          </w:p>
          <w:p w14:paraId="6BEFF262">
            <w:pPr>
              <w:spacing w:line="300" w:lineRule="exact"/>
              <w:jc w:val="left"/>
              <w:rPr>
                <w:rFonts w:hint="eastAsia" w:ascii="Arial" w:hAnsi="Arial" w:cs="Arial"/>
                <w:b/>
                <w:color w:val="000000" w:themeColor="text1"/>
                <w:szCs w:val="21"/>
                <w14:textFill>
                  <w14:solidFill>
                    <w14:schemeClr w14:val="tx1"/>
                  </w14:solidFill>
                </w14:textFill>
              </w:rPr>
            </w:pPr>
            <w:r>
              <w:rPr>
                <w:rFonts w:hint="eastAsia" w:ascii="Arial" w:hAnsi="Arial" w:cs="Arial"/>
                <w:b/>
                <w:color w:val="000000" w:themeColor="text1"/>
                <w:szCs w:val="21"/>
                <w14:textFill>
                  <w14:solidFill>
                    <w14:schemeClr w14:val="tx1"/>
                  </w14:solidFill>
                </w14:textFill>
              </w:rPr>
              <w:t>开户银行：交通银行桂林高新支行</w:t>
            </w:r>
          </w:p>
          <w:p w14:paraId="34670C9D">
            <w:pPr>
              <w:spacing w:line="300" w:lineRule="exact"/>
              <w:jc w:val="left"/>
              <w:rPr>
                <w:rFonts w:ascii="Arial" w:hAnsi="Arial" w:cs="Arial"/>
                <w:color w:val="000000" w:themeColor="text1"/>
                <w:kern w:val="0"/>
                <w:szCs w:val="21"/>
                <w14:textFill>
                  <w14:solidFill>
                    <w14:schemeClr w14:val="tx1"/>
                  </w14:solidFill>
                </w14:textFill>
              </w:rPr>
            </w:pPr>
            <w:r>
              <w:rPr>
                <w:rFonts w:hint="eastAsia" w:ascii="Arial" w:hAnsi="Arial" w:cs="Arial"/>
                <w:b/>
                <w:color w:val="000000" w:themeColor="text1"/>
                <w:szCs w:val="21"/>
                <w14:textFill>
                  <w14:solidFill>
                    <w14:schemeClr w14:val="tx1"/>
                  </w14:solidFill>
                </w14:textFill>
              </w:rPr>
              <w:t>银行账号：453060811013000380456</w:t>
            </w:r>
          </w:p>
        </w:tc>
      </w:tr>
      <w:tr w14:paraId="1DA50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755" w:type="dxa"/>
            <w:tcBorders>
              <w:top w:val="single" w:color="auto" w:sz="4" w:space="0"/>
              <w:left w:val="single" w:color="auto" w:sz="4" w:space="0"/>
              <w:bottom w:val="single" w:color="auto" w:sz="4" w:space="0"/>
              <w:right w:val="single" w:color="auto" w:sz="4" w:space="0"/>
            </w:tcBorders>
            <w:vAlign w:val="center"/>
          </w:tcPr>
          <w:p w14:paraId="4004289F">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9.3</w:t>
            </w:r>
          </w:p>
        </w:tc>
        <w:tc>
          <w:tcPr>
            <w:tcW w:w="1230" w:type="dxa"/>
            <w:tcBorders>
              <w:top w:val="single" w:color="auto" w:sz="4" w:space="0"/>
              <w:left w:val="single" w:color="auto" w:sz="4" w:space="0"/>
              <w:bottom w:val="single" w:color="auto" w:sz="4" w:space="0"/>
              <w:right w:val="single" w:color="auto" w:sz="4" w:space="0"/>
            </w:tcBorders>
            <w:vAlign w:val="center"/>
          </w:tcPr>
          <w:p w14:paraId="6F6EA9F1">
            <w:pPr>
              <w:spacing w:line="300" w:lineRule="exact"/>
              <w:jc w:val="center"/>
              <w:rPr>
                <w:rFonts w:ascii="Arial" w:hAnsi="Arial" w:cs="Arial"/>
                <w:color w:val="000000" w:themeColor="text1"/>
                <w:szCs w:val="20"/>
                <w14:textFill>
                  <w14:solidFill>
                    <w14:schemeClr w14:val="tx1"/>
                  </w14:solidFill>
                </w14:textFill>
              </w:rPr>
            </w:pPr>
            <w:r>
              <w:rPr>
                <w:rFonts w:ascii="Arial" w:hAnsi="Arial" w:cs="Arial"/>
                <w:color w:val="000000" w:themeColor="text1"/>
                <w:szCs w:val="20"/>
                <w14:textFill>
                  <w14:solidFill>
                    <w14:schemeClr w14:val="tx1"/>
                  </w14:solidFill>
                </w14:textFill>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59655365">
            <w:pPr>
              <w:spacing w:line="276" w:lineRule="auto"/>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无</w:t>
            </w:r>
          </w:p>
        </w:tc>
      </w:tr>
      <w:tr w14:paraId="0DDDF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5" w:type="dxa"/>
            <w:tcBorders>
              <w:top w:val="single" w:color="auto" w:sz="4" w:space="0"/>
              <w:left w:val="single" w:color="auto" w:sz="4" w:space="0"/>
              <w:bottom w:val="single" w:color="auto" w:sz="4" w:space="0"/>
              <w:right w:val="single" w:color="auto" w:sz="4" w:space="0"/>
            </w:tcBorders>
            <w:vAlign w:val="center"/>
          </w:tcPr>
          <w:p w14:paraId="1BBE458B">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9.3</w:t>
            </w:r>
          </w:p>
        </w:tc>
        <w:tc>
          <w:tcPr>
            <w:tcW w:w="1230" w:type="dxa"/>
            <w:tcBorders>
              <w:top w:val="single" w:color="auto" w:sz="4" w:space="0"/>
              <w:left w:val="single" w:color="auto" w:sz="4" w:space="0"/>
              <w:bottom w:val="single" w:color="auto" w:sz="4" w:space="0"/>
              <w:right w:val="single" w:color="auto" w:sz="4" w:space="0"/>
            </w:tcBorders>
            <w:vAlign w:val="center"/>
          </w:tcPr>
          <w:p w14:paraId="54418773">
            <w:pPr>
              <w:spacing w:line="300" w:lineRule="exact"/>
              <w:jc w:val="center"/>
              <w:rPr>
                <w:rFonts w:ascii="Arial" w:hAnsi="Arial" w:cs="Arial"/>
                <w:color w:val="000000" w:themeColor="text1"/>
                <w:szCs w:val="20"/>
                <w14:textFill>
                  <w14:solidFill>
                    <w14:schemeClr w14:val="tx1"/>
                  </w14:solidFill>
                </w14:textFill>
              </w:rPr>
            </w:pPr>
            <w:r>
              <w:rPr>
                <w:rFonts w:ascii="Arial" w:hAnsi="Arial" w:cs="Arial"/>
                <w:color w:val="000000" w:themeColor="text1"/>
                <w:szCs w:val="20"/>
                <w14:textFill>
                  <w14:solidFill>
                    <w14:schemeClr w14:val="tx1"/>
                  </w14:solidFill>
                </w14:textFill>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30F5A46B">
            <w:pPr>
              <w:spacing w:line="276" w:lineRule="auto"/>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无</w:t>
            </w:r>
          </w:p>
        </w:tc>
      </w:tr>
      <w:tr w14:paraId="56407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55" w:type="dxa"/>
            <w:tcBorders>
              <w:top w:val="single" w:color="auto" w:sz="4" w:space="0"/>
              <w:left w:val="single" w:color="auto" w:sz="4" w:space="0"/>
              <w:bottom w:val="single" w:color="auto" w:sz="4" w:space="0"/>
              <w:right w:val="single" w:color="auto" w:sz="4" w:space="0"/>
            </w:tcBorders>
            <w:vAlign w:val="center"/>
          </w:tcPr>
          <w:p w14:paraId="4ADC6F7F">
            <w:pPr>
              <w:spacing w:line="30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9.4</w:t>
            </w:r>
          </w:p>
        </w:tc>
        <w:tc>
          <w:tcPr>
            <w:tcW w:w="1230" w:type="dxa"/>
            <w:tcBorders>
              <w:top w:val="single" w:color="auto" w:sz="4" w:space="0"/>
              <w:left w:val="single" w:color="auto" w:sz="4" w:space="0"/>
              <w:bottom w:val="single" w:color="auto" w:sz="4" w:space="0"/>
              <w:right w:val="single" w:color="auto" w:sz="4" w:space="0"/>
            </w:tcBorders>
            <w:vAlign w:val="center"/>
          </w:tcPr>
          <w:p w14:paraId="780B7623">
            <w:pPr>
              <w:spacing w:line="300" w:lineRule="exact"/>
              <w:jc w:val="center"/>
              <w:rPr>
                <w:rFonts w:ascii="Arial" w:hAnsi="Arial" w:cs="Arial"/>
                <w:color w:val="000000" w:themeColor="text1"/>
                <w:szCs w:val="20"/>
                <w14:textFill>
                  <w14:solidFill>
                    <w14:schemeClr w14:val="tx1"/>
                  </w14:solidFill>
                </w14:textFill>
              </w:rPr>
            </w:pPr>
            <w:r>
              <w:rPr>
                <w:rFonts w:ascii="Arial" w:hAnsi="Arial" w:cs="Arial"/>
                <w:color w:val="000000" w:themeColor="text1"/>
                <w:szCs w:val="20"/>
                <w14:textFill>
                  <w14:solidFill>
                    <w14:schemeClr w14:val="tx1"/>
                  </w14:solidFill>
                </w14:textFill>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4A521DDB">
            <w:pPr>
              <w:spacing w:line="276" w:lineRule="auto"/>
              <w:rPr>
                <w:rFonts w:ascii="Arial" w:hAnsi="Arial" w:cs="Arial"/>
                <w:color w:val="000000" w:themeColor="text1"/>
                <w:sz w:val="24"/>
                <w14:textFill>
                  <w14:solidFill>
                    <w14:schemeClr w14:val="tx1"/>
                  </w14:solidFill>
                </w14:textFill>
              </w:rPr>
            </w:pPr>
            <w:r>
              <w:rPr>
                <w:rFonts w:ascii="Arial" w:hAnsi="Arial" w:cs="Arial"/>
                <w:color w:val="000000" w:themeColor="text1"/>
                <w:szCs w:val="21"/>
                <w14:textFill>
                  <w14:solidFill>
                    <w14:schemeClr w14:val="tx1"/>
                  </w14:solidFill>
                </w14:textFill>
              </w:rPr>
              <w:t>本文件中内容如有前后不一致，以在招标文件先出现的为准。</w:t>
            </w:r>
          </w:p>
        </w:tc>
      </w:tr>
    </w:tbl>
    <w:p w14:paraId="1C8DE61A">
      <w:pPr>
        <w:spacing w:before="120" w:line="320" w:lineRule="atLeast"/>
        <w:outlineLvl w:val="1"/>
        <w:rPr>
          <w:rFonts w:ascii="Arial" w:hAnsi="Arial" w:cs="Arial"/>
          <w:bCs/>
          <w:color w:val="000000" w:themeColor="text1"/>
          <w:kern w:val="0"/>
          <w:sz w:val="28"/>
          <w:szCs w:val="28"/>
          <w14:textFill>
            <w14:solidFill>
              <w14:schemeClr w14:val="tx1"/>
            </w14:solidFill>
          </w14:textFill>
        </w:rPr>
        <w:sectPr>
          <w:type w:val="continuous"/>
          <w:pgSz w:w="11906" w:h="16838"/>
          <w:pgMar w:top="993" w:right="1133" w:bottom="1246" w:left="998" w:header="851" w:footer="992" w:gutter="0"/>
          <w:cols w:space="720" w:num="1"/>
          <w:titlePg/>
          <w:docGrid w:linePitch="312" w:charSpace="0"/>
        </w:sectPr>
      </w:pPr>
    </w:p>
    <w:p w14:paraId="021BA1B5">
      <w:pPr>
        <w:spacing w:before="120" w:line="320" w:lineRule="atLeast"/>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1．总则</w:t>
      </w:r>
    </w:p>
    <w:p w14:paraId="7970AF14">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21" w:name="_Toc254970668"/>
      <w:bookmarkStart w:id="22" w:name="_Toc254970527"/>
      <w:r>
        <w:rPr>
          <w:rFonts w:ascii="Arial" w:hAnsi="Arial" w:cs="Arial"/>
          <w:b/>
          <w:bCs/>
          <w:color w:val="000000" w:themeColor="text1"/>
          <w:kern w:val="0"/>
          <w:szCs w:val="21"/>
          <w14:textFill>
            <w14:solidFill>
              <w14:schemeClr w14:val="tx1"/>
            </w14:solidFill>
          </w14:textFill>
        </w:rPr>
        <w:t>1.1适用范围</w:t>
      </w:r>
      <w:bookmarkEnd w:id="21"/>
      <w:bookmarkEnd w:id="22"/>
    </w:p>
    <w:p w14:paraId="03CDC18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本招标文件适用于供应商须知前附表所述项目的政府采购活动。</w:t>
      </w:r>
    </w:p>
    <w:p w14:paraId="42E82E9F">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23" w:name="_Toc254970669"/>
      <w:bookmarkStart w:id="24" w:name="_Toc254970528"/>
      <w:r>
        <w:rPr>
          <w:rFonts w:ascii="Arial" w:hAnsi="Arial" w:cs="Arial"/>
          <w:b/>
          <w:bCs/>
          <w:color w:val="000000" w:themeColor="text1"/>
          <w:kern w:val="0"/>
          <w:szCs w:val="21"/>
          <w14:textFill>
            <w14:solidFill>
              <w14:schemeClr w14:val="tx1"/>
            </w14:solidFill>
          </w14:textFill>
        </w:rPr>
        <w:t>1.2定义</w:t>
      </w:r>
      <w:bookmarkEnd w:id="23"/>
      <w:bookmarkEnd w:id="24"/>
    </w:p>
    <w:p w14:paraId="6F42A78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1.2.1“采购人”系指依法进行政府采购的国家机关、事业单位、团体组织。</w:t>
      </w:r>
    </w:p>
    <w:p w14:paraId="14FA68B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1.2.2“供应商”系</w:t>
      </w:r>
      <w:r>
        <w:rPr>
          <w:rFonts w:ascii="Arial" w:hAnsi="Arial" w:cs="Arial"/>
          <w:color w:val="000000" w:themeColor="text1"/>
          <w14:textFill>
            <w14:solidFill>
              <w14:schemeClr w14:val="tx1"/>
            </w14:solidFill>
          </w14:textFill>
        </w:rPr>
        <w:t>指响应招标、参加投标竞争的法人、其他组织或者自然人</w:t>
      </w:r>
      <w:r>
        <w:rPr>
          <w:rFonts w:ascii="Arial" w:hAnsi="Arial" w:cs="Arial"/>
          <w:color w:val="000000" w:themeColor="text1"/>
          <w:szCs w:val="21"/>
          <w14:textFill>
            <w14:solidFill>
              <w14:schemeClr w14:val="tx1"/>
            </w14:solidFill>
          </w14:textFill>
        </w:rPr>
        <w:t>。</w:t>
      </w:r>
    </w:p>
    <w:p w14:paraId="76BAF9DE">
      <w:pPr>
        <w:spacing w:before="120" w:line="360" w:lineRule="auto"/>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09C835D">
      <w:pPr>
        <w:spacing w:before="120" w:line="360" w:lineRule="auto"/>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536A3621">
      <w:pPr>
        <w:widowControl/>
        <w:spacing w:line="360"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7518A45C">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1.2.6本项目的技术商务要求重要性分为“▲”（如有）、“#”（如有）和一般无标识指标。▲代表实质性要求指标，</w:t>
      </w:r>
      <w:r>
        <w:rPr>
          <w:rFonts w:ascii="Arial" w:hAnsi="Arial" w:cs="Arial"/>
          <w:b/>
          <w:bCs/>
          <w:color w:val="000000" w:themeColor="text1"/>
          <w:szCs w:val="21"/>
          <w14:textFill>
            <w14:solidFill>
              <w14:schemeClr w14:val="tx1"/>
            </w14:solidFill>
          </w14:textFill>
        </w:rPr>
        <w:t>不满足该指标项将导致投标被否决</w:t>
      </w:r>
      <w:r>
        <w:rPr>
          <w:rFonts w:ascii="Arial" w:hAnsi="Arial" w:cs="Arial"/>
          <w:color w:val="000000" w:themeColor="text1"/>
          <w:szCs w:val="21"/>
          <w14:textFill>
            <w14:solidFill>
              <w14:schemeClr w14:val="tx1"/>
            </w14:solidFill>
          </w14:textFill>
        </w:rPr>
        <w:t>，#代表重要指标，无标识则表示一般指标项。</w:t>
      </w:r>
    </w:p>
    <w:p w14:paraId="22AF403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1.2.7 本招标文件出现多种选项的条款，以“</w:t>
      </w:r>
      <w:r>
        <w:rPr>
          <w:rFonts w:ascii="Arial" w:hAnsi="Arial" w:cs="Arial"/>
          <w:color w:val="000000" w:themeColor="text1"/>
          <w14:textFill>
            <w14:solidFill>
              <w14:schemeClr w14:val="tx1"/>
            </w14:solidFill>
          </w14:textFill>
        </w:rPr>
        <w:sym w:font="Wingdings 2" w:char="F052"/>
      </w:r>
      <w:r>
        <w:rPr>
          <w:rFonts w:ascii="Arial" w:hAnsi="Arial" w:cs="Arial"/>
          <w:color w:val="000000" w:themeColor="text1"/>
          <w:szCs w:val="21"/>
          <w14:textFill>
            <w14:solidFill>
              <w14:schemeClr w14:val="tx1"/>
            </w14:solidFill>
          </w14:textFill>
        </w:rPr>
        <w:t>”表示本条款所选择的方式。</w:t>
      </w:r>
    </w:p>
    <w:p w14:paraId="14E0CCA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1.2.8 “电子交易平台”是指以数据电文形式在线完成采购活动的信息平台，本招标文件中也称“广西政府采购云平台”。</w:t>
      </w:r>
    </w:p>
    <w:p w14:paraId="7FA3A058">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1.3项目信息</w:t>
      </w:r>
    </w:p>
    <w:p w14:paraId="58AA029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1.3.1项目名称及编号：详见供应商须知前附表</w:t>
      </w:r>
    </w:p>
    <w:p w14:paraId="66E9A23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1.3.2采购方式：详见供应商须知前附表</w:t>
      </w:r>
    </w:p>
    <w:p w14:paraId="5B4608EF">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25" w:name="_Hlk132812137"/>
      <w:r>
        <w:rPr>
          <w:rFonts w:ascii="Arial" w:hAnsi="Arial" w:cs="Arial"/>
          <w:b/>
          <w:bCs/>
          <w:color w:val="000000" w:themeColor="text1"/>
          <w:kern w:val="0"/>
          <w:szCs w:val="21"/>
          <w14:textFill>
            <w14:solidFill>
              <w14:schemeClr w14:val="tx1"/>
            </w14:solidFill>
          </w14:textFill>
        </w:rPr>
        <w:t>1.4促进中小企业发展政策</w:t>
      </w:r>
    </w:p>
    <w:p w14:paraId="293D5392">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1.4.1本项目落实促进中小企业发展政策措施在前附表规定。依据促进中小企业发展政策获得政府采购合同的，小微企业不得将合同分包给大中型企业，中型企业不得将合同分包给大型企业。</w:t>
      </w:r>
    </w:p>
    <w:p w14:paraId="65D049C6">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bookmarkStart w:id="26" w:name="_Hlk138842976"/>
      <w:r>
        <w:rPr>
          <w:rFonts w:ascii="Arial" w:hAnsi="Arial" w:cs="Arial"/>
          <w:color w:val="000000" w:themeColor="text1"/>
          <w:szCs w:val="21"/>
          <w14:textFill>
            <w14:solidFill>
              <w14:schemeClr w14:val="tx1"/>
            </w14:solidFill>
          </w14:textFill>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26"/>
      <w:bookmarkStart w:id="27" w:name="_Hlk92205820"/>
      <w:r>
        <w:rPr>
          <w:rFonts w:ascii="Arial" w:hAnsi="Arial" w:cs="Arial"/>
          <w:color w:val="000000" w:themeColor="text1"/>
          <w:szCs w:val="21"/>
          <w14:textFill>
            <w14:solidFill>
              <w14:schemeClr w14:val="tx1"/>
            </w14:solidFill>
          </w14:textFill>
        </w:rPr>
        <w:t>价格扣除比例在第四章评审方法及标准中规定，对小型企业和微型企业同等对待，不作区分。</w:t>
      </w:r>
    </w:p>
    <w:p w14:paraId="65455A79">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1.4.2中小企业定义</w:t>
      </w:r>
    </w:p>
    <w:p w14:paraId="4B140D3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56B98D8D">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1.4.2.2供应商提供的货物、工程或者服务符合下列情形的，享受本款规定的促进中小企业发展政策：</w:t>
      </w:r>
    </w:p>
    <w:p w14:paraId="513AB371">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在货物采购项目中，货物由中小企业制造，即货物由中小企业生产且使用该中小企业商号或者注册商标；</w:t>
      </w:r>
    </w:p>
    <w:p w14:paraId="7E800BA0">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在工程采购项目中，工程由中小企业承建，即工程施工单位为中小企业；</w:t>
      </w:r>
    </w:p>
    <w:p w14:paraId="4FEA319C">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在服务采购项目中，服务由中小企业承接，即提供服务的人员为中小企业依照《中华人民共和国劳动合同法》订立劳动合同的从业人员。</w:t>
      </w:r>
    </w:p>
    <w:p w14:paraId="61B4398D">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在货物采购项目中，供应商提供的货物既有中小企业制造货物，也有大型企业制造货物的，不享受本款规定的促进中小企业发展政策。</w:t>
      </w:r>
    </w:p>
    <w:p w14:paraId="71458A1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1.4.2.3本项目标的所属行业在第二章采购需求中规定。供应商根据中小企业划分标准（《关于印发中小企业划型标准规定的通知》（工信部联企业〔2011〕300号）判断是否为中小企业。（见附件）</w:t>
      </w:r>
    </w:p>
    <w:p w14:paraId="40FAE34C">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符合条件的货物制造商、工程施工单位、服务承接单位为中小企业的，应按招标文件规定在投标文件中提供声明函。</w:t>
      </w:r>
    </w:p>
    <w:p w14:paraId="2AFB0FE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1.4.2.4视同中小企业情形</w:t>
      </w:r>
    </w:p>
    <w:p w14:paraId="7DC5CFC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（1）符合中小企业划分标准的个体工商户，视同中小企业。</w:t>
      </w:r>
    </w:p>
    <w:p w14:paraId="5D033DF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（2）以联合体形式参加政府采购活动，联合体各方均为中小企业的，联合体视同中小企业。其中，联合体各方均为小微企业的，联合体视同小微企业。</w:t>
      </w:r>
    </w:p>
    <w:p w14:paraId="22E8CD31">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009808CB">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符合条件的货物制造商、工程施工单位、服务承接单位为监狱企业或残疾人福利性单位的，应按招标文件规定在投标文件中提供相关证明文件。</w:t>
      </w:r>
      <w:bookmarkEnd w:id="27"/>
    </w:p>
    <w:bookmarkEnd w:id="25"/>
    <w:p w14:paraId="0A9792E3">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1.5供应商资格要求</w:t>
      </w:r>
    </w:p>
    <w:p w14:paraId="7F6D93A3">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1.5.1供应商资格要求：详见供应商须知前附表</w:t>
      </w:r>
    </w:p>
    <w:p w14:paraId="130DF91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1.5.2按照招标公告的规定获得招标文件。</w:t>
      </w:r>
    </w:p>
    <w:p w14:paraId="6381831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1.5.3本项目是否接受联合体投标，见“供应商须知前附表”规定。</w:t>
      </w:r>
    </w:p>
    <w:p w14:paraId="6865915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如接受联合体投标，联合体投标要求如下： </w:t>
      </w:r>
    </w:p>
    <w:p w14:paraId="05919F9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（1）供应商可以组成一个投标联合体，以一个供应商的身份共同参加投标。联合体投标的，须提供《联合体协议书》（格式后附）</w:t>
      </w:r>
    </w:p>
    <w:p w14:paraId="4C8C4B8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6AA27D4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20C98E4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（4）以联合体形式参加政府采购活动的，联合体各方不得再单独参加或者与其他供应商另外组成联合体参加同一合同项下的政府采购活动。</w:t>
      </w:r>
    </w:p>
    <w:p w14:paraId="6C02E7C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（5）联合体中有同类资质的供应商按照联合体分工承担相同工作的，应当按照资质等级较低的供应商确定资质等级。</w:t>
      </w:r>
    </w:p>
    <w:p w14:paraId="4A8D0451">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（6）联合体投标业绩、履约能力按照联合体各方其中较高的一方认定并计算（招标文件其他章节另有规定的除外）。</w:t>
      </w:r>
    </w:p>
    <w:p w14:paraId="1106810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（7）供应商为联合体的，可以由联合体中的一方或者多方共同交纳投标保证金，其交纳的保证金对联合体各方均具有约束力。</w:t>
      </w:r>
    </w:p>
    <w:p w14:paraId="22B89E5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（8）联合体各方均应按照招标文件的规定提交资格证明文件。</w:t>
      </w:r>
    </w:p>
    <w:p w14:paraId="1902D834">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28" w:name="_Toc254970531"/>
      <w:bookmarkStart w:id="29" w:name="_Toc254970672"/>
      <w:r>
        <w:rPr>
          <w:rFonts w:ascii="Arial" w:hAnsi="Arial" w:cs="Arial"/>
          <w:b/>
          <w:bCs/>
          <w:color w:val="000000" w:themeColor="text1"/>
          <w:kern w:val="0"/>
          <w:szCs w:val="21"/>
          <w14:textFill>
            <w14:solidFill>
              <w14:schemeClr w14:val="tx1"/>
            </w14:solidFill>
          </w14:textFill>
        </w:rPr>
        <w:t>1.6现场踏勘及投标费用</w:t>
      </w:r>
      <w:bookmarkEnd w:id="28"/>
      <w:bookmarkEnd w:id="29"/>
    </w:p>
    <w:p w14:paraId="2CA08F6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1.6.1前附表如规定现场踏勘的，供应商应按规定时间地点参加踏勘。</w:t>
      </w:r>
    </w:p>
    <w:p w14:paraId="67859DF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1.6.2供应商均应自行承担所有与投标有关的全部费用（招标文件有相关的规定除外）。</w:t>
      </w:r>
    </w:p>
    <w:p w14:paraId="52387E4E">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1.7转包与分包</w:t>
      </w:r>
    </w:p>
    <w:p w14:paraId="1D92E20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1.7.1如招标文件其他地方无特别规定，本项目不允许转包。</w:t>
      </w:r>
    </w:p>
    <w:p w14:paraId="0BE535D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1.7.2本项目是否允许分包详见“供应商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03140E13">
      <w:pPr>
        <w:spacing w:before="120" w:line="276" w:lineRule="auto"/>
        <w:ind w:firstLine="422" w:firstLineChars="200"/>
        <w:outlineLvl w:val="2"/>
        <w:rPr>
          <w:rFonts w:ascii="Arial" w:hAnsi="Arial" w:cs="Arial"/>
          <w:b/>
          <w:bCs/>
          <w:color w:val="000000" w:themeColor="text1"/>
          <w:kern w:val="0"/>
          <w:szCs w:val="21"/>
          <w14:textFill>
            <w14:solidFill>
              <w14:schemeClr w14:val="tx1"/>
            </w14:solidFill>
          </w14:textFill>
        </w:rPr>
      </w:pPr>
      <w:bookmarkStart w:id="30" w:name="_Toc254970532"/>
      <w:bookmarkStart w:id="31" w:name="_Toc254970673"/>
      <w:r>
        <w:rPr>
          <w:rFonts w:ascii="Arial" w:hAnsi="Arial" w:cs="Arial"/>
          <w:b/>
          <w:bCs/>
          <w:color w:val="000000" w:themeColor="text1"/>
          <w:kern w:val="0"/>
          <w:szCs w:val="21"/>
          <w14:textFill>
            <w14:solidFill>
              <w14:schemeClr w14:val="tx1"/>
            </w14:solidFill>
          </w14:textFill>
        </w:rPr>
        <w:t>1.8特别说明</w:t>
      </w:r>
      <w:bookmarkEnd w:id="30"/>
      <w:bookmarkEnd w:id="31"/>
    </w:p>
    <w:p w14:paraId="21ECFADE">
      <w:pPr>
        <w:spacing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1.8.1 供应商应保证其提供的联系方式（电话、传真、电子邮件）有效，以保证往来函件（澄清、修改等）能及时通知供应商，并能及时反馈，否则采购人及代理机构不承担由此引起的一切后果。</w:t>
      </w:r>
    </w:p>
    <w:p w14:paraId="28A53A4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1.8.2供应商应仔细阅读招标文件的所有内容，按照招标文件的要求提交投标文件，并对所提供的全部资料的真实性承担法律责任。</w:t>
      </w:r>
    </w:p>
    <w:p w14:paraId="76AF3983">
      <w:pPr>
        <w:spacing w:before="120" w:line="360"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1.8.3供应商在投标活动中提供任何虚假材料，将报监管部门查处</w:t>
      </w:r>
      <w:r>
        <w:rPr>
          <w:rFonts w:hint="eastAsia" w:ascii="Arial" w:hAnsi="Arial" w:cs="Arial"/>
          <w:color w:val="000000" w:themeColor="text1"/>
          <w:szCs w:val="21"/>
          <w:lang w:eastAsia="zh-CN"/>
          <w14:textFill>
            <w14:solidFill>
              <w14:schemeClr w14:val="tx1"/>
            </w14:solidFill>
          </w14:textFill>
        </w:rPr>
        <w:t>。</w:t>
      </w:r>
      <w:r>
        <w:rPr>
          <w:rFonts w:ascii="Arial" w:hAnsi="Arial" w:cs="Arial"/>
          <w:color w:val="000000" w:themeColor="text1"/>
          <w:szCs w:val="21"/>
          <w14:textFill>
            <w14:solidFill>
              <w14:schemeClr w14:val="tx1"/>
            </w14:solidFill>
          </w14:textFill>
        </w:rPr>
        <w:t xml:space="preserve"> </w:t>
      </w:r>
    </w:p>
    <w:p w14:paraId="7F6726E5">
      <w:pPr>
        <w:spacing w:before="120" w:line="276" w:lineRule="auto"/>
        <w:ind w:firstLine="422" w:firstLineChars="200"/>
        <w:outlineLvl w:val="2"/>
        <w:rPr>
          <w:b/>
          <w:bCs/>
          <w:color w:val="000000" w:themeColor="text1"/>
          <w:kern w:val="0"/>
          <w:szCs w:val="21"/>
          <w:highlight w:val="none"/>
          <w14:textFill>
            <w14:solidFill>
              <w14:schemeClr w14:val="tx1"/>
            </w14:solidFill>
          </w14:textFill>
        </w:rPr>
      </w:pPr>
      <w:bookmarkStart w:id="32" w:name="_Toc254970675"/>
      <w:bookmarkStart w:id="33" w:name="_Toc254970534"/>
      <w:r>
        <w:rPr>
          <w:rFonts w:hint="eastAsia"/>
          <w:b/>
          <w:bCs/>
          <w:color w:val="000000" w:themeColor="text1"/>
          <w:kern w:val="0"/>
          <w:szCs w:val="21"/>
          <w:highlight w:val="none"/>
          <w14:textFill>
            <w14:solidFill>
              <w14:schemeClr w14:val="tx1"/>
            </w14:solidFill>
          </w14:textFill>
        </w:rPr>
        <w:t>1</w:t>
      </w:r>
      <w:r>
        <w:rPr>
          <w:b/>
          <w:bCs/>
          <w:color w:val="000000" w:themeColor="text1"/>
          <w:kern w:val="0"/>
          <w:szCs w:val="21"/>
          <w:highlight w:val="none"/>
          <w14:textFill>
            <w14:solidFill>
              <w14:schemeClr w14:val="tx1"/>
            </w14:solidFill>
          </w14:textFill>
        </w:rPr>
        <w:t>.</w:t>
      </w:r>
      <w:r>
        <w:rPr>
          <w:rFonts w:hint="eastAsia"/>
          <w:b/>
          <w:bCs/>
          <w:color w:val="000000" w:themeColor="text1"/>
          <w:kern w:val="0"/>
          <w:szCs w:val="21"/>
          <w:highlight w:val="none"/>
          <w:lang w:val="en-US" w:eastAsia="zh-CN"/>
          <w14:textFill>
            <w14:solidFill>
              <w14:schemeClr w14:val="tx1"/>
            </w14:solidFill>
          </w14:textFill>
        </w:rPr>
        <w:t xml:space="preserve">9 </w:t>
      </w:r>
      <w:r>
        <w:rPr>
          <w:rFonts w:hint="eastAsia"/>
          <w:b/>
          <w:bCs/>
          <w:color w:val="000000" w:themeColor="text1"/>
          <w:kern w:val="0"/>
          <w:szCs w:val="21"/>
          <w:highlight w:val="none"/>
          <w14:textFill>
            <w14:solidFill>
              <w14:schemeClr w14:val="tx1"/>
            </w14:solidFill>
          </w14:textFill>
        </w:rPr>
        <w:t>对本国产品的支持政策</w:t>
      </w:r>
    </w:p>
    <w:p w14:paraId="1735F010">
      <w:pPr>
        <w:spacing w:before="120" w:line="360" w:lineRule="auto"/>
        <w:ind w:left="819" w:leftChars="190" w:hanging="420" w:hanging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1.9.1</w:t>
      </w:r>
      <w:r>
        <w:rPr>
          <w:rFonts w:hint="default"/>
          <w:color w:val="000000" w:themeColor="text1"/>
          <w:szCs w:val="21"/>
          <w:highlight w:val="none"/>
          <w:lang w:val="en-US" w:eastAsia="zh-CN"/>
          <w14:textFill>
            <w14:solidFill>
              <w14:schemeClr w14:val="tx1"/>
            </w14:solidFill>
          </w14:textFill>
        </w:rPr>
        <w:t>本国产品标准</w:t>
      </w:r>
    </w:p>
    <w:p w14:paraId="5C03F088">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“本国产品标准的产品”是指：符合《国务院办公厅关于在政府采购中实施本国产品标准及相关政策的通知》（国办发〔2025〕34号）规定的本国产品标准的产品。</w:t>
      </w:r>
    </w:p>
    <w:p w14:paraId="6558729A">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本国产品标准的产品应当符合以下条件：</w:t>
      </w:r>
    </w:p>
    <w:p w14:paraId="56BD0AAB">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r>
        <w:rPr>
          <w:rFonts w:hint="default"/>
          <w:color w:val="000000" w:themeColor="text1"/>
          <w:szCs w:val="21"/>
          <w:highlight w:val="none"/>
          <w:lang w:val="en-US" w:eastAsia="zh-CN"/>
          <w14:textFill>
            <w14:solidFill>
              <w14:schemeClr w14:val="tx1"/>
            </w14:solidFill>
          </w14:textFill>
        </w:rPr>
        <w:t>在中国境内生产</w:t>
      </w:r>
      <w:r>
        <w:rPr>
          <w:rFonts w:hint="eastAsia"/>
          <w:color w:val="000000" w:themeColor="text1"/>
          <w:szCs w:val="21"/>
          <w:highlight w:val="none"/>
          <w:lang w:val="en-US" w:eastAsia="zh-CN"/>
          <w14:textFill>
            <w14:solidFill>
              <w14:schemeClr w14:val="tx1"/>
            </w14:solidFill>
          </w14:textFill>
        </w:rPr>
        <w:t>。</w:t>
      </w:r>
      <w:r>
        <w:rPr>
          <w:rFonts w:hint="default"/>
          <w:color w:val="000000" w:themeColor="text1"/>
          <w:szCs w:val="21"/>
          <w:highlight w:val="none"/>
          <w:lang w:val="en-US" w:eastAsia="zh-CN"/>
          <w14:textFill>
            <w14:solidFill>
              <w14:schemeClr w14:val="tx1"/>
            </w14:solidFill>
          </w14:textFill>
        </w:rPr>
        <w:t>产品应当在中国境内生产，即在中华人民共和国关境内</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（含保税区、综合保税区等海关特殊监管区域）</w:t>
      </w:r>
      <w:r>
        <w:rPr>
          <w:rFonts w:hint="default"/>
          <w:color w:val="000000" w:themeColor="text1"/>
          <w:szCs w:val="21"/>
          <w:highlight w:val="none"/>
          <w:lang w:val="en-US" w:eastAsia="zh-CN"/>
          <w14:textFill>
            <w14:solidFill>
              <w14:schemeClr w14:val="tx1"/>
            </w14:solidFill>
          </w14:textFill>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①为确保产品在运输或者储存期间保持某种状态而进行的操作；</w:t>
      </w:r>
    </w:p>
    <w:p w14:paraId="4A58D069">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②为产品运输或者销售进行的包装或者展示；</w:t>
      </w:r>
    </w:p>
    <w:p w14:paraId="3272DA22">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③在产品或者其包装上粘贴或者印刷品牌、标志、标识以及其他用于区别的标记；</w:t>
      </w:r>
    </w:p>
    <w:p w14:paraId="153A2491">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④简单的上漆、磨光和分装；</w:t>
      </w:r>
    </w:p>
    <w:p w14:paraId="7D1505C8">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⑤其他不属于属性改变的情形；</w:t>
      </w:r>
    </w:p>
    <w:p w14:paraId="2FE38ACE">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w:t>
      </w:r>
      <w:r>
        <w:rPr>
          <w:rFonts w:hint="default"/>
          <w:color w:val="000000" w:themeColor="text1"/>
          <w:szCs w:val="21"/>
          <w:highlight w:val="none"/>
          <w:lang w:val="en-US" w:eastAsia="zh-CN"/>
          <w14:textFill>
            <w14:solidFill>
              <w14:schemeClr w14:val="tx1"/>
            </w14:solidFill>
          </w14:textFill>
        </w:rPr>
        <w:t>中国境内生产的组件成本占比达到规定比例</w:t>
      </w:r>
      <w:r>
        <w:rPr>
          <w:rFonts w:hint="eastAsia"/>
          <w:color w:val="000000" w:themeColor="text1"/>
          <w:szCs w:val="21"/>
          <w:highlight w:val="none"/>
          <w:lang w:val="en-US" w:eastAsia="zh-CN"/>
          <w14:textFill>
            <w14:solidFill>
              <w14:schemeClr w14:val="tx1"/>
            </w14:solidFill>
          </w14:textFill>
        </w:rPr>
        <w:t>。</w:t>
      </w:r>
    </w:p>
    <w:p w14:paraId="35274560">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②产品在中国境内生产的组件成本，按照《中国境内生产的组件成本核算基本规则》计算；</w:t>
      </w:r>
    </w:p>
    <w:p w14:paraId="27020F74">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w:t>
      </w:r>
      <w:r>
        <w:rPr>
          <w:rFonts w:hint="default"/>
          <w:color w:val="000000" w:themeColor="text1"/>
          <w:szCs w:val="21"/>
          <w:highlight w:val="none"/>
          <w:lang w:val="en-US" w:eastAsia="zh-CN"/>
          <w14:textFill>
            <w14:solidFill>
              <w14:schemeClr w14:val="tx1"/>
            </w14:solidFill>
          </w14:textFill>
        </w:rPr>
        <w:t>特定产品的关键组件和工序在中国境内完成。</w:t>
      </w:r>
    </w:p>
    <w:p w14:paraId="423F8CFB">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②特定产品的关键组件、关键工序符合相关要求实施前，符合第（1）项和第（2）项条件的产品在政府采购活动中视同本国产品。</w:t>
      </w:r>
    </w:p>
    <w:p w14:paraId="42F34A8A">
      <w:pPr>
        <w:spacing w:before="120" w:line="360" w:lineRule="auto"/>
        <w:ind w:left="819" w:leftChars="190" w:hanging="420" w:hanging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1.9.2 本国产品标准的适用范围</w:t>
      </w:r>
    </w:p>
    <w:p w14:paraId="59B82F87">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E8DF9B">
      <w:pPr>
        <w:spacing w:line="276" w:lineRule="auto"/>
        <w:ind w:firstLine="422" w:firstLineChars="200"/>
        <w:rPr>
          <w:rFonts w:hint="default"/>
          <w:color w:val="000000" w:themeColor="text1"/>
          <w:szCs w:val="21"/>
          <w:highlight w:val="none"/>
          <w:lang w:val="en-US" w:eastAsia="zh-CN"/>
          <w14:textFill>
            <w14:solidFill>
              <w14:schemeClr w14:val="tx1"/>
            </w14:solidFill>
          </w14:textFill>
        </w:rPr>
      </w:pPr>
      <w:r>
        <w:rPr>
          <w:rFonts w:hint="eastAsia"/>
          <w:b/>
          <w:bCs/>
          <w:color w:val="000000" w:themeColor="text1"/>
          <w:szCs w:val="21"/>
          <w:highlight w:val="none"/>
          <w:lang w:val="en-US" w:eastAsia="zh-CN"/>
          <w14:textFill>
            <w14:solidFill>
              <w14:schemeClr w14:val="tx1"/>
            </w14:solidFill>
          </w14:textFill>
        </w:rPr>
        <w:t>本项目是否适用对本国产品的支持政策详见投标人须知前附表。</w:t>
      </w:r>
    </w:p>
    <w:p w14:paraId="6F1D138A">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1.9.3 价格评审优惠</w:t>
      </w:r>
    </w:p>
    <w:p w14:paraId="4B3D05C6">
      <w:pPr>
        <w:spacing w:before="120" w:line="320" w:lineRule="atLeast"/>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14:textFill>
            <w14:solidFill>
              <w14:schemeClr w14:val="tx1"/>
            </w14:solidFill>
          </w14:textFill>
        </w:rPr>
        <w:t>价格扣除比例在第四章评审方法及标准中规定</w:t>
      </w:r>
      <w:r>
        <w:rPr>
          <w:rFonts w:hint="eastAsia"/>
          <w:color w:val="000000" w:themeColor="text1"/>
          <w:szCs w:val="21"/>
          <w:highlight w:val="none"/>
          <w:lang w:eastAsia="zh-CN"/>
          <w14:textFill>
            <w14:solidFill>
              <w14:schemeClr w14:val="tx1"/>
            </w14:solidFill>
          </w14:textFill>
        </w:rPr>
        <w:t>。</w:t>
      </w:r>
    </w:p>
    <w:p w14:paraId="5851C88A">
      <w:p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1.9.4政策执行要求</w:t>
      </w:r>
    </w:p>
    <w:p w14:paraId="0BCF661E">
      <w:p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color w:val="000000" w:themeColor="text1"/>
          <w:szCs w:val="21"/>
          <w:highlight w:val="none"/>
          <w:lang w:eastAsia="zh-CN"/>
          <w14:textFill>
            <w14:solidFill>
              <w14:schemeClr w14:val="tx1"/>
            </w14:solidFill>
          </w14:textFill>
        </w:rPr>
      </w:pPr>
      <w:r>
        <w:rPr>
          <w:rFonts w:hint="eastAsia" w:eastAsia="宋体"/>
          <w:color w:val="000000" w:themeColor="text1"/>
          <w:szCs w:val="21"/>
          <w:highlight w:val="none"/>
          <w:lang w:eastAsia="zh-CN"/>
          <w14:textFill>
            <w14:solidFill>
              <w14:schemeClr w14:val="tx1"/>
            </w14:solidFill>
          </w14:textFill>
        </w:rPr>
        <w:t>《中国境内生产的组件成本核算基本规则》</w:t>
      </w:r>
    </w:p>
    <w:p w14:paraId="26FF60BE">
      <w:p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14:textFill>
            <w14:solidFill>
              <w14:schemeClr w14:val="tx1"/>
            </w14:solidFill>
          </w14:textFill>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ascii="Times New Roman" w:eastAsia="宋体"/>
          <w:color w:val="000000" w:themeColor="text1"/>
          <w:szCs w:val="21"/>
          <w:highlight w:val="none"/>
          <w:lang w:val="en-US" w:eastAsia="zh-CN"/>
          <w14:textFill>
            <w14:solidFill>
              <w14:schemeClr w14:val="tx1"/>
            </w14:solidFill>
          </w14:textFill>
        </w:rPr>
        <w:t>2.</w:t>
      </w:r>
      <w:r>
        <w:rPr>
          <w:rFonts w:hint="eastAsia"/>
          <w:color w:val="000000" w:themeColor="text1"/>
          <w:szCs w:val="21"/>
          <w:highlight w:val="none"/>
          <w14:textFill>
            <w14:solidFill>
              <w14:schemeClr w14:val="tx1"/>
            </w14:solidFill>
          </w14:textFill>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ascii="Times New Roman" w:eastAsia="宋体"/>
          <w:color w:val="000000" w:themeColor="text1"/>
          <w:szCs w:val="21"/>
          <w:highlight w:val="none"/>
          <w:lang w:val="en-US" w:eastAsia="zh-CN"/>
          <w14:textFill>
            <w14:solidFill>
              <w14:schemeClr w14:val="tx1"/>
            </w14:solidFill>
          </w14:textFill>
        </w:rPr>
        <w:t>3.</w:t>
      </w:r>
      <w:r>
        <w:rPr>
          <w:rFonts w:hint="eastAsia"/>
          <w:color w:val="000000" w:themeColor="text1"/>
          <w:szCs w:val="21"/>
          <w:highlight w:val="none"/>
          <w14:textFill>
            <w14:solidFill>
              <w14:schemeClr w14:val="tx1"/>
            </w14:solidFill>
          </w14:textFill>
        </w:rPr>
        <w:t>产品总成本和组件成本以相关会计核算数据、采购合同、进货记录等为基础进行计算。</w:t>
      </w:r>
    </w:p>
    <w:p w14:paraId="7B0DA4B9">
      <w:pPr>
        <w:spacing w:before="120" w:line="240"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ascii="Times New Roman" w:eastAsia="宋体"/>
          <w:color w:val="000000" w:themeColor="text1"/>
          <w:szCs w:val="21"/>
          <w:highlight w:val="none"/>
          <w:lang w:val="en-US" w:eastAsia="zh-CN"/>
          <w14:textFill>
            <w14:solidFill>
              <w14:schemeClr w14:val="tx1"/>
            </w14:solidFill>
          </w14:textFill>
        </w:rPr>
        <w:t>4.</w:t>
      </w:r>
      <w:r>
        <w:rPr>
          <w:rFonts w:hint="eastAsia"/>
          <w:color w:val="000000" w:themeColor="text1"/>
          <w:szCs w:val="21"/>
          <w:highlight w:val="none"/>
          <w14:textFill>
            <w14:solidFill>
              <w14:schemeClr w14:val="tx1"/>
            </w14:solidFill>
          </w14:textFill>
        </w:rPr>
        <w:t>需要对成本核算规则予以进一步明确的其他有关事项，由财政部会同有关部门另行规定。</w:t>
      </w:r>
    </w:p>
    <w:p w14:paraId="5A5BAF2D">
      <w:p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1.9.4.2证明材料提交与审查：供应商需在投标（响应）文件中对其提供的产品出具《关于符合本国产品标准的声明函》（样式见投标文件格式）或财政部会同有关部门规定的有关证明文件。</w:t>
      </w:r>
      <w:r>
        <w:rPr>
          <w:rFonts w:hint="eastAsia"/>
          <w:b/>
          <w:bCs/>
          <w:color w:val="000000" w:themeColor="text1"/>
          <w:szCs w:val="21"/>
          <w:highlight w:val="none"/>
          <w:lang w:val="en-US" w:eastAsia="zh-CN"/>
          <w14:textFill>
            <w14:solidFill>
              <w14:schemeClr w14:val="tx1"/>
            </w14:solidFill>
          </w14:textFill>
        </w:rPr>
        <w:t>医疗器械产品凭药品监督管理部门授予的准字号注册证直接认定属于在中国境内生产的产品。</w:t>
      </w:r>
      <w:r>
        <w:rPr>
          <w:rFonts w:hint="eastAsia"/>
          <w:color w:val="000000" w:themeColor="text1"/>
          <w:szCs w:val="21"/>
          <w:highlight w:val="none"/>
          <w:lang w:val="en-US" w:eastAsia="zh-CN"/>
          <w14:textFill>
            <w14:solidFill>
              <w14:schemeClr w14:val="tx1"/>
            </w14:solidFill>
          </w14:textFill>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21"/>
        <w:ind w:firstLine="420" w:firstLineChars="200"/>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评审委员会应对《声明函》的完整性、准确性进行审查，对《声明函》内容含义不明确、同类事项与投标（响应）文件表述不一致或存在明显文字错误的，应</w:t>
      </w:r>
      <w:r>
        <w:rPr>
          <w:rFonts w:hint="eastAsia" w:cs="Times New Roman"/>
          <w:color w:val="000000" w:themeColor="text1"/>
          <w:kern w:val="2"/>
          <w:sz w:val="21"/>
          <w:szCs w:val="21"/>
          <w:highlight w:val="none"/>
          <w:lang w:val="en-US" w:eastAsia="zh-CN" w:bidi="ar-SA"/>
          <w14:textFill>
            <w14:solidFill>
              <w14:schemeClr w14:val="tx1"/>
            </w14:solidFill>
          </w14:textFill>
        </w:rPr>
        <w:t>当</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以书面形式要求供应商澄清、说明或者补正；</w:t>
      </w:r>
      <w:r>
        <w:rPr>
          <w:rFonts w:hint="eastAsia" w:cs="Times New Roman"/>
          <w:color w:val="000000" w:themeColor="text1"/>
          <w:kern w:val="2"/>
          <w:sz w:val="21"/>
          <w:szCs w:val="21"/>
          <w:highlight w:val="none"/>
          <w:lang w:val="en-US" w:eastAsia="zh-CN" w:bidi="ar-SA"/>
          <w14:textFill>
            <w14:solidFill>
              <w14:schemeClr w14:val="tx1"/>
            </w14:solidFill>
          </w14:textFill>
        </w:rPr>
        <w:t>经</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澄清、说明或者补正后仍不符合要求的，不认定为本国产品。</w:t>
      </w:r>
    </w:p>
    <w:p w14:paraId="69C1BF47">
      <w:pPr>
        <w:pStyle w:val="21"/>
        <w:ind w:firstLine="420" w:firstLineChars="20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澄清补正应当按照“6.3.3澄清、说明或补正”的规定提交。</w:t>
      </w:r>
    </w:p>
    <w:p w14:paraId="1C22056C">
      <w:pPr>
        <w:pStyle w:val="21"/>
        <w:ind w:firstLine="420" w:firstLineChars="20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1.9.4.3成本核算与承诺</w:t>
      </w:r>
    </w:p>
    <w:p w14:paraId="36EC83CE">
      <w:pPr>
        <w:pStyle w:val="21"/>
        <w:ind w:firstLine="420" w:firstLineChars="20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供应商应依据《中国境内生产的组件成本核算基本规则》核算产品成本占比，并对核算结果负责，按要求提交《</w:t>
      </w:r>
      <w:r>
        <w:rPr>
          <w:rFonts w:hint="eastAsia" w:cs="Times New Roman"/>
          <w:color w:val="000000" w:themeColor="text1"/>
          <w:kern w:val="2"/>
          <w:sz w:val="21"/>
          <w:szCs w:val="21"/>
          <w:highlight w:val="none"/>
          <w:lang w:val="en-US" w:eastAsia="zh-CN" w:bidi="ar-SA"/>
          <w14:textFill>
            <w14:solidFill>
              <w14:schemeClr w14:val="tx1"/>
            </w14:solidFill>
          </w14:textFill>
        </w:rPr>
        <w:t>关于符合</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本国产品</w:t>
      </w:r>
      <w:r>
        <w:rPr>
          <w:rFonts w:hint="eastAsia" w:cs="Times New Roman"/>
          <w:color w:val="000000" w:themeColor="text1"/>
          <w:kern w:val="2"/>
          <w:sz w:val="21"/>
          <w:szCs w:val="21"/>
          <w:highlight w:val="none"/>
          <w:lang w:val="en-US" w:eastAsia="zh-CN" w:bidi="ar-SA"/>
          <w14:textFill>
            <w14:solidFill>
              <w14:schemeClr w14:val="tx1"/>
            </w14:solidFill>
          </w14:textFill>
        </w:rPr>
        <w:t>标准的</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成本占比承诺函》</w:t>
      </w:r>
      <w:r>
        <w:rPr>
          <w:rFonts w:hint="eastAsia" w:cs="Times New Roman"/>
          <w:color w:val="000000" w:themeColor="text1"/>
          <w:kern w:val="2"/>
          <w:sz w:val="21"/>
          <w:szCs w:val="21"/>
          <w:highlight w:val="none"/>
          <w:lang w:val="en-US" w:eastAsia="zh-CN" w:bidi="ar-SA"/>
          <w14:textFill>
            <w14:solidFill>
              <w14:schemeClr w14:val="tx1"/>
            </w14:solidFill>
          </w14:textFill>
        </w:rPr>
        <w:t>（如适用）</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（参考模板</w:t>
      </w:r>
      <w:r>
        <w:rPr>
          <w:rFonts w:hint="eastAsia" w:cs="Times New Roman"/>
          <w:color w:val="000000" w:themeColor="text1"/>
          <w:kern w:val="2"/>
          <w:sz w:val="21"/>
          <w:szCs w:val="21"/>
          <w:highlight w:val="none"/>
          <w:lang w:val="en-US" w:eastAsia="zh-CN" w:bidi="ar-SA"/>
          <w14:textFill>
            <w14:solidFill>
              <w14:schemeClr w14:val="tx1"/>
            </w14:solidFill>
          </w14:textFill>
        </w:rPr>
        <w:t>详见投标文件格式</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1.9.5 争议处理</w:t>
      </w:r>
    </w:p>
    <w:p w14:paraId="27FE927F">
      <w:pPr>
        <w:spacing w:before="120" w:line="320" w:lineRule="atLeast"/>
        <w:ind w:firstLine="420" w:firstLineChars="200"/>
        <w:rPr>
          <w:rFonts w:ascii="Arial" w:hAnsi="Arial" w:cs="Arial"/>
          <w:b/>
          <w:bCs/>
          <w:color w:val="000000" w:themeColor="text1"/>
          <w:kern w:val="0"/>
          <w:szCs w:val="21"/>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4E21A396">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2．招标文件</w:t>
      </w:r>
      <w:bookmarkEnd w:id="32"/>
      <w:bookmarkEnd w:id="33"/>
    </w:p>
    <w:p w14:paraId="3C35AE29">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2.1招标文件的构成</w:t>
      </w:r>
    </w:p>
    <w:p w14:paraId="7D65A3B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第一章 招标公告</w:t>
      </w:r>
    </w:p>
    <w:p w14:paraId="305E0C4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第二章 项目采购需求</w:t>
      </w:r>
    </w:p>
    <w:p w14:paraId="44B3330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第三章 供应商须知</w:t>
      </w:r>
    </w:p>
    <w:p w14:paraId="5525847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第四章 评标方法及评标标准</w:t>
      </w:r>
    </w:p>
    <w:p w14:paraId="60A6CF6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第五章 合同主要条款格式</w:t>
      </w:r>
    </w:p>
    <w:p w14:paraId="16E3DEB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第六章 投标文件格式</w:t>
      </w:r>
    </w:p>
    <w:p w14:paraId="65FF3C20">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2.2供应商的风险</w:t>
      </w:r>
    </w:p>
    <w:p w14:paraId="6042909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供应商没有按照招标文件要求提供全部资料，或者供应商没有对招标文件在各方面作出实质性响应是供应商的风险，并可能导致其投标被否决。</w:t>
      </w:r>
    </w:p>
    <w:p w14:paraId="56042CCA">
      <w:pPr>
        <w:spacing w:before="120" w:line="320" w:lineRule="atLeast"/>
        <w:ind w:firstLine="422" w:firstLineChars="200"/>
        <w:outlineLvl w:val="2"/>
        <w:rPr>
          <w:rFonts w:ascii="Arial" w:hAnsi="Arial" w:cs="Arial"/>
          <w:b/>
          <w:color w:val="000000" w:themeColor="text1"/>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2.3招标文件的澄清与修改</w:t>
      </w:r>
    </w:p>
    <w:p w14:paraId="4DA9497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2.3.1任何已获得招标文件的潜在供应商，均可以书面形式要求采购代理机构作出书面解释、澄清。</w:t>
      </w:r>
    </w:p>
    <w:p w14:paraId="2805B72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2.3.2采购人或者采购代理机构可以对已发出的招标文件进行必要的澄清或者修改。澄清或者修改的内容可能影响投标文件编制的，采购人或者采购代理机构应当在投标截止时间至少15日前，</w:t>
      </w:r>
      <w:bookmarkStart w:id="34" w:name="_Hlk132790706"/>
      <w:r>
        <w:rPr>
          <w:rFonts w:ascii="Arial" w:hAnsi="Arial" w:cs="Arial"/>
          <w:color w:val="000000" w:themeColor="text1"/>
          <w:szCs w:val="21"/>
          <w14:textFill>
            <w14:solidFill>
              <w14:schemeClr w14:val="tx1"/>
            </w14:solidFill>
          </w14:textFill>
        </w:rPr>
        <w:t>在投标人须知前附表规定的方式通知所有获取招标文件的潜在投标人</w:t>
      </w:r>
      <w:bookmarkEnd w:id="34"/>
      <w:r>
        <w:rPr>
          <w:rFonts w:ascii="Arial" w:hAnsi="Arial" w:cs="Arial"/>
          <w:color w:val="000000" w:themeColor="text1"/>
          <w:szCs w:val="21"/>
          <w14:textFill>
            <w14:solidFill>
              <w14:schemeClr w14:val="tx1"/>
            </w14:solidFill>
          </w14:textFill>
        </w:rPr>
        <w:t>；不足15日的，采购人或者采购代理机构应当顺延提交投标文件的截止时间。</w:t>
      </w:r>
    </w:p>
    <w:p w14:paraId="52480E5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2.3.3招标文件澄清、答复、修改、补充的内容为招标文件的组成部分。当招标文件与招标文件的答复、澄清、修改、补充通知就同一内容的表述不一致时，以最后发出的公告或书面文件为准。</w:t>
      </w:r>
    </w:p>
    <w:p w14:paraId="5F57E1F0">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bookmarkStart w:id="35" w:name="_Toc254970676"/>
      <w:bookmarkStart w:id="36" w:name="_Toc254970535"/>
      <w:r>
        <w:rPr>
          <w:rFonts w:ascii="Arial" w:hAnsi="Arial" w:cs="Arial"/>
          <w:b/>
          <w:bCs/>
          <w:color w:val="000000" w:themeColor="text1"/>
          <w:kern w:val="0"/>
          <w:szCs w:val="21"/>
          <w14:textFill>
            <w14:solidFill>
              <w14:schemeClr w14:val="tx1"/>
            </w14:solidFill>
          </w14:textFill>
        </w:rPr>
        <w:t>3．投标文件</w:t>
      </w:r>
      <w:bookmarkEnd w:id="35"/>
      <w:bookmarkEnd w:id="36"/>
    </w:p>
    <w:p w14:paraId="0AC4515B">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37" w:name="_Toc254970536"/>
      <w:bookmarkStart w:id="38" w:name="_Toc254970677"/>
      <w:r>
        <w:rPr>
          <w:rFonts w:ascii="Arial" w:hAnsi="Arial" w:cs="Arial"/>
          <w:b/>
          <w:bCs/>
          <w:color w:val="000000" w:themeColor="text1"/>
          <w:kern w:val="0"/>
          <w:szCs w:val="21"/>
          <w14:textFill>
            <w14:solidFill>
              <w14:schemeClr w14:val="tx1"/>
            </w14:solidFill>
          </w14:textFill>
        </w:rPr>
        <w:t>3.1投标文件的组成</w:t>
      </w:r>
      <w:bookmarkEnd w:id="37"/>
      <w:bookmarkEnd w:id="38"/>
    </w:p>
    <w:p w14:paraId="2872C35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投标文件由第六章“投标文件格式”规定的内容和供应商所作的一切有效补充、修改和承诺等文件组成。</w:t>
      </w:r>
    </w:p>
    <w:p w14:paraId="2DBC5480">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39" w:name="_Toc254970537"/>
      <w:bookmarkStart w:id="40" w:name="_Toc254970678"/>
      <w:r>
        <w:rPr>
          <w:rFonts w:ascii="Arial" w:hAnsi="Arial" w:cs="Arial"/>
          <w:b/>
          <w:color w:val="000000" w:themeColor="text1"/>
          <w:szCs w:val="21"/>
          <w14:textFill>
            <w14:solidFill>
              <w14:schemeClr w14:val="tx1"/>
            </w14:solidFill>
          </w14:textFill>
        </w:rPr>
        <w:t>3.2</w:t>
      </w:r>
      <w:r>
        <w:rPr>
          <w:rFonts w:ascii="Arial" w:hAnsi="Arial" w:cs="Arial"/>
          <w:b/>
          <w:bCs/>
          <w:color w:val="000000" w:themeColor="text1"/>
          <w:kern w:val="0"/>
          <w:szCs w:val="21"/>
          <w14:textFill>
            <w14:solidFill>
              <w14:schemeClr w14:val="tx1"/>
            </w14:solidFill>
          </w14:textFill>
        </w:rPr>
        <w:t>投标文件的语言及计量</w:t>
      </w:r>
      <w:bookmarkEnd w:id="39"/>
      <w:bookmarkEnd w:id="40"/>
    </w:p>
    <w:p w14:paraId="22893E4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3.2.1投标文件以及供应商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5F724A2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3.2.2计量单位招标文件已有明确规定的，投标使用招标文件规定的计量单位；招标文件没有规定的，应采用中华人民共和国法定计量单位。</w:t>
      </w:r>
    </w:p>
    <w:p w14:paraId="01A1AFAA">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41" w:name="_Toc254970538"/>
      <w:bookmarkStart w:id="42" w:name="_Toc254970679"/>
      <w:r>
        <w:rPr>
          <w:rFonts w:ascii="Arial" w:hAnsi="Arial" w:cs="Arial"/>
          <w:b/>
          <w:bCs/>
          <w:color w:val="000000" w:themeColor="text1"/>
          <w:kern w:val="0"/>
          <w:szCs w:val="21"/>
          <w14:textFill>
            <w14:solidFill>
              <w14:schemeClr w14:val="tx1"/>
            </w14:solidFill>
          </w14:textFill>
        </w:rPr>
        <w:t>3.3投标报价</w:t>
      </w:r>
      <w:bookmarkEnd w:id="41"/>
      <w:bookmarkEnd w:id="42"/>
    </w:p>
    <w:p w14:paraId="6D1BA86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3.3.1投标报价应按招标文件中相关附表格式填写。</w:t>
      </w:r>
    </w:p>
    <w:p w14:paraId="55FC403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3.3.2投标文件只允许有一个报价，有选择的或有条件的报价将不予接受。</w:t>
      </w:r>
    </w:p>
    <w:p w14:paraId="7B01647A">
      <w:pPr>
        <w:suppressAutoHyphens/>
        <w:spacing w:before="120" w:line="320" w:lineRule="atLeast"/>
        <w:ind w:firstLine="420" w:firstLineChars="200"/>
        <w:rPr>
          <w:rFonts w:ascii="Arial" w:hAnsi="Arial" w:cs="Arial"/>
          <w:color w:val="000000" w:themeColor="text1"/>
          <w:kern w:val="1"/>
          <w:szCs w:val="21"/>
          <w14:textFill>
            <w14:solidFill>
              <w14:schemeClr w14:val="tx1"/>
            </w14:solidFill>
          </w14:textFill>
        </w:rPr>
      </w:pPr>
      <w:r>
        <w:rPr>
          <w:rFonts w:ascii="Arial" w:hAnsi="Arial" w:cs="Arial"/>
          <w:color w:val="000000" w:themeColor="text1"/>
          <w:kern w:val="1"/>
          <w:szCs w:val="21"/>
          <w14:textFill>
            <w14:solidFill>
              <w14:schemeClr w14:val="tx1"/>
            </w14:solidFill>
          </w14:textFill>
        </w:rPr>
        <w:t>3.3.3对于本文件中未列明，而供应商认为必需的费用也需列入投标报价。在合同实施时，采购人将不予支付中标人没有列入的项目费用，并认为此项目的费用已包括在投标报价中。</w:t>
      </w:r>
    </w:p>
    <w:p w14:paraId="25BD65F1">
      <w:pPr>
        <w:suppressAutoHyphens/>
        <w:spacing w:before="120" w:line="320" w:lineRule="atLeast"/>
        <w:ind w:firstLine="420" w:firstLineChars="200"/>
        <w:rPr>
          <w:rFonts w:ascii="Arial" w:hAnsi="Arial" w:cs="Arial"/>
          <w:b/>
          <w:bCs/>
          <w:color w:val="000000" w:themeColor="text1"/>
          <w:kern w:val="1"/>
          <w:szCs w:val="21"/>
          <w14:textFill>
            <w14:solidFill>
              <w14:schemeClr w14:val="tx1"/>
            </w14:solidFill>
          </w14:textFill>
        </w:rPr>
      </w:pPr>
      <w:r>
        <w:rPr>
          <w:rFonts w:ascii="Arial" w:hAnsi="Arial" w:cs="Arial"/>
          <w:color w:val="000000" w:themeColor="text1"/>
          <w:kern w:val="1"/>
          <w:szCs w:val="21"/>
          <w14:textFill>
            <w14:solidFill>
              <w14:schemeClr w14:val="tx1"/>
            </w14:solidFill>
          </w14:textFill>
        </w:rPr>
        <w:t>3.3.4采购人不接受供应商给予的赠品、回扣或者与采购无关的其他商品、服务。</w:t>
      </w:r>
    </w:p>
    <w:p w14:paraId="1A61EC5B">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3.4投标有效期</w:t>
      </w:r>
    </w:p>
    <w:p w14:paraId="145EC1B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3.4.1如招标文件其他地方无特别规定，投标有效期则为投标截止之日起90天。在投标有效期内投标文件应保持有效。</w:t>
      </w:r>
      <w:r>
        <w:rPr>
          <w:rFonts w:ascii="Arial" w:hAnsi="Arial" w:cs="Arial"/>
          <w:b/>
          <w:bCs/>
          <w:color w:val="000000" w:themeColor="text1"/>
          <w:szCs w:val="21"/>
          <w14:textFill>
            <w14:solidFill>
              <w14:schemeClr w14:val="tx1"/>
            </w14:solidFill>
          </w14:textFill>
        </w:rPr>
        <w:t>有效期不足的投标文件将被否决</w:t>
      </w:r>
      <w:r>
        <w:rPr>
          <w:rFonts w:ascii="Arial" w:hAnsi="Arial" w:cs="Arial"/>
          <w:color w:val="000000" w:themeColor="text1"/>
          <w:szCs w:val="21"/>
          <w14:textFill>
            <w14:solidFill>
              <w14:schemeClr w14:val="tx1"/>
            </w14:solidFill>
          </w14:textFill>
        </w:rPr>
        <w:t>。</w:t>
      </w:r>
    </w:p>
    <w:p w14:paraId="4952199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3.4.2在特殊情况下，采购人可与供应商协商延长投标文件的有效期，这种要求和答复均以书面形式进行。</w:t>
      </w:r>
    </w:p>
    <w:p w14:paraId="480C147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3.4.3供应商同意延长的投标有效期的，如本项目要求提交保证金则应相应延长其投标保证金的有效期，但不得要求或被允许修改或撤销其投标文件；供应商拒绝延长的，其投标无效，但供应商有权收回其投标保证金。</w:t>
      </w:r>
    </w:p>
    <w:p w14:paraId="3E44B47A">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43" w:name="_Toc254970682"/>
      <w:bookmarkStart w:id="44" w:name="_Toc254970541"/>
      <w:r>
        <w:rPr>
          <w:rFonts w:ascii="Arial" w:hAnsi="Arial" w:cs="Arial"/>
          <w:b/>
          <w:bCs/>
          <w:color w:val="000000" w:themeColor="text1"/>
          <w:kern w:val="0"/>
          <w:szCs w:val="21"/>
          <w14:textFill>
            <w14:solidFill>
              <w14:schemeClr w14:val="tx1"/>
            </w14:solidFill>
          </w14:textFill>
        </w:rPr>
        <w:t>3.5投标保证金</w:t>
      </w:r>
      <w:bookmarkEnd w:id="43"/>
      <w:bookmarkEnd w:id="44"/>
    </w:p>
    <w:p w14:paraId="035EF1CB">
      <w:pPr>
        <w:spacing w:before="120" w:line="320" w:lineRule="atLeast"/>
        <w:ind w:left="42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本项目无需缴纳投标保证金。</w:t>
      </w:r>
    </w:p>
    <w:p w14:paraId="1D02647F">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45" w:name="_Toc254970542"/>
      <w:bookmarkStart w:id="46" w:name="_Toc254970683"/>
      <w:r>
        <w:rPr>
          <w:rFonts w:ascii="Arial" w:hAnsi="Arial" w:cs="Arial"/>
          <w:b/>
          <w:bCs/>
          <w:color w:val="000000" w:themeColor="text1"/>
          <w:kern w:val="0"/>
          <w:szCs w:val="21"/>
          <w14:textFill>
            <w14:solidFill>
              <w14:schemeClr w14:val="tx1"/>
            </w14:solidFill>
          </w14:textFill>
        </w:rPr>
        <w:t>3.6投标文件的</w:t>
      </w:r>
      <w:bookmarkEnd w:id="45"/>
      <w:bookmarkEnd w:id="46"/>
      <w:r>
        <w:rPr>
          <w:rFonts w:ascii="Arial" w:hAnsi="Arial" w:cs="Arial"/>
          <w:b/>
          <w:bCs/>
          <w:color w:val="000000" w:themeColor="text1"/>
          <w:kern w:val="0"/>
          <w:szCs w:val="21"/>
          <w14:textFill>
            <w14:solidFill>
              <w14:schemeClr w14:val="tx1"/>
            </w14:solidFill>
          </w14:textFill>
        </w:rPr>
        <w:t>编制要求</w:t>
      </w:r>
    </w:p>
    <w:p w14:paraId="5634D409">
      <w:pPr>
        <w:spacing w:before="120" w:line="320" w:lineRule="atLeast"/>
        <w:ind w:firstLine="420" w:firstLineChars="200"/>
        <w:rPr>
          <w:rFonts w:ascii="Arial" w:hAnsi="Arial" w:cs="Arial"/>
          <w:b/>
          <w:bCs/>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3.6.1</w:t>
      </w:r>
      <w:r>
        <w:rPr>
          <w:rFonts w:ascii="Arial" w:hAnsi="Arial" w:cs="Arial"/>
          <w:color w:val="000000" w:themeColor="text1"/>
          <w:szCs w:val="21"/>
          <w14:textFill>
            <w14:solidFill>
              <w14:schemeClr w14:val="tx1"/>
            </w14:solidFill>
          </w14:textFill>
        </w:rPr>
        <w:t>供应商应先安装</w:t>
      </w:r>
      <w:bookmarkStart w:id="47" w:name="_Hlk160184301"/>
      <w:r>
        <w:rPr>
          <w:rFonts w:ascii="Arial" w:hAnsi="Arial" w:cs="Arial"/>
          <w:color w:val="000000" w:themeColor="text1"/>
          <w:szCs w:val="21"/>
          <w14:textFill>
            <w14:solidFill>
              <w14:schemeClr w14:val="tx1"/>
            </w14:solidFill>
          </w14:textFill>
        </w:rPr>
        <w:t>广西政府采购云平台新版客户端</w:t>
      </w:r>
      <w:bookmarkEnd w:id="47"/>
      <w:r>
        <w:rPr>
          <w:rFonts w:ascii="Arial" w:hAnsi="Arial" w:cs="Arial"/>
          <w:color w:val="000000" w:themeColor="text1"/>
          <w:szCs w:val="21"/>
          <w14:textFill>
            <w14:solidFill>
              <w14:schemeClr w14:val="tx1"/>
            </w14:solidFill>
          </w14:textFill>
        </w:rPr>
        <w:t>，通过账号密码或CA登录客户端制作投标文件。</w:t>
      </w:r>
    </w:p>
    <w:p w14:paraId="29AFFDED">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48" w:name="_Hlk132791136"/>
      <w:r>
        <w:rPr>
          <w:rFonts w:ascii="Arial" w:hAnsi="Arial" w:cs="Arial"/>
          <w:color w:val="000000" w:themeColor="text1"/>
          <w:szCs w:val="21"/>
          <w14:textFill>
            <w14:solidFill>
              <w14:schemeClr w14:val="tx1"/>
            </w14:solidFill>
          </w14:textFill>
        </w:rPr>
        <w:t>3.6.2供应商应按本招标文件规定的格式和顺序编制投标文件并进行关联定位，以便评审委员会在评审时，点击评分项可直接定位到该评分项内容。如对招标文件的某项要求，供应商的投标文件未能关联定位提供相应的内容与其对应，则评审委员会在评审时如做出对供应商不利的评审由供应商自行承担。投标文件如内容不完整、编排混乱导致投标文件被误读、漏读，或者在按招标文件规定的部位查找不到相关内容的，由供应商自行承担。</w:t>
      </w:r>
    </w:p>
    <w:p w14:paraId="4E22C289">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49" w:name="_Hlk93046800"/>
      <w:r>
        <w:rPr>
          <w:rFonts w:ascii="Arial" w:hAnsi="Arial" w:cs="Arial"/>
          <w:color w:val="000000" w:themeColor="text1"/>
          <w:szCs w:val="21"/>
          <w14:textFill>
            <w14:solidFill>
              <w14:schemeClr w14:val="tx1"/>
            </w14:solidFill>
          </w14:textFill>
        </w:rPr>
        <w:t>3.6.3 投标人的投标文件未按照招标文件要求签署、盖章的，</w:t>
      </w:r>
      <w:r>
        <w:rPr>
          <w:rFonts w:ascii="Arial" w:hAnsi="Arial" w:cs="Arial"/>
          <w:b/>
          <w:bCs/>
          <w:color w:val="000000" w:themeColor="text1"/>
          <w:szCs w:val="21"/>
          <w14:textFill>
            <w14:solidFill>
              <w14:schemeClr w14:val="tx1"/>
            </w14:solidFill>
          </w14:textFill>
        </w:rPr>
        <w:t>其投标无效</w:t>
      </w:r>
      <w:r>
        <w:rPr>
          <w:rFonts w:ascii="Arial" w:hAnsi="Arial" w:cs="Arial"/>
          <w:color w:val="000000" w:themeColor="text1"/>
          <w:szCs w:val="21"/>
          <w14:textFill>
            <w14:solidFill>
              <w14:schemeClr w14:val="tx1"/>
            </w14:solidFill>
          </w14:textFill>
        </w:rPr>
        <w:t>。</w:t>
      </w:r>
    </w:p>
    <w:bookmarkEnd w:id="48"/>
    <w:bookmarkEnd w:id="49"/>
    <w:p w14:paraId="2FA0376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3.6.4为确保网上操作合法、有效和安全，供应商应当在投标截止时间前完成在广西政府采购云平台的身份认证，确保在电子投标过程中能够对相关数据电文进行加密和使用电子签名。</w:t>
      </w:r>
    </w:p>
    <w:p w14:paraId="0BD5797B">
      <w:pPr>
        <w:spacing w:before="120" w:line="320" w:lineRule="atLeast"/>
        <w:ind w:firstLine="420" w:firstLineChars="200"/>
        <w:rPr>
          <w:rFonts w:ascii="Arial" w:hAnsi="Arial" w:cs="Arial"/>
          <w:b/>
          <w:bCs/>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3.6.5投标文件中标注的供应商名称应与主体资格证明（如营业执照、事业单位法人证书、执业许可证、个体工商户营业执照、自然人身份证等）和公章/电子签章一致，</w:t>
      </w:r>
      <w:r>
        <w:rPr>
          <w:rFonts w:ascii="Arial" w:hAnsi="Arial" w:cs="Arial"/>
          <w:b/>
          <w:bCs/>
          <w:color w:val="000000" w:themeColor="text1"/>
          <w:szCs w:val="21"/>
          <w14:textFill>
            <w14:solidFill>
              <w14:schemeClr w14:val="tx1"/>
            </w14:solidFill>
          </w14:textFill>
        </w:rPr>
        <w:t>否则作无效投标处理。</w:t>
      </w:r>
    </w:p>
    <w:p w14:paraId="4514FE1A">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3.7投标文件的递交、修改和撤回</w:t>
      </w:r>
    </w:p>
    <w:p w14:paraId="6F9AB64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3.7.1供应商必须在供应商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1205A17C">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3.7.2未在规定时间内提交或者未按照招标文件要求签章、加密的电子投标文件，广西政府采购云平台将拒收。 </w:t>
      </w:r>
    </w:p>
    <w:p w14:paraId="5A4954C2">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bookmarkStart w:id="50" w:name="_Toc254970685"/>
      <w:bookmarkStart w:id="51" w:name="_Toc254970544"/>
      <w:r>
        <w:rPr>
          <w:rFonts w:ascii="Arial" w:hAnsi="Arial" w:cs="Arial"/>
          <w:color w:val="000000" w:themeColor="text1"/>
          <w:szCs w:val="21"/>
          <w14:textFill>
            <w14:solidFill>
              <w14:schemeClr w14:val="tx1"/>
            </w14:solidFill>
          </w14:textFill>
        </w:rPr>
        <w:t>3.7.3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5D4FB748">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3.7.4在投标截止时间前，除供应商补充、修改或者撤回投标文件外，任何单位和个人不得解密或提取投标文件。</w:t>
      </w:r>
    </w:p>
    <w:p w14:paraId="104B8941">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3.7.5在投标截止时间止提交电子版投标文件的供应商不足3家时，电子版投标文件由代理机构在广西政府采购云平台操作退回，除此之外采购人和采购代理机构对已提交的投标文件概不退回。</w:t>
      </w:r>
    </w:p>
    <w:p w14:paraId="51D6A7BF">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bookmarkStart w:id="52" w:name="_Hlk93046827"/>
      <w:r>
        <w:rPr>
          <w:rFonts w:ascii="Arial" w:hAnsi="Arial" w:cs="Arial"/>
          <w:color w:val="000000" w:themeColor="text1"/>
          <w:szCs w:val="21"/>
          <w14:textFill>
            <w14:solidFill>
              <w14:schemeClr w14:val="tx1"/>
            </w14:solidFill>
          </w14:textFill>
        </w:rPr>
        <w:t>3.7.6招标文件未允许同一供应商提交两个或以上不同的响应文件，但存在</w:t>
      </w:r>
      <w:r>
        <w:rPr>
          <w:rFonts w:ascii="Arial" w:hAnsi="Arial" w:cs="Arial"/>
          <w:color w:val="000000" w:themeColor="text1"/>
          <w14:textFill>
            <w14:solidFill>
              <w14:schemeClr w14:val="tx1"/>
            </w14:solidFill>
          </w14:textFill>
        </w:rPr>
        <w:t>同</w:t>
      </w:r>
      <w:r>
        <w:rPr>
          <w:rFonts w:ascii="Arial" w:hAnsi="Arial" w:cs="Arial"/>
          <w:color w:val="000000" w:themeColor="text1"/>
          <w:szCs w:val="21"/>
          <w14:textFill>
            <w14:solidFill>
              <w14:schemeClr w14:val="tx1"/>
            </w14:solidFill>
          </w14:textFill>
        </w:rPr>
        <w:t>一供应商提交两个或以上不同的响应文件的，</w:t>
      </w:r>
      <w:r>
        <w:rPr>
          <w:rFonts w:ascii="Arial" w:hAnsi="Arial" w:cs="Arial"/>
          <w:b/>
          <w:bCs/>
          <w:color w:val="000000" w:themeColor="text1"/>
          <w:szCs w:val="21"/>
          <w14:textFill>
            <w14:solidFill>
              <w14:schemeClr w14:val="tx1"/>
            </w14:solidFill>
          </w14:textFill>
        </w:rPr>
        <w:t>其投标无效。</w:t>
      </w:r>
    </w:p>
    <w:bookmarkEnd w:id="52"/>
    <w:p w14:paraId="762B2D8C">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4．开标</w:t>
      </w:r>
      <w:bookmarkEnd w:id="50"/>
      <w:bookmarkEnd w:id="51"/>
    </w:p>
    <w:p w14:paraId="5E115679">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4.1开标准备</w:t>
      </w:r>
    </w:p>
    <w:p w14:paraId="47D326BF">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本项目投标截止时间及地点见“供应商须知前附表”规定。</w:t>
      </w:r>
    </w:p>
    <w:p w14:paraId="056C2C3A">
      <w:pPr>
        <w:autoSpaceDE w:val="0"/>
        <w:autoSpaceDN w:val="0"/>
        <w:adjustRightInd w:val="0"/>
        <w:spacing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全流程电子化项目没有现场递交投标文件及现场开标环节。采购代理机构将按照招标文件规定的时间通过广西政府采购云平台组织线上开标活动、开启投标文件，所有供应商均应当准时在线参加。供应商如不参加开标大会的，视同认可开标结果，事后不得对采购相关人员、开标过程和开标结果提出异议，同时供应商因未在线参加开标而导致投标文件无法按时解密等一切后果由供应商自己承担。</w:t>
      </w:r>
    </w:p>
    <w:p w14:paraId="5EEAB62B">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如供应商成功解密投标文件，但未在广西政府采购云平台电子开标大厅参加开标的，视同认可开标过程和结果，由此产生的后果由供应商自行负责。 </w:t>
      </w:r>
    </w:p>
    <w:p w14:paraId="3AED44A1">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4.2开标程序</w:t>
      </w:r>
    </w:p>
    <w:p w14:paraId="1B02486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4.2.1供应商登录广西政府采购云平台进入开标大厅签到。</w:t>
      </w:r>
    </w:p>
    <w:p w14:paraId="17626ED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4.2.2解密电子投标文件。广西政府采购云平台按开标时间自动提取所有投标文件。采购代理机构在广西政府采购云平台向各供应商发出电子加密投标文件开始解密通知，由供应商平台设置时间内自行进行投标文件解密。供应商须使用加密时所用的CA锁准时登录到广西政府采购云平台电子开标大厅签到并对电子投标文件解密。开标后供应商未及时进行解密的，代理机构可通知供应商。</w:t>
      </w:r>
      <w:r>
        <w:rPr>
          <w:rFonts w:ascii="Arial" w:hAnsi="Arial" w:cs="Arial"/>
          <w:color w:val="000000" w:themeColor="text1"/>
          <w14:textFill>
            <w14:solidFill>
              <w14:schemeClr w14:val="tx1"/>
            </w14:solidFill>
          </w14:textFill>
        </w:rPr>
        <w:t>通知后供应商仍未在上述规定时间内解密响应文件</w:t>
      </w:r>
      <w:r>
        <w:rPr>
          <w:rFonts w:ascii="Arial" w:hAnsi="Arial" w:cs="Arial"/>
          <w:color w:val="000000" w:themeColor="text1"/>
          <w:szCs w:val="21"/>
          <w14:textFill>
            <w14:solidFill>
              <w14:schemeClr w14:val="tx1"/>
            </w14:solidFill>
          </w14:textFill>
        </w:rPr>
        <w:t>，或者供应商没预留联系方式或预留联系方式无效导致代理机构无法联系到供应商进行解密的，均视为无效投标。</w:t>
      </w:r>
    </w:p>
    <w:p w14:paraId="6F7431E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4.2.3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p w14:paraId="7D0A768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4.2.4解密异常情况处理：详见本章9.2电子交易活动的中止。</w:t>
      </w:r>
    </w:p>
    <w:p w14:paraId="2ED1EBB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4.2.5供应商对报价进行确认。</w:t>
      </w:r>
    </w:p>
    <w:p w14:paraId="421ADAE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4.2.6开标结束。</w:t>
      </w:r>
    </w:p>
    <w:p w14:paraId="70C9641A">
      <w:pPr>
        <w:pStyle w:val="30"/>
        <w:snapToGrid w:val="0"/>
        <w:spacing w:line="440" w:lineRule="exact"/>
        <w:ind w:firstLine="422" w:firstLineChars="200"/>
        <w:rPr>
          <w:rFonts w:ascii="Arial" w:hAnsi="Arial" w:cs="Arial"/>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特别说明：</w:t>
      </w:r>
      <w:r>
        <w:rPr>
          <w:rFonts w:ascii="Arial" w:hAnsi="Arial" w:cs="Arial"/>
          <w:color w:val="000000" w:themeColor="text1"/>
          <w14:textFill>
            <w14:solidFill>
              <w14:schemeClr w14:val="tx1"/>
            </w14:solidFill>
          </w14:textFill>
        </w:rPr>
        <w:t>如遇广西政府采购云平台电子化开标或评审程序调整的，按调整后的程序执行。</w:t>
      </w:r>
    </w:p>
    <w:p w14:paraId="736C91EC">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4.3演示</w:t>
      </w:r>
    </w:p>
    <w:p w14:paraId="352F970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本项目无演示。</w:t>
      </w:r>
    </w:p>
    <w:p w14:paraId="631DE8C9">
      <w:pPr>
        <w:spacing w:before="120" w:line="320" w:lineRule="atLeast"/>
        <w:ind w:firstLine="422" w:firstLineChars="200"/>
        <w:outlineLvl w:val="2"/>
        <w:rPr>
          <w:rFonts w:ascii="Arial" w:hAnsi="Arial" w:cs="Arial"/>
          <w:color w:val="000000" w:themeColor="text1"/>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4.4样品</w:t>
      </w:r>
    </w:p>
    <w:p w14:paraId="74D56D10">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53" w:name="_Toc254970686"/>
      <w:bookmarkStart w:id="54" w:name="_Toc254970545"/>
      <w:r>
        <w:rPr>
          <w:rFonts w:ascii="Arial" w:hAnsi="Arial" w:cs="Arial"/>
          <w:color w:val="000000" w:themeColor="text1"/>
          <w:szCs w:val="21"/>
          <w14:textFill>
            <w14:solidFill>
              <w14:schemeClr w14:val="tx1"/>
            </w14:solidFill>
          </w14:textFill>
        </w:rPr>
        <w:t>本项目无需提供样品。</w:t>
      </w:r>
    </w:p>
    <w:p w14:paraId="649A6686">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bookmarkStart w:id="55" w:name="_Hlk93420947"/>
      <w:r>
        <w:rPr>
          <w:rFonts w:ascii="Arial" w:hAnsi="Arial" w:cs="Arial"/>
          <w:b/>
          <w:bCs/>
          <w:color w:val="000000" w:themeColor="text1"/>
          <w:kern w:val="0"/>
          <w:szCs w:val="21"/>
          <w14:textFill>
            <w14:solidFill>
              <w14:schemeClr w14:val="tx1"/>
            </w14:solidFill>
          </w14:textFill>
        </w:rPr>
        <w:t>5．资格审查</w:t>
      </w:r>
    </w:p>
    <w:p w14:paraId="219D8673">
      <w:pPr>
        <w:spacing w:before="120" w:line="320" w:lineRule="atLeast"/>
        <w:ind w:left="2" w:leftChars="1" w:firstLine="420" w:firstLineChars="200"/>
        <w:outlineLvl w:val="1"/>
        <w:rPr>
          <w:rFonts w:ascii="Arial" w:hAnsi="Arial" w:cs="Arial"/>
          <w:bCs/>
          <w:color w:val="000000" w:themeColor="text1"/>
          <w:kern w:val="0"/>
          <w:szCs w:val="21"/>
          <w14:textFill>
            <w14:solidFill>
              <w14:schemeClr w14:val="tx1"/>
            </w14:solidFill>
          </w14:textFill>
        </w:rPr>
      </w:pPr>
      <w:r>
        <w:rPr>
          <w:rFonts w:ascii="Arial" w:hAnsi="Arial" w:cs="Arial"/>
          <w:bCs/>
          <w:color w:val="000000" w:themeColor="text1"/>
          <w:kern w:val="0"/>
          <w:szCs w:val="21"/>
          <w14:textFill>
            <w14:solidFill>
              <w14:schemeClr w14:val="tx1"/>
            </w14:solidFill>
          </w14:textFill>
        </w:rPr>
        <w:t>5.1</w:t>
      </w:r>
      <w:r>
        <w:rPr>
          <w:rFonts w:ascii="Arial" w:hAnsi="Arial" w:cs="Arial"/>
          <w:bCs/>
          <w:color w:val="000000" w:themeColor="text1"/>
          <w:szCs w:val="21"/>
          <w14:textFill>
            <w14:solidFill>
              <w14:schemeClr w14:val="tx1"/>
            </w14:solidFill>
          </w14:textFill>
        </w:rPr>
        <w:t>开标结束后，采购人或者采购代理机构通过电子交易平台对供应商的资格进行审查。资格审查</w:t>
      </w:r>
      <w:r>
        <w:rPr>
          <w:rFonts w:ascii="Arial" w:hAnsi="Arial" w:cs="Arial"/>
          <w:bCs/>
          <w:color w:val="000000" w:themeColor="text1"/>
          <w:kern w:val="0"/>
          <w:szCs w:val="21"/>
          <w14:textFill>
            <w14:solidFill>
              <w14:schemeClr w14:val="tx1"/>
            </w14:solidFill>
          </w14:textFill>
        </w:rPr>
        <w:t>是根据法律法规和招标文件的规定，对供应商的基本资格条件、特定资格条件进行审查。</w:t>
      </w:r>
    </w:p>
    <w:p w14:paraId="61BCF97B">
      <w:pPr>
        <w:spacing w:before="120" w:line="320" w:lineRule="atLeast"/>
        <w:ind w:left="2" w:leftChars="1" w:firstLine="420" w:firstLineChars="200"/>
        <w:outlineLvl w:val="1"/>
        <w:rPr>
          <w:rFonts w:ascii="Arial" w:hAnsi="Arial" w:cs="Arial"/>
          <w:bCs/>
          <w:color w:val="000000" w:themeColor="text1"/>
          <w:kern w:val="0"/>
          <w:szCs w:val="21"/>
          <w14:textFill>
            <w14:solidFill>
              <w14:schemeClr w14:val="tx1"/>
            </w14:solidFill>
          </w14:textFill>
        </w:rPr>
      </w:pPr>
      <w:r>
        <w:rPr>
          <w:rFonts w:ascii="Arial" w:hAnsi="Arial" w:cs="Arial"/>
          <w:bCs/>
          <w:color w:val="000000" w:themeColor="text1"/>
          <w:kern w:val="0"/>
          <w:szCs w:val="21"/>
          <w14:textFill>
            <w14:solidFill>
              <w14:schemeClr w14:val="tx1"/>
            </w14:solidFill>
          </w14:textFill>
        </w:rPr>
        <w:t>5.2资格审查标准在第四章评审方法及标准中规定，符合资格审查标准要求的供应商即为资格审查合格。</w:t>
      </w:r>
    </w:p>
    <w:p w14:paraId="1EAA3771">
      <w:pPr>
        <w:spacing w:before="120" w:line="276" w:lineRule="auto"/>
        <w:ind w:left="2" w:leftChars="1" w:firstLine="420" w:firstLineChars="200"/>
        <w:outlineLvl w:val="1"/>
        <w:rPr>
          <w:rFonts w:ascii="Arial" w:hAnsi="Arial" w:cs="Arial"/>
          <w:bCs/>
          <w:color w:val="000000" w:themeColor="text1"/>
          <w:kern w:val="0"/>
          <w:szCs w:val="21"/>
          <w14:textFill>
            <w14:solidFill>
              <w14:schemeClr w14:val="tx1"/>
            </w14:solidFill>
          </w14:textFill>
        </w:rPr>
      </w:pPr>
      <w:r>
        <w:rPr>
          <w:rFonts w:ascii="Arial" w:hAnsi="Arial" w:cs="Arial"/>
          <w:bCs/>
          <w:color w:val="000000" w:themeColor="text1"/>
          <w:kern w:val="0"/>
          <w:szCs w:val="21"/>
          <w14:textFill>
            <w14:solidFill>
              <w14:schemeClr w14:val="tx1"/>
            </w14:solidFill>
          </w14:textFill>
        </w:rPr>
        <w:t>5.3供应商有下列情形之一的，资格审查不合格，作无效投标处理：</w:t>
      </w:r>
    </w:p>
    <w:p w14:paraId="7DFED924">
      <w:pPr>
        <w:spacing w:line="276" w:lineRule="auto"/>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 xml:space="preserve">5.3.1不具备招标文件中规定的资格要求或资格条件的； </w:t>
      </w:r>
      <w:r>
        <w:rPr>
          <w:rFonts w:ascii="Arial" w:hAnsi="Arial" w:cs="Arial"/>
          <w:color w:val="000000" w:themeColor="text1"/>
          <w14:textFill>
            <w14:solidFill>
              <w14:schemeClr w14:val="tx1"/>
            </w14:solidFill>
          </w14:textFill>
        </w:rPr>
        <w:t>（注：其中信用查询规则见“投标人须知前附表”，</w:t>
      </w:r>
      <w:r>
        <w:rPr>
          <w:rFonts w:ascii="Arial" w:hAnsi="Arial" w:cs="Arial"/>
          <w:color w:val="000000" w:themeColor="text1"/>
          <w:szCs w:val="21"/>
          <w14:textFill>
            <w14:solidFill>
              <w14:schemeClr w14:val="tx1"/>
            </w14:solidFill>
          </w14:textFill>
        </w:rPr>
        <w:t>广西政府采购云平台</w:t>
      </w:r>
      <w:r>
        <w:rPr>
          <w:rFonts w:ascii="Arial" w:hAnsi="Arial" w:cs="Arial"/>
          <w:color w:val="000000" w:themeColor="text1"/>
          <w14:textFill>
            <w14:solidFill>
              <w14:schemeClr w14:val="tx1"/>
            </w14:solidFill>
          </w14:textFill>
        </w:rPr>
        <w:t>已与“信用中国”平台做接口，可直接在线查询）</w:t>
      </w:r>
    </w:p>
    <w:p w14:paraId="0DE5A8E3">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5.3.2投标文件缺少任何一项资格证明文件或不符合第四章评审方法及标准中资格审查标准规定的评审内容的；</w:t>
      </w:r>
    </w:p>
    <w:p w14:paraId="4A1ABF59">
      <w:pPr>
        <w:spacing w:before="120" w:line="276" w:lineRule="auto"/>
        <w:ind w:left="2" w:leftChars="1" w:firstLine="420" w:firstLineChars="200"/>
        <w:outlineLvl w:val="1"/>
        <w:rPr>
          <w:rFonts w:ascii="Arial" w:hAnsi="Arial" w:cs="Arial"/>
          <w:bCs/>
          <w:color w:val="000000" w:themeColor="text1"/>
          <w:kern w:val="0"/>
          <w:szCs w:val="21"/>
          <w14:textFill>
            <w14:solidFill>
              <w14:schemeClr w14:val="tx1"/>
            </w14:solidFill>
          </w14:textFill>
        </w:rPr>
      </w:pPr>
      <w:r>
        <w:rPr>
          <w:rFonts w:ascii="Arial" w:hAnsi="Arial" w:cs="Arial"/>
          <w:bCs/>
          <w:color w:val="000000" w:themeColor="text1"/>
          <w:kern w:val="0"/>
          <w:szCs w:val="21"/>
          <w14:textFill>
            <w14:solidFill>
              <w14:schemeClr w14:val="tx1"/>
            </w14:solidFill>
          </w14:textFill>
        </w:rPr>
        <w:t>5.4资格审查合格的供应商不足3家的，不得评审。</w:t>
      </w:r>
    </w:p>
    <w:bookmarkEnd w:id="55"/>
    <w:p w14:paraId="389E09D8">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bookmarkStart w:id="56" w:name="_Hlk93420990"/>
      <w:r>
        <w:rPr>
          <w:rFonts w:ascii="Arial" w:hAnsi="Arial" w:cs="Arial"/>
          <w:b/>
          <w:bCs/>
          <w:color w:val="000000" w:themeColor="text1"/>
          <w:kern w:val="0"/>
          <w:szCs w:val="21"/>
          <w14:textFill>
            <w14:solidFill>
              <w14:schemeClr w14:val="tx1"/>
            </w14:solidFill>
          </w14:textFill>
        </w:rPr>
        <w:t>6．评审</w:t>
      </w:r>
      <w:bookmarkEnd w:id="53"/>
      <w:bookmarkEnd w:id="54"/>
    </w:p>
    <w:p w14:paraId="701ABB75">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6.1评审委员会及评审原则</w:t>
      </w:r>
    </w:p>
    <w:p w14:paraId="25E18164">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57" w:name="_Hlk91249317"/>
      <w:r>
        <w:rPr>
          <w:rFonts w:ascii="Arial" w:hAnsi="Arial" w:cs="Arial"/>
          <w:color w:val="000000" w:themeColor="text1"/>
          <w:szCs w:val="21"/>
          <w14:textFill>
            <w14:solidFill>
              <w14:schemeClr w14:val="tx1"/>
            </w14:solidFill>
          </w14:textFill>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供应商有利害关系的，应当主动提出回避。</w:t>
      </w:r>
    </w:p>
    <w:p w14:paraId="514693B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71D7C5B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0B9677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6.1.4本项目评审过程实行全程网上留痕及录音、录像监控，供应商在评审过程中所进行的试图影响评审结果的不公正活动，可能导致其投标按无效处理。</w:t>
      </w:r>
    </w:p>
    <w:bookmarkEnd w:id="57"/>
    <w:p w14:paraId="57F93370">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58" w:name="_Hlk91324148"/>
      <w:r>
        <w:rPr>
          <w:rFonts w:ascii="Arial" w:hAnsi="Arial" w:cs="Arial"/>
          <w:b/>
          <w:bCs/>
          <w:color w:val="000000" w:themeColor="text1"/>
          <w:kern w:val="0"/>
          <w:szCs w:val="21"/>
          <w14:textFill>
            <w14:solidFill>
              <w14:schemeClr w14:val="tx1"/>
            </w14:solidFill>
          </w14:textFill>
        </w:rPr>
        <w:t>6.2评审方法及依据</w:t>
      </w:r>
    </w:p>
    <w:p w14:paraId="6D3C1DDC">
      <w:pPr>
        <w:spacing w:before="120" w:line="320" w:lineRule="atLeast"/>
        <w:ind w:firstLine="420" w:firstLineChars="200"/>
        <w:rPr>
          <w:rFonts w:ascii="Arial" w:hAnsi="Arial" w:cs="Arial"/>
          <w:bCs/>
          <w:color w:val="000000" w:themeColor="text1"/>
          <w:kern w:val="0"/>
          <w:szCs w:val="21"/>
          <w14:textFill>
            <w14:solidFill>
              <w14:schemeClr w14:val="tx1"/>
            </w14:solidFill>
          </w14:textFill>
        </w:rPr>
      </w:pPr>
      <w:r>
        <w:rPr>
          <w:rFonts w:ascii="Arial" w:hAnsi="Arial" w:cs="Arial"/>
          <w:bCs/>
          <w:color w:val="000000" w:themeColor="text1"/>
          <w:kern w:val="0"/>
          <w:szCs w:val="21"/>
          <w14:textFill>
            <w14:solidFill>
              <w14:schemeClr w14:val="tx1"/>
            </w14:solidFill>
          </w14:textFill>
        </w:rPr>
        <w:t>6.2.1本项目采用第四章评审方法及标准规定的方法进行评审。</w:t>
      </w:r>
    </w:p>
    <w:p w14:paraId="74669A7F">
      <w:pPr>
        <w:suppressAutoHyphens/>
        <w:spacing w:before="120" w:line="320" w:lineRule="atLeast"/>
        <w:ind w:firstLine="420" w:firstLineChars="200"/>
        <w:rPr>
          <w:rFonts w:ascii="Arial" w:hAnsi="Arial" w:cs="Arial"/>
          <w:bCs/>
          <w:color w:val="000000" w:themeColor="text1"/>
          <w:kern w:val="0"/>
          <w:szCs w:val="21"/>
          <w14:textFill>
            <w14:solidFill>
              <w14:schemeClr w14:val="tx1"/>
            </w14:solidFill>
          </w14:textFill>
        </w:rPr>
      </w:pPr>
      <w:r>
        <w:rPr>
          <w:rFonts w:ascii="Arial" w:hAnsi="Arial" w:cs="Arial"/>
          <w:bCs/>
          <w:color w:val="000000" w:themeColor="text1"/>
          <w:kern w:val="0"/>
          <w:szCs w:val="21"/>
          <w14:textFill>
            <w14:solidFill>
              <w14:schemeClr w14:val="tx1"/>
            </w14:solidFill>
          </w14:textFill>
        </w:rPr>
        <w:t>6.2.2</w:t>
      </w:r>
      <w:r>
        <w:rPr>
          <w:rFonts w:ascii="Arial" w:hAnsi="Arial" w:cs="Arial"/>
          <w:color w:val="000000" w:themeColor="text1"/>
          <w14:textFill>
            <w14:solidFill>
              <w14:schemeClr w14:val="tx1"/>
            </w14:solidFill>
          </w14:textFill>
        </w:rPr>
        <w:t>评审委员会以招标文件、补充文件、投标文件、澄清及答复为评审依据，</w:t>
      </w:r>
      <w:r>
        <w:rPr>
          <w:rFonts w:ascii="Arial" w:hAnsi="Arial" w:cs="Arial"/>
          <w:bCs/>
          <w:color w:val="000000" w:themeColor="text1"/>
          <w:kern w:val="0"/>
          <w:szCs w:val="21"/>
          <w14:textFill>
            <w14:solidFill>
              <w14:schemeClr w14:val="tx1"/>
            </w14:solidFill>
          </w14:textFill>
        </w:rPr>
        <w:t>第四章评审方法及标准没有规定的评审方法、标准及因素，不得作为评审依据。</w:t>
      </w:r>
    </w:p>
    <w:bookmarkEnd w:id="58"/>
    <w:p w14:paraId="32C95A7D">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bookmarkStart w:id="59" w:name="_Hlk91324322"/>
      <w:r>
        <w:rPr>
          <w:rFonts w:ascii="Arial" w:hAnsi="Arial" w:cs="Arial"/>
          <w:b/>
          <w:bCs/>
          <w:color w:val="000000" w:themeColor="text1"/>
          <w:kern w:val="0"/>
          <w:szCs w:val="21"/>
          <w14:textFill>
            <w14:solidFill>
              <w14:schemeClr w14:val="tx1"/>
            </w14:solidFill>
          </w14:textFill>
        </w:rPr>
        <w:t>6.3评审程序</w:t>
      </w:r>
    </w:p>
    <w:p w14:paraId="76BA91CF">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6.</w:t>
      </w:r>
      <w:bookmarkStart w:id="60" w:name="_Hlk80956880"/>
      <w:r>
        <w:rPr>
          <w:rFonts w:ascii="Arial" w:hAnsi="Arial" w:cs="Arial"/>
          <w:color w:val="000000" w:themeColor="text1"/>
          <w14:textFill>
            <w14:solidFill>
              <w14:schemeClr w14:val="tx1"/>
            </w14:solidFill>
          </w14:textFill>
        </w:rPr>
        <w:t>3.1符合性审查</w:t>
      </w:r>
    </w:p>
    <w:p w14:paraId="0F72E8F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bCs/>
          <w:color w:val="000000" w:themeColor="text1"/>
          <w:kern w:val="1"/>
          <w:szCs w:val="21"/>
          <w14:textFill>
            <w14:solidFill>
              <w14:schemeClr w14:val="tx1"/>
            </w14:solidFill>
          </w14:textFill>
        </w:rPr>
        <w:t>资格审查结束后，</w:t>
      </w:r>
      <w:r>
        <w:rPr>
          <w:rFonts w:ascii="Arial" w:hAnsi="Arial" w:cs="Arial"/>
          <w:color w:val="000000" w:themeColor="text1"/>
          <w14:textFill>
            <w14:solidFill>
              <w14:schemeClr w14:val="tx1"/>
            </w14:solidFill>
          </w14:textFill>
        </w:rPr>
        <w:t>评审委员会对通过资格审查的供应商的投标文件报价、商务资信、技术等方面实质性内容进行符合性审查，</w:t>
      </w:r>
      <w:r>
        <w:rPr>
          <w:rFonts w:ascii="Arial" w:hAnsi="Arial" w:cs="Arial"/>
          <w:color w:val="000000" w:themeColor="text1"/>
          <w:szCs w:val="21"/>
          <w14:textFill>
            <w14:solidFill>
              <w14:schemeClr w14:val="tx1"/>
            </w14:solidFill>
          </w14:textFill>
        </w:rPr>
        <w:t>符合性审查标准详见第四章评审方法及标准。</w:t>
      </w:r>
    </w:p>
    <w:bookmarkEnd w:id="60"/>
    <w:p w14:paraId="0D84666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6.3.2</w:t>
      </w:r>
      <w:r>
        <w:rPr>
          <w:rFonts w:ascii="Arial" w:hAnsi="Arial" w:cs="Arial"/>
          <w:color w:val="000000" w:themeColor="text1"/>
          <w14:textFill>
            <w14:solidFill>
              <w14:schemeClr w14:val="tx1"/>
            </w14:solidFill>
          </w14:textFill>
        </w:rPr>
        <w:t>强制性</w:t>
      </w:r>
      <w:r>
        <w:rPr>
          <w:rFonts w:ascii="Arial" w:hAnsi="Arial" w:cs="Arial"/>
          <w:color w:val="000000" w:themeColor="text1"/>
          <w:szCs w:val="21"/>
          <w14:textFill>
            <w14:solidFill>
              <w14:schemeClr w14:val="tx1"/>
            </w14:solidFill>
          </w14:textFill>
        </w:rPr>
        <w:t>采购要求（仅适用于货物采购项目）</w:t>
      </w:r>
    </w:p>
    <w:p w14:paraId="1178C628">
      <w:pPr>
        <w:suppressAutoHyphens/>
        <w:spacing w:before="120" w:line="320" w:lineRule="atLeast"/>
        <w:ind w:firstLine="422" w:firstLineChars="201"/>
        <w:rPr>
          <w:rFonts w:ascii="Arial" w:hAnsi="Arial" w:cs="Arial"/>
          <w:color w:val="000000" w:themeColor="text1"/>
          <w:szCs w:val="21"/>
          <w14:textFill>
            <w14:solidFill>
              <w14:schemeClr w14:val="tx1"/>
            </w14:solidFill>
          </w14:textFill>
        </w:rPr>
      </w:pPr>
      <w:bookmarkStart w:id="61" w:name="_Hlk47714684"/>
      <w:r>
        <w:rPr>
          <w:rFonts w:ascii="Arial" w:hAnsi="Arial" w:cs="Arial"/>
          <w:color w:val="000000" w:themeColor="text1"/>
          <w:szCs w:val="21"/>
          <w14:textFill>
            <w14:solidFill>
              <w14:schemeClr w14:val="tx1"/>
            </w14:solidFill>
          </w14:textFill>
        </w:rPr>
        <w:t>（1）</w:t>
      </w:r>
      <w:bookmarkEnd w:id="61"/>
      <w:r>
        <w:rPr>
          <w:rFonts w:ascii="Arial" w:hAnsi="Arial" w:cs="Arial"/>
          <w:color w:val="000000" w:themeColor="text1"/>
          <w:szCs w:val="21"/>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投标货物必须使用政府强制采购的节能产品，否则投标文件作无效处理；属于品目清单内非标注“★”的产品时，应优先采购。</w:t>
      </w:r>
    </w:p>
    <w:p w14:paraId="3B8FAEDB">
      <w:pPr>
        <w:spacing w:before="120" w:line="276" w:lineRule="auto"/>
        <w:ind w:firstLine="420" w:firstLineChars="200"/>
        <w:rPr>
          <w:szCs w:val="21"/>
        </w:rPr>
      </w:pPr>
      <w:bookmarkStart w:id="62" w:name="_Hlk138843020"/>
      <w:r>
        <w:rPr>
          <w:rFonts w:hint="eastAsia"/>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42F19034">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hint="eastAsia"/>
          <w:szCs w:val="21"/>
        </w:rPr>
        <w:t>注：网络安全专用产品在中共中央网络安全和信息化委员会办公室网站上发布的《网络关键设备和网络安全专用产品目录》中查询。</w:t>
      </w:r>
      <w:r>
        <w:rPr>
          <w:szCs w:val="21"/>
        </w:rPr>
        <w:t xml:space="preserve"> </w:t>
      </w:r>
      <w:r>
        <w:rPr>
          <w:rFonts w:hint="eastAsia"/>
          <w:szCs w:val="21"/>
          <w:lang w:eastAsia="zh-CN"/>
        </w:rPr>
        <w:t>“</w:t>
      </w:r>
      <w:r>
        <w:rPr>
          <w:rFonts w:hint="eastAsia"/>
          <w:szCs w:val="21"/>
          <w:lang w:val="en-US" w:eastAsia="zh-CN"/>
        </w:rPr>
        <w:t>网络安全专用产品”内“产品类别”</w:t>
      </w:r>
      <w:r>
        <w:rPr>
          <w:rFonts w:hint="eastAsia"/>
          <w:szCs w:val="21"/>
        </w:rPr>
        <w:t>共</w:t>
      </w:r>
      <w:r>
        <w:rPr>
          <w:rFonts w:hint="eastAsia"/>
          <w:szCs w:val="21"/>
          <w:lang w:val="en-US" w:eastAsia="zh-CN"/>
        </w:rPr>
        <w:t>34</w:t>
      </w:r>
      <w:r>
        <w:rPr>
          <w:rFonts w:hint="eastAsia"/>
          <w:szCs w:val="21"/>
        </w:rPr>
        <w:t>类：数据备份与恢复产品、防火墙、入侵检测系统（I</w:t>
      </w:r>
      <w:r>
        <w:rPr>
          <w:szCs w:val="21"/>
        </w:rPr>
        <w:t>DS</w:t>
      </w:r>
      <w:r>
        <w:rPr>
          <w:rFonts w:hint="eastAsia"/>
          <w:szCs w:val="21"/>
        </w:rPr>
        <w:t>）、入侵防御系统（</w:t>
      </w:r>
      <w:r>
        <w:rPr>
          <w:szCs w:val="21"/>
        </w:rPr>
        <w:t>IPS</w:t>
      </w:r>
      <w:r>
        <w:rPr>
          <w:rFonts w:hint="eastAsia"/>
          <w:szCs w:val="21"/>
        </w:rPr>
        <w:t>）、</w:t>
      </w:r>
      <w:r>
        <w:rPr>
          <w:rFonts w:hint="eastAsia"/>
          <w:szCs w:val="21"/>
          <w:lang w:val="en-US" w:eastAsia="zh-CN"/>
        </w:rPr>
        <w:t>网络和终端隔离产品</w:t>
      </w:r>
      <w:r>
        <w:rPr>
          <w:rFonts w:hint="eastAsia"/>
          <w:szCs w:val="21"/>
        </w:rPr>
        <w:t>、反垃圾邮件产品、网络综合审计</w:t>
      </w:r>
      <w:r>
        <w:rPr>
          <w:rFonts w:hint="eastAsia"/>
          <w:szCs w:val="21"/>
          <w:lang w:val="en-US" w:eastAsia="zh-CN"/>
        </w:rPr>
        <w:t>产品</w:t>
      </w:r>
      <w:r>
        <w:rPr>
          <w:rFonts w:hint="eastAsia"/>
          <w:szCs w:val="21"/>
        </w:rPr>
        <w:t>、网络脆弱性扫描产品、安全数据库系统、网站恢复产品</w:t>
      </w:r>
      <w:r>
        <w:rPr>
          <w:rFonts w:hint="eastAsia"/>
          <w:szCs w:val="21"/>
          <w:lang w:eastAsia="zh-CN"/>
        </w:rPr>
        <w:t>、</w:t>
      </w:r>
      <w:r>
        <w:rPr>
          <w:rFonts w:hint="eastAsia"/>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62"/>
    <w:p w14:paraId="6E6E6197">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6.3.3澄清、说明或补正</w:t>
      </w:r>
    </w:p>
    <w:p w14:paraId="46C3C9B6">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（1）对投标文件中含义不明确、同类问题表述不一致或者有明显文字和计算错误的内容，评审委员会应在</w:t>
      </w:r>
      <w:r>
        <w:rPr>
          <w:rFonts w:ascii="Arial" w:hAnsi="Arial" w:cs="Arial"/>
          <w:color w:val="000000" w:themeColor="text1"/>
          <w:szCs w:val="21"/>
          <w14:textFill>
            <w14:solidFill>
              <w14:schemeClr w14:val="tx1"/>
            </w14:solidFill>
          </w14:textFill>
        </w:rPr>
        <w:t>广西政府采购云平台</w:t>
      </w:r>
      <w:r>
        <w:rPr>
          <w:rFonts w:ascii="Arial" w:hAnsi="Arial" w:cs="Arial"/>
          <w:color w:val="000000" w:themeColor="text1"/>
          <w14:textFill>
            <w14:solidFill>
              <w14:schemeClr w14:val="tx1"/>
            </w14:solidFill>
          </w14:textFill>
        </w:rPr>
        <w:t>发布电子澄清函，要求供应商在平台设置的时间内作出必要的澄清、说明或者补正。供应商在</w:t>
      </w:r>
      <w:r>
        <w:rPr>
          <w:rFonts w:ascii="Arial" w:hAnsi="Arial" w:cs="Arial"/>
          <w:color w:val="000000" w:themeColor="text1"/>
          <w:szCs w:val="21"/>
          <w14:textFill>
            <w14:solidFill>
              <w14:schemeClr w14:val="tx1"/>
            </w14:solidFill>
          </w14:textFill>
        </w:rPr>
        <w:t>广西政府采购云平台</w:t>
      </w:r>
      <w:r>
        <w:rPr>
          <w:rFonts w:ascii="Arial" w:hAnsi="Arial" w:cs="Arial"/>
          <w:color w:val="000000" w:themeColor="text1"/>
          <w14:textFill>
            <w14:solidFill>
              <w14:schemeClr w14:val="tx1"/>
            </w14:solidFill>
          </w14:textFill>
        </w:rPr>
        <w:t>接收到电子澄清函后根据澄清函内容直接在线编辑或上传PDF格式回函，电子澄清答复函使用CA证书加盖单位电子签章后提交至评审委员会。供应商的澄清、说明或者补正不得超出投标文件的范围或者改变投标文件的实质性内容。供应商未在规定时间内进行澄清、说明或者补正的，按无效投标处理。</w:t>
      </w:r>
    </w:p>
    <w:p w14:paraId="0A994A83">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2）异常情况处理：如遇无法正常使用线上发送澄清函的情况，将以书面形式执行。评审委员会以书面形式要求供应商在规定时间内作出必要的澄清、说明或者补正。供应商的澄清、说明或者补正必须采用书面形式，并加盖公章或者由法定代表人或者其授权的代表签字。</w:t>
      </w:r>
    </w:p>
    <w:p w14:paraId="3505D112">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6.3.4报价修正</w:t>
      </w:r>
    </w:p>
    <w:p w14:paraId="4695B05C">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（1）报价出现前后不一致的，按照下列规定修正：</w:t>
      </w:r>
    </w:p>
    <w:p w14:paraId="609B7B1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①投标文件中开标一览表（报价表）内容与投标文件中相应内容不一致的，以开标一览表（报价表）为准；</w:t>
      </w:r>
    </w:p>
    <w:p w14:paraId="2A2842BC">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②大写金额和小写金额不一致的，以大写金额为准；</w:t>
      </w:r>
    </w:p>
    <w:p w14:paraId="47DC9223">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③单价金额小数点或者百分比有明显错位的，以开标一览表的总价为准，并修改单价；</w:t>
      </w:r>
    </w:p>
    <w:p w14:paraId="3A0217F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④总价金额与按单价汇总金额不一致的，以单价金额计算结果为准。</w:t>
      </w:r>
    </w:p>
    <w:p w14:paraId="711EDC1A">
      <w:pPr>
        <w:spacing w:before="120" w:line="320" w:lineRule="atLeast"/>
        <w:ind w:firstLine="420" w:firstLineChars="20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同时出现两种以上不一致的，按照上述①-④顺序修正。修正后的报价按照上述“6.3.3澄清、说明或补正”的规定经供应商确认后产生约束力，供应商不确认的，其投标无效。</w:t>
      </w:r>
    </w:p>
    <w:p w14:paraId="530F691C">
      <w:pPr>
        <w:spacing w:before="120" w:line="320" w:lineRule="atLeast"/>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2</w:t>
      </w:r>
      <w:r>
        <w:rPr>
          <w:rFonts w:hint="eastAsia"/>
          <w:color w:val="000000" w:themeColor="text1"/>
          <w:szCs w:val="21"/>
          <w14:textFill>
            <w14:solidFill>
              <w14:schemeClr w14:val="tx1"/>
            </w14:solidFill>
          </w14:textFill>
        </w:rPr>
        <w:t>）经投标人确认修正后的报价若超过采购预算金额或者最高限价，其投标文件作无效投标处理。</w:t>
      </w:r>
    </w:p>
    <w:p w14:paraId="5A08C474">
      <w:pPr>
        <w:spacing w:before="120" w:line="320" w:lineRule="atLeast"/>
        <w:ind w:firstLine="420" w:firstLineChars="200"/>
        <w:rPr>
          <w:rFonts w:ascii="Arial" w:hAnsi="Arial" w:cs="Arial"/>
          <w:color w:val="000000" w:themeColor="text1"/>
          <w:szCs w:val="21"/>
          <w:highlight w:val="none"/>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3</w:t>
      </w:r>
      <w:r>
        <w:rPr>
          <w:rFonts w:hint="eastAsia"/>
          <w:color w:val="000000" w:themeColor="text1"/>
          <w:szCs w:val="21"/>
          <w14:textFill>
            <w14:solidFill>
              <w14:schemeClr w14:val="tx1"/>
            </w14:solidFill>
          </w14:textFill>
        </w:rPr>
        <w:t>）经投标人确认修正后的报价作为签订合同的依据，并以此报价计算价格分。</w:t>
      </w:r>
    </w:p>
    <w:p w14:paraId="65543279">
      <w:pPr>
        <w:spacing w:before="120" w:line="320" w:lineRule="atLeast"/>
        <w:ind w:firstLine="420" w:firstLineChars="200"/>
        <w:rPr>
          <w:rFonts w:hint="eastAsia"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6.3.5异常低价审查</w:t>
      </w:r>
    </w:p>
    <w:p w14:paraId="6BFF4C10">
      <w:pPr>
        <w:numPr>
          <w:ilvl w:val="0"/>
          <w:numId w:val="0"/>
        </w:num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000000" w:themeColor="text1"/>
          <w:szCs w:val="21"/>
          <w:highlight w:val="none"/>
          <w:lang w:val="en-US" w:eastAsia="zh-CN"/>
          <w14:textFill>
            <w14:solidFill>
              <w14:schemeClr w14:val="tx1"/>
            </w14:solidFill>
          </w14:textFill>
        </w:rPr>
        <w:t>投标（响应）供应商不能提供书面说明、证明材料，或者提供的书面说明、证明材料不能证明其报价合理性的，评审委员会应当将其作为无效投标处理。</w:t>
      </w:r>
    </w:p>
    <w:p w14:paraId="1D07FE73">
      <w:pPr>
        <w:numPr>
          <w:ilvl w:val="0"/>
          <w:numId w:val="0"/>
        </w:num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异常低价投标审查的启动原因、审查意见和审查结果应当在评审报告中记录，并随供应商提供的相关书面说明及证明材料，以及评审委员会有关互联网浏览、查询历史一并归档。</w:t>
      </w:r>
    </w:p>
    <w:p w14:paraId="5279C8D8">
      <w:pPr>
        <w:spacing w:before="120" w:line="320" w:lineRule="atLeast"/>
        <w:ind w:firstLine="420" w:firstLineChars="200"/>
        <w:rPr>
          <w:rFonts w:ascii="Arial" w:hAnsi="Arial" w:cs="Arial"/>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书面证明应当按照上述“</w:t>
      </w:r>
      <w:r>
        <w:rPr>
          <w:color w:val="000000" w:themeColor="text1"/>
          <w:szCs w:val="21"/>
          <w:highlight w:val="none"/>
          <w14:textFill>
            <w14:solidFill>
              <w14:schemeClr w14:val="tx1"/>
            </w14:solidFill>
          </w14:textFill>
        </w:rPr>
        <w:t>6.3.3</w:t>
      </w:r>
      <w:r>
        <w:rPr>
          <w:rFonts w:hint="eastAsia"/>
          <w:color w:val="000000" w:themeColor="text1"/>
          <w:szCs w:val="21"/>
          <w:highlight w:val="none"/>
          <w14:textFill>
            <w14:solidFill>
              <w14:schemeClr w14:val="tx1"/>
            </w14:solidFill>
          </w14:textFill>
        </w:rPr>
        <w:t>澄清、说明或补正”的规定提交</w:t>
      </w:r>
      <w:r>
        <w:rPr>
          <w:rFonts w:hint="eastAsia"/>
          <w:color w:val="000000" w:themeColor="text1"/>
          <w:szCs w:val="21"/>
          <w:highlight w:val="none"/>
          <w:lang w:val="en-US" w:eastAsia="zh-CN"/>
          <w14:textFill>
            <w14:solidFill>
              <w14:schemeClr w14:val="tx1"/>
            </w14:solidFill>
          </w14:textFill>
        </w:rPr>
        <w:t>。</w:t>
      </w:r>
    </w:p>
    <w:p w14:paraId="2F868D4B">
      <w:pPr>
        <w:spacing w:before="120" w:line="320" w:lineRule="atLeast"/>
        <w:ind w:firstLine="420" w:firstLineChars="20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6.3.</w:t>
      </w:r>
      <w:r>
        <w:rPr>
          <w:rFonts w:hint="eastAsia" w:ascii="Arial" w:hAnsi="Arial" w:cs="Arial"/>
          <w:color w:val="000000" w:themeColor="text1"/>
          <w:szCs w:val="21"/>
          <w:highlight w:val="none"/>
          <w:lang w:val="en-US" w:eastAsia="zh-CN"/>
          <w14:textFill>
            <w14:solidFill>
              <w14:schemeClr w14:val="tx1"/>
            </w14:solidFill>
          </w14:textFill>
        </w:rPr>
        <w:t>6</w:t>
      </w:r>
      <w:r>
        <w:rPr>
          <w:rFonts w:ascii="Arial" w:hAnsi="Arial" w:cs="Arial"/>
          <w:color w:val="000000" w:themeColor="text1"/>
          <w:szCs w:val="21"/>
          <w:highlight w:val="none"/>
          <w14:textFill>
            <w14:solidFill>
              <w14:schemeClr w14:val="tx1"/>
            </w14:solidFill>
          </w14:textFill>
        </w:rPr>
        <w:t>相同品牌认定（仅适用于货物采购项目）</w:t>
      </w:r>
    </w:p>
    <w:p w14:paraId="70BBBB18">
      <w:pPr>
        <w:spacing w:before="120" w:line="320" w:lineRule="atLeast"/>
        <w:ind w:firstLine="420" w:firstLineChars="20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（1）单一产品采购项目，</w:t>
      </w:r>
      <w:r>
        <w:rPr>
          <w:rFonts w:ascii="Arial" w:hAnsi="Arial" w:cs="Arial"/>
          <w:color w:val="000000" w:themeColor="text1"/>
          <w:highlight w:val="none"/>
          <w14:textFill>
            <w14:solidFill>
              <w14:schemeClr w14:val="tx1"/>
            </w14:solidFill>
          </w14:textFill>
        </w:rPr>
        <w:t>不同供应商提供的产品品牌相同时，按以下规定确定</w:t>
      </w:r>
      <w:r>
        <w:rPr>
          <w:rFonts w:ascii="Arial" w:hAnsi="Arial" w:cs="Arial"/>
          <w:bCs/>
          <w:color w:val="000000" w:themeColor="text1"/>
          <w:kern w:val="0"/>
          <w:szCs w:val="21"/>
          <w:highlight w:val="none"/>
          <w14:textFill>
            <w14:solidFill>
              <w14:schemeClr w14:val="tx1"/>
            </w14:solidFill>
          </w14:textFill>
        </w:rPr>
        <w:t>相同品牌的投标有效性</w:t>
      </w:r>
      <w:r>
        <w:rPr>
          <w:rFonts w:ascii="Arial" w:hAnsi="Arial" w:cs="Arial"/>
          <w:color w:val="000000" w:themeColor="text1"/>
          <w:highlight w:val="none"/>
          <w14:textFill>
            <w14:solidFill>
              <w14:schemeClr w14:val="tx1"/>
            </w14:solidFill>
          </w14:textFill>
        </w:rPr>
        <w:t>。</w:t>
      </w:r>
    </w:p>
    <w:p w14:paraId="42B232E1">
      <w:pPr>
        <w:spacing w:before="120" w:line="320" w:lineRule="atLeast"/>
        <w:ind w:firstLine="420" w:firstLineChars="20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①采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审委员会按照招标文件规定的方式确定一个供应商获得中标人推荐资格，招标文件未规定的采取随机抽取方式确定，其他同品牌供应商不作为中标候选人。</w:t>
      </w:r>
    </w:p>
    <w:p w14:paraId="6C44937D">
      <w:pPr>
        <w:spacing w:before="120" w:line="320" w:lineRule="atLeast"/>
        <w:ind w:firstLine="420" w:firstLineChars="200"/>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②采用最低评标价法的采购项目，提供相同品牌产品的不同供应商参加同一合同项下投标的，以其中通过资格审查、符合性审查且报价最低的参加评标；报价相同的，由采购人或者采购人委托评审委员会按照招标文件规定的方式确定一个参加评标的供应商，招标文件未规定的采取随机抽取方式确定，其他投标无效。</w:t>
      </w:r>
    </w:p>
    <w:p w14:paraId="4267EC50">
      <w:pPr>
        <w:spacing w:before="120" w:line="320" w:lineRule="atLeast"/>
        <w:ind w:firstLine="420" w:firstLineChars="200"/>
        <w:rPr>
          <w:rFonts w:ascii="Arial" w:hAnsi="Arial" w:cs="Arial"/>
          <w:color w:val="000000" w:themeColor="text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（2）非单一产品采购项目，采购人应当确定核心产品，并在招标文件中载明。不同供应商提供的核心产品品牌相同的，按上述规定处理。核心产品在第二章采购需求规定。</w:t>
      </w:r>
    </w:p>
    <w:p w14:paraId="3B1A05F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6.3.</w:t>
      </w:r>
      <w:r>
        <w:rPr>
          <w:rFonts w:hint="eastAsia" w:ascii="Arial" w:hAnsi="Arial" w:cs="Arial"/>
          <w:color w:val="000000" w:themeColor="text1"/>
          <w:szCs w:val="21"/>
          <w:lang w:val="en-US" w:eastAsia="zh-CN"/>
          <w14:textFill>
            <w14:solidFill>
              <w14:schemeClr w14:val="tx1"/>
            </w14:solidFill>
          </w14:textFill>
        </w:rPr>
        <w:t>7</w:t>
      </w:r>
      <w:r>
        <w:rPr>
          <w:rFonts w:ascii="Arial" w:hAnsi="Arial" w:cs="Arial"/>
          <w:color w:val="000000" w:themeColor="text1"/>
          <w:szCs w:val="21"/>
          <w14:textFill>
            <w14:solidFill>
              <w14:schemeClr w14:val="tx1"/>
            </w14:solidFill>
          </w14:textFill>
        </w:rPr>
        <w:t>串通投标认定</w:t>
      </w:r>
    </w:p>
    <w:p w14:paraId="5F739154">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评审委员会须根据以下规定认定供应商是否有</w:t>
      </w:r>
      <w:r>
        <w:rPr>
          <w:rFonts w:ascii="Arial" w:hAnsi="Arial" w:cs="Arial"/>
          <w:bCs/>
          <w:color w:val="000000" w:themeColor="text1"/>
          <w:kern w:val="0"/>
          <w:szCs w:val="21"/>
          <w14:textFill>
            <w14:solidFill>
              <w14:schemeClr w14:val="tx1"/>
            </w14:solidFill>
          </w14:textFill>
        </w:rPr>
        <w:t>串通投标的行为</w:t>
      </w:r>
      <w:r>
        <w:rPr>
          <w:rFonts w:ascii="Arial" w:hAnsi="Arial" w:cs="Arial"/>
          <w:color w:val="000000" w:themeColor="text1"/>
          <w14:textFill>
            <w14:solidFill>
              <w14:schemeClr w14:val="tx1"/>
            </w14:solidFill>
          </w14:textFill>
        </w:rPr>
        <w:t>。</w:t>
      </w:r>
    </w:p>
    <w:p w14:paraId="0F44C6B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（1）根据《关于防治政府采购招标中串通投标行为的通知》（桂财采[2016]42号）规定，出现下述情况的，相关供应商的投标作无效投标处理。</w:t>
      </w:r>
    </w:p>
    <w:p w14:paraId="6D5C087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①单位负责人为同一人或者存在直接控股、管理关系，参加同一合同项下政府采购活动的不同供应商。</w:t>
      </w:r>
    </w:p>
    <w:p w14:paraId="7BBC24F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②授权给供应商后参加同一合同项（分标、分包）投标的生产厂商。</w:t>
      </w:r>
    </w:p>
    <w:p w14:paraId="554E03A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③视为或被认定为串通投标的相关供应商。</w:t>
      </w:r>
    </w:p>
    <w:p w14:paraId="311FB8B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（2）根据《关于防治政府采购招标中串通投标行为的通知》（桂财采[2016]42号）规定，有下列情形之一的视为供应商相互串通投标，投标文件将被视为无效。</w:t>
      </w:r>
    </w:p>
    <w:p w14:paraId="316580F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①不同供应商的投标文件由同一单位或者个人编制；或不同供应商报名的IP地址一致的；</w:t>
      </w:r>
    </w:p>
    <w:p w14:paraId="0DDBBC2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②不同供应商委托同一单位或者个人办理投标事宜；</w:t>
      </w:r>
    </w:p>
    <w:p w14:paraId="296E3A2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③不同的供应商的投标文件载明的项目管理员为同一个人；</w:t>
      </w:r>
    </w:p>
    <w:p w14:paraId="6B8AA3B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④不同供应商的投标文件异常一致或投标报价呈规律性差异；</w:t>
      </w:r>
    </w:p>
    <w:p w14:paraId="77C216D3">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⑤不同供应商的投标文件相互混装；</w:t>
      </w:r>
    </w:p>
    <w:p w14:paraId="49A59B4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⑥不同供应商的保证金从同一单位或者个人账户转出。</w:t>
      </w:r>
    </w:p>
    <w:p w14:paraId="50710AB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（3）根据《关于防治政府采购招标中串通投标行为的通知》（桂财采[2016]42号）规定，供应商有下列情形之一的，属于恶意串通行为，投标文件将被视为无效。</w:t>
      </w:r>
    </w:p>
    <w:p w14:paraId="60D8DC5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①供应商直接或者间接从采购人或者采购代理机构处获得其他供应商的相关信息并修改其投标文件或者响应文件；</w:t>
      </w:r>
    </w:p>
    <w:p w14:paraId="578D88B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②供应商按照采购人或者采购代理机构的授意撤换、修改投标文件或者响应文件;；</w:t>
      </w:r>
    </w:p>
    <w:p w14:paraId="45C7752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③供应商之间协商报价、技术方案等投标文件或者响应文件的实质性内容；</w:t>
      </w:r>
    </w:p>
    <w:p w14:paraId="668AC6B1">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④属于同一集团、协会、商会等组织成员的供应商按照该组织要求协同参加政府采购活动；</w:t>
      </w:r>
    </w:p>
    <w:p w14:paraId="65C41ECC">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36C5F37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⑥供应商之间商定部分供应商放弃参加政府采购活动或者放弃中标；</w:t>
      </w:r>
    </w:p>
    <w:p w14:paraId="465A4D9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⑦供应商与采购人或者采购代理机构之间、供应商相互之间，为谋求特定供应商中标或者排斥其他供应商的其他串通行为。</w:t>
      </w:r>
    </w:p>
    <w:p w14:paraId="6103311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6.3.</w:t>
      </w:r>
      <w:r>
        <w:rPr>
          <w:rFonts w:hint="eastAsia" w:ascii="Arial" w:hAnsi="Arial" w:cs="Arial"/>
          <w:color w:val="000000" w:themeColor="text1"/>
          <w:szCs w:val="21"/>
          <w:lang w:val="en-US" w:eastAsia="zh-CN"/>
          <w14:textFill>
            <w14:solidFill>
              <w14:schemeClr w14:val="tx1"/>
            </w14:solidFill>
          </w14:textFill>
        </w:rPr>
        <w:t>8</w:t>
      </w:r>
      <w:r>
        <w:rPr>
          <w:rFonts w:ascii="Arial" w:hAnsi="Arial" w:cs="Arial"/>
          <w:color w:val="000000" w:themeColor="text1"/>
          <w:szCs w:val="21"/>
          <w14:textFill>
            <w14:solidFill>
              <w14:schemeClr w14:val="tx1"/>
            </w14:solidFill>
          </w14:textFill>
        </w:rPr>
        <w:t>投标无效认定</w:t>
      </w:r>
    </w:p>
    <w:p w14:paraId="1E89D89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（1）在评审过程中如发现下列情形之一的，投标文件将被视为无效：</w:t>
      </w:r>
    </w:p>
    <w:p w14:paraId="7D3B9C20">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①投标文件存在法律、法规及监督部门有关文件规定的无效情形。</w:t>
      </w:r>
    </w:p>
    <w:p w14:paraId="2414358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②投标文件存在招标文件规定的无效情形。</w:t>
      </w:r>
    </w:p>
    <w:p w14:paraId="78F025B3">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2FD4F61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6.3.8比较与评价</w:t>
      </w:r>
    </w:p>
    <w:p w14:paraId="5B255DD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（1）评审委员会按招标文件中规定的评审方法和标准，对符合性审查合格的投标文件进行综合比较与评价。</w:t>
      </w:r>
    </w:p>
    <w:p w14:paraId="3F5646A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（2）评审委员会各成员独立对每个有效供应商的投标文件进行评价。评价有误的应及时进行修正。评分标准如有客观分定义，评审委员会所有成员的客观分评分分值应当一致。</w:t>
      </w:r>
    </w:p>
    <w:p w14:paraId="06451D7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（3）评审委员会按综合评分由高到低的排列顺序推荐中标候选人，中标候选人最多不超过3名。若中标候选人综合评分相同的，按投标报价由低到高顺序排列；综合评分且投标报价相同的</w:t>
      </w:r>
      <w:r>
        <w:rPr>
          <w:rFonts w:ascii="Arial" w:hAnsi="Arial" w:cs="Arial"/>
          <w:color w:val="000000" w:themeColor="text1"/>
          <w14:textFill>
            <w14:solidFill>
              <w14:schemeClr w14:val="tx1"/>
            </w14:solidFill>
          </w14:textFill>
        </w:rPr>
        <w:t>并列</w:t>
      </w:r>
      <w:r>
        <w:rPr>
          <w:rFonts w:ascii="Arial" w:hAnsi="Arial" w:cs="Arial"/>
          <w:color w:val="000000" w:themeColor="text1"/>
          <w:szCs w:val="21"/>
          <w14:textFill>
            <w14:solidFill>
              <w14:schemeClr w14:val="tx1"/>
            </w14:solidFill>
          </w14:textFill>
        </w:rPr>
        <w:t>；中标候选人并列的，按技术部分得分由高到低顺序排列，若综合评分、投标报价、技术部分均相同的，按商务部分得分由高到低顺序排列。</w:t>
      </w:r>
    </w:p>
    <w:p w14:paraId="197A2556">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（4）评审委员会根据评审记录及评审结果编写评审报告，评审委员会成员均应当在评审报告上签字，对自己的评审意见承担法律责任。</w:t>
      </w:r>
      <w:r>
        <w:rPr>
          <w:rFonts w:ascii="Arial" w:hAnsi="Arial" w:cs="Arial"/>
          <w:color w:val="000000" w:themeColor="text1"/>
          <w14:textFill>
            <w14:solidFill>
              <w14:schemeClr w14:val="tx1"/>
            </w14:solidFill>
          </w14:textFill>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41881FF4">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分值汇总计算错误的；分项评分超出评分标准范围的；评审委员会成员对客观评审因素评分不一致的；经评审委员会认定评分畸高、畸低的。</w:t>
      </w:r>
    </w:p>
    <w:p w14:paraId="34448E6C">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6.4确定中标人</w:t>
      </w:r>
    </w:p>
    <w:p w14:paraId="6369482E">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6.4.1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659054F2">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6.4.2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9042DC0">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6.5结果公告</w:t>
      </w:r>
    </w:p>
    <w:p w14:paraId="1D318615">
      <w:pPr>
        <w:spacing w:before="120" w:line="320" w:lineRule="atLeast"/>
        <w:ind w:firstLine="420" w:firstLineChars="200"/>
        <w:rPr>
          <w:rFonts w:hint="eastAsia" w:ascii="Arial" w:hAnsi="Arial" w:eastAsia="宋体" w:cs="Arial"/>
          <w:color w:val="000000" w:themeColor="text1"/>
          <w:szCs w:val="21"/>
          <w:lang w:eastAsia="zh-CN"/>
          <w14:textFill>
            <w14:solidFill>
              <w14:schemeClr w14:val="tx1"/>
            </w14:solidFill>
          </w14:textFill>
        </w:rPr>
      </w:pPr>
      <w:r>
        <w:rPr>
          <w:rFonts w:ascii="Arial" w:hAnsi="Arial" w:cs="Arial"/>
          <w:color w:val="000000" w:themeColor="text1"/>
          <w:szCs w:val="21"/>
          <w14:textFill>
            <w14:solidFill>
              <w14:schemeClr w14:val="tx1"/>
            </w14:solidFill>
          </w14:textFill>
        </w:rPr>
        <w:t>6.5.1自中标人确定后2个工作日内，采购代理机构按照供应商须知</w:t>
      </w:r>
      <w:r>
        <w:rPr>
          <w:rFonts w:ascii="Arial" w:hAnsi="Arial" w:cs="Arial"/>
          <w:color w:val="000000" w:themeColor="text1"/>
          <w:kern w:val="0"/>
          <w:szCs w:val="21"/>
          <w14:textFill>
            <w14:solidFill>
              <w14:schemeClr w14:val="tx1"/>
            </w14:solidFill>
          </w14:textFill>
        </w:rPr>
        <w:t>前附表的规定公告</w:t>
      </w:r>
      <w:r>
        <w:rPr>
          <w:rFonts w:ascii="Arial" w:hAnsi="Arial" w:cs="Arial"/>
          <w:color w:val="000000" w:themeColor="text1"/>
          <w:szCs w:val="21"/>
          <w14:textFill>
            <w14:solidFill>
              <w14:schemeClr w14:val="tx1"/>
            </w14:solidFill>
          </w14:textFill>
        </w:rPr>
        <w:t>中标结果</w:t>
      </w:r>
      <w:r>
        <w:rPr>
          <w:rFonts w:hint="eastAsia" w:ascii="Arial" w:hAnsi="Arial" w:cs="Arial"/>
          <w:color w:val="000000" w:themeColor="text1"/>
          <w:szCs w:val="21"/>
          <w:lang w:eastAsia="zh-CN"/>
          <w14:textFill>
            <w14:solidFill>
              <w14:schemeClr w14:val="tx1"/>
            </w14:solidFill>
          </w14:textFill>
        </w:rPr>
        <w:t>，</w:t>
      </w:r>
      <w:r>
        <w:rPr>
          <w:rFonts w:hint="eastAsia"/>
          <w:szCs w:val="21"/>
        </w:rPr>
        <w:t>中标结果公告期限为1个工作日</w:t>
      </w:r>
      <w:r>
        <w:rPr>
          <w:rFonts w:hint="eastAsia"/>
          <w:szCs w:val="21"/>
          <w:lang w:eastAsia="zh-CN"/>
        </w:rPr>
        <w:t>，</w:t>
      </w:r>
      <w:r>
        <w:rPr>
          <w:rFonts w:hint="eastAsia"/>
          <w:szCs w:val="21"/>
        </w:rPr>
        <w:t>发布中标结果公告的同时向中标</w:t>
      </w:r>
      <w:r>
        <w:rPr>
          <w:rFonts w:hint="eastAsia"/>
          <w:szCs w:val="21"/>
          <w:lang w:val="en-US" w:eastAsia="zh-CN"/>
        </w:rPr>
        <w:t>人</w:t>
      </w:r>
      <w:r>
        <w:rPr>
          <w:rFonts w:hint="eastAsia"/>
          <w:szCs w:val="21"/>
        </w:rPr>
        <w:t>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w:t>
      </w:r>
      <w:r>
        <w:rPr>
          <w:rFonts w:hint="eastAsia"/>
          <w:szCs w:val="21"/>
          <w:lang w:val="en-US" w:eastAsia="zh-CN"/>
        </w:rPr>
        <w:t>采购人</w:t>
      </w:r>
      <w:r>
        <w:rPr>
          <w:rFonts w:hint="eastAsia"/>
          <w:szCs w:val="21"/>
        </w:rPr>
        <w:t>可以确定排名第三的中标候选人为中标人，以此类推。以上信息查询记录及相关证据与采购文件一并保存。</w:t>
      </w:r>
    </w:p>
    <w:p w14:paraId="6AE0171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6.5.2在发布结果公告的同时，采购代理机构以供应商须知前附表规定的形式向中标人发出中标通知书。中标通知书发出后，采购人改变中标结果，或者中标人放弃中标，应当承担相应的法律责任。</w:t>
      </w:r>
    </w:p>
    <w:p w14:paraId="78CB38CF">
      <w:pPr>
        <w:spacing w:before="120" w:line="320" w:lineRule="atLeast"/>
        <w:ind w:firstLine="420" w:firstLineChars="200"/>
        <w:rPr>
          <w:rFonts w:ascii="Arial" w:hAnsi="Arial" w:cs="Arial"/>
          <w:b/>
          <w:bCs/>
          <w:color w:val="000000" w:themeColor="text1"/>
          <w:kern w:val="0"/>
          <w:szCs w:val="21"/>
          <w14:textFill>
            <w14:solidFill>
              <w14:schemeClr w14:val="tx1"/>
            </w14:solidFill>
          </w14:textFill>
        </w:rPr>
      </w:pPr>
      <w:r>
        <w:rPr>
          <w:rFonts w:ascii="Arial" w:hAnsi="Arial" w:cs="Arial"/>
          <w:color w:val="000000" w:themeColor="text1"/>
          <w:szCs w:val="21"/>
          <w14:textFill>
            <w14:solidFill>
              <w14:schemeClr w14:val="tx1"/>
            </w14:solidFill>
          </w14:textFill>
        </w:rPr>
        <w:t>6.5.3在发布结果公告的同时，采购代理机构以供应商须知前附表规定的形式向未中标人发出招标结果通知书，供应商自行承担未及时查收的后果。</w:t>
      </w:r>
    </w:p>
    <w:p w14:paraId="02705128">
      <w:pPr>
        <w:suppressAutoHyphens/>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6.6废标</w:t>
      </w:r>
    </w:p>
    <w:p w14:paraId="32F5BB52">
      <w:pPr>
        <w:spacing w:before="120" w:line="320" w:lineRule="atLeast"/>
        <w:ind w:firstLine="420" w:firstLineChars="200"/>
        <w:rPr>
          <w:rFonts w:ascii="Arial" w:hAnsi="Arial" w:cs="Arial"/>
          <w:color w:val="000000" w:themeColor="text1"/>
          <w:kern w:val="1"/>
          <w:szCs w:val="21"/>
          <w14:textFill>
            <w14:solidFill>
              <w14:schemeClr w14:val="tx1"/>
            </w14:solidFill>
          </w14:textFill>
        </w:rPr>
      </w:pPr>
      <w:r>
        <w:rPr>
          <w:rFonts w:ascii="Arial" w:hAnsi="Arial" w:cs="Arial"/>
          <w:color w:val="000000" w:themeColor="text1"/>
          <w:kern w:val="1"/>
          <w:szCs w:val="21"/>
          <w14:textFill>
            <w14:solidFill>
              <w14:schemeClr w14:val="tx1"/>
            </w14:solidFill>
          </w14:textFill>
        </w:rPr>
        <w:t xml:space="preserve">6.6.1出现下列情形之一，将导致项目废标： </w:t>
      </w:r>
    </w:p>
    <w:p w14:paraId="4D215B2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kern w:val="1"/>
          <w:szCs w:val="21"/>
          <w14:textFill>
            <w14:solidFill>
              <w14:schemeClr w14:val="tx1"/>
            </w14:solidFill>
          </w14:textFill>
        </w:rPr>
        <w:t>（1</w:t>
      </w:r>
      <w:r>
        <w:rPr>
          <w:rFonts w:ascii="Arial" w:hAnsi="Arial" w:cs="Arial"/>
          <w:color w:val="000000" w:themeColor="text1"/>
          <w:szCs w:val="21"/>
          <w14:textFill>
            <w14:solidFill>
              <w14:schemeClr w14:val="tx1"/>
            </w14:solidFill>
          </w14:textFill>
        </w:rPr>
        <w:t>）符合专业条件的供应商或者对招标文件做实质性响应的供应商不足三家；</w:t>
      </w:r>
    </w:p>
    <w:p w14:paraId="04C5FEA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（2）出现影响采购公正的违法、违规行为的；</w:t>
      </w:r>
    </w:p>
    <w:p w14:paraId="6397FDC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（3）供应商的报价均超过了采购预算，采购人不能支付的；</w:t>
      </w:r>
    </w:p>
    <w:p w14:paraId="3BCF289D">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（4）</w:t>
      </w:r>
      <w:r>
        <w:rPr>
          <w:rFonts w:ascii="Arial" w:hAnsi="Arial" w:cs="Arial"/>
          <w:color w:val="000000" w:themeColor="text1"/>
          <w14:textFill>
            <w14:solidFill>
              <w14:schemeClr w14:val="tx1"/>
            </w14:solidFill>
          </w14:textFill>
        </w:rPr>
        <w:t>因发生重大变故或采购任务取消的。</w:t>
      </w:r>
    </w:p>
    <w:p w14:paraId="0D6C47B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kern w:val="1"/>
          <w:szCs w:val="21"/>
          <w14:textFill>
            <w14:solidFill>
              <w14:schemeClr w14:val="tx1"/>
            </w14:solidFill>
          </w14:textFill>
        </w:rPr>
        <w:t>6.6.2废标后</w:t>
      </w:r>
      <w:r>
        <w:rPr>
          <w:rFonts w:ascii="Arial" w:hAnsi="Arial" w:cs="Arial"/>
          <w:color w:val="000000" w:themeColor="text1"/>
          <w:szCs w:val="21"/>
          <w14:textFill>
            <w14:solidFill>
              <w14:schemeClr w14:val="tx1"/>
            </w14:solidFill>
          </w14:textFill>
        </w:rPr>
        <w:t>采购</w:t>
      </w:r>
      <w:r>
        <w:rPr>
          <w:rFonts w:ascii="Arial" w:hAnsi="Arial" w:cs="Arial"/>
          <w:color w:val="000000" w:themeColor="text1"/>
          <w:kern w:val="1"/>
          <w:szCs w:val="21"/>
          <w14:textFill>
            <w14:solidFill>
              <w14:schemeClr w14:val="tx1"/>
            </w14:solidFill>
          </w14:textFill>
        </w:rPr>
        <w:t>代理机构将发布废标公告通知供应商。</w:t>
      </w:r>
      <w:bookmarkEnd w:id="59"/>
    </w:p>
    <w:bookmarkEnd w:id="56"/>
    <w:p w14:paraId="1CCBE0DA">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7．合同</w:t>
      </w:r>
    </w:p>
    <w:p w14:paraId="2DF8DFCA">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7.1合同授予标准</w:t>
      </w:r>
    </w:p>
    <w:p w14:paraId="0EE1FF2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10660105">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7.2签订合同</w:t>
      </w:r>
    </w:p>
    <w:p w14:paraId="7F3FBFCC">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63" w:name="_Hlk93421039"/>
      <w:r>
        <w:rPr>
          <w:rFonts w:ascii="Arial" w:hAnsi="Arial" w:cs="Arial"/>
          <w:color w:val="000000" w:themeColor="text1"/>
          <w:szCs w:val="21"/>
          <w14:textFill>
            <w14:solidFill>
              <w14:schemeClr w14:val="tx1"/>
            </w14:solidFill>
          </w14:textFill>
        </w:rPr>
        <w:t>7.2.1如招标文件无特别规定，中标人按招标文件确定的事项签订政府采购合同。</w:t>
      </w:r>
    </w:p>
    <w:p w14:paraId="52E36DA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7.2.2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47615EE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7.2.3如中标人不按中标通知书的规定签订合同，其投标保证金将不予退还，并报由同级政府采购监督管理部门处理。</w:t>
      </w:r>
    </w:p>
    <w:p w14:paraId="2B47EC2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7.2.4中标人拒绝与采购人签订合同的，采购人可以按照评审报告推荐的中标候选人名单排序，确定下一候选人为中标人，也可以重新开展政府采购活动。</w:t>
      </w:r>
    </w:p>
    <w:p w14:paraId="5CC50618">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64" w:name="_Hlk155170999"/>
      <w:r>
        <w:rPr>
          <w:rFonts w:ascii="Arial" w:hAnsi="Arial" w:cs="Arial"/>
          <w:color w:val="000000" w:themeColor="text1"/>
          <w:szCs w:val="21"/>
          <w14:textFill>
            <w14:solidFill>
              <w14:schemeClr w14:val="tx1"/>
            </w14:solidFill>
          </w14:textFill>
        </w:rPr>
        <w:t>7.2.5采购人因不可抗力原因迟延签订合同的，应当自不可抗力事由消除之日起7日内完成合同签订事宜。</w:t>
      </w:r>
    </w:p>
    <w:bookmarkEnd w:id="63"/>
    <w:bookmarkEnd w:id="64"/>
    <w:p w14:paraId="4AB9B3B0">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7.3合同公告</w:t>
      </w:r>
    </w:p>
    <w:p w14:paraId="43CAF8B7">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65" w:name="_Hlk93421052"/>
      <w:r>
        <w:rPr>
          <w:rFonts w:ascii="Arial" w:hAnsi="Arial" w:cs="Arial"/>
          <w:color w:val="000000" w:themeColor="text1"/>
          <w:szCs w:val="21"/>
          <w14:textFill>
            <w14:solidFill>
              <w14:schemeClr w14:val="tx1"/>
            </w14:solidFill>
          </w14:textFill>
        </w:rPr>
        <w:t>7.3.1如招标文件无特殊规定，中标人应在签订合同后1个工作日内，将政府采购合同副本送采购代理机构存档。</w:t>
      </w:r>
    </w:p>
    <w:p w14:paraId="5F6447C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7.3.2采购人应当自政府采购合同签订之日起2个工作日内，将政府采购合同在省级以上人民政府财政部门指定的媒体上公告，但政府采购合同中涉及国家秘密、商业秘密的内容除外。</w:t>
      </w:r>
    </w:p>
    <w:p w14:paraId="533FFECC">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66" w:name="_Hlk155171014"/>
      <w:r>
        <w:rPr>
          <w:rFonts w:ascii="Arial" w:hAnsi="Arial" w:cs="Arial"/>
          <w:color w:val="000000" w:themeColor="text1"/>
          <w:szCs w:val="21"/>
          <w14:textFill>
            <w14:solidFill>
              <w14:schemeClr w14:val="tx1"/>
            </w14:solidFill>
          </w14:textFill>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65"/>
    <w:bookmarkEnd w:id="66"/>
    <w:p w14:paraId="654C99E1">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7.4 履行合同</w:t>
      </w:r>
    </w:p>
    <w:p w14:paraId="1058A651">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67" w:name="_Hlk93421061"/>
      <w:r>
        <w:rPr>
          <w:rFonts w:ascii="Arial" w:hAnsi="Arial" w:cs="Arial"/>
          <w:color w:val="000000" w:themeColor="text1"/>
          <w:szCs w:val="21"/>
          <w14:textFill>
            <w14:solidFill>
              <w14:schemeClr w14:val="tx1"/>
            </w14:solidFill>
          </w14:textFill>
        </w:rPr>
        <w:t>7.4.1</w:t>
      </w:r>
      <w:bookmarkStart w:id="68" w:name="_Toc217446070"/>
      <w:bookmarkStart w:id="69" w:name="_Toc308164814"/>
      <w:r>
        <w:rPr>
          <w:rFonts w:ascii="Arial" w:hAnsi="Arial" w:cs="Arial"/>
          <w:color w:val="000000" w:themeColor="text1"/>
          <w:szCs w:val="21"/>
          <w14:textFill>
            <w14:solidFill>
              <w14:schemeClr w14:val="tx1"/>
            </w14:solidFill>
          </w14:textFill>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67"/>
    <w:p w14:paraId="45DA9878">
      <w:pPr>
        <w:spacing w:before="120" w:line="320" w:lineRule="atLeast"/>
        <w:ind w:firstLine="422" w:firstLineChars="200"/>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7.5履约验收</w:t>
      </w:r>
      <w:bookmarkEnd w:id="68"/>
      <w:bookmarkEnd w:id="69"/>
    </w:p>
    <w:p w14:paraId="0BF1D3F1">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70" w:name="_Hlk93421069"/>
      <w:r>
        <w:rPr>
          <w:rFonts w:ascii="Arial" w:hAnsi="Arial" w:cs="Arial"/>
          <w:color w:val="000000" w:themeColor="text1"/>
          <w:szCs w:val="21"/>
          <w14:textFill>
            <w14:solidFill>
              <w14:schemeClr w14:val="tx1"/>
            </w14:solidFill>
          </w14:textFill>
        </w:rPr>
        <w:t>7.5.1采购人可以根据政府采购项目具体情况自行组织验收，或者委托政府采购代理机构、国家认可的质量检测机构开展采购项目履约验收工作。</w:t>
      </w:r>
    </w:p>
    <w:p w14:paraId="7465426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7.5.2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25CD560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7.5.3采购合同项目完成验收后，采购人应当将验收原始记录、验收书等资料作为该采购项目档案妥善保管，不得伪造、变造、隐匿或者销毁，验收资料保存期为采购结束之日起至少保存15年。</w:t>
      </w:r>
    </w:p>
    <w:p w14:paraId="2E0102FC">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7.5.4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70"/>
    <w:p w14:paraId="4A015EFD">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bookmarkStart w:id="71" w:name="_Toc254970674"/>
      <w:bookmarkStart w:id="72" w:name="_Toc254970533"/>
      <w:r>
        <w:rPr>
          <w:rFonts w:ascii="Arial" w:hAnsi="Arial" w:cs="Arial"/>
          <w:b/>
          <w:bCs/>
          <w:color w:val="000000" w:themeColor="text1"/>
          <w:kern w:val="0"/>
          <w:szCs w:val="21"/>
          <w14:textFill>
            <w14:solidFill>
              <w14:schemeClr w14:val="tx1"/>
            </w14:solidFill>
          </w14:textFill>
        </w:rPr>
        <w:t>8．质疑和投诉</w:t>
      </w:r>
      <w:bookmarkEnd w:id="71"/>
      <w:bookmarkEnd w:id="72"/>
    </w:p>
    <w:p w14:paraId="1DAFA86F">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8.1质疑</w:t>
      </w:r>
    </w:p>
    <w:p w14:paraId="092288D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8.1.1质疑内容、时限</w:t>
      </w:r>
    </w:p>
    <w:p w14:paraId="16CEE74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3F65796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供应商为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4D14972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8.1.2质疑形式</w:t>
      </w:r>
    </w:p>
    <w:p w14:paraId="6F0F5B5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质疑应当采用供应商须知前附表所规定的形式，质疑书应明确阐述招标文件、采购过程或中标结果中使自己合法权益受到损害的实质性内容，提供相关事实、依据和证据及其来源或线索，便于有关单位调查、答复和处理。</w:t>
      </w:r>
    </w:p>
    <w:p w14:paraId="1CA853DC">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8.1.3</w:t>
      </w:r>
      <w:r>
        <w:rPr>
          <w:rFonts w:ascii="Arial" w:hAnsi="Arial" w:cs="Arial"/>
          <w:color w:val="000000" w:themeColor="text1"/>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供应商提出质疑应当提交质疑函和必要的证明材料。质疑函应当包括下列内容：</w:t>
      </w:r>
    </w:p>
    <w:p w14:paraId="6E1FAE5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w:t>
      </w:r>
      <w:r>
        <w:rPr>
          <w:rFonts w:ascii="Arial" w:hAnsi="Arial" w:cs="Arial"/>
          <w:color w:val="000000" w:themeColor="text1"/>
          <w:szCs w:val="21"/>
          <w14:textFill>
            <w14:solidFill>
              <w14:schemeClr w14:val="tx1"/>
            </w14:solidFill>
          </w14:textFill>
        </w:rPr>
        <w:tab/>
      </w:r>
      <w:r>
        <w:rPr>
          <w:rFonts w:ascii="Arial" w:hAnsi="Arial" w:cs="Arial"/>
          <w:color w:val="000000" w:themeColor="text1"/>
          <w:szCs w:val="21"/>
          <w14:textFill>
            <w14:solidFill>
              <w14:schemeClr w14:val="tx1"/>
            </w14:solidFill>
          </w14:textFill>
        </w:rPr>
        <w:t>供应商的姓名或者名称、地址、邮编、联系人及联系电话；</w:t>
      </w:r>
    </w:p>
    <w:p w14:paraId="66E5E93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w:t>
      </w:r>
      <w:r>
        <w:rPr>
          <w:rFonts w:ascii="Arial" w:hAnsi="Arial" w:cs="Arial"/>
          <w:color w:val="000000" w:themeColor="text1"/>
          <w:szCs w:val="21"/>
          <w14:textFill>
            <w14:solidFill>
              <w14:schemeClr w14:val="tx1"/>
            </w14:solidFill>
          </w14:textFill>
        </w:rPr>
        <w:tab/>
      </w:r>
      <w:r>
        <w:rPr>
          <w:rFonts w:ascii="Arial" w:hAnsi="Arial" w:cs="Arial"/>
          <w:color w:val="000000" w:themeColor="text1"/>
          <w:szCs w:val="21"/>
          <w14:textFill>
            <w14:solidFill>
              <w14:schemeClr w14:val="tx1"/>
            </w14:solidFill>
          </w14:textFill>
        </w:rPr>
        <w:t>质疑项目的名称、编号；</w:t>
      </w:r>
    </w:p>
    <w:p w14:paraId="599FC21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w:t>
      </w:r>
      <w:r>
        <w:rPr>
          <w:rFonts w:ascii="Arial" w:hAnsi="Arial" w:cs="Arial"/>
          <w:color w:val="000000" w:themeColor="text1"/>
          <w:szCs w:val="21"/>
          <w14:textFill>
            <w14:solidFill>
              <w14:schemeClr w14:val="tx1"/>
            </w14:solidFill>
          </w14:textFill>
        </w:rPr>
        <w:tab/>
      </w:r>
      <w:r>
        <w:rPr>
          <w:rFonts w:ascii="Arial" w:hAnsi="Arial" w:cs="Arial"/>
          <w:color w:val="000000" w:themeColor="text1"/>
          <w:szCs w:val="21"/>
          <w14:textFill>
            <w14:solidFill>
              <w14:schemeClr w14:val="tx1"/>
            </w14:solidFill>
          </w14:textFill>
        </w:rPr>
        <w:t>具体、明确的质疑事项和与质疑事项相关的请求；</w:t>
      </w:r>
    </w:p>
    <w:p w14:paraId="741AA2F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w:t>
      </w:r>
      <w:r>
        <w:rPr>
          <w:rFonts w:ascii="Arial" w:hAnsi="Arial" w:cs="Arial"/>
          <w:color w:val="000000" w:themeColor="text1"/>
          <w:szCs w:val="21"/>
          <w14:textFill>
            <w14:solidFill>
              <w14:schemeClr w14:val="tx1"/>
            </w14:solidFill>
          </w14:textFill>
        </w:rPr>
        <w:tab/>
      </w:r>
      <w:r>
        <w:rPr>
          <w:rFonts w:ascii="Arial" w:hAnsi="Arial" w:cs="Arial"/>
          <w:color w:val="000000" w:themeColor="text1"/>
          <w:szCs w:val="21"/>
          <w14:textFill>
            <w14:solidFill>
              <w14:schemeClr w14:val="tx1"/>
            </w14:solidFill>
          </w14:textFill>
        </w:rPr>
        <w:t>事实依据；</w:t>
      </w:r>
    </w:p>
    <w:p w14:paraId="448FEC25">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w:t>
      </w:r>
      <w:r>
        <w:rPr>
          <w:rFonts w:ascii="Arial" w:hAnsi="Arial" w:cs="Arial"/>
          <w:color w:val="000000" w:themeColor="text1"/>
          <w:szCs w:val="21"/>
          <w14:textFill>
            <w14:solidFill>
              <w14:schemeClr w14:val="tx1"/>
            </w14:solidFill>
          </w14:textFill>
        </w:rPr>
        <w:tab/>
      </w:r>
      <w:r>
        <w:rPr>
          <w:rFonts w:ascii="Arial" w:hAnsi="Arial" w:cs="Arial"/>
          <w:color w:val="000000" w:themeColor="text1"/>
          <w:szCs w:val="21"/>
          <w14:textFill>
            <w14:solidFill>
              <w14:schemeClr w14:val="tx1"/>
            </w14:solidFill>
          </w14:textFill>
        </w:rPr>
        <w:t>必要的法律依据；</w:t>
      </w:r>
    </w:p>
    <w:p w14:paraId="6C2C8D3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w:t>
      </w:r>
      <w:r>
        <w:rPr>
          <w:rFonts w:ascii="Arial" w:hAnsi="Arial" w:cs="Arial"/>
          <w:color w:val="000000" w:themeColor="text1"/>
          <w:szCs w:val="21"/>
          <w14:textFill>
            <w14:solidFill>
              <w14:schemeClr w14:val="tx1"/>
            </w14:solidFill>
          </w14:textFill>
        </w:rPr>
        <w:tab/>
      </w:r>
      <w:r>
        <w:rPr>
          <w:rFonts w:ascii="Arial" w:hAnsi="Arial" w:cs="Arial"/>
          <w:color w:val="000000" w:themeColor="text1"/>
          <w:szCs w:val="21"/>
          <w14:textFill>
            <w14:solidFill>
              <w14:schemeClr w14:val="tx1"/>
            </w14:solidFill>
          </w14:textFill>
        </w:rPr>
        <w:t>提出质疑的日期。</w:t>
      </w:r>
    </w:p>
    <w:p w14:paraId="7D6DEC7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供应商为自然人的，应当由本人签字；供应商为法人或者其他组织的，应当由法定代表人、主要负责人，或者其授权代表签字或者盖章，并加盖公章。 </w:t>
      </w:r>
    </w:p>
    <w:p w14:paraId="286EE1B4">
      <w:pPr>
        <w:spacing w:before="120" w:line="320" w:lineRule="atLeast"/>
        <w:ind w:firstLine="422" w:firstLineChars="200"/>
        <w:outlineLvl w:val="2"/>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8.2投诉</w:t>
      </w:r>
    </w:p>
    <w:p w14:paraId="04300C5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8.2.1供应商对采购人、采购代理机构的答复不满意，或者采购人、采购代理机构未在规定时间内答复的，可在答复期满后15个工作日内按有关规定，向同级财政部门投诉。</w:t>
      </w:r>
    </w:p>
    <w:p w14:paraId="36AD5A7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8.2.2投诉书应使用财政部发布的政府采购供应投诉书范本，并应按照“投诉书制作说明”进行编写。</w:t>
      </w:r>
    </w:p>
    <w:p w14:paraId="3014DCEA">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9．其他事项</w:t>
      </w:r>
    </w:p>
    <w:p w14:paraId="779D1E78">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9.1代理服务收费由采购代理机构向中标人收取。签订合同前，中标人应向采购代理机构一次付清代理服务费。</w:t>
      </w:r>
    </w:p>
    <w:p w14:paraId="6458A587">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9.2电子交易活动的中止。采购过程中出现以下情形，导致电子交易平台无法正常运行，或者无法保证电子交易的公平、公正和安全时，采购机构可中止电子交易活动：</w:t>
      </w:r>
    </w:p>
    <w:p w14:paraId="29F9C4CD">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（1）电子交易平台发生故障而无法登录访问的； </w:t>
      </w:r>
    </w:p>
    <w:p w14:paraId="6DCB4A97">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（2）电子交易平台应用或数据库出现错误，不能进行正常操作的；</w:t>
      </w:r>
    </w:p>
    <w:p w14:paraId="2C8FEF93">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（3）电子交易平台发现严重安全漏洞，有潜在泄密危险的；</w:t>
      </w:r>
    </w:p>
    <w:p w14:paraId="4CD19E05">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（4）病毒发作导致不能进行正常操作的； </w:t>
      </w:r>
    </w:p>
    <w:p w14:paraId="569BDCED">
      <w:pPr>
        <w:spacing w:before="120" w:line="276"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（5）其他无法保证电子交易的公平、公正和安全的情况。</w:t>
      </w:r>
    </w:p>
    <w:p w14:paraId="5AE2C766">
      <w:pPr>
        <w:tabs>
          <w:tab w:val="left" w:pos="4820"/>
        </w:tabs>
        <w:spacing w:before="120" w:line="360"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1A5AE606">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9.3本项目的附件及图纸详见供应商须知前附表。</w:t>
      </w:r>
    </w:p>
    <w:p w14:paraId="36F1A13F">
      <w:pPr>
        <w:spacing w:before="120" w:line="320" w:lineRule="atLeast"/>
        <w:ind w:left="2" w:leftChars="1"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9.4本项目的其他事项详见供应商须知前附表。</w:t>
      </w:r>
    </w:p>
    <w:p w14:paraId="4951C377">
      <w:pPr>
        <w:spacing w:before="120" w:line="320" w:lineRule="atLeast"/>
        <w:ind w:left="2" w:leftChars="1" w:firstLine="422" w:firstLineChars="200"/>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10．其他说明</w:t>
      </w:r>
    </w:p>
    <w:p w14:paraId="32083D32">
      <w:pPr>
        <w:spacing w:before="120" w:line="320" w:lineRule="atLeast"/>
        <w:ind w:left="2" w:leftChars="1" w:firstLine="420" w:firstLineChars="200"/>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10.1其余未尽事宜按《中华人民共和国政府采购法》、《中华人民共和国政府采购法实施条例》的相关规定执行。</w:t>
      </w:r>
    </w:p>
    <w:p w14:paraId="7F9EA760">
      <w:pPr>
        <w:spacing w:before="120" w:line="320" w:lineRule="atLeast"/>
        <w:ind w:left="2" w:leftChars="1"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kern w:val="0"/>
          <w:szCs w:val="21"/>
          <w14:textFill>
            <w14:solidFill>
              <w14:schemeClr w14:val="tx1"/>
            </w14:solidFill>
          </w14:textFill>
        </w:rPr>
        <w:t>10.2</w:t>
      </w:r>
      <w:r>
        <w:rPr>
          <w:rFonts w:ascii="Arial" w:hAnsi="Arial" w:cs="Arial"/>
          <w:color w:val="000000" w:themeColor="text1"/>
          <w14:textFill>
            <w14:solidFill>
              <w14:schemeClr w14:val="tx1"/>
            </w14:solidFill>
          </w14:textFill>
        </w:rPr>
        <w:t>本招标文件是根据国家有关法律及有关政策、法规和参照国际惯例编制，解释权属采购代理机构。</w:t>
      </w:r>
    </w:p>
    <w:p w14:paraId="710F5AD7">
      <w:pP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br w:type="page"/>
      </w:r>
    </w:p>
    <w:bookmarkEnd w:id="19"/>
    <w:p w14:paraId="14DB71F5">
      <w:pPr>
        <w:rPr>
          <w:rFonts w:ascii="Arial" w:hAnsi="Arial" w:cs="Arial"/>
          <w:color w:val="000000" w:themeColor="text1"/>
          <w:szCs w:val="21"/>
          <w14:textFill>
            <w14:solidFill>
              <w14:schemeClr w14:val="tx1"/>
            </w14:solidFill>
          </w14:textFill>
        </w:rPr>
      </w:pPr>
    </w:p>
    <w:p w14:paraId="10552C15">
      <w:pPr>
        <w:pStyle w:val="30"/>
        <w:snapToGrid w:val="0"/>
        <w:spacing w:before="120" w:after="120" w:line="320" w:lineRule="exact"/>
        <w:jc w:val="center"/>
        <w:outlineLvl w:val="0"/>
        <w:rPr>
          <w:rFonts w:ascii="Arial" w:hAnsi="Arial" w:cs="Arial"/>
          <w:color w:val="000000" w:themeColor="text1"/>
          <w:sz w:val="32"/>
          <w:szCs w:val="32"/>
          <w14:textFill>
            <w14:solidFill>
              <w14:schemeClr w14:val="tx1"/>
            </w14:solidFill>
          </w14:textFill>
        </w:rPr>
      </w:pPr>
      <w:bookmarkStart w:id="73" w:name="_Toc3087"/>
      <w:bookmarkStart w:id="74" w:name="_Toc254970690"/>
      <w:bookmarkStart w:id="75" w:name="_Toc254970549"/>
      <w:r>
        <w:rPr>
          <w:rFonts w:ascii="Arial" w:hAnsi="Arial" w:cs="Arial"/>
          <w:color w:val="000000" w:themeColor="text1"/>
          <w:sz w:val="32"/>
          <w:szCs w:val="32"/>
          <w14:textFill>
            <w14:solidFill>
              <w14:schemeClr w14:val="tx1"/>
            </w14:solidFill>
          </w14:textFill>
        </w:rPr>
        <w:t>第四章  评标方法及评标标准</w:t>
      </w:r>
      <w:bookmarkEnd w:id="73"/>
    </w:p>
    <w:p w14:paraId="0E853AE3">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一、评标方法</w:t>
      </w:r>
    </w:p>
    <w:p w14:paraId="3F00C609">
      <w:pPr>
        <w:spacing w:before="120" w:line="320" w:lineRule="atLeast"/>
        <w:ind w:firstLine="411" w:firstLineChars="196"/>
        <w:outlineLvl w:val="1"/>
        <w:rPr>
          <w:rFonts w:ascii="Arial" w:hAnsi="Arial" w:cs="Arial"/>
          <w:bCs/>
          <w:color w:val="000000" w:themeColor="text1"/>
          <w:kern w:val="0"/>
          <w:szCs w:val="21"/>
          <w14:textFill>
            <w14:solidFill>
              <w14:schemeClr w14:val="tx1"/>
            </w14:solidFill>
          </w14:textFill>
        </w:rPr>
      </w:pPr>
      <w:r>
        <w:rPr>
          <w:rFonts w:ascii="Arial" w:hAnsi="Arial" w:cs="Arial"/>
          <w:bCs/>
          <w:color w:val="000000" w:themeColor="text1"/>
          <w:kern w:val="0"/>
          <w:szCs w:val="21"/>
          <w14:textFill>
            <w14:solidFill>
              <w14:schemeClr w14:val="tx1"/>
            </w14:solidFill>
          </w14:textFill>
        </w:rPr>
        <w:t>1、评标方法</w:t>
      </w:r>
    </w:p>
    <w:p w14:paraId="3787BBE6">
      <w:pPr>
        <w:suppressAutoHyphens/>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本项目采用综合评分法进行评标。综合评分法，是指投标文件满足招标文件全部实质性要求且按照评标因素的量化指标评标得分最高的供应商为中标候选人的评标方法。</w:t>
      </w:r>
    </w:p>
    <w:p w14:paraId="0B41E99E">
      <w:pPr>
        <w:spacing w:before="120" w:line="320" w:lineRule="atLeast"/>
        <w:ind w:firstLine="411" w:firstLineChars="196"/>
        <w:outlineLvl w:val="1"/>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2、评标依据</w:t>
      </w:r>
    </w:p>
    <w:p w14:paraId="43275E6D">
      <w:pPr>
        <w:suppressAutoHyphens/>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评标委员会以招标文件、补充文件、投标文件、澄清及答复为评标依据。</w:t>
      </w:r>
    </w:p>
    <w:p w14:paraId="71145AD4">
      <w:pPr>
        <w:spacing w:before="120" w:line="320" w:lineRule="atLeast"/>
        <w:ind w:firstLine="411" w:firstLineChars="196"/>
        <w:outlineLvl w:val="1"/>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3、评标委员会</w:t>
      </w:r>
      <w:bookmarkStart w:id="76" w:name="_Hlk19051932"/>
    </w:p>
    <w:p w14:paraId="02926189">
      <w:pPr>
        <w:suppressAutoHyphens/>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本项目评标委员会由政府采购评审专家和采购人代表组成。</w:t>
      </w:r>
      <w:bookmarkEnd w:id="76"/>
      <w:bookmarkStart w:id="77" w:name="_Hlk19051968"/>
      <w:r>
        <w:rPr>
          <w:rFonts w:ascii="Arial" w:hAnsi="Arial" w:cs="Arial"/>
          <w:color w:val="000000" w:themeColor="text1"/>
          <w14:textFill>
            <w14:solidFill>
              <w14:schemeClr w14:val="tx1"/>
            </w14:solidFill>
          </w14:textFill>
        </w:rPr>
        <w:t>评标委员会必须公平、公正、客观，不带任何倾向性和启发性；不得向外界透露任何与评审有关的内容；任何单位和个人不得干扰、影响评审的正常进行；评标委员会及有关工作人员不得私下与供应商接触。评审专家发现本人与参加采购活动的供应商有利害关系的，应当主动提出回避。</w:t>
      </w:r>
      <w:bookmarkEnd w:id="77"/>
    </w:p>
    <w:p w14:paraId="46678B04">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二、评标程序</w:t>
      </w:r>
    </w:p>
    <w:p w14:paraId="11C0FAB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w:t>
      </w:r>
      <w:bookmarkStart w:id="78" w:name="_Hlk19175507"/>
      <w:r>
        <w:rPr>
          <w:rFonts w:ascii="Arial" w:hAnsi="Arial" w:cs="Arial"/>
          <w:color w:val="000000" w:themeColor="text1"/>
          <w:szCs w:val="21"/>
          <w14:textFill>
            <w14:solidFill>
              <w14:schemeClr w14:val="tx1"/>
            </w14:solidFill>
          </w14:textFill>
        </w:rPr>
        <w:t>初步评审：初步评审包括资格检查及符合性检查。</w:t>
      </w:r>
      <w:bookmarkEnd w:id="78"/>
    </w:p>
    <w:p w14:paraId="114E5AAB">
      <w:pPr>
        <w:suppressAutoHyphens/>
        <w:spacing w:before="120" w:line="320" w:lineRule="atLeast"/>
        <w:ind w:firstLine="420" w:firstLineChars="200"/>
        <w:rPr>
          <w:rFonts w:ascii="Arial" w:hAnsi="Arial" w:cs="Arial"/>
          <w:bCs/>
          <w:color w:val="000000" w:themeColor="text1"/>
          <w:kern w:val="1"/>
          <w:szCs w:val="21"/>
          <w14:textFill>
            <w14:solidFill>
              <w14:schemeClr w14:val="tx1"/>
            </w14:solidFill>
          </w14:textFill>
        </w:rPr>
      </w:pPr>
      <w:r>
        <w:rPr>
          <w:rFonts w:ascii="Arial" w:hAnsi="Arial" w:cs="Arial"/>
          <w:bCs/>
          <w:color w:val="000000" w:themeColor="text1"/>
          <w:kern w:val="1"/>
          <w:szCs w:val="21"/>
          <w14:textFill>
            <w14:solidFill>
              <w14:schemeClr w14:val="tx1"/>
            </w14:solidFill>
          </w14:textFill>
        </w:rPr>
        <w:t>2、澄清（如需要）。</w:t>
      </w:r>
    </w:p>
    <w:p w14:paraId="475065F2">
      <w:pPr>
        <w:suppressAutoHyphens/>
        <w:spacing w:before="120" w:line="320" w:lineRule="atLeast"/>
        <w:ind w:firstLine="420" w:firstLineChars="200"/>
        <w:rPr>
          <w:rFonts w:ascii="Arial" w:hAnsi="Arial" w:cs="Arial"/>
          <w:bCs/>
          <w:color w:val="000000" w:themeColor="text1"/>
          <w:kern w:val="1"/>
          <w:szCs w:val="21"/>
          <w14:textFill>
            <w14:solidFill>
              <w14:schemeClr w14:val="tx1"/>
            </w14:solidFill>
          </w14:textFill>
        </w:rPr>
      </w:pPr>
      <w:r>
        <w:rPr>
          <w:rFonts w:ascii="Arial" w:hAnsi="Arial" w:cs="Arial"/>
          <w:bCs/>
          <w:color w:val="000000" w:themeColor="text1"/>
          <w:kern w:val="1"/>
          <w:szCs w:val="21"/>
          <w14:textFill>
            <w14:solidFill>
              <w14:schemeClr w14:val="tx1"/>
            </w14:solidFill>
          </w14:textFill>
        </w:rPr>
        <w:t>3、详细评审。</w:t>
      </w:r>
    </w:p>
    <w:p w14:paraId="145A8ED6">
      <w:pPr>
        <w:suppressAutoHyphens/>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bCs/>
          <w:color w:val="000000" w:themeColor="text1"/>
          <w:kern w:val="1"/>
          <w:szCs w:val="21"/>
          <w14:textFill>
            <w14:solidFill>
              <w14:schemeClr w14:val="tx1"/>
            </w14:solidFill>
          </w14:textFill>
        </w:rPr>
        <w:t>4、推荐中标候选人。</w:t>
      </w:r>
    </w:p>
    <w:p w14:paraId="26FF7FD9">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三、特别说明：</w:t>
      </w:r>
    </w:p>
    <w:p w14:paraId="44583026">
      <w:pPr>
        <w:tabs>
          <w:tab w:val="left" w:pos="2190"/>
        </w:tabs>
        <w:spacing w:line="370" w:lineRule="exact"/>
        <w:ind w:firstLine="435"/>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1、注意事项：本项目实行电子投标，供应商应准备电子投标文件。</w:t>
      </w:r>
    </w:p>
    <w:p w14:paraId="7E5B15DE">
      <w:pPr>
        <w:tabs>
          <w:tab w:val="left" w:pos="2190"/>
        </w:tabs>
        <w:spacing w:line="370" w:lineRule="exact"/>
        <w:ind w:firstLine="435"/>
        <w:rPr>
          <w:rFonts w:ascii="Arial" w:hAnsi="Arial" w:cs="Arial"/>
          <w:b/>
          <w:bCs/>
          <w:color w:val="000000" w:themeColor="text1"/>
          <w:kern w:val="0"/>
          <w:szCs w:val="21"/>
          <w14:textFill>
            <w14:solidFill>
              <w14:schemeClr w14:val="tx1"/>
            </w14:solidFill>
          </w14:textFill>
        </w:rPr>
      </w:pPr>
      <w:r>
        <w:rPr>
          <w:rFonts w:ascii="Arial" w:hAnsi="Arial" w:cs="Arial"/>
          <w:b/>
          <w:color w:val="000000" w:themeColor="text1"/>
          <w:szCs w:val="21"/>
          <w14:textFill>
            <w14:solidFill>
              <w14:schemeClr w14:val="tx1"/>
            </w14:solidFill>
          </w14:textFill>
        </w:rPr>
        <w:t>2、电子投标文件按广西政府采购云平台要求及本招标文件要求制作、加密并递交。具体操作流程可参考《政府采购项目电子交易管理操作指南-供应商》，指南可在 “http://www.ccgp-guangxi.gov.cn/PurchaseAdvisory/ImportantNotice/2866753.html”下载。</w:t>
      </w:r>
    </w:p>
    <w:p w14:paraId="5E566411">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3、供应商提供的以下相关证明材料属于“必须提供”的</w:t>
      </w:r>
      <w:r>
        <w:rPr>
          <w:rFonts w:ascii="Arial" w:hAnsi="Arial" w:cs="Arial"/>
          <w:b/>
          <w:color w:val="000000" w:themeColor="text1"/>
          <w:sz w:val="24"/>
          <w14:textFill>
            <w14:solidFill>
              <w14:schemeClr w14:val="tx1"/>
            </w14:solidFill>
          </w14:textFill>
        </w:rPr>
        <w:t>文件</w:t>
      </w:r>
      <w:r>
        <w:rPr>
          <w:rFonts w:ascii="Arial" w:hAnsi="Arial" w:cs="Arial"/>
          <w:b/>
          <w:bCs/>
          <w:color w:val="000000" w:themeColor="text1"/>
          <w:kern w:val="0"/>
          <w:szCs w:val="21"/>
          <w14:textFill>
            <w14:solidFill>
              <w14:schemeClr w14:val="tx1"/>
            </w14:solidFill>
          </w14:textFill>
        </w:rPr>
        <w:t>应加盖供应商公章（CA签章）/自然人签字或加盖个人CA签章，否则投标无效。</w:t>
      </w:r>
    </w:p>
    <w:p w14:paraId="2788AC77">
      <w:pPr>
        <w:pStyle w:val="30"/>
        <w:spacing w:line="370" w:lineRule="exact"/>
        <w:ind w:firstLine="420"/>
        <w:rPr>
          <w:rFonts w:ascii="Arial" w:hAnsi="Arial" w:cs="Arial"/>
          <w:b/>
          <w:bCs/>
          <w:color w:val="000000" w:themeColor="text1"/>
          <w14:textFill>
            <w14:solidFill>
              <w14:schemeClr w14:val="tx1"/>
            </w14:solidFill>
          </w14:textFill>
        </w:rPr>
      </w:pPr>
      <w:r>
        <w:rPr>
          <w:rFonts w:ascii="Arial" w:hAnsi="Arial" w:cs="Arial"/>
          <w:b/>
          <w:bCs/>
          <w:color w:val="000000" w:themeColor="text1"/>
          <w:kern w:val="0"/>
          <w14:textFill>
            <w14:solidFill>
              <w14:schemeClr w14:val="tx1"/>
            </w14:solidFill>
          </w14:textFill>
        </w:rPr>
        <w:t>4、</w:t>
      </w:r>
      <w:r>
        <w:rPr>
          <w:rFonts w:ascii="Arial" w:hAnsi="Arial" w:cs="Arial"/>
          <w:b/>
          <w:bCs/>
          <w:color w:val="000000" w:themeColor="text1"/>
          <w14:textFill>
            <w14:solidFill>
              <w14:schemeClr w14:val="tx1"/>
            </w14:solidFill>
          </w14:textFill>
        </w:rPr>
        <w:t>投标文件（电子响应文件），其中电子投标文件中所须加盖公章部分均采用CA签章。若招标文件中有专门标注的某关联点，并要求供应商在电子投标系统中作出响应的，如供应商未对关联点进行响应或者在投标文件其它内容进行描述，造成电子评审不能查询的责任由供应商自行承担。</w:t>
      </w:r>
    </w:p>
    <w:p w14:paraId="3FAEEEA2">
      <w:pPr>
        <w:pStyle w:val="30"/>
        <w:spacing w:line="370" w:lineRule="exact"/>
        <w:ind w:firstLine="420"/>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5、招标文件要求法定代表人（负责人）或委托代理人签字的部分必须签字然后扫描或者拍照做成 pdf 格式上传（或加盖个人CA签章），无签字的视为投标无效。</w:t>
      </w:r>
    </w:p>
    <w:p w14:paraId="01D54204">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6、电子投标文件中须加盖供应商公章部分均采用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36620DFC">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7、供应商法人（负责人）或授权代表持有政采云个人CA签章的，应在投标文件中涉及到签字的位置使用个人CA签章，没有办理政采云个人CA签章的可在投标文件中涉及到签字的位置手写签字后扫描或者拍照做成 PDF 的格式上传即可。</w:t>
      </w:r>
    </w:p>
    <w:p w14:paraId="2D2D18AF">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8、投标文件不得涂改，若有修改错漏处，须法定代表人（负责人）或授权委托人签字（或个人CA签章）。投标文件因字迹潦草或表达不清所引起的后果由供应商负责。</w:t>
      </w:r>
    </w:p>
    <w:p w14:paraId="7C225F8D">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9、本项目实行网上评审，采用电子投标文件；若供应商参与投标，自行承担投标一切费用。各供应商在截标前应确保成为广西政府采购云平台正式注册入库供应商，并完成 CA 数字证书申领。因未注册入库、未办理 CA 数字证书等原因造成无法投标或投标失败等后果由供应商自行承担。供应商将政采云电子交易客户端下载、安装完成后，可通过账号密码或 CA 登录客户端进行投标文件制作。客户端请至网站下载专区查看，如有问题可拨打政采云客户服务热线95763 进行咨询。</w:t>
      </w:r>
    </w:p>
    <w:p w14:paraId="013BAE30">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10、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如有特殊情况，采购代理机构延长截止时间和开标时间，采购代理机构和供应商的权利和义务将受到新的截止时间和开标时间的约束。</w:t>
      </w:r>
    </w:p>
    <w:p w14:paraId="635AB447">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四、评标内容</w:t>
      </w:r>
    </w:p>
    <w:p w14:paraId="77CD267C">
      <w:pPr>
        <w:spacing w:before="120" w:line="320" w:lineRule="atLeast"/>
        <w:ind w:firstLine="551" w:firstLineChars="196"/>
        <w:jc w:val="center"/>
        <w:outlineLvl w:val="1"/>
        <w:rPr>
          <w:rFonts w:ascii="Arial" w:hAnsi="Arial" w:cs="Arial"/>
          <w:b/>
          <w:bCs/>
          <w:color w:val="000000" w:themeColor="text1"/>
          <w:kern w:val="0"/>
          <w:sz w:val="28"/>
          <w:szCs w:val="28"/>
          <w14:textFill>
            <w14:solidFill>
              <w14:schemeClr w14:val="tx1"/>
            </w14:solidFill>
          </w14:textFill>
        </w:rPr>
      </w:pPr>
      <w:bookmarkStart w:id="79" w:name="_Hlk19052412"/>
      <w:r>
        <w:rPr>
          <w:rFonts w:ascii="Arial" w:hAnsi="Arial" w:cs="Arial"/>
          <w:b/>
          <w:bCs/>
          <w:color w:val="000000" w:themeColor="text1"/>
          <w:kern w:val="0"/>
          <w:sz w:val="28"/>
          <w:szCs w:val="28"/>
          <w14:textFill>
            <w14:solidFill>
              <w14:schemeClr w14:val="tx1"/>
            </w14:solidFill>
          </w14:textFill>
        </w:rPr>
        <w:t>1、资格审查</w:t>
      </w:r>
    </w:p>
    <w:p w14:paraId="7A090CB9">
      <w:pPr>
        <w:suppressAutoHyphens/>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14:textFill>
            <w14:solidFill>
              <w14:schemeClr w14:val="tx1"/>
            </w14:solidFill>
          </w14:textFill>
        </w:rPr>
        <w:t>采购人代表对所有供应商的投标文件进行资格审查。</w:t>
      </w:r>
      <w:r>
        <w:rPr>
          <w:rFonts w:ascii="Arial" w:hAnsi="Arial" w:cs="Arial"/>
          <w:color w:val="000000" w:themeColor="text1"/>
          <w:szCs w:val="21"/>
          <w14:textFill>
            <w14:solidFill>
              <w14:schemeClr w14:val="tx1"/>
            </w14:solidFill>
          </w14:textFill>
        </w:rPr>
        <w:t>以确定供应商是否具备投标资格。资格审查表如下，缺少任何一项或有任何一项不合格者，其资格审查视为不合格。</w:t>
      </w:r>
    </w:p>
    <w:p w14:paraId="50A45B79">
      <w:pPr>
        <w:suppressAutoHyphens/>
        <w:spacing w:before="120" w:line="288" w:lineRule="auto"/>
        <w:ind w:firstLine="440" w:firstLineChars="200"/>
        <w:rPr>
          <w:rFonts w:ascii="Arial" w:hAnsi="Arial" w:cs="Arial"/>
          <w:color w:val="000000" w:themeColor="text1"/>
          <w14:textFill>
            <w14:solidFill>
              <w14:schemeClr w14:val="tx1"/>
            </w14:solidFill>
          </w14:textFill>
        </w:rPr>
      </w:pPr>
      <w:r>
        <w:rPr>
          <w:rFonts w:ascii="Arial" w:hAnsi="Arial" w:cs="Arial"/>
          <w:color w:val="000000" w:themeColor="text1"/>
          <w:sz w:val="22"/>
          <w:szCs w:val="22"/>
          <w14:textFill>
            <w14:solidFill>
              <w14:schemeClr w14:val="tx1"/>
            </w14:solidFill>
          </w14:textFill>
        </w:rPr>
        <w:t>1.1</w:t>
      </w:r>
      <w:r>
        <w:rPr>
          <w:rFonts w:ascii="Arial" w:hAnsi="Arial" w:cs="Arial"/>
          <w:b/>
          <w:bCs/>
          <w:color w:val="000000" w:themeColor="text1"/>
          <w:sz w:val="22"/>
          <w:szCs w:val="22"/>
          <w14:textFill>
            <w14:solidFill>
              <w14:schemeClr w14:val="tx1"/>
            </w14:solidFill>
          </w14:textFill>
        </w:rPr>
        <w:t>供应商具备有效的“营业执照”或“事业单位法人证书”或“自然人的身份证明”副本复印件。</w:t>
      </w:r>
    </w:p>
    <w:p w14:paraId="5806C722">
      <w:pPr>
        <w:suppressAutoHyphens/>
        <w:spacing w:before="120" w:line="288" w:lineRule="auto"/>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供应商是企业则审查营业执照（副本）复印件；供应商是事业单位，则审查事业单位法人证书（副本）复印件；供应商是非企业专业服务机构的，则审查执业许可证等证明文件复印件；供应商是个体工商户，则审查个体工商户营业执照复印件；供应商是自然人，则审查自然人身份证明复印件；如供应商不是以上所列的法人、组织、自然人的，则提供国家规定的相关证明材料。</w:t>
      </w:r>
    </w:p>
    <w:p w14:paraId="57089A89">
      <w:pPr>
        <w:suppressAutoHyphens/>
        <w:spacing w:before="120" w:line="288" w:lineRule="auto"/>
        <w:ind w:firstLine="442" w:firstLineChars="200"/>
        <w:rPr>
          <w:rFonts w:ascii="Arial" w:hAnsi="Arial" w:cs="Arial"/>
          <w:b/>
          <w:bCs/>
          <w:color w:val="000000" w:themeColor="text1"/>
          <w:sz w:val="22"/>
          <w:szCs w:val="22"/>
          <w:highlight w:val="none"/>
          <w14:textFill>
            <w14:solidFill>
              <w14:schemeClr w14:val="tx1"/>
            </w14:solidFill>
          </w14:textFill>
        </w:rPr>
      </w:pPr>
      <w:r>
        <w:rPr>
          <w:rFonts w:hint="eastAsia" w:ascii="Arial" w:hAnsi="Arial" w:cs="Arial"/>
          <w:b/>
          <w:bCs/>
          <w:color w:val="000000" w:themeColor="text1"/>
          <w:sz w:val="22"/>
          <w:szCs w:val="22"/>
          <w:highlight w:val="none"/>
          <w14:textFill>
            <w14:solidFill>
              <w14:schemeClr w14:val="tx1"/>
            </w14:solidFill>
          </w14:textFill>
        </w:rPr>
        <w:t>1.2供应商具有药品监督管理的部门颁发有效的医疗器械经营许可或者备案（按《医疗器械监督管理条例》免于经营备案和无需办理医疗器械经营许可或者备案的情形除外</w:t>
      </w:r>
      <w:bookmarkStart w:id="127" w:name="_GoBack"/>
      <w:bookmarkEnd w:id="127"/>
      <w:r>
        <w:rPr>
          <w:rFonts w:hint="eastAsia" w:ascii="Arial" w:hAnsi="Arial" w:cs="Arial"/>
          <w:b/>
          <w:bCs/>
          <w:color w:val="000000" w:themeColor="text1"/>
          <w:sz w:val="22"/>
          <w:szCs w:val="22"/>
          <w:highlight w:val="none"/>
          <w14:textFill>
            <w14:solidFill>
              <w14:schemeClr w14:val="tx1"/>
            </w14:solidFill>
          </w14:textFill>
        </w:rPr>
        <w:t>）</w:t>
      </w:r>
      <w:r>
        <w:rPr>
          <w:rFonts w:hint="eastAsia" w:ascii="Arial" w:hAnsi="Arial" w:cs="Arial"/>
          <w:b/>
          <w:bCs/>
          <w:color w:val="000000" w:themeColor="text1"/>
          <w:sz w:val="22"/>
          <w:szCs w:val="22"/>
          <w:highlight w:val="none"/>
          <w:lang w:eastAsia="zh-CN"/>
          <w14:textFill>
            <w14:solidFill>
              <w14:schemeClr w14:val="tx1"/>
            </w14:solidFill>
          </w14:textFill>
        </w:rPr>
        <w:t>。</w:t>
      </w:r>
    </w:p>
    <w:p w14:paraId="66AB3A23">
      <w:pPr>
        <w:suppressAutoHyphens/>
        <w:spacing w:before="120" w:line="288" w:lineRule="auto"/>
        <w:ind w:firstLine="44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 w:val="22"/>
          <w:szCs w:val="22"/>
          <w:highlight w:val="none"/>
          <w14:textFill>
            <w14:solidFill>
              <w14:schemeClr w14:val="tx1"/>
            </w14:solidFill>
          </w14:textFill>
        </w:rPr>
        <w:t>1.</w:t>
      </w:r>
      <w:r>
        <w:rPr>
          <w:rFonts w:hint="eastAsia" w:ascii="Arial" w:hAnsi="Arial" w:cs="Arial"/>
          <w:color w:val="000000" w:themeColor="text1"/>
          <w:sz w:val="22"/>
          <w:szCs w:val="22"/>
          <w:highlight w:val="none"/>
          <w:lang w:val="en-US" w:eastAsia="zh-CN"/>
          <w14:textFill>
            <w14:solidFill>
              <w14:schemeClr w14:val="tx1"/>
            </w14:solidFill>
          </w14:textFill>
        </w:rPr>
        <w:t>3</w:t>
      </w:r>
      <w:r>
        <w:rPr>
          <w:rFonts w:ascii="Arial" w:hAnsi="Arial" w:cs="Arial"/>
          <w:color w:val="000000" w:themeColor="text1"/>
          <w:sz w:val="22"/>
          <w:szCs w:val="22"/>
          <w:highlight w:val="none"/>
          <w14:textFill>
            <w14:solidFill>
              <w14:schemeClr w14:val="tx1"/>
            </w14:solidFill>
          </w14:textFill>
        </w:rPr>
        <w:t xml:space="preserve"> </w:t>
      </w:r>
      <w:r>
        <w:rPr>
          <w:rFonts w:ascii="Arial" w:hAnsi="Arial" w:cs="Arial"/>
          <w:b/>
          <w:bCs/>
          <w:color w:val="000000" w:themeColor="text1"/>
          <w:sz w:val="22"/>
          <w:szCs w:val="22"/>
          <w:highlight w:val="none"/>
          <w14:textFill>
            <w14:solidFill>
              <w14:schemeClr w14:val="tx1"/>
            </w14:solidFill>
          </w14:textFill>
        </w:rPr>
        <w:t>供应商202</w:t>
      </w:r>
      <w:r>
        <w:rPr>
          <w:rFonts w:hint="eastAsia" w:ascii="Arial" w:hAnsi="Arial" w:cs="Arial"/>
          <w:b/>
          <w:bCs/>
          <w:color w:val="000000" w:themeColor="text1"/>
          <w:sz w:val="22"/>
          <w:szCs w:val="22"/>
          <w:highlight w:val="none"/>
          <w:lang w:val="en-US" w:eastAsia="zh-CN"/>
          <w14:textFill>
            <w14:solidFill>
              <w14:schemeClr w14:val="tx1"/>
            </w14:solidFill>
          </w14:textFill>
        </w:rPr>
        <w:t>5</w:t>
      </w:r>
      <w:r>
        <w:rPr>
          <w:rFonts w:ascii="Arial" w:hAnsi="Arial" w:cs="Arial"/>
          <w:b/>
          <w:bCs/>
          <w:color w:val="000000" w:themeColor="text1"/>
          <w:sz w:val="22"/>
          <w:szCs w:val="22"/>
          <w:highlight w:val="none"/>
          <w14:textFill>
            <w14:solidFill>
              <w14:schemeClr w14:val="tx1"/>
            </w14:solidFill>
          </w14:textFill>
        </w:rPr>
        <w:t>年财务状况报告（表）复印件或202</w:t>
      </w:r>
      <w:r>
        <w:rPr>
          <w:rFonts w:hint="eastAsia" w:ascii="Arial" w:hAnsi="Arial" w:cs="Arial"/>
          <w:b/>
          <w:bCs/>
          <w:color w:val="000000" w:themeColor="text1"/>
          <w:sz w:val="22"/>
          <w:szCs w:val="22"/>
          <w:highlight w:val="none"/>
          <w:lang w:val="en-US" w:eastAsia="zh-CN"/>
          <w14:textFill>
            <w14:solidFill>
              <w14:schemeClr w14:val="tx1"/>
            </w14:solidFill>
          </w14:textFill>
        </w:rPr>
        <w:t>6</w:t>
      </w:r>
      <w:r>
        <w:rPr>
          <w:rFonts w:ascii="Arial" w:hAnsi="Arial" w:cs="Arial"/>
          <w:b/>
          <w:bCs/>
          <w:color w:val="000000" w:themeColor="text1"/>
          <w:sz w:val="22"/>
          <w:szCs w:val="22"/>
          <w:highlight w:val="none"/>
          <w14:textFill>
            <w14:solidFill>
              <w14:schemeClr w14:val="tx1"/>
            </w14:solidFill>
          </w14:textFill>
        </w:rPr>
        <w:t>年以来银行出具的资信证明复印件。</w:t>
      </w:r>
      <w:r>
        <w:rPr>
          <w:rFonts w:ascii="Arial" w:hAnsi="Arial" w:cs="Arial"/>
          <w:color w:val="000000" w:themeColor="text1"/>
          <w:szCs w:val="21"/>
          <w:highlight w:val="none"/>
          <w14:textFill>
            <w14:solidFill>
              <w14:schemeClr w14:val="tx1"/>
            </w14:solidFill>
          </w14:textFill>
        </w:rPr>
        <w:t>对</w:t>
      </w:r>
      <w:r>
        <w:rPr>
          <w:rFonts w:ascii="Arial" w:hAnsi="Arial" w:cs="Arial"/>
          <w:color w:val="000000" w:themeColor="text1"/>
          <w:szCs w:val="21"/>
          <w14:textFill>
            <w14:solidFill>
              <w14:schemeClr w14:val="tx1"/>
            </w14:solidFill>
          </w14:textFill>
        </w:rPr>
        <w:t>于从取得营业执照时间起到投标文件递交截止时间为止不足1年的供应商，只需提交投标文件递交截止时间前一个月的财务状况报告（表）复印件。</w:t>
      </w:r>
    </w:p>
    <w:p w14:paraId="3F52A944">
      <w:pPr>
        <w:suppressAutoHyphens/>
        <w:spacing w:before="120" w:line="288" w:lineRule="auto"/>
        <w:ind w:firstLine="440" w:firstLineChars="200"/>
        <w:rPr>
          <w:rFonts w:ascii="Arial" w:hAnsi="Arial" w:cs="Arial"/>
          <w:color w:val="000000" w:themeColor="text1"/>
          <w:szCs w:val="21"/>
          <w:lang w:val="zh-CN"/>
          <w14:textFill>
            <w14:solidFill>
              <w14:schemeClr w14:val="tx1"/>
            </w14:solidFill>
          </w14:textFill>
        </w:rPr>
      </w:pPr>
      <w:r>
        <w:rPr>
          <w:rFonts w:ascii="Arial" w:hAnsi="Arial" w:cs="Arial"/>
          <w:color w:val="000000" w:themeColor="text1"/>
          <w:sz w:val="22"/>
          <w:szCs w:val="22"/>
          <w14:textFill>
            <w14:solidFill>
              <w14:schemeClr w14:val="tx1"/>
            </w14:solidFill>
          </w14:textFill>
        </w:rPr>
        <w:t>1.</w:t>
      </w:r>
      <w:r>
        <w:rPr>
          <w:rFonts w:hint="eastAsia" w:ascii="Arial" w:hAnsi="Arial" w:cs="Arial"/>
          <w:color w:val="000000" w:themeColor="text1"/>
          <w:sz w:val="22"/>
          <w:szCs w:val="22"/>
          <w:lang w:val="en-US" w:eastAsia="zh-CN"/>
          <w14:textFill>
            <w14:solidFill>
              <w14:schemeClr w14:val="tx1"/>
            </w14:solidFill>
          </w14:textFill>
        </w:rPr>
        <w:t>4</w:t>
      </w:r>
      <w:r>
        <w:rPr>
          <w:rFonts w:ascii="Arial" w:hAnsi="Arial" w:cs="Arial"/>
          <w:b/>
          <w:bCs/>
          <w:color w:val="000000" w:themeColor="text1"/>
          <w:sz w:val="22"/>
          <w:szCs w:val="22"/>
          <w:lang w:val="zh-CN"/>
          <w14:textFill>
            <w14:solidFill>
              <w14:schemeClr w14:val="tx1"/>
            </w14:solidFill>
          </w14:textFill>
        </w:rPr>
        <w:t>①投标截止时间前6个月内，供应商任意1个月依法缴纳税费证明复印件。②投标截止时间前6个月内，供应商任意1个月的社保缴费证明记录复印件。</w:t>
      </w:r>
      <w:r>
        <w:rPr>
          <w:rFonts w:ascii="Arial" w:hAnsi="Arial" w:cs="Arial"/>
          <w:color w:val="000000" w:themeColor="text1"/>
          <w:szCs w:val="21"/>
          <w:lang w:val="zh-CN"/>
          <w14:textFill>
            <w14:solidFill>
              <w14:schemeClr w14:val="tx1"/>
            </w14:solidFill>
          </w14:textFill>
        </w:rPr>
        <w:t>供应商成立不足1个月的，无须提供缴纳税费证明及社保缴费证明。依法免税或不需要缴纳社会保障资金的供应商，须提供相应文件证明其依法免税或不需要缴纳社会保障资金。</w:t>
      </w:r>
    </w:p>
    <w:p w14:paraId="7F80A64C">
      <w:pPr>
        <w:suppressAutoHyphens/>
        <w:spacing w:before="120" w:line="288" w:lineRule="auto"/>
        <w:ind w:firstLine="442" w:firstLineChars="200"/>
        <w:rPr>
          <w:rFonts w:ascii="Arial" w:hAnsi="Arial" w:cs="Arial"/>
          <w:color w:val="000000" w:themeColor="text1"/>
          <w:szCs w:val="21"/>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1.</w:t>
      </w:r>
      <w:r>
        <w:rPr>
          <w:rFonts w:hint="eastAsia" w:ascii="Arial" w:hAnsi="Arial" w:cs="Arial"/>
          <w:b/>
          <w:bCs/>
          <w:color w:val="000000" w:themeColor="text1"/>
          <w:sz w:val="22"/>
          <w:szCs w:val="22"/>
          <w:lang w:val="en-US" w:eastAsia="zh-CN"/>
          <w14:textFill>
            <w14:solidFill>
              <w14:schemeClr w14:val="tx1"/>
            </w14:solidFill>
          </w14:textFill>
        </w:rPr>
        <w:t>5</w:t>
      </w:r>
      <w:r>
        <w:rPr>
          <w:rFonts w:ascii="Arial" w:hAnsi="Arial" w:cs="Arial"/>
          <w:b/>
          <w:bCs/>
          <w:color w:val="000000" w:themeColor="text1"/>
          <w:sz w:val="22"/>
          <w:szCs w:val="22"/>
          <w14:textFill>
            <w14:solidFill>
              <w14:schemeClr w14:val="tx1"/>
            </w14:solidFill>
          </w14:textFill>
        </w:rPr>
        <w:t>审查无重大违法记录声明。须提供，格式见第六章投标文件格式“投标声明书”。</w:t>
      </w:r>
      <w:r>
        <w:rPr>
          <w:rFonts w:ascii="Arial" w:hAnsi="Arial" w:cs="Arial"/>
          <w:color w:val="000000" w:themeColor="text1"/>
          <w:szCs w:val="21"/>
          <w14:textFill>
            <w14:solidFill>
              <w14:schemeClr w14:val="tx1"/>
            </w14:solidFill>
          </w14:textFill>
        </w:rPr>
        <w:t>一旦发现供应商提供的投标声明书不实时，则按照《政府采购法》有关提供虚假材料的规定给予处罚。</w:t>
      </w:r>
    </w:p>
    <w:p w14:paraId="3CC8E3CC">
      <w:pPr>
        <w:suppressAutoHyphens/>
        <w:spacing w:before="120" w:line="288" w:lineRule="auto"/>
        <w:ind w:firstLine="442" w:firstLineChars="200"/>
        <w:rPr>
          <w:rFonts w:ascii="Arial" w:hAnsi="Arial" w:cs="Arial"/>
          <w:color w:val="000000" w:themeColor="text1"/>
          <w:szCs w:val="21"/>
          <w:lang w:val="zh-CN"/>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1.</w:t>
      </w:r>
      <w:r>
        <w:rPr>
          <w:rFonts w:hint="eastAsia" w:ascii="Arial" w:hAnsi="Arial" w:cs="Arial"/>
          <w:b/>
          <w:bCs/>
          <w:color w:val="000000" w:themeColor="text1"/>
          <w:sz w:val="22"/>
          <w:szCs w:val="22"/>
          <w:lang w:val="en-US" w:eastAsia="zh-CN"/>
          <w14:textFill>
            <w14:solidFill>
              <w14:schemeClr w14:val="tx1"/>
            </w14:solidFill>
          </w14:textFill>
        </w:rPr>
        <w:t>6</w:t>
      </w:r>
      <w:r>
        <w:rPr>
          <w:rFonts w:ascii="Arial" w:hAnsi="Arial" w:cs="Arial"/>
          <w:b/>
          <w:bCs/>
          <w:color w:val="000000" w:themeColor="text1"/>
          <w:sz w:val="22"/>
          <w:szCs w:val="22"/>
          <w:lang w:val="zh-CN"/>
          <w14:textFill>
            <w14:solidFill>
              <w14:schemeClr w14:val="tx1"/>
            </w14:solidFill>
          </w14:textFill>
        </w:rPr>
        <w:t>诚信要求：</w:t>
      </w:r>
      <w:r>
        <w:rPr>
          <w:rFonts w:ascii="Arial" w:hAnsi="Arial" w:cs="Arial"/>
          <w:color w:val="000000" w:themeColor="text1"/>
          <w:szCs w:val="21"/>
          <w:lang w:val="zh-CN"/>
          <w14:textFill>
            <w14:solidFill>
              <w14:schemeClr w14:val="tx1"/>
            </w14:solidFill>
          </w14:textFill>
        </w:rPr>
        <w:t>①</w:t>
      </w:r>
      <w:r>
        <w:rPr>
          <w:rFonts w:ascii="Arial" w:hAnsi="Arial" w:cs="Arial"/>
          <w:color w:val="000000" w:themeColor="text1"/>
          <w:szCs w:val="21"/>
          <w14:textFill>
            <w14:solidFill>
              <w14:schemeClr w14:val="tx1"/>
            </w14:solidFill>
          </w14:textFill>
        </w:rPr>
        <w:t>审核标准：供应商如被列入失信被执行人、重大税收违法失信主体、政府采购严重违法失信行为记录名单，则资格审查不予通过，其投标被否决</w:t>
      </w:r>
      <w:r>
        <w:rPr>
          <w:rFonts w:ascii="Arial" w:hAnsi="Arial" w:cs="Arial"/>
          <w:color w:val="000000" w:themeColor="text1"/>
          <w:szCs w:val="21"/>
          <w:lang w:val="zh-CN"/>
          <w14:textFill>
            <w14:solidFill>
              <w14:schemeClr w14:val="tx1"/>
            </w14:solidFill>
          </w14:textFill>
        </w:rPr>
        <w:t>。</w:t>
      </w:r>
    </w:p>
    <w:p w14:paraId="4574F24C">
      <w:pPr>
        <w:suppressAutoHyphens/>
        <w:spacing w:before="120" w:line="288"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②信用信息查询渠道：中国政府采购网 “政府采购严重违法失信行为记录名单” 信用中国网：“失信被执行人”、“重大税收违法失信主体”  </w:t>
      </w:r>
    </w:p>
    <w:p w14:paraId="38688C81">
      <w:pPr>
        <w:suppressAutoHyphens/>
        <w:spacing w:before="120" w:line="288" w:lineRule="auto"/>
        <w:ind w:firstLine="420" w:firstLineChars="200"/>
        <w:rPr>
          <w:rFonts w:ascii="Arial" w:hAnsi="Arial" w:cs="Arial"/>
          <w:color w:val="000000" w:themeColor="text1"/>
          <w:szCs w:val="21"/>
          <w:lang w:val="zh-CN"/>
          <w14:textFill>
            <w14:solidFill>
              <w14:schemeClr w14:val="tx1"/>
            </w14:solidFill>
          </w14:textFill>
        </w:rPr>
      </w:pPr>
      <w:r>
        <w:rPr>
          <w:rFonts w:ascii="Arial" w:hAnsi="Arial" w:cs="Arial"/>
          <w:color w:val="000000" w:themeColor="text1"/>
          <w:szCs w:val="21"/>
          <w14:textFill>
            <w14:solidFill>
              <w14:schemeClr w14:val="tx1"/>
            </w14:solidFill>
          </w14:textFill>
        </w:rPr>
        <w:t>③查询方式：广西政府采购云平台已与“信用中国”平台做接口，可直接在线查询。</w:t>
      </w:r>
    </w:p>
    <w:p w14:paraId="2DF63E80">
      <w:pPr>
        <w:suppressAutoHyphens/>
        <w:spacing w:before="120" w:line="288" w:lineRule="auto"/>
        <w:ind w:firstLine="442" w:firstLineChars="200"/>
        <w:rPr>
          <w:rFonts w:ascii="Arial" w:hAnsi="Arial" w:cs="Arial"/>
          <w:color w:val="000000" w:themeColor="text1"/>
          <w:kern w:val="0"/>
          <w:szCs w:val="21"/>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1.</w:t>
      </w:r>
      <w:r>
        <w:rPr>
          <w:rFonts w:hint="eastAsia" w:ascii="Arial" w:hAnsi="Arial" w:cs="Arial"/>
          <w:b/>
          <w:bCs/>
          <w:color w:val="000000" w:themeColor="text1"/>
          <w:sz w:val="22"/>
          <w:szCs w:val="22"/>
          <w:lang w:val="en-US" w:eastAsia="zh-CN"/>
          <w14:textFill>
            <w14:solidFill>
              <w14:schemeClr w14:val="tx1"/>
            </w14:solidFill>
          </w14:textFill>
        </w:rPr>
        <w:t>7</w:t>
      </w:r>
      <w:r>
        <w:rPr>
          <w:rFonts w:ascii="Arial" w:hAnsi="Arial" w:cs="Arial"/>
          <w:b/>
          <w:bCs/>
          <w:color w:val="000000" w:themeColor="text1"/>
          <w:kern w:val="0"/>
          <w:sz w:val="22"/>
          <w:szCs w:val="22"/>
          <w14:textFill>
            <w14:solidFill>
              <w14:schemeClr w14:val="tx1"/>
            </w14:solidFill>
          </w14:textFill>
        </w:rPr>
        <w:t>供应商不得参加资格性审查的情形：</w:t>
      </w:r>
      <w:r>
        <w:rPr>
          <w:rFonts w:ascii="Arial" w:hAnsi="Arial" w:cs="Arial"/>
          <w:color w:val="000000" w:themeColor="text1"/>
          <w:kern w:val="0"/>
          <w:szCs w:val="21"/>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5CA41DC8">
      <w:pPr>
        <w:spacing w:before="120" w:line="320" w:lineRule="atLeast"/>
        <w:ind w:firstLine="551" w:firstLineChars="196"/>
        <w:jc w:val="center"/>
        <w:outlineLvl w:val="1"/>
        <w:rPr>
          <w:rFonts w:ascii="Arial" w:hAnsi="Arial" w:cs="Arial"/>
          <w:b/>
          <w:bCs/>
          <w:color w:val="000000" w:themeColor="text1"/>
          <w:kern w:val="0"/>
          <w:sz w:val="28"/>
          <w:szCs w:val="28"/>
          <w14:textFill>
            <w14:solidFill>
              <w14:schemeClr w14:val="tx1"/>
            </w14:solidFill>
          </w14:textFill>
        </w:rPr>
      </w:pPr>
      <w:r>
        <w:rPr>
          <w:rFonts w:ascii="Arial" w:hAnsi="Arial" w:cs="Arial"/>
          <w:b/>
          <w:bCs/>
          <w:color w:val="000000" w:themeColor="text1"/>
          <w:kern w:val="0"/>
          <w:sz w:val="28"/>
          <w:szCs w:val="28"/>
          <w14:textFill>
            <w14:solidFill>
              <w14:schemeClr w14:val="tx1"/>
            </w14:solidFill>
          </w14:textFill>
        </w:rPr>
        <w:t>2、符合性检查</w:t>
      </w:r>
    </w:p>
    <w:p w14:paraId="5B35DEC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bCs/>
          <w:color w:val="000000" w:themeColor="text1"/>
          <w:kern w:val="1"/>
          <w:szCs w:val="21"/>
          <w14:textFill>
            <w14:solidFill>
              <w14:schemeClr w14:val="tx1"/>
            </w14:solidFill>
          </w14:textFill>
        </w:rPr>
        <w:t>资格审查结束后，由评标委员会对</w:t>
      </w:r>
      <w:r>
        <w:rPr>
          <w:rFonts w:ascii="Arial" w:hAnsi="Arial" w:cs="Arial"/>
          <w:color w:val="000000" w:themeColor="text1"/>
          <w14:textFill>
            <w14:solidFill>
              <w14:schemeClr w14:val="tx1"/>
            </w14:solidFill>
          </w14:textFill>
        </w:rPr>
        <w:t>通过资格审查的供应商的投标文件进行符合性审查，以确定其是否满足招标文件的实质性要求。</w:t>
      </w:r>
      <w:r>
        <w:rPr>
          <w:rFonts w:ascii="Arial" w:hAnsi="Arial" w:cs="Arial"/>
          <w:color w:val="000000" w:themeColor="text1"/>
          <w:szCs w:val="21"/>
          <w14:textFill>
            <w14:solidFill>
              <w14:schemeClr w14:val="tx1"/>
            </w14:solidFill>
          </w14:textFill>
        </w:rPr>
        <w:t>符合性检查表如下，缺少任何一项或有任何一项不合格者，其符合性检查视为不合格。</w:t>
      </w:r>
    </w:p>
    <w:p w14:paraId="7444FE62">
      <w:pPr>
        <w:spacing w:before="120" w:line="288" w:lineRule="auto"/>
        <w:ind w:firstLine="482" w:firstLineChars="200"/>
        <w:rPr>
          <w:rFonts w:ascii="Arial" w:hAnsi="Arial" w:cs="Arial"/>
          <w:b/>
          <w:bCs/>
          <w:color w:val="000000" w:themeColor="text1"/>
          <w:kern w:val="0"/>
          <w:sz w:val="24"/>
          <w14:textFill>
            <w14:solidFill>
              <w14:schemeClr w14:val="tx1"/>
            </w14:solidFill>
          </w14:textFill>
        </w:rPr>
      </w:pPr>
      <w:r>
        <w:rPr>
          <w:rFonts w:ascii="Arial" w:hAnsi="Arial" w:cs="Arial"/>
          <w:b/>
          <w:bCs/>
          <w:color w:val="000000" w:themeColor="text1"/>
          <w:sz w:val="24"/>
          <w14:textFill>
            <w14:solidFill>
              <w14:schemeClr w14:val="tx1"/>
            </w14:solidFill>
          </w14:textFill>
        </w:rPr>
        <w:t>2.1</w:t>
      </w:r>
      <w:r>
        <w:rPr>
          <w:rFonts w:ascii="Arial" w:hAnsi="Arial" w:cs="Arial"/>
          <w:b/>
          <w:bCs/>
          <w:color w:val="000000" w:themeColor="text1"/>
          <w:kern w:val="0"/>
          <w:sz w:val="24"/>
          <w14:textFill>
            <w14:solidFill>
              <w14:schemeClr w14:val="tx1"/>
            </w14:solidFill>
          </w14:textFill>
        </w:rPr>
        <w:t>有效性审查</w:t>
      </w:r>
    </w:p>
    <w:p w14:paraId="3EE1B615">
      <w:pPr>
        <w:spacing w:before="120" w:line="288" w:lineRule="auto"/>
        <w:ind w:firstLine="442" w:firstLineChars="200"/>
        <w:rPr>
          <w:rFonts w:ascii="Arial" w:hAnsi="Arial" w:cs="Arial"/>
          <w:color w:val="000000" w:themeColor="text1"/>
          <w:szCs w:val="21"/>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2.1.1</w:t>
      </w:r>
      <w:r>
        <w:rPr>
          <w:rFonts w:ascii="Arial" w:hAnsi="Arial" w:cs="Arial"/>
          <w:b/>
          <w:bCs/>
          <w:color w:val="000000" w:themeColor="text1"/>
          <w:sz w:val="22"/>
          <w:szCs w:val="22"/>
          <w14:textFill>
            <w14:solidFill>
              <w14:schemeClr w14:val="tx1"/>
            </w14:solidFill>
          </w14:textFill>
        </w:rPr>
        <w:t>投标文件签署</w:t>
      </w:r>
      <w:r>
        <w:rPr>
          <w:rFonts w:ascii="Arial" w:hAnsi="Arial" w:cs="Arial"/>
          <w:color w:val="000000" w:themeColor="text1"/>
          <w:sz w:val="22"/>
          <w:szCs w:val="22"/>
          <w14:textFill>
            <w14:solidFill>
              <w14:schemeClr w14:val="tx1"/>
            </w14:solidFill>
          </w14:textFill>
        </w:rPr>
        <w:t>：</w:t>
      </w:r>
      <w:r>
        <w:rPr>
          <w:rFonts w:ascii="Arial" w:hAnsi="Arial" w:cs="Arial"/>
          <w:color w:val="000000" w:themeColor="text1"/>
          <w:szCs w:val="21"/>
          <w14:textFill>
            <w14:solidFill>
              <w14:schemeClr w14:val="tx1"/>
            </w14:solidFill>
          </w14:textFill>
        </w:rPr>
        <w:t>投标文件上法定代表人或其授权代表人已按要求签字盖章。</w:t>
      </w:r>
    </w:p>
    <w:p w14:paraId="36A5DFB3">
      <w:pPr>
        <w:spacing w:before="120" w:line="288" w:lineRule="auto"/>
        <w:ind w:firstLine="442" w:firstLineChars="200"/>
        <w:rPr>
          <w:rFonts w:ascii="Arial" w:hAnsi="Arial" w:cs="Arial"/>
          <w:color w:val="000000" w:themeColor="text1"/>
          <w:szCs w:val="21"/>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2.1.2法定代表人身份证明及授权委托书：</w:t>
      </w:r>
      <w:r>
        <w:rPr>
          <w:rFonts w:ascii="Arial" w:hAnsi="Arial" w:cs="Arial"/>
          <w:color w:val="000000" w:themeColor="text1"/>
          <w:szCs w:val="21"/>
          <w14:textFill>
            <w14:solidFill>
              <w14:schemeClr w14:val="tx1"/>
            </w14:solidFill>
          </w14:textFill>
        </w:rPr>
        <w:t>供应商无授权代表时审查：法定代表人身份证明及附件，格式及附件见第六章投标文件格式要求；供应商有授权代表时审查：法定代表人授权委托书及附件，格式及附件见第六章投标文件格式要求；法定代表人身份证明及授权委托书须有效，符合招标文件规定的格式，签字或盖章齐全。</w:t>
      </w:r>
    </w:p>
    <w:p w14:paraId="2283A383">
      <w:pPr>
        <w:spacing w:before="120" w:line="288" w:lineRule="auto"/>
        <w:ind w:firstLine="442" w:firstLineChars="200"/>
        <w:rPr>
          <w:rFonts w:ascii="Arial" w:hAnsi="Arial" w:cs="Arial"/>
          <w:color w:val="000000" w:themeColor="text1"/>
          <w:szCs w:val="21"/>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2.1.3投标文件或者投标报价唯一性：</w:t>
      </w:r>
      <w:r>
        <w:rPr>
          <w:rFonts w:ascii="Arial" w:hAnsi="Arial" w:cs="Arial"/>
          <w:color w:val="000000" w:themeColor="text1"/>
          <w14:textFill>
            <w14:solidFill>
              <w14:schemeClr w14:val="tx1"/>
            </w14:solidFill>
          </w14:textFill>
        </w:rPr>
        <w:t>同</w:t>
      </w:r>
      <w:r>
        <w:rPr>
          <w:rFonts w:ascii="Arial" w:hAnsi="Arial" w:cs="Arial"/>
          <w:color w:val="000000" w:themeColor="text1"/>
          <w:szCs w:val="21"/>
          <w14:textFill>
            <w14:solidFill>
              <w14:schemeClr w14:val="tx1"/>
            </w14:solidFill>
          </w14:textFill>
        </w:rPr>
        <w:t>一供应商不得提交两个以上不同的投标文件或者投标报价，但招标文件要求提交备选投标的除外。</w:t>
      </w:r>
    </w:p>
    <w:p w14:paraId="62D9E493">
      <w:pPr>
        <w:spacing w:before="120" w:line="288" w:lineRule="auto"/>
        <w:ind w:firstLine="442" w:firstLineChars="200"/>
        <w:rPr>
          <w:rFonts w:ascii="Arial" w:hAnsi="Arial" w:cs="Arial"/>
          <w:color w:val="000000" w:themeColor="text1"/>
          <w:szCs w:val="21"/>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2.1.4投标报价：</w:t>
      </w:r>
      <w:r>
        <w:rPr>
          <w:rFonts w:ascii="Arial" w:hAnsi="Arial" w:cs="Arial"/>
          <w:color w:val="000000" w:themeColor="text1"/>
          <w:szCs w:val="21"/>
          <w14:textFill>
            <w14:solidFill>
              <w14:schemeClr w14:val="tx1"/>
            </w14:solidFill>
          </w14:textFill>
        </w:rPr>
        <w:t>报价超出采购预算金额或最高限价（如有）或控制单价（如有）的，否决其投标</w:t>
      </w:r>
      <w:r>
        <w:rPr>
          <w:rFonts w:ascii="Arial" w:hAnsi="Arial" w:cs="Arial"/>
          <w:color w:val="000000" w:themeColor="text1"/>
          <w14:textFill>
            <w14:solidFill>
              <w14:schemeClr w14:val="tx1"/>
            </w14:solidFill>
          </w14:textFill>
        </w:rPr>
        <w:t>。</w:t>
      </w:r>
      <w:r>
        <w:rPr>
          <w:rFonts w:ascii="Arial" w:hAnsi="Arial" w:cs="Arial"/>
          <w:color w:val="000000" w:themeColor="text1"/>
          <w:szCs w:val="21"/>
          <w14:textFill>
            <w14:solidFill>
              <w14:schemeClr w14:val="tx1"/>
            </w14:solidFill>
          </w14:textFill>
        </w:rPr>
        <w:t>提交选择性报价的，否决其投标。</w:t>
      </w:r>
    </w:p>
    <w:p w14:paraId="2436B644">
      <w:pPr>
        <w:spacing w:before="120" w:line="288" w:lineRule="auto"/>
        <w:ind w:firstLine="442" w:firstLineChars="200"/>
        <w:rPr>
          <w:rFonts w:ascii="Arial" w:hAnsi="Arial" w:cs="Arial"/>
          <w:b/>
          <w:bCs/>
          <w:color w:val="000000" w:themeColor="text1"/>
          <w:kern w:val="0"/>
          <w:sz w:val="22"/>
          <w:szCs w:val="22"/>
          <w14:textFill>
            <w14:solidFill>
              <w14:schemeClr w14:val="tx1"/>
            </w14:solidFill>
          </w14:textFill>
        </w:rPr>
      </w:pPr>
      <w:r>
        <w:rPr>
          <w:rFonts w:ascii="Arial" w:hAnsi="Arial" w:cs="Arial"/>
          <w:b/>
          <w:bCs/>
          <w:color w:val="000000" w:themeColor="text1"/>
          <w:sz w:val="22"/>
          <w:szCs w:val="22"/>
          <w14:textFill>
            <w14:solidFill>
              <w14:schemeClr w14:val="tx1"/>
            </w14:solidFill>
          </w14:textFill>
        </w:rPr>
        <w:t>2.2</w:t>
      </w:r>
      <w:r>
        <w:rPr>
          <w:rFonts w:ascii="Arial" w:hAnsi="Arial" w:cs="Arial"/>
          <w:b/>
          <w:bCs/>
          <w:color w:val="000000" w:themeColor="text1"/>
          <w:kern w:val="0"/>
          <w:sz w:val="22"/>
          <w:szCs w:val="22"/>
          <w14:textFill>
            <w14:solidFill>
              <w14:schemeClr w14:val="tx1"/>
            </w14:solidFill>
          </w14:textFill>
        </w:rPr>
        <w:t>完整性审查</w:t>
      </w:r>
    </w:p>
    <w:p w14:paraId="669EBE77">
      <w:pPr>
        <w:spacing w:before="120" w:line="320" w:lineRule="atLeast"/>
        <w:ind w:firstLine="43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 w:val="22"/>
          <w:szCs w:val="22"/>
          <w14:textFill>
            <w14:solidFill>
              <w14:schemeClr w14:val="tx1"/>
            </w14:solidFill>
          </w14:textFill>
        </w:rPr>
        <w:t>对招标文件的响应程度审查：</w:t>
      </w:r>
      <w:r>
        <w:rPr>
          <w:rFonts w:ascii="Arial" w:hAnsi="Arial" w:cs="Arial"/>
          <w:color w:val="000000" w:themeColor="text1"/>
          <w:kern w:val="0"/>
          <w:szCs w:val="21"/>
          <w14:textFill>
            <w14:solidFill>
              <w14:schemeClr w14:val="tx1"/>
            </w14:solidFill>
          </w14:textFill>
        </w:rPr>
        <w:t>（1）</w:t>
      </w:r>
      <w:r>
        <w:rPr>
          <w:rFonts w:ascii="Arial" w:hAnsi="Arial" w:cs="Arial"/>
          <w:color w:val="000000" w:themeColor="text1"/>
          <w:szCs w:val="21"/>
          <w:lang w:val="zh-CN"/>
          <w14:textFill>
            <w14:solidFill>
              <w14:schemeClr w14:val="tx1"/>
            </w14:solidFill>
          </w14:textFill>
        </w:rPr>
        <w:t>实质性条款响应：对招标文件中所有标注▲号的实质性条款要求响应均无负偏离。（</w:t>
      </w:r>
      <w:r>
        <w:rPr>
          <w:rFonts w:ascii="Arial" w:hAnsi="Arial" w:cs="Arial"/>
          <w:color w:val="000000" w:themeColor="text1"/>
          <w:szCs w:val="21"/>
          <w14:textFill>
            <w14:solidFill>
              <w14:schemeClr w14:val="tx1"/>
            </w14:solidFill>
          </w14:textFill>
        </w:rPr>
        <w:t>2</w:t>
      </w:r>
      <w:r>
        <w:rPr>
          <w:rFonts w:ascii="Arial" w:hAnsi="Arial" w:cs="Arial"/>
          <w:color w:val="000000" w:themeColor="text1"/>
          <w:szCs w:val="21"/>
          <w:lang w:val="zh-CN"/>
          <w14:textFill>
            <w14:solidFill>
              <w14:schemeClr w14:val="tx1"/>
            </w14:solidFill>
          </w14:textFill>
        </w:rPr>
        <w:t>）</w:t>
      </w:r>
      <w:r>
        <w:rPr>
          <w:rFonts w:ascii="Arial" w:hAnsi="Arial" w:cs="Arial"/>
          <w:color w:val="000000" w:themeColor="text1"/>
          <w:szCs w:val="21"/>
          <w14:textFill>
            <w14:solidFill>
              <w14:schemeClr w14:val="tx1"/>
            </w14:solidFill>
          </w14:textFill>
        </w:rPr>
        <w:t>投标有效期：满足招标文件规定。</w:t>
      </w:r>
    </w:p>
    <w:p w14:paraId="305B6E79">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3、强制性采购要求（仅适用于货物采购项目）</w:t>
      </w:r>
    </w:p>
    <w:p w14:paraId="0F8493F0">
      <w:pPr>
        <w:spacing w:before="120" w:line="276" w:lineRule="auto"/>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（1）根据《财政部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投标货物必须使用政府强制采购的节能产品，否则投标文件作无效处理；属于品目清单内非标注“★”的产品时，应优先采购。</w:t>
      </w:r>
    </w:p>
    <w:p w14:paraId="1D29B882">
      <w:pPr>
        <w:spacing w:before="120" w:line="276" w:lineRule="auto"/>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402FC53C">
      <w:pPr>
        <w:spacing w:before="120" w:line="276" w:lineRule="auto"/>
        <w:ind w:firstLine="420" w:firstLineChars="200"/>
        <w:rPr>
          <w:rFonts w:ascii="Arial" w:hAnsi="Arial" w:cs="Arial"/>
          <w:color w:val="000000" w:themeColor="text1"/>
          <w14:textFill>
            <w14:solidFill>
              <w14:schemeClr w14:val="tx1"/>
            </w14:solidFill>
          </w14:textFill>
        </w:rPr>
      </w:pPr>
    </w:p>
    <w:p w14:paraId="3AFF11E6">
      <w:pPr>
        <w:spacing w:before="120" w:line="276" w:lineRule="auto"/>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注：网络安全专用产品在中共中央网络安全和信息化委员会办公室网站上发布的《网络关键设备和网络安全专用产品目录》中查询。 “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4A4704AA">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4、相同品牌投标有效性认定</w:t>
      </w:r>
    </w:p>
    <w:p w14:paraId="103F3996">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不同供应商提供的投标产品品牌相同时，评标委员会须根据以下规定评审</w:t>
      </w:r>
      <w:r>
        <w:rPr>
          <w:rFonts w:ascii="Arial" w:hAnsi="Arial" w:cs="Arial"/>
          <w:bCs/>
          <w:color w:val="000000" w:themeColor="text1"/>
          <w:kern w:val="0"/>
          <w:szCs w:val="21"/>
          <w14:textFill>
            <w14:solidFill>
              <w14:schemeClr w14:val="tx1"/>
            </w14:solidFill>
          </w14:textFill>
        </w:rPr>
        <w:t>相同品牌的投标有效性</w:t>
      </w:r>
      <w:r>
        <w:rPr>
          <w:rFonts w:ascii="Arial" w:hAnsi="Arial" w:cs="Arial"/>
          <w:color w:val="000000" w:themeColor="text1"/>
          <w14:textFill>
            <w14:solidFill>
              <w14:schemeClr w14:val="tx1"/>
            </w14:solidFill>
          </w14:textFill>
        </w:rPr>
        <w:t>。</w:t>
      </w:r>
    </w:p>
    <w:p w14:paraId="30367843">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（1）如若提供相同品牌产品且通过资格审查、符合性审查的不同供应商参加同一合同项下投标的，按一家供应商计算，评审后得分最高的同品牌供应商获得中标供应商推荐资格；评审得分相同的，</w:t>
      </w:r>
      <w:r>
        <w:rPr>
          <w:rFonts w:ascii="Arial" w:hAnsi="Arial" w:cs="Arial"/>
          <w:color w:val="000000" w:themeColor="text1"/>
          <w14:textFill>
            <w14:solidFill>
              <w14:schemeClr w14:val="tx1"/>
            </w14:solidFill>
          </w14:textFill>
        </w:rPr>
        <w:t>由（</w:t>
      </w:r>
      <w:r>
        <w:rPr>
          <w:rFonts w:ascii="Arial" w:hAnsi="Arial" w:cs="Arial"/>
          <w:color w:val="000000" w:themeColor="text1"/>
          <w:szCs w:val="21"/>
          <w14:textFill>
            <w14:solidFill>
              <w14:schemeClr w14:val="tx1"/>
            </w14:solidFill>
          </w14:textFill>
        </w:rPr>
        <w:sym w:font="Wingdings 2" w:char="F052"/>
      </w:r>
      <w:r>
        <w:rPr>
          <w:rFonts w:ascii="Arial" w:hAnsi="Arial" w:cs="Arial"/>
          <w:color w:val="000000" w:themeColor="text1"/>
          <w14:textFill>
            <w14:solidFill>
              <w14:schemeClr w14:val="tx1"/>
            </w14:solidFill>
          </w14:textFill>
        </w:rPr>
        <w:t>采购人</w:t>
      </w:r>
      <w:r>
        <w:rPr>
          <w:rFonts w:ascii="Arial" w:hAnsi="Arial" w:cs="Arial"/>
          <w:color w:val="000000" w:themeColor="text1"/>
          <w:szCs w:val="21"/>
          <w14:textFill>
            <w14:solidFill>
              <w14:schemeClr w14:val="tx1"/>
            </w14:solidFill>
          </w14:textFill>
        </w:rPr>
        <w:t>；</w:t>
      </w:r>
      <w:r>
        <w:rPr>
          <w:rFonts w:ascii="Arial" w:hAnsi="Arial" w:cs="Arial"/>
          <w:color w:val="000000" w:themeColor="text1"/>
          <w:szCs w:val="21"/>
          <w14:textFill>
            <w14:solidFill>
              <w14:schemeClr w14:val="tx1"/>
            </w14:solidFill>
          </w14:textFill>
        </w:rPr>
        <w:sym w:font="Wingdings 2" w:char="F0A3"/>
      </w:r>
      <w:r>
        <w:rPr>
          <w:rFonts w:ascii="Arial" w:hAnsi="Arial" w:cs="Arial"/>
          <w:color w:val="000000" w:themeColor="text1"/>
          <w14:textFill>
            <w14:solidFill>
              <w14:schemeClr w14:val="tx1"/>
            </w14:solidFill>
          </w14:textFill>
        </w:rPr>
        <w:t>采购人委托评标委员会）按照报价低者推荐</w:t>
      </w:r>
      <w:r>
        <w:rPr>
          <w:rFonts w:ascii="Arial" w:hAnsi="Arial" w:cs="Arial"/>
          <w:color w:val="000000" w:themeColor="text1"/>
          <w:szCs w:val="21"/>
          <w14:textFill>
            <w14:solidFill>
              <w14:schemeClr w14:val="tx1"/>
            </w14:solidFill>
          </w14:textFill>
        </w:rPr>
        <w:t>中标供应商资格</w:t>
      </w:r>
      <w:r>
        <w:rPr>
          <w:rFonts w:ascii="Arial" w:hAnsi="Arial" w:cs="Arial"/>
          <w:color w:val="000000" w:themeColor="text1"/>
          <w14:textFill>
            <w14:solidFill>
              <w14:schemeClr w14:val="tx1"/>
            </w14:solidFill>
          </w14:textFill>
        </w:rPr>
        <w:t>，如报价仍相同，则按技术部分得分高者推荐</w:t>
      </w:r>
      <w:r>
        <w:rPr>
          <w:rFonts w:ascii="Arial" w:hAnsi="Arial" w:cs="Arial"/>
          <w:color w:val="000000" w:themeColor="text1"/>
          <w:szCs w:val="21"/>
          <w14:textFill>
            <w14:solidFill>
              <w14:schemeClr w14:val="tx1"/>
            </w14:solidFill>
          </w14:textFill>
        </w:rPr>
        <w:t>中标供应商资格</w:t>
      </w:r>
      <w:r>
        <w:rPr>
          <w:rFonts w:ascii="Arial" w:hAnsi="Arial" w:cs="Arial"/>
          <w:color w:val="000000" w:themeColor="text1"/>
          <w14:textFill>
            <w14:solidFill>
              <w14:schemeClr w14:val="tx1"/>
            </w14:solidFill>
          </w14:textFill>
        </w:rPr>
        <w:t>，仍相同的，则按商务部分得分高者推荐</w:t>
      </w:r>
      <w:r>
        <w:rPr>
          <w:rFonts w:ascii="Arial" w:hAnsi="Arial" w:cs="Arial"/>
          <w:color w:val="000000" w:themeColor="text1"/>
          <w:szCs w:val="21"/>
          <w14:textFill>
            <w14:solidFill>
              <w14:schemeClr w14:val="tx1"/>
            </w14:solidFill>
          </w14:textFill>
        </w:rPr>
        <w:t>中标供应商资格</w:t>
      </w:r>
      <w:r>
        <w:rPr>
          <w:rFonts w:ascii="Arial" w:hAnsi="Arial" w:cs="Arial"/>
          <w:color w:val="000000" w:themeColor="text1"/>
          <w14:textFill>
            <w14:solidFill>
              <w14:schemeClr w14:val="tx1"/>
            </w14:solidFill>
          </w14:textFill>
        </w:rPr>
        <w:t>，若仍相同，则按业绩得分高者推荐中标供应商资格，其他同品牌供应商不作为中标候选人。</w:t>
      </w:r>
    </w:p>
    <w:p w14:paraId="0100170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（2）非单一产品采购项目，采购人应当确定核心产品，并在招标文件中载明。多家供应商提供的核心产品品牌相同的，按上述规定处理。核心产品的定义见“项目采购需求”规定。</w:t>
      </w:r>
    </w:p>
    <w:p w14:paraId="64A6A5EF">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5、串通投标的认定</w:t>
      </w:r>
    </w:p>
    <w:p w14:paraId="4A32B135">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评标委员会须根据以下规定评审</w:t>
      </w:r>
      <w:r>
        <w:rPr>
          <w:rFonts w:ascii="Arial" w:hAnsi="Arial" w:cs="Arial"/>
          <w:bCs/>
          <w:color w:val="000000" w:themeColor="text1"/>
          <w:kern w:val="0"/>
          <w:szCs w:val="21"/>
          <w14:textFill>
            <w14:solidFill>
              <w14:schemeClr w14:val="tx1"/>
            </w14:solidFill>
          </w14:textFill>
        </w:rPr>
        <w:t>供应商是否有串通投标的行为，并按规定判定投标是否有效</w:t>
      </w:r>
      <w:r>
        <w:rPr>
          <w:rFonts w:ascii="Arial" w:hAnsi="Arial" w:cs="Arial"/>
          <w:color w:val="000000" w:themeColor="text1"/>
          <w14:textFill>
            <w14:solidFill>
              <w14:schemeClr w14:val="tx1"/>
            </w14:solidFill>
          </w14:textFill>
        </w:rPr>
        <w:t>。</w:t>
      </w:r>
    </w:p>
    <w:p w14:paraId="7C2967FB">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0" w:name="_Hlk19122026"/>
      <w:r>
        <w:rPr>
          <w:rFonts w:ascii="Arial" w:hAnsi="Arial" w:cs="Arial"/>
          <w:color w:val="000000" w:themeColor="text1"/>
          <w:szCs w:val="21"/>
          <w14:textFill>
            <w14:solidFill>
              <w14:schemeClr w14:val="tx1"/>
            </w14:solidFill>
          </w14:textFill>
        </w:rPr>
        <w:t>（1）</w:t>
      </w:r>
      <w:bookmarkEnd w:id="80"/>
      <w:r>
        <w:rPr>
          <w:rFonts w:ascii="Arial" w:hAnsi="Arial" w:cs="Arial"/>
          <w:color w:val="000000" w:themeColor="text1"/>
          <w:szCs w:val="21"/>
          <w14:textFill>
            <w14:solidFill>
              <w14:schemeClr w14:val="tx1"/>
            </w14:solidFill>
          </w14:textFill>
        </w:rPr>
        <w:t>根据桂财采[2016]42号《关于防治政府采购招标中串通投标行为的通知》规定，出现下述情况的，相关供应商的投标作无效投标处理。</w:t>
      </w:r>
    </w:p>
    <w:p w14:paraId="4A2B6975">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1" w:name="_Hlk19122039"/>
      <w:r>
        <w:rPr>
          <w:rFonts w:ascii="Arial" w:hAnsi="Arial" w:cs="Arial"/>
          <w:color w:val="000000" w:themeColor="text1"/>
          <w:szCs w:val="21"/>
          <w14:textFill>
            <w14:solidFill>
              <w14:schemeClr w14:val="tx1"/>
            </w14:solidFill>
          </w14:textFill>
        </w:rPr>
        <w:t>①单位负责人为同一人或者存在直接控股、管理关系，参加同一合同项下政府采购活动的不同供应商。</w:t>
      </w:r>
    </w:p>
    <w:p w14:paraId="102DD01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②授权给供应商后参加同一合同项（分标、分包）投标的生产厂商。</w:t>
      </w:r>
    </w:p>
    <w:p w14:paraId="4AE3B9C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③视为或被认定为串通投标的相关供应商。</w:t>
      </w:r>
    </w:p>
    <w:bookmarkEnd w:id="81"/>
    <w:p w14:paraId="094A296D">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2" w:name="_Hlk19122058"/>
      <w:r>
        <w:rPr>
          <w:rFonts w:ascii="Arial" w:hAnsi="Arial" w:cs="Arial"/>
          <w:color w:val="000000" w:themeColor="text1"/>
          <w:szCs w:val="21"/>
          <w14:textFill>
            <w14:solidFill>
              <w14:schemeClr w14:val="tx1"/>
            </w14:solidFill>
          </w14:textFill>
        </w:rPr>
        <w:t>（2）</w:t>
      </w:r>
      <w:bookmarkEnd w:id="82"/>
      <w:r>
        <w:rPr>
          <w:rFonts w:ascii="Arial" w:hAnsi="Arial" w:cs="Arial"/>
          <w:color w:val="000000" w:themeColor="text1"/>
          <w:szCs w:val="21"/>
          <w14:textFill>
            <w14:solidFill>
              <w14:schemeClr w14:val="tx1"/>
            </w14:solidFill>
          </w14:textFill>
        </w:rPr>
        <w:t>根据桂财采[2016]42号《关于防治政府采购招标中串通投标行为的通知》规定，有下列情形之一的视为供应商相互串通投标，投标文件将被视为无效。</w:t>
      </w:r>
    </w:p>
    <w:p w14:paraId="2010454E">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3" w:name="_Hlk19122048"/>
      <w:r>
        <w:rPr>
          <w:rFonts w:ascii="Arial" w:hAnsi="Arial" w:cs="Arial"/>
          <w:color w:val="000000" w:themeColor="text1"/>
          <w:szCs w:val="21"/>
          <w14:textFill>
            <w14:solidFill>
              <w14:schemeClr w14:val="tx1"/>
            </w14:solidFill>
          </w14:textFill>
        </w:rPr>
        <w:t>①不同供应商的投标文件由同一单位或者个人编制；</w:t>
      </w:r>
    </w:p>
    <w:p w14:paraId="6F4FA94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②不同供应商委托同一单位或者个人办理投标事宜；</w:t>
      </w:r>
    </w:p>
    <w:p w14:paraId="57853E5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③不同的供应商的投标文件载明的项目管理员为同一个人；</w:t>
      </w:r>
    </w:p>
    <w:p w14:paraId="5ACF7F0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④不同供应商的投标文件异常一致或投标报价呈规律性差异；</w:t>
      </w:r>
    </w:p>
    <w:p w14:paraId="59D06D4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⑤不同供应商的投标文件相互混装；</w:t>
      </w:r>
    </w:p>
    <w:bookmarkEnd w:id="83"/>
    <w:p w14:paraId="3DFB6E29">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4" w:name="_Hlk19122102"/>
      <w:r>
        <w:rPr>
          <w:rFonts w:ascii="Arial" w:hAnsi="Arial" w:cs="Arial"/>
          <w:color w:val="000000" w:themeColor="text1"/>
          <w:szCs w:val="21"/>
          <w14:textFill>
            <w14:solidFill>
              <w14:schemeClr w14:val="tx1"/>
            </w14:solidFill>
          </w14:textFill>
        </w:rPr>
        <w:t>（3）</w:t>
      </w:r>
      <w:bookmarkEnd w:id="84"/>
      <w:r>
        <w:rPr>
          <w:rFonts w:ascii="Arial" w:hAnsi="Arial" w:cs="Arial"/>
          <w:color w:val="000000" w:themeColor="text1"/>
          <w:szCs w:val="21"/>
          <w14:textFill>
            <w14:solidFill>
              <w14:schemeClr w14:val="tx1"/>
            </w14:solidFill>
          </w14:textFill>
        </w:rPr>
        <w:t>根据桂财采[2016]42号《关于防治政府采购招标中串通投标行为的通知》规定，供应商有下列情形之一的，属于恶意串通行为，投标文件将被视为无效。</w:t>
      </w:r>
    </w:p>
    <w:p w14:paraId="52F41B12">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5" w:name="_Hlk19122095"/>
      <w:r>
        <w:rPr>
          <w:rFonts w:ascii="Arial" w:hAnsi="Arial" w:cs="Arial"/>
          <w:color w:val="000000" w:themeColor="text1"/>
          <w:szCs w:val="21"/>
          <w14:textFill>
            <w14:solidFill>
              <w14:schemeClr w14:val="tx1"/>
            </w14:solidFill>
          </w14:textFill>
        </w:rPr>
        <w:t>①供应商直接或者间接从采购人或者采购代理机构处获得其他供应商的相关信息并修改其投标文件或者响应文件；</w:t>
      </w:r>
    </w:p>
    <w:p w14:paraId="7A0C4F1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②供应商按照采购人或者采购代理机构的授意撤换、修改投标文件或者响应文件;；</w:t>
      </w:r>
    </w:p>
    <w:p w14:paraId="4DF6577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③供应商之间协商报价、技术方案等投标文件或者响应文件的实质性内容；</w:t>
      </w:r>
    </w:p>
    <w:p w14:paraId="4D8EAF7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④属于同一集团、协会、商会等组织成员的供应商按照该组织要求协同参加政府采购活动；</w:t>
      </w:r>
    </w:p>
    <w:p w14:paraId="3DD2538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1091681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⑥供应商之间商定部分供应商放弃参加政府采购活动或者放弃中标；</w:t>
      </w:r>
    </w:p>
    <w:p w14:paraId="5D938C0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⑦供应商与采购人或者采购代理机构之间、供应商相互之间，为谋求特定供应商中标或者排斥其他供应商的其他串通行为。</w:t>
      </w:r>
    </w:p>
    <w:bookmarkEnd w:id="85"/>
    <w:p w14:paraId="2222D3CB">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6、投标有效性的认定</w:t>
      </w:r>
    </w:p>
    <w:p w14:paraId="42B1DD61">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6" w:name="_Hlk19113301"/>
      <w:r>
        <w:rPr>
          <w:rFonts w:ascii="Arial" w:hAnsi="Arial" w:cs="Arial"/>
          <w:color w:val="000000" w:themeColor="text1"/>
          <w:szCs w:val="21"/>
          <w14:textFill>
            <w14:solidFill>
              <w14:schemeClr w14:val="tx1"/>
            </w14:solidFill>
          </w14:textFill>
        </w:rPr>
        <w:t>（1）资格审查时，如发现下列情形之一的，投标文件将被视为无效：</w:t>
      </w:r>
    </w:p>
    <w:p w14:paraId="0AC47925">
      <w:pPr>
        <w:spacing w:before="120" w:line="320" w:lineRule="atLeast"/>
        <w:ind w:firstLine="420" w:firstLineChars="200"/>
        <w:rPr>
          <w:rStyle w:val="155"/>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①</w:t>
      </w:r>
      <w:r>
        <w:rPr>
          <w:rFonts w:ascii="Arial" w:hAnsi="Arial" w:cs="Arial"/>
          <w:color w:val="000000" w:themeColor="text1"/>
          <w14:textFill>
            <w14:solidFill>
              <w14:schemeClr w14:val="tx1"/>
            </w14:solidFill>
          </w14:textFill>
        </w:rPr>
        <w:t>不具备招标文件中规定的资格要求的；</w:t>
      </w:r>
    </w:p>
    <w:p w14:paraId="27D708B1">
      <w:pPr>
        <w:spacing w:before="120" w:line="320" w:lineRule="atLeast"/>
        <w:ind w:firstLine="420" w:firstLineChars="200"/>
        <w:rPr>
          <w:rStyle w:val="155"/>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②投标文件签署（签名）、盖章不符合招标文件要求的</w:t>
      </w:r>
      <w:r>
        <w:rPr>
          <w:rFonts w:ascii="Arial" w:hAnsi="Arial" w:cs="Arial"/>
          <w:color w:val="000000" w:themeColor="text1"/>
          <w14:textFill>
            <w14:solidFill>
              <w14:schemeClr w14:val="tx1"/>
            </w14:solidFill>
          </w14:textFill>
        </w:rPr>
        <w:t>；</w:t>
      </w:r>
    </w:p>
    <w:p w14:paraId="4051871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（2）在符合性审查、商务和技术评估时，如发现下列情形之一的，投标文件将被视为无效：</w:t>
      </w:r>
    </w:p>
    <w:p w14:paraId="30754B26">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①</w:t>
      </w:r>
      <w:r>
        <w:rPr>
          <w:rFonts w:ascii="Arial" w:hAnsi="Arial" w:cs="Arial"/>
          <w:color w:val="000000" w:themeColor="text1"/>
          <w14:textFill>
            <w14:solidFill>
              <w14:schemeClr w14:val="tx1"/>
            </w14:solidFill>
          </w14:textFill>
        </w:rPr>
        <w:t>投标文件未按招标文件要求签署、盖章的；</w:t>
      </w:r>
    </w:p>
    <w:p w14:paraId="598C16DA">
      <w:pPr>
        <w:spacing w:before="120" w:line="320" w:lineRule="atLeast"/>
        <w:ind w:firstLine="420" w:firstLineChars="200"/>
        <w:rPr>
          <w:rStyle w:val="155"/>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②</w:t>
      </w:r>
      <w:r>
        <w:rPr>
          <w:rFonts w:ascii="Arial" w:hAnsi="Arial" w:cs="Arial"/>
          <w:color w:val="000000" w:themeColor="text1"/>
          <w14:textFill>
            <w14:solidFill>
              <w14:schemeClr w14:val="tx1"/>
            </w14:solidFill>
          </w14:textFill>
        </w:rPr>
        <w:t>投标文件未按招标文件要求提供第六章要求“必须提供”的内容的；</w:t>
      </w:r>
    </w:p>
    <w:p w14:paraId="65936419">
      <w:pPr>
        <w:spacing w:before="120" w:line="320" w:lineRule="atLeast"/>
        <w:ind w:firstLine="420" w:firstLineChars="200"/>
        <w:rPr>
          <w:rStyle w:val="155"/>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③</w:t>
      </w:r>
      <w:r>
        <w:rPr>
          <w:rFonts w:ascii="Arial" w:hAnsi="Arial" w:cs="Arial"/>
          <w:color w:val="000000" w:themeColor="text1"/>
          <w14:textFill>
            <w14:solidFill>
              <w14:schemeClr w14:val="tx1"/>
            </w14:solidFill>
          </w14:textFill>
        </w:rPr>
        <w:t>报价超过招标文件中规定的预算金额或者最高限价的；</w:t>
      </w:r>
    </w:p>
    <w:p w14:paraId="5FC265F5">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④</w:t>
      </w:r>
      <w:r>
        <w:rPr>
          <w:rFonts w:ascii="Arial" w:hAnsi="Arial" w:cs="Arial"/>
          <w:color w:val="000000" w:themeColor="text1"/>
          <w14:textFill>
            <w14:solidFill>
              <w14:schemeClr w14:val="tx1"/>
            </w14:solidFill>
          </w14:textFill>
        </w:rPr>
        <w:t>投标文件含有采购人不能接受的附加条件的；</w:t>
      </w:r>
    </w:p>
    <w:p w14:paraId="6B6AE65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⑤评审过程中发现投标文件中提供虚假材料的；</w:t>
      </w:r>
    </w:p>
    <w:p w14:paraId="2C905D0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⑥法律、法规和招标文件规定的其他无效情形。</w:t>
      </w:r>
    </w:p>
    <w:bookmarkEnd w:id="86"/>
    <w:p w14:paraId="2588478F">
      <w:pPr>
        <w:spacing w:before="120" w:line="320" w:lineRule="atLeast"/>
        <w:ind w:firstLine="422" w:firstLineChars="200"/>
        <w:rPr>
          <w:rFonts w:ascii="Arial" w:hAnsi="Arial" w:cs="Arial"/>
          <w:b/>
          <w:bCs/>
          <w:color w:val="000000" w:themeColor="text1"/>
          <w:szCs w:val="21"/>
          <w14:textFill>
            <w14:solidFill>
              <w14:schemeClr w14:val="tx1"/>
            </w14:solidFill>
          </w14:textFill>
        </w:rPr>
      </w:pPr>
      <w:bookmarkStart w:id="87" w:name="_Hlk19113313"/>
      <w:r>
        <w:rPr>
          <w:rFonts w:ascii="Arial" w:hAnsi="Arial" w:cs="Arial"/>
          <w:b/>
          <w:bCs/>
          <w:color w:val="000000" w:themeColor="text1"/>
          <w:szCs w:val="21"/>
          <w14:textFill>
            <w14:solidFill>
              <w14:schemeClr w14:val="tx1"/>
            </w14:solidFill>
          </w14:textFill>
        </w:rPr>
        <w:t>（3）根据财库〔2019〕38号《关于促进政府采购公平竞争优化营商环境的通知》以及桂财采〔2019〕41号 《广西壮族自治区财政厅转发财政部关于促进政府采购公平竞争优化营商环境的通知》规定，评标委员会认定投标有效性时不得因装订、纸张、文件排序等非实质性的格式、形式问题否决投标，从而限制和影响供应商投标（响应）。</w:t>
      </w:r>
    </w:p>
    <w:bookmarkEnd w:id="87"/>
    <w:p w14:paraId="3AF75040">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bookmarkStart w:id="88" w:name="_Hlk19176155"/>
      <w:r>
        <w:rPr>
          <w:rFonts w:ascii="Arial" w:hAnsi="Arial" w:cs="Arial"/>
          <w:b/>
          <w:bCs/>
          <w:color w:val="000000" w:themeColor="text1"/>
          <w:kern w:val="0"/>
          <w:szCs w:val="21"/>
          <w14:textFill>
            <w14:solidFill>
              <w14:schemeClr w14:val="tx1"/>
            </w14:solidFill>
          </w14:textFill>
        </w:rPr>
        <w:t>7、澄清、说明或补正</w:t>
      </w:r>
    </w:p>
    <w:p w14:paraId="6A44AC0A">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89" w:name="_Hlk19113333"/>
      <w:r>
        <w:rPr>
          <w:rFonts w:ascii="Arial" w:hAnsi="Arial" w:cs="Arial"/>
          <w:color w:val="000000" w:themeColor="text1"/>
          <w:szCs w:val="21"/>
          <w14:textFill>
            <w14:solidFill>
              <w14:schemeClr w14:val="tx1"/>
            </w14:solidFill>
          </w14:textFill>
        </w:rPr>
        <w:t>对投标文件中含义不明确、同类问题表述不一致或者有明显文字和计算错误的内容，评标委员会可要求供应商在合理时间内通过在线询标、电话、电子邮件或传真等不见面、不接触的方式作出必要的澄清、说明或者纠正。内容不得超出投标文件的范围或者改变投标文件的实质性内容。逾期未做澄清、说明或者纠正的，经电话催告仍不澄清的，视为放弃。</w:t>
      </w:r>
    </w:p>
    <w:bookmarkEnd w:id="89"/>
    <w:p w14:paraId="6399E05B">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bookmarkStart w:id="90" w:name="_Hlk19113363"/>
      <w:r>
        <w:rPr>
          <w:rFonts w:ascii="Arial" w:hAnsi="Arial" w:cs="Arial"/>
          <w:b/>
          <w:bCs/>
          <w:color w:val="000000" w:themeColor="text1"/>
          <w:kern w:val="0"/>
          <w:szCs w:val="21"/>
          <w14:textFill>
            <w14:solidFill>
              <w14:schemeClr w14:val="tx1"/>
            </w14:solidFill>
          </w14:textFill>
        </w:rPr>
        <w:t>8、报价修正</w:t>
      </w:r>
    </w:p>
    <w:p w14:paraId="6CAAB5D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投标文件报价如果出现计算或表达上的错误，修正错误的原则如下：</w:t>
      </w:r>
    </w:p>
    <w:p w14:paraId="48A2850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（1）投标文件中开标一览表（报价表）内容与投标文件中相应内容不一致的，以开标一览表（报价表）为准；</w:t>
      </w:r>
    </w:p>
    <w:p w14:paraId="33EB8A71">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（2）大写金额和小写金额不一致的，以大写金额为准；</w:t>
      </w:r>
    </w:p>
    <w:p w14:paraId="73C3636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（3）单价金额小数点或者百分比有明显错位的，以开标一览表的总价为准，并修改单价；</w:t>
      </w:r>
    </w:p>
    <w:p w14:paraId="32EEB44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（4）总价金额与按单价汇总金额不一致的，以单价金额计算结果为准。</w:t>
      </w:r>
    </w:p>
    <w:p w14:paraId="76DE4D0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同时出现两种以上不一致的，按照上述顺序修正。修正后的报价按照上述“7、澄清、说明或补正”的规定经供应商确认后产生约束力，供应商不确认的，其投标无效。</w:t>
      </w:r>
    </w:p>
    <w:bookmarkEnd w:id="88"/>
    <w:p w14:paraId="0F887E5C">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9、过低报价合理性的审查</w:t>
      </w:r>
    </w:p>
    <w:p w14:paraId="253D267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highlight w:val="none"/>
          <w14:textFill>
            <w14:solidFill>
              <w14:schemeClr w14:val="tx1"/>
            </w14:solidFill>
          </w14:textFill>
        </w:rPr>
        <w:t>评标委员会认为</w:t>
      </w:r>
      <w:r>
        <w:rPr>
          <w:rFonts w:hint="eastAsia"/>
          <w:color w:val="000000" w:themeColor="text1"/>
          <w:highlight w:val="none"/>
          <w14:textFill>
            <w14:solidFill>
              <w14:schemeClr w14:val="tx1"/>
            </w14:solidFill>
          </w14:textFill>
        </w:rPr>
        <w:t>投标人的</w:t>
      </w:r>
      <w:r>
        <w:rPr>
          <w:rFonts w:hint="eastAsia"/>
          <w:color w:val="000000" w:themeColor="text1"/>
          <w:highlight w:val="none"/>
          <w:lang w:val="en-US" w:eastAsia="zh-CN"/>
          <w14:textFill>
            <w14:solidFill>
              <w14:schemeClr w14:val="tx1"/>
            </w14:solidFill>
          </w14:textFill>
        </w:rPr>
        <w:t>报价</w:t>
      </w:r>
      <w:r>
        <w:rPr>
          <w:rFonts w:hint="eastAsia"/>
          <w:color w:val="000000" w:themeColor="text1"/>
          <w:highlight w:val="none"/>
          <w14:textFill>
            <w14:solidFill>
              <w14:schemeClr w14:val="tx1"/>
            </w14:solidFill>
          </w14:textFill>
        </w:rPr>
        <w:t>存在异常低价问题</w:t>
      </w:r>
      <w:r>
        <w:rPr>
          <w:rFonts w:hint="eastAsia"/>
          <w:color w:val="000000" w:themeColor="text1"/>
          <w:highlight w:val="none"/>
          <w:lang w:eastAsia="zh-CN"/>
          <w14:textFill>
            <w14:solidFill>
              <w14:schemeClr w14:val="tx1"/>
            </w14:solidFill>
          </w14:textFill>
        </w:rPr>
        <w:t>的</w:t>
      </w:r>
      <w:r>
        <w:rPr>
          <w:rFonts w:hint="eastAsia"/>
          <w:color w:val="000000" w:themeColor="text1"/>
          <w:highlight w:val="none"/>
          <w:lang w:val="en-US" w:eastAsia="zh-CN"/>
          <w14:textFill>
            <w14:solidFill>
              <w14:schemeClr w14:val="tx1"/>
            </w14:solidFill>
          </w14:textFill>
        </w:rPr>
        <w:t>情形，评审委员会</w:t>
      </w:r>
      <w:r>
        <w:rPr>
          <w:rFonts w:hint="eastAsia"/>
          <w:color w:val="000000" w:themeColor="text1"/>
          <w:szCs w:val="21"/>
          <w:highlight w:val="none"/>
          <w14:textFill>
            <w14:solidFill>
              <w14:schemeClr w14:val="tx1"/>
            </w14:solidFill>
          </w14:textFill>
        </w:rPr>
        <w:t>应当要求其在评标现场合理的时间内</w:t>
      </w:r>
      <w:r>
        <w:rPr>
          <w:rFonts w:hint="eastAsia"/>
          <w:color w:val="000000" w:themeColor="text1"/>
          <w:szCs w:val="21"/>
          <w:highlight w:val="none"/>
          <w:lang w:val="en-US" w:eastAsia="zh-CN"/>
          <w14:textFill>
            <w14:solidFill>
              <w14:schemeClr w14:val="tx1"/>
            </w14:solidFill>
          </w14:textFill>
        </w:rPr>
        <w:t>提供</w:t>
      </w:r>
      <w:r>
        <w:rPr>
          <w:rFonts w:hint="eastAsia"/>
          <w:color w:val="000000" w:themeColor="text1"/>
          <w:szCs w:val="21"/>
          <w:highlight w:val="none"/>
          <w14:textFill>
            <w14:solidFill>
              <w14:schemeClr w14:val="tx1"/>
            </w14:solidFill>
          </w14:textFill>
        </w:rPr>
        <w:t>报价合理性相关的书面说明及必要的证明材料。</w:t>
      </w:r>
      <w:r>
        <w:rPr>
          <w:rFonts w:ascii="Arial" w:hAnsi="Arial" w:cs="Arial"/>
          <w:color w:val="000000" w:themeColor="text1"/>
          <w:highlight w:val="none"/>
          <w14:textFill>
            <w14:solidFill>
              <w14:schemeClr w14:val="tx1"/>
            </w14:solidFill>
          </w14:textFill>
        </w:rPr>
        <w:t>评标委员会可以要求供应商就提供货物的主要成本、销售费用、管理费用、财务费用、履约费用、计划利润、</w:t>
      </w:r>
      <w:r>
        <w:rPr>
          <w:rFonts w:ascii="Arial" w:hAnsi="Arial" w:cs="Arial"/>
          <w:color w:val="000000" w:themeColor="text1"/>
          <w14:textFill>
            <w14:solidFill>
              <w14:schemeClr w14:val="tx1"/>
            </w14:solidFill>
          </w14:textFill>
        </w:rPr>
        <w:t>税金及附加等成本构成事项进行详细陈述。书面说明应当</w:t>
      </w:r>
      <w:r>
        <w:rPr>
          <w:rFonts w:ascii="Arial" w:hAnsi="Arial" w:cs="Arial"/>
          <w:color w:val="000000" w:themeColor="text1"/>
          <w:szCs w:val="21"/>
          <w14:textFill>
            <w14:solidFill>
              <w14:schemeClr w14:val="tx1"/>
            </w14:solidFill>
          </w14:textFill>
        </w:rPr>
        <w:t>按照上述“7、澄清、说明或补正”的规定经供应商确认后提交给评标委员会。</w:t>
      </w:r>
      <w:r>
        <w:rPr>
          <w:rFonts w:ascii="Arial" w:hAnsi="Arial" w:cs="Arial"/>
          <w:color w:val="000000" w:themeColor="text1"/>
          <w14:textFill>
            <w14:solidFill>
              <w14:schemeClr w14:val="tx1"/>
            </w14:solidFill>
          </w14:textFill>
        </w:rPr>
        <w:t>供应商未按规定提供说明或不能证明其报价合理性的，评标委员会应当将其作为无效投标处理。</w:t>
      </w:r>
    </w:p>
    <w:p w14:paraId="46E19D6E">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报价合理性书面说明应当有签字或盖章确认，供应商为法人的，由其法定代表人或者授权代表签名或盖章确认；供应商为其他组织的，由其主要负责人或者授权代表签名或盖章确认；供应商为自然人的，由其本人或者授权代表签名或盖章确认。</w:t>
      </w:r>
    </w:p>
    <w:p w14:paraId="03589D17">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10、商务和技术评估、综合比较与评价</w:t>
      </w:r>
    </w:p>
    <w:p w14:paraId="5F00D29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评标委员会按招标文件中规定的评标方法和标准，对资格审查和符合性审查合格的投标文件进行商务和技术评估，综合比较与评价。</w:t>
      </w:r>
      <w:r>
        <w:rPr>
          <w:rStyle w:val="155"/>
          <w:rFonts w:ascii="Arial" w:hAnsi="Arial" w:cs="Arial"/>
          <w:color w:val="000000" w:themeColor="text1"/>
          <w14:textFill>
            <w14:solidFill>
              <w14:schemeClr w14:val="tx1"/>
            </w14:solidFill>
          </w14:textFill>
        </w:rPr>
        <w:t>具体评标标准见《</w:t>
      </w:r>
      <w:r>
        <w:rPr>
          <w:rFonts w:ascii="Arial" w:hAnsi="Arial" w:cs="Arial"/>
          <w:bCs/>
          <w:color w:val="000000" w:themeColor="text1"/>
          <w:kern w:val="0"/>
          <w:szCs w:val="21"/>
          <w14:textFill>
            <w14:solidFill>
              <w14:schemeClr w14:val="tx1"/>
            </w14:solidFill>
          </w14:textFill>
        </w:rPr>
        <w:t>评分表</w:t>
      </w:r>
      <w:r>
        <w:rPr>
          <w:rStyle w:val="155"/>
          <w:rFonts w:ascii="Arial" w:hAnsi="Arial" w:cs="Arial"/>
          <w:color w:val="000000" w:themeColor="text1"/>
          <w14:textFill>
            <w14:solidFill>
              <w14:schemeClr w14:val="tx1"/>
            </w14:solidFill>
          </w14:textFill>
        </w:rPr>
        <w:t>》。</w:t>
      </w:r>
    </w:p>
    <w:p w14:paraId="6CD7B64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评标委员会各成员独立对每个有效供应商的投标文件进行评价、打分，然后由评标组长组织评标委员会对各成员打分情况进行核查及复核，评分有误的，应及时进行修正。评标标准如有主客观分定义，评标委员会所有成员的客观分打分分数应当一致。</w:t>
      </w:r>
    </w:p>
    <w:p w14:paraId="41783414">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复核后，评标委员会汇总每个供应商每项评分因素的得分。</w:t>
      </w:r>
      <w:r>
        <w:rPr>
          <w:rFonts w:ascii="Arial" w:hAnsi="Arial" w:cs="Arial"/>
          <w:color w:val="000000" w:themeColor="text1"/>
          <w14:textFill>
            <w14:solidFill>
              <w14:schemeClr w14:val="tx1"/>
            </w14:solidFill>
          </w14:textFill>
        </w:rPr>
        <w:t>评标结果汇总完成后，除下列情形外，任何人不得修改评标结果：（1）分值汇总计算错误的；（2）分项评分超出评分标准范围的；（3）评标委员会成员对客观评审因素评分不一致的；（4）经评标委员会认定评分畸高、畸低的。评标报告签署前，经复核发现存在以上情形之一的，评标委员会应当当场修改评标结果，并在评标报告中记载；评标报告签署后，采购人或者采购代理机构发现存在以上情形之一的，应当组织原评标委员会进行重新评审。</w:t>
      </w:r>
    </w:p>
    <w:p w14:paraId="47EC8CC8">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11、中标候选人推荐原则</w:t>
      </w:r>
    </w:p>
    <w:p w14:paraId="3872D2E8">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按评标后得分由高到低的排列顺序推荐综合得分排名第一的为第一中标候选人。若中标候选人综合得分相同的，按投标报价由低到高顺序排列；综合得分且投标报价相同的</w:t>
      </w:r>
      <w:r>
        <w:rPr>
          <w:rFonts w:ascii="Arial" w:hAnsi="Arial" w:cs="Arial"/>
          <w:color w:val="000000" w:themeColor="text1"/>
          <w14:textFill>
            <w14:solidFill>
              <w14:schemeClr w14:val="tx1"/>
            </w14:solidFill>
          </w14:textFill>
        </w:rPr>
        <w:t>并列</w:t>
      </w:r>
      <w:r>
        <w:rPr>
          <w:rFonts w:ascii="Arial" w:hAnsi="Arial" w:cs="Arial"/>
          <w:color w:val="000000" w:themeColor="text1"/>
          <w:szCs w:val="21"/>
          <w14:textFill>
            <w14:solidFill>
              <w14:schemeClr w14:val="tx1"/>
            </w14:solidFill>
          </w14:textFill>
        </w:rPr>
        <w:t>；中标候选人并列的，</w:t>
      </w:r>
      <w:r>
        <w:rPr>
          <w:rFonts w:ascii="Arial" w:hAnsi="Arial" w:cs="Arial"/>
          <w:color w:val="000000" w:themeColor="text1"/>
          <w14:textFill>
            <w14:solidFill>
              <w14:schemeClr w14:val="tx1"/>
            </w14:solidFill>
          </w14:textFill>
        </w:rPr>
        <w:t>由采购人</w:t>
      </w:r>
      <w:r>
        <w:rPr>
          <w:rFonts w:ascii="Arial" w:hAnsi="Arial" w:cs="Arial"/>
          <w:color w:val="000000" w:themeColor="text1"/>
          <w:szCs w:val="21"/>
          <w14:textFill>
            <w14:solidFill>
              <w14:schemeClr w14:val="tx1"/>
            </w14:solidFill>
          </w14:textFill>
        </w:rPr>
        <w:t>按综合信誉及履约能力分得分由高到低顺序排列，若综合得分、投标报价、综合信誉及履约能力分均相同的，按技术方案分得分由高到低顺序排列。</w:t>
      </w:r>
    </w:p>
    <w:p w14:paraId="16B31E96">
      <w:pPr>
        <w:spacing w:before="120" w:line="320" w:lineRule="atLeast"/>
        <w:ind w:firstLine="413" w:firstLineChars="196"/>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12、评标争议处理</w:t>
      </w:r>
    </w:p>
    <w:p w14:paraId="07DCABF1">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bookmarkEnd w:id="90"/>
    <w:p w14:paraId="7A20FB75">
      <w:pPr>
        <w:spacing w:before="120" w:line="320" w:lineRule="atLeast"/>
        <w:outlineLvl w:val="1"/>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14:textFill>
            <w14:solidFill>
              <w14:schemeClr w14:val="tx1"/>
            </w14:solidFill>
          </w14:textFill>
        </w:rPr>
        <w:br w:type="page"/>
      </w:r>
      <w:bookmarkStart w:id="91" w:name="_Hlk19113393"/>
      <w:r>
        <w:rPr>
          <w:rFonts w:ascii="Arial" w:hAnsi="Arial" w:cs="Arial"/>
          <w:b/>
          <w:bCs/>
          <w:color w:val="000000" w:themeColor="text1"/>
          <w:kern w:val="0"/>
          <w:szCs w:val="21"/>
          <w14:textFill>
            <w14:solidFill>
              <w14:schemeClr w14:val="tx1"/>
            </w14:solidFill>
          </w14:textFill>
        </w:rPr>
        <w:t>五、评标标准</w:t>
      </w:r>
    </w:p>
    <w:bookmarkEnd w:id="91"/>
    <w:p w14:paraId="5BFE88D8">
      <w:pPr>
        <w:pStyle w:val="224"/>
        <w:snapToGrid w:val="0"/>
        <w:spacing w:line="288" w:lineRule="auto"/>
        <w:ind w:firstLine="0" w:firstLineChars="0"/>
        <w:rPr>
          <w:rFonts w:ascii="Arial" w:hAnsi="Arial" w:cs="Arial"/>
          <w:b/>
          <w:color w:val="000000" w:themeColor="text1"/>
          <w:kern w:val="0"/>
          <w:szCs w:val="21"/>
          <w14:textFill>
            <w14:solidFill>
              <w14:schemeClr w14:val="tx1"/>
            </w14:solidFill>
          </w14:textFill>
        </w:rPr>
      </w:pPr>
      <w:r>
        <w:rPr>
          <w:rFonts w:ascii="Arial" w:hAnsi="Arial" w:cs="Arial"/>
          <w:b/>
          <w:color w:val="000000" w:themeColor="text1"/>
          <w:kern w:val="0"/>
          <w:szCs w:val="21"/>
          <w14:textFill>
            <w14:solidFill>
              <w14:schemeClr w14:val="tx1"/>
            </w14:solidFill>
          </w14:textFill>
        </w:rPr>
        <w:t>（一）评分细则</w:t>
      </w:r>
    </w:p>
    <w:bookmarkEnd w:id="74"/>
    <w:bookmarkEnd w:id="75"/>
    <w:p w14:paraId="57CBDE7C">
      <w:pPr>
        <w:jc w:val="left"/>
        <w:rPr>
          <w:rFonts w:hint="eastAsia"/>
          <w:b/>
          <w:bCs/>
          <w:color w:val="auto"/>
          <w:sz w:val="32"/>
          <w:szCs w:val="36"/>
          <w:highlight w:val="none"/>
          <w:lang w:val="en-US" w:eastAsia="zh-CN"/>
        </w:rPr>
      </w:pPr>
      <w:r>
        <w:rPr>
          <w:rFonts w:hint="eastAsia" w:ascii="Times New Roman" w:hAnsi="Times New Roman" w:eastAsia="宋体" w:cs="Times New Roman"/>
          <w:b/>
          <w:bCs/>
          <w:color w:val="auto"/>
          <w:kern w:val="2"/>
          <w:sz w:val="28"/>
          <w:szCs w:val="28"/>
          <w:lang w:val="en-US" w:eastAsia="zh-CN" w:bidi="ar-SA"/>
        </w:rPr>
        <w:t>（1）</w:t>
      </w:r>
      <w:r>
        <w:rPr>
          <w:rFonts w:hint="eastAsia" w:cs="Times New Roman"/>
          <w:b/>
          <w:bCs/>
          <w:color w:val="auto"/>
          <w:kern w:val="2"/>
          <w:sz w:val="28"/>
          <w:szCs w:val="28"/>
          <w:lang w:val="en-US" w:eastAsia="zh-CN" w:bidi="ar-SA"/>
        </w:rPr>
        <w:t>标项一：</w:t>
      </w:r>
      <w:r>
        <w:rPr>
          <w:rFonts w:hint="eastAsia" w:ascii="Times New Roman" w:hAnsi="Times New Roman" w:eastAsia="宋体" w:cs="Times New Roman"/>
          <w:b/>
          <w:bCs/>
          <w:color w:val="auto"/>
          <w:kern w:val="2"/>
          <w:sz w:val="28"/>
          <w:szCs w:val="28"/>
          <w:lang w:val="en-US" w:eastAsia="zh-CN" w:bidi="ar-SA"/>
        </w:rPr>
        <w:t>电子胃镜系统</w:t>
      </w:r>
    </w:p>
    <w:tbl>
      <w:tblPr>
        <w:tblStyle w:val="55"/>
        <w:tblpPr w:leftFromText="180" w:rightFromText="180" w:vertAnchor="text" w:tblpXSpec="center" w:tblpY="1"/>
        <w:tblOverlap w:val="never"/>
        <w:tblW w:w="90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89"/>
        <w:gridCol w:w="1233"/>
        <w:gridCol w:w="6406"/>
        <w:gridCol w:w="849"/>
      </w:tblGrid>
      <w:tr w14:paraId="016CFC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3" w:hRule="atLeast"/>
          <w:jc w:val="center"/>
        </w:trPr>
        <w:tc>
          <w:tcPr>
            <w:tcW w:w="589" w:type="dxa"/>
            <w:noWrap w:val="0"/>
            <w:vAlign w:val="center"/>
          </w:tcPr>
          <w:p w14:paraId="5A834299">
            <w:pPr>
              <w:spacing w:line="360" w:lineRule="auto"/>
              <w:ind w:left="-78" w:leftChars="-37" w:right="-73" w:rightChars="-35"/>
              <w:jc w:val="center"/>
              <w:rPr>
                <w:rFonts w:hint="default" w:ascii="Arial" w:hAnsi="Arial" w:cs="Arial"/>
                <w:b/>
                <w:szCs w:val="21"/>
              </w:rPr>
            </w:pPr>
            <w:r>
              <w:rPr>
                <w:rFonts w:hint="default" w:ascii="Arial" w:hAnsi="Arial" w:cs="Arial"/>
                <w:b/>
                <w:szCs w:val="21"/>
              </w:rPr>
              <w:t>序号</w:t>
            </w:r>
          </w:p>
        </w:tc>
        <w:tc>
          <w:tcPr>
            <w:tcW w:w="1233" w:type="dxa"/>
            <w:noWrap w:val="0"/>
            <w:vAlign w:val="center"/>
          </w:tcPr>
          <w:p w14:paraId="5584CC28">
            <w:pPr>
              <w:spacing w:line="360" w:lineRule="auto"/>
              <w:ind w:left="-78" w:leftChars="-37" w:right="-73" w:rightChars="-35"/>
              <w:jc w:val="center"/>
              <w:rPr>
                <w:rFonts w:hint="default" w:ascii="Arial" w:hAnsi="Arial" w:cs="Arial"/>
                <w:b/>
                <w:szCs w:val="21"/>
              </w:rPr>
            </w:pPr>
            <w:r>
              <w:rPr>
                <w:rFonts w:hint="default" w:ascii="Arial" w:hAnsi="Arial" w:cs="Arial"/>
                <w:b/>
                <w:szCs w:val="21"/>
              </w:rPr>
              <w:t>评审因素</w:t>
            </w:r>
          </w:p>
        </w:tc>
        <w:tc>
          <w:tcPr>
            <w:tcW w:w="6406" w:type="dxa"/>
            <w:noWrap w:val="0"/>
            <w:vAlign w:val="center"/>
          </w:tcPr>
          <w:p w14:paraId="2B76F144">
            <w:pPr>
              <w:spacing w:line="360" w:lineRule="auto"/>
              <w:ind w:left="-78" w:leftChars="-37" w:right="-73" w:rightChars="-35"/>
              <w:jc w:val="center"/>
              <w:rPr>
                <w:rFonts w:hint="default" w:ascii="Arial" w:hAnsi="Arial" w:cs="Arial"/>
                <w:b/>
                <w:szCs w:val="21"/>
              </w:rPr>
            </w:pPr>
            <w:r>
              <w:rPr>
                <w:rFonts w:hint="default" w:ascii="Arial" w:hAnsi="Arial" w:cs="Arial"/>
                <w:b/>
                <w:szCs w:val="21"/>
              </w:rPr>
              <w:t>评分细则</w:t>
            </w:r>
          </w:p>
        </w:tc>
        <w:tc>
          <w:tcPr>
            <w:tcW w:w="849" w:type="dxa"/>
            <w:noWrap w:val="0"/>
            <w:vAlign w:val="center"/>
          </w:tcPr>
          <w:p w14:paraId="58DA3E72">
            <w:pPr>
              <w:spacing w:line="360" w:lineRule="auto"/>
              <w:ind w:left="-78" w:leftChars="-37" w:right="-73" w:rightChars="-35"/>
              <w:jc w:val="center"/>
              <w:rPr>
                <w:rFonts w:hint="default" w:ascii="Arial" w:hAnsi="Arial" w:cs="Arial"/>
                <w:b/>
                <w:szCs w:val="21"/>
              </w:rPr>
            </w:pPr>
            <w:r>
              <w:rPr>
                <w:rFonts w:hint="default" w:ascii="Arial" w:hAnsi="Arial" w:cs="Arial"/>
                <w:b/>
                <w:szCs w:val="21"/>
              </w:rPr>
              <w:t>分值</w:t>
            </w:r>
          </w:p>
        </w:tc>
      </w:tr>
      <w:tr w14:paraId="28F52C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1" w:hRule="atLeast"/>
          <w:jc w:val="center"/>
        </w:trPr>
        <w:tc>
          <w:tcPr>
            <w:tcW w:w="589" w:type="dxa"/>
            <w:noWrap w:val="0"/>
            <w:vAlign w:val="center"/>
          </w:tcPr>
          <w:p w14:paraId="0573A363">
            <w:pPr>
              <w:spacing w:line="360" w:lineRule="auto"/>
              <w:ind w:left="-78" w:leftChars="-37" w:right="-73" w:rightChars="-35"/>
              <w:jc w:val="center"/>
              <w:rPr>
                <w:rFonts w:hint="default" w:ascii="Arial" w:hAnsi="Arial" w:cs="Arial"/>
                <w:b/>
                <w:szCs w:val="21"/>
              </w:rPr>
            </w:pPr>
            <w:r>
              <w:rPr>
                <w:rFonts w:hint="default" w:ascii="Arial" w:hAnsi="Arial" w:cs="Arial"/>
                <w:b/>
                <w:szCs w:val="21"/>
              </w:rPr>
              <w:t>一</w:t>
            </w:r>
          </w:p>
        </w:tc>
        <w:tc>
          <w:tcPr>
            <w:tcW w:w="8488" w:type="dxa"/>
            <w:gridSpan w:val="3"/>
            <w:noWrap w:val="0"/>
            <w:vAlign w:val="center"/>
          </w:tcPr>
          <w:p w14:paraId="0C9CCA55">
            <w:pPr>
              <w:spacing w:line="360" w:lineRule="auto"/>
              <w:ind w:left="-78" w:leftChars="-37" w:right="-73" w:rightChars="-35"/>
              <w:jc w:val="center"/>
              <w:rPr>
                <w:rFonts w:hint="default" w:ascii="Arial" w:hAnsi="Arial" w:cs="Arial"/>
                <w:b/>
                <w:szCs w:val="21"/>
              </w:rPr>
            </w:pPr>
            <w:r>
              <w:rPr>
                <w:rFonts w:hint="default" w:ascii="Arial" w:hAnsi="Arial" w:cs="Arial"/>
                <w:b/>
                <w:szCs w:val="21"/>
              </w:rPr>
              <w:t>价格部分（分值：30分）</w:t>
            </w:r>
          </w:p>
        </w:tc>
      </w:tr>
      <w:tr w14:paraId="259378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noWrap w:val="0"/>
            <w:vAlign w:val="center"/>
          </w:tcPr>
          <w:p w14:paraId="595E9B0A">
            <w:pPr>
              <w:spacing w:line="360" w:lineRule="auto"/>
              <w:ind w:left="-78" w:leftChars="-37" w:right="-73" w:rightChars="-35"/>
              <w:jc w:val="center"/>
              <w:rPr>
                <w:rFonts w:hint="default" w:ascii="Arial" w:hAnsi="Arial" w:cs="Arial"/>
                <w:bCs/>
                <w:szCs w:val="21"/>
              </w:rPr>
            </w:pPr>
            <w:r>
              <w:rPr>
                <w:rFonts w:hint="default" w:ascii="Arial" w:hAnsi="Arial" w:cs="Arial"/>
                <w:bCs/>
                <w:szCs w:val="21"/>
              </w:rPr>
              <w:t>1</w:t>
            </w:r>
          </w:p>
        </w:tc>
        <w:tc>
          <w:tcPr>
            <w:tcW w:w="1233" w:type="dxa"/>
            <w:tcBorders>
              <w:bottom w:val="single" w:color="auto" w:sz="4" w:space="0"/>
              <w:right w:val="single" w:color="auto" w:sz="4" w:space="0"/>
            </w:tcBorders>
            <w:noWrap w:val="0"/>
            <w:vAlign w:val="center"/>
          </w:tcPr>
          <w:p w14:paraId="5EC221FF">
            <w:pPr>
              <w:spacing w:line="360" w:lineRule="auto"/>
              <w:ind w:right="-73" w:rightChars="-35"/>
              <w:jc w:val="center"/>
              <w:rPr>
                <w:rFonts w:hint="default" w:ascii="Arial" w:hAnsi="Arial" w:cs="Arial"/>
                <w:bCs/>
                <w:szCs w:val="21"/>
              </w:rPr>
            </w:pPr>
            <w:r>
              <w:rPr>
                <w:rFonts w:hint="default" w:ascii="Arial" w:hAnsi="Arial" w:cs="Arial"/>
                <w:bCs/>
                <w:szCs w:val="21"/>
              </w:rPr>
              <w:t>价格分</w:t>
            </w:r>
          </w:p>
        </w:tc>
        <w:tc>
          <w:tcPr>
            <w:tcW w:w="6406" w:type="dxa"/>
            <w:tcBorders>
              <w:left w:val="single" w:color="auto" w:sz="4" w:space="0"/>
              <w:bottom w:val="single" w:color="auto" w:sz="4" w:space="0"/>
              <w:right w:val="single" w:color="auto" w:sz="4" w:space="0"/>
            </w:tcBorders>
            <w:noWrap w:val="0"/>
            <w:vAlign w:val="center"/>
          </w:tcPr>
          <w:p w14:paraId="2D783CF1">
            <w:pPr>
              <w:spacing w:line="360" w:lineRule="exact"/>
              <w:ind w:firstLine="420" w:firstLineChars="200"/>
              <w:rPr>
                <w:rFonts w:hint="default" w:ascii="Arial" w:hAnsi="Arial" w:cs="Arial"/>
                <w:bCs/>
                <w:szCs w:val="21"/>
              </w:rPr>
            </w:pPr>
            <w:r>
              <w:rPr>
                <w:rFonts w:hint="default" w:ascii="Arial" w:hAnsi="Arial" w:cs="Arial"/>
                <w:szCs w:val="21"/>
              </w:rPr>
              <w:t>1.1</w:t>
            </w:r>
            <w:r>
              <w:rPr>
                <w:rFonts w:hint="default" w:ascii="Arial" w:hAnsi="Arial" w:cs="Arial"/>
                <w:bCs/>
                <w:szCs w:val="21"/>
              </w:rPr>
              <w:t>评标价为投标人的投标报价进行政策性扣除后的价格，评标价只是作为评标时使用。最终中标人的中标金额等于投标报价。</w:t>
            </w:r>
          </w:p>
          <w:p w14:paraId="19643524">
            <w:pPr>
              <w:spacing w:line="360" w:lineRule="exact"/>
              <w:ind w:firstLine="420" w:firstLineChars="200"/>
              <w:rPr>
                <w:rFonts w:hint="default" w:ascii="Arial" w:hAnsi="Arial" w:cs="Arial"/>
                <w:bCs/>
                <w:szCs w:val="21"/>
              </w:rPr>
            </w:pPr>
            <w:r>
              <w:rPr>
                <w:rFonts w:hint="default" w:ascii="Arial" w:hAnsi="Arial" w:cs="Arial"/>
                <w:szCs w:val="21"/>
              </w:rPr>
              <w:t xml:space="preserve">1.2 </w:t>
            </w:r>
            <w:r>
              <w:rPr>
                <w:rFonts w:hint="default" w:ascii="Arial" w:hAnsi="Arial" w:cs="Arial"/>
                <w:bCs/>
                <w:szCs w:val="21"/>
              </w:rPr>
              <w:t>政策性扣除计算方法。</w:t>
            </w:r>
          </w:p>
          <w:p w14:paraId="298D2C2C">
            <w:pPr>
              <w:spacing w:line="360" w:lineRule="exact"/>
              <w:ind w:firstLine="420" w:firstLineChars="200"/>
              <w:rPr>
                <w:rFonts w:hint="default" w:ascii="Arial" w:hAnsi="Arial" w:cs="Arial"/>
                <w:szCs w:val="21"/>
              </w:rPr>
            </w:pPr>
            <w:r>
              <w:rPr>
                <w:rFonts w:hint="default" w:ascii="Arial" w:hAnsi="Arial" w:cs="Arial"/>
                <w:szCs w:val="21"/>
              </w:rPr>
              <w:t>1.2.1对小微企业的价格评审</w:t>
            </w:r>
            <w:r>
              <w:rPr>
                <w:rFonts w:hint="default" w:ascii="Arial" w:hAnsi="Arial" w:cs="Arial"/>
                <w:bCs/>
                <w:szCs w:val="21"/>
              </w:rPr>
              <w:t>优惠</w:t>
            </w:r>
          </w:p>
          <w:p w14:paraId="52C57D39">
            <w:pPr>
              <w:spacing w:line="360" w:lineRule="exact"/>
              <w:ind w:firstLine="420" w:firstLineChars="200"/>
              <w:rPr>
                <w:rFonts w:hint="default" w:ascii="Arial" w:hAnsi="Arial" w:cs="Arial"/>
                <w:bCs/>
                <w:szCs w:val="21"/>
              </w:rPr>
            </w:pPr>
            <w:r>
              <w:rPr>
                <w:rFonts w:hint="default" w:ascii="Arial" w:hAnsi="Arial" w:cs="Arial"/>
                <w:szCs w:val="21"/>
              </w:rPr>
              <w:t>☑适用于非专门面向中小企业采购项目</w:t>
            </w:r>
          </w:p>
          <w:p w14:paraId="453DA877">
            <w:pPr>
              <w:spacing w:line="360" w:lineRule="exact"/>
              <w:ind w:firstLine="420" w:firstLineChars="200"/>
              <w:rPr>
                <w:rFonts w:hint="default" w:ascii="Arial" w:hAnsi="Arial" w:cs="Arial"/>
                <w:bCs/>
                <w:szCs w:val="21"/>
              </w:rPr>
            </w:pPr>
            <w:r>
              <w:rPr>
                <w:rFonts w:hint="default" w:ascii="Arial" w:hAnsi="Arial" w:cs="Arial"/>
                <w:bCs/>
                <w:szCs w:val="21"/>
              </w:rPr>
              <w:t>投标人</w:t>
            </w:r>
            <w:r>
              <w:rPr>
                <w:rFonts w:hint="default" w:ascii="Arial" w:hAnsi="Arial" w:cs="Arial"/>
                <w:szCs w:val="21"/>
              </w:rPr>
              <w:t>被评定为</w:t>
            </w:r>
            <w:r>
              <w:rPr>
                <w:rFonts w:hint="default" w:ascii="Arial" w:hAnsi="Arial" w:cs="Arial"/>
                <w:bCs/>
                <w:szCs w:val="21"/>
              </w:rPr>
              <w:t>监狱企业或者残疾人福利性单位或者其</w:t>
            </w:r>
            <w:r>
              <w:rPr>
                <w:rFonts w:hint="default" w:ascii="Arial" w:hAnsi="Arial" w:cs="Arial"/>
                <w:szCs w:val="21"/>
              </w:rPr>
              <w:t>提供的货物全部由符合政策要求的小型、微型企业制造，即货物由小型、微型企业生产且使用该小型、微型企业商号或者注册商标的，</w:t>
            </w:r>
            <w:r>
              <w:rPr>
                <w:rFonts w:hint="default" w:ascii="Arial" w:hAnsi="Arial" w:cs="Arial"/>
                <w:bCs/>
                <w:szCs w:val="21"/>
              </w:rPr>
              <w:t>该投标人的投标报价</w:t>
            </w:r>
            <w:r>
              <w:rPr>
                <w:rFonts w:hint="default" w:ascii="Arial" w:hAnsi="Arial" w:cs="Arial"/>
                <w:szCs w:val="21"/>
              </w:rPr>
              <w:t>给予</w:t>
            </w:r>
            <w:r>
              <w:rPr>
                <w:rFonts w:hint="default" w:ascii="Arial" w:hAnsi="Arial" w:cs="Arial"/>
                <w:b/>
                <w:bCs/>
                <w:u w:val="single"/>
              </w:rPr>
              <w:t>20%</w:t>
            </w:r>
            <w:r>
              <w:rPr>
                <w:rFonts w:hint="default" w:ascii="Arial" w:hAnsi="Arial" w:cs="Arial"/>
                <w:szCs w:val="21"/>
              </w:rPr>
              <w:t>的扣除</w:t>
            </w:r>
            <w:r>
              <w:rPr>
                <w:rFonts w:hint="default" w:ascii="Arial" w:hAnsi="Arial" w:cs="Arial"/>
                <w:bCs/>
                <w:szCs w:val="21"/>
              </w:rPr>
              <w:t>，</w:t>
            </w:r>
            <w:r>
              <w:rPr>
                <w:rFonts w:hint="default" w:ascii="Arial" w:hAnsi="Arial" w:cs="Arial"/>
                <w:szCs w:val="21"/>
              </w:rPr>
              <w:t>扣除后的价格为评标价，即评标价=投标报价×（1-</w:t>
            </w:r>
            <w:r>
              <w:rPr>
                <w:rFonts w:hint="default" w:ascii="Arial" w:hAnsi="Arial" w:cs="Arial"/>
                <w:b/>
                <w:bCs/>
                <w:u w:val="single"/>
              </w:rPr>
              <w:t>20%</w:t>
            </w:r>
            <w:r>
              <w:rPr>
                <w:rFonts w:hint="default" w:ascii="Arial" w:hAnsi="Arial" w:cs="Arial"/>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w:t>
            </w:r>
            <w:r>
              <w:rPr>
                <w:rFonts w:hint="default" w:ascii="Arial" w:hAnsi="Arial" w:cs="Arial"/>
                <w:b/>
                <w:bCs/>
                <w:u w:val="single"/>
              </w:rPr>
              <w:t>6%</w:t>
            </w:r>
            <w:r>
              <w:rPr>
                <w:rFonts w:hint="default" w:ascii="Arial" w:hAnsi="Arial" w:cs="Arial"/>
                <w:color w:val="000000"/>
              </w:rPr>
              <w:t xml:space="preserve"> </w:t>
            </w:r>
            <w:r>
              <w:rPr>
                <w:rFonts w:hint="default" w:ascii="Arial" w:hAnsi="Arial" w:cs="Arial"/>
                <w:szCs w:val="21"/>
              </w:rPr>
              <w:t>的扣除，用扣除后的价格参加评审，扣除后的价格为评标价，即评标价=投标报价×（1－</w:t>
            </w:r>
            <w:r>
              <w:rPr>
                <w:rFonts w:hint="default" w:ascii="Arial" w:hAnsi="Arial" w:cs="Arial"/>
                <w:b/>
                <w:bCs/>
                <w:u w:val="single"/>
              </w:rPr>
              <w:t>6%</w:t>
            </w:r>
            <w:r>
              <w:rPr>
                <w:rFonts w:hint="default" w:ascii="Arial" w:hAnsi="Arial" w:cs="Arial"/>
                <w:szCs w:val="21"/>
              </w:rPr>
              <w:t>）。</w:t>
            </w:r>
          </w:p>
          <w:p w14:paraId="0EC48A6A">
            <w:pPr>
              <w:spacing w:line="360" w:lineRule="exact"/>
              <w:ind w:firstLine="420" w:firstLineChars="200"/>
              <w:rPr>
                <w:rFonts w:hint="default" w:ascii="Arial" w:hAnsi="Arial" w:cs="Arial"/>
                <w:szCs w:val="21"/>
              </w:rPr>
            </w:pPr>
            <w:r>
              <w:rPr>
                <w:rFonts w:hint="default" w:ascii="Arial" w:hAnsi="Arial" w:cs="Arial"/>
                <w:szCs w:val="21"/>
              </w:rPr>
              <w:t>1.2.2对本国产品的价格评审</w:t>
            </w:r>
            <w:r>
              <w:rPr>
                <w:rFonts w:hint="default" w:ascii="Arial" w:hAnsi="Arial" w:cs="Arial"/>
                <w:bCs/>
                <w:szCs w:val="21"/>
              </w:rPr>
              <w:t>优惠</w:t>
            </w:r>
          </w:p>
          <w:p w14:paraId="476BF7C0">
            <w:pPr>
              <w:spacing w:line="360" w:lineRule="exact"/>
              <w:ind w:firstLine="420" w:firstLineChars="200"/>
              <w:rPr>
                <w:rFonts w:hint="default" w:ascii="Arial" w:hAnsi="Arial" w:cs="Arial"/>
              </w:rPr>
            </w:pPr>
            <w:r>
              <w:rPr>
                <w:rFonts w:hint="default" w:ascii="Arial" w:hAnsi="Arial" w:cs="Arial"/>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14:paraId="4A3D5801">
            <w:pPr>
              <w:spacing w:line="360" w:lineRule="exact"/>
              <w:ind w:firstLine="420" w:firstLineChars="200"/>
              <w:rPr>
                <w:rFonts w:hint="default" w:ascii="Arial" w:hAnsi="Arial" w:cs="Arial"/>
              </w:rPr>
            </w:pPr>
            <w:r>
              <w:rPr>
                <w:rFonts w:hint="default" w:ascii="Arial" w:hAnsi="Arial" w:cs="Arial"/>
              </w:rPr>
              <w:t>对本国产品的支持政策：政府采购活动中既有本国产品又有非本国产品参与竞争的，依法对本国产品给予价格评审优惠，对本国产品的报价给予20%的价格扣除，用扣除后的价格参与评审。</w:t>
            </w:r>
          </w:p>
          <w:p w14:paraId="2F159F0A">
            <w:pPr>
              <w:widowControl/>
              <w:spacing w:line="360" w:lineRule="exact"/>
              <w:ind w:firstLine="420" w:firstLineChars="200"/>
              <w:jc w:val="left"/>
              <w:textAlignment w:val="baseline"/>
              <w:rPr>
                <w:rFonts w:hint="default" w:ascii="Arial" w:hAnsi="Arial" w:cs="Arial"/>
                <w:szCs w:val="21"/>
              </w:rPr>
            </w:pPr>
            <w:r>
              <w:rPr>
                <w:rFonts w:hint="default" w:ascii="Arial" w:hAnsi="Arial" w:cs="Arial"/>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3947FA16">
            <w:pPr>
              <w:spacing w:line="360" w:lineRule="exact"/>
              <w:ind w:firstLine="420" w:firstLineChars="200"/>
              <w:rPr>
                <w:rFonts w:hint="default" w:ascii="Arial" w:hAnsi="Arial" w:cs="Arial"/>
                <w:szCs w:val="21"/>
              </w:rPr>
            </w:pPr>
            <w:r>
              <w:rPr>
                <w:rFonts w:hint="default" w:ascii="Arial" w:hAnsi="Arial" w:cs="Arial"/>
                <w:szCs w:val="21"/>
              </w:rPr>
              <w:t>除上述情况外，评标价=投标报价。</w:t>
            </w:r>
          </w:p>
          <w:p w14:paraId="4F596242">
            <w:pPr>
              <w:spacing w:line="360" w:lineRule="exact"/>
              <w:ind w:firstLine="420" w:firstLineChars="200"/>
              <w:rPr>
                <w:rFonts w:hint="default" w:ascii="Arial" w:hAnsi="Arial" w:cs="Arial"/>
                <w:bCs/>
                <w:szCs w:val="21"/>
              </w:rPr>
            </w:pPr>
            <w:r>
              <w:rPr>
                <w:rFonts w:hint="default" w:ascii="Arial" w:hAnsi="Arial" w:cs="Arial"/>
                <w:bCs/>
                <w:szCs w:val="21"/>
              </w:rPr>
              <w:t>1.3满足招标文件要求且评标价最低的评标价为评标基准价，基准价得分为</w:t>
            </w:r>
            <w:r>
              <w:rPr>
                <w:rFonts w:hint="default" w:ascii="Arial" w:hAnsi="Arial" w:cs="Arial"/>
                <w:bCs/>
                <w:szCs w:val="21"/>
                <w:u w:val="single"/>
              </w:rPr>
              <w:t>30</w:t>
            </w:r>
            <w:r>
              <w:rPr>
                <w:rFonts w:hint="default" w:ascii="Arial" w:hAnsi="Arial" w:cs="Arial"/>
                <w:bCs/>
                <w:szCs w:val="21"/>
              </w:rPr>
              <w:t>分。</w:t>
            </w:r>
          </w:p>
          <w:p w14:paraId="3854EF5F">
            <w:pPr>
              <w:spacing w:line="360" w:lineRule="exact"/>
              <w:ind w:firstLine="420" w:firstLineChars="200"/>
              <w:rPr>
                <w:rFonts w:hint="default" w:ascii="Arial" w:hAnsi="Arial" w:cs="Arial"/>
                <w:bCs/>
                <w:szCs w:val="21"/>
              </w:rPr>
            </w:pPr>
            <w:r>
              <w:rPr>
                <w:rFonts w:hint="default" w:ascii="Arial" w:hAnsi="Arial" w:cs="Arial"/>
                <w:bCs/>
                <w:szCs w:val="21"/>
              </w:rPr>
              <w:t xml:space="preserve">1.4价格分计算公式：        </w:t>
            </w:r>
          </w:p>
          <w:p w14:paraId="72CAEF39">
            <w:pPr>
              <w:spacing w:line="360" w:lineRule="exact"/>
              <w:ind w:right="-73" w:rightChars="-35" w:firstLine="420" w:firstLineChars="200"/>
              <w:rPr>
                <w:rFonts w:hint="default" w:ascii="Arial" w:hAnsi="Arial" w:cs="Arial"/>
                <w:b/>
                <w:szCs w:val="21"/>
              </w:rPr>
            </w:pPr>
            <w:r>
              <w:rPr>
                <w:rFonts w:hint="default" w:ascii="Arial" w:hAnsi="Arial" w:cs="Arial"/>
                <w:bCs/>
              </w:rPr>
              <w:t>价格分=(评标基准价／评标价)×</w:t>
            </w:r>
            <w:r>
              <w:rPr>
                <w:rFonts w:hint="default" w:ascii="Arial" w:hAnsi="Arial" w:cs="Arial"/>
                <w:bCs/>
                <w:u w:val="single"/>
              </w:rPr>
              <w:t>30</w:t>
            </w:r>
            <w:r>
              <w:rPr>
                <w:rFonts w:hint="default" w:ascii="Arial" w:hAnsi="Arial" w:cs="Arial"/>
                <w:bCs/>
              </w:rPr>
              <w:t>分</w:t>
            </w:r>
          </w:p>
        </w:tc>
        <w:tc>
          <w:tcPr>
            <w:tcW w:w="849" w:type="dxa"/>
            <w:tcBorders>
              <w:left w:val="single" w:color="auto" w:sz="4" w:space="0"/>
              <w:bottom w:val="single" w:color="auto" w:sz="4" w:space="0"/>
            </w:tcBorders>
            <w:noWrap w:val="0"/>
            <w:vAlign w:val="center"/>
          </w:tcPr>
          <w:p w14:paraId="5EB06DA3">
            <w:pPr>
              <w:spacing w:line="360" w:lineRule="auto"/>
              <w:ind w:right="-73" w:rightChars="-35"/>
              <w:jc w:val="center"/>
              <w:rPr>
                <w:rFonts w:hint="default" w:ascii="Arial" w:hAnsi="Arial" w:cs="Arial"/>
                <w:bCs/>
                <w:szCs w:val="21"/>
              </w:rPr>
            </w:pPr>
            <w:r>
              <w:rPr>
                <w:rFonts w:hint="default" w:ascii="Arial" w:hAnsi="Arial" w:cs="Arial"/>
                <w:bCs/>
                <w:szCs w:val="21"/>
              </w:rPr>
              <w:t xml:space="preserve">满分 </w:t>
            </w:r>
          </w:p>
          <w:p w14:paraId="0F46FD74">
            <w:pPr>
              <w:spacing w:line="360" w:lineRule="auto"/>
              <w:ind w:right="-73" w:rightChars="-35"/>
              <w:jc w:val="center"/>
              <w:rPr>
                <w:rFonts w:hint="default" w:ascii="Arial" w:hAnsi="Arial" w:cs="Arial"/>
                <w:b/>
                <w:szCs w:val="21"/>
              </w:rPr>
            </w:pPr>
            <w:r>
              <w:rPr>
                <w:rFonts w:hint="default" w:ascii="Arial" w:hAnsi="Arial" w:cs="Arial"/>
                <w:bCs/>
                <w:szCs w:val="21"/>
              </w:rPr>
              <w:t>30分</w:t>
            </w:r>
          </w:p>
        </w:tc>
      </w:tr>
      <w:tr w14:paraId="11A8C1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1" w:hRule="atLeast"/>
          <w:jc w:val="center"/>
        </w:trPr>
        <w:tc>
          <w:tcPr>
            <w:tcW w:w="589" w:type="dxa"/>
            <w:noWrap w:val="0"/>
            <w:vAlign w:val="center"/>
          </w:tcPr>
          <w:p w14:paraId="59BD66A1">
            <w:pPr>
              <w:spacing w:line="360" w:lineRule="auto"/>
              <w:ind w:left="-78" w:leftChars="-37" w:right="-73" w:rightChars="-35"/>
              <w:jc w:val="center"/>
              <w:rPr>
                <w:rFonts w:hint="default" w:ascii="Arial" w:hAnsi="Arial" w:cs="Arial"/>
                <w:b/>
                <w:szCs w:val="21"/>
              </w:rPr>
            </w:pPr>
            <w:r>
              <w:rPr>
                <w:rFonts w:hint="default" w:ascii="Arial" w:hAnsi="Arial" w:cs="Arial"/>
                <w:b/>
                <w:szCs w:val="21"/>
              </w:rPr>
              <w:t>二</w:t>
            </w:r>
          </w:p>
        </w:tc>
        <w:tc>
          <w:tcPr>
            <w:tcW w:w="8488" w:type="dxa"/>
            <w:gridSpan w:val="3"/>
            <w:tcBorders>
              <w:top w:val="single" w:color="auto" w:sz="4" w:space="0"/>
            </w:tcBorders>
            <w:noWrap w:val="0"/>
            <w:vAlign w:val="center"/>
          </w:tcPr>
          <w:p w14:paraId="54717989">
            <w:pPr>
              <w:spacing w:line="360" w:lineRule="auto"/>
              <w:ind w:left="-78" w:leftChars="-37" w:right="-73" w:rightChars="-35"/>
              <w:jc w:val="center"/>
              <w:rPr>
                <w:rFonts w:hint="default" w:ascii="Arial" w:hAnsi="Arial" w:cs="Arial"/>
                <w:b/>
                <w:szCs w:val="21"/>
              </w:rPr>
            </w:pPr>
            <w:r>
              <w:rPr>
                <w:rFonts w:hint="default" w:ascii="Arial" w:hAnsi="Arial" w:cs="Arial"/>
                <w:b/>
                <w:szCs w:val="21"/>
              </w:rPr>
              <w:t>技术部分（分值</w:t>
            </w:r>
            <w:r>
              <w:rPr>
                <w:rFonts w:hint="default" w:ascii="Arial" w:hAnsi="Arial" w:cs="Arial"/>
                <w:b/>
                <w:szCs w:val="21"/>
                <w:lang w:val="en-US" w:eastAsia="zh-CN"/>
              </w:rPr>
              <w:t>51</w:t>
            </w:r>
            <w:r>
              <w:rPr>
                <w:rFonts w:hint="default" w:ascii="Arial" w:hAnsi="Arial" w:cs="Arial"/>
                <w:b/>
                <w:szCs w:val="21"/>
              </w:rPr>
              <w:t>分）</w:t>
            </w:r>
          </w:p>
        </w:tc>
      </w:tr>
      <w:tr w14:paraId="19B32C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071AD57B">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1</w:t>
            </w:r>
          </w:p>
        </w:tc>
        <w:tc>
          <w:tcPr>
            <w:tcW w:w="1233" w:type="dxa"/>
            <w:noWrap w:val="0"/>
            <w:vAlign w:val="center"/>
          </w:tcPr>
          <w:p w14:paraId="22167104">
            <w:pPr>
              <w:widowControl/>
              <w:spacing w:line="400" w:lineRule="exact"/>
              <w:jc w:val="center"/>
              <w:rPr>
                <w:rFonts w:hint="default" w:ascii="Arial" w:hAnsi="Arial" w:cs="Arial"/>
                <w:b/>
                <w:bCs/>
                <w:spacing w:val="-1"/>
                <w:kern w:val="0"/>
              </w:rPr>
            </w:pPr>
            <w:r>
              <w:rPr>
                <w:rFonts w:hint="default" w:ascii="Arial" w:hAnsi="Arial" w:cs="Arial"/>
                <w:b/>
                <w:bCs/>
                <w:spacing w:val="-1"/>
                <w:kern w:val="0"/>
              </w:rPr>
              <w:t>技术性能</w:t>
            </w:r>
          </w:p>
          <w:p w14:paraId="5E163CCC">
            <w:pPr>
              <w:widowControl/>
              <w:spacing w:line="400" w:lineRule="exact"/>
              <w:jc w:val="center"/>
              <w:rPr>
                <w:rFonts w:hint="default" w:ascii="Arial" w:hAnsi="Arial" w:cs="Arial"/>
                <w:szCs w:val="21"/>
              </w:rPr>
            </w:pPr>
            <w:r>
              <w:rPr>
                <w:rFonts w:hint="default" w:ascii="Arial" w:hAnsi="Arial" w:cs="Arial"/>
                <w:b/>
                <w:bCs/>
                <w:spacing w:val="-1"/>
                <w:kern w:val="0"/>
              </w:rPr>
              <w:t>（满分2</w:t>
            </w:r>
            <w:r>
              <w:rPr>
                <w:rFonts w:hint="default" w:ascii="Arial" w:hAnsi="Arial" w:cs="Arial"/>
                <w:b/>
                <w:bCs/>
                <w:spacing w:val="-1"/>
                <w:kern w:val="0"/>
                <w:lang w:val="en-US" w:eastAsia="zh-CN"/>
              </w:rPr>
              <w:t>4</w:t>
            </w:r>
            <w:r>
              <w:rPr>
                <w:rFonts w:hint="default" w:ascii="Arial" w:hAnsi="Arial" w:cs="Arial"/>
                <w:b/>
                <w:bCs/>
                <w:spacing w:val="-1"/>
                <w:kern w:val="0"/>
              </w:rPr>
              <w:t>分）</w:t>
            </w:r>
            <w:r>
              <w:rPr>
                <w:rFonts w:hint="default" w:ascii="Arial" w:hAnsi="Arial" w:cs="Arial"/>
                <w:b/>
                <w:bCs/>
                <w:sz w:val="24"/>
              </w:rPr>
              <w:t xml:space="preserve"> </w:t>
            </w:r>
          </w:p>
        </w:tc>
        <w:tc>
          <w:tcPr>
            <w:tcW w:w="6406" w:type="dxa"/>
            <w:noWrap w:val="0"/>
            <w:vAlign w:val="center"/>
          </w:tcPr>
          <w:p w14:paraId="62D756D4">
            <w:pPr>
              <w:numPr>
                <w:ilvl w:val="0"/>
                <w:numId w:val="4"/>
              </w:numPr>
              <w:spacing w:line="360" w:lineRule="exact"/>
              <w:jc w:val="left"/>
              <w:rPr>
                <w:rFonts w:hint="default" w:ascii="Arial" w:hAnsi="Arial" w:cs="Arial"/>
                <w:szCs w:val="21"/>
              </w:rPr>
            </w:pPr>
            <w:r>
              <w:rPr>
                <w:rFonts w:hint="default" w:ascii="Arial" w:hAnsi="Arial" w:cs="Arial"/>
                <w:szCs w:val="21"/>
              </w:rPr>
              <w:t>评委根据招标文件要求，对通过资格性和符合性审查进入详评的各投标人投标文件的“项目要求及技术需求”偏离情况进行独立评审，并按如下计分方式确定得分：</w:t>
            </w:r>
          </w:p>
          <w:p w14:paraId="1233A408">
            <w:pPr>
              <w:numPr>
                <w:ilvl w:val="0"/>
                <w:numId w:val="4"/>
              </w:numPr>
              <w:spacing w:line="360" w:lineRule="exact"/>
              <w:ind w:firstLine="420" w:firstLineChars="200"/>
              <w:jc w:val="left"/>
              <w:rPr>
                <w:rFonts w:hint="default" w:ascii="Arial" w:hAnsi="Arial" w:cs="Arial"/>
                <w:szCs w:val="21"/>
              </w:rPr>
            </w:pPr>
            <w:r>
              <w:rPr>
                <w:rFonts w:hint="default" w:ascii="Arial" w:hAnsi="Arial" w:cs="Arial"/>
                <w:szCs w:val="21"/>
              </w:rPr>
              <w:t>基本分：经评委评审，投标人的投标文件满足招标文件全部实质性要求的，即得24分；</w:t>
            </w:r>
          </w:p>
          <w:p w14:paraId="6D6557F6">
            <w:pPr>
              <w:widowControl/>
              <w:numPr>
                <w:ilvl w:val="0"/>
                <w:numId w:val="4"/>
              </w:numPr>
              <w:spacing w:line="360" w:lineRule="exact"/>
              <w:ind w:firstLine="420" w:firstLineChars="200"/>
              <w:jc w:val="left"/>
              <w:rPr>
                <w:rFonts w:hint="default" w:ascii="Arial" w:hAnsi="Arial" w:cs="Arial"/>
                <w:szCs w:val="21"/>
              </w:rPr>
            </w:pPr>
            <w:r>
              <w:rPr>
                <w:rFonts w:hint="default" w:ascii="Arial" w:hAnsi="Arial" w:cs="Arial"/>
                <w:szCs w:val="21"/>
              </w:rPr>
              <w:t>负偏离扣分：投标人对招标文件第三章“项目需求”的“技术要求”中</w:t>
            </w:r>
            <w:r>
              <w:rPr>
                <w:rFonts w:hint="default" w:ascii="Arial" w:hAnsi="Arial" w:cs="Arial"/>
                <w:szCs w:val="21"/>
                <w:lang w:val="en-US" w:eastAsia="zh-CN"/>
              </w:rPr>
              <w:t>未</w:t>
            </w:r>
            <w:r>
              <w:rPr>
                <w:rFonts w:hint="default" w:ascii="Arial" w:hAnsi="Arial" w:cs="Arial"/>
              </w:rPr>
              <w:t>标注 “</w:t>
            </w:r>
            <w:r>
              <w:rPr>
                <w:rFonts w:hint="default" w:ascii="Arial" w:hAnsi="Arial" w:eastAsia="仿宋_GB2312" w:cs="Arial"/>
                <w:color w:val="000000"/>
                <w:kern w:val="0"/>
                <w:sz w:val="21"/>
                <w:szCs w:val="21"/>
                <w:lang w:eastAsia="zh-CN" w:bidi="ar"/>
              </w:rPr>
              <w:t>▲</w:t>
            </w:r>
            <w:r>
              <w:rPr>
                <w:rFonts w:hint="default" w:ascii="Arial" w:hAnsi="Arial" w:cs="Arial"/>
              </w:rPr>
              <w:t>”的技术要求</w:t>
            </w:r>
            <w:r>
              <w:rPr>
                <w:rFonts w:hint="default" w:ascii="Arial" w:hAnsi="Arial" w:cs="Arial"/>
                <w:szCs w:val="21"/>
              </w:rPr>
              <w:t>响应存在负偏离的，每有一项扣</w:t>
            </w:r>
            <w:r>
              <w:rPr>
                <w:rFonts w:hint="default" w:ascii="Arial" w:hAnsi="Arial" w:cs="Arial"/>
                <w:szCs w:val="21"/>
                <w:lang w:val="en-US" w:eastAsia="zh-CN"/>
              </w:rPr>
              <w:t>3</w:t>
            </w:r>
            <w:r>
              <w:rPr>
                <w:rFonts w:hint="default" w:ascii="Arial" w:hAnsi="Arial" w:cs="Arial"/>
                <w:szCs w:val="21"/>
              </w:rPr>
              <w:t>分，最多扣24分</w:t>
            </w:r>
          </w:p>
        </w:tc>
        <w:tc>
          <w:tcPr>
            <w:tcW w:w="849" w:type="dxa"/>
            <w:noWrap w:val="0"/>
            <w:vAlign w:val="center"/>
          </w:tcPr>
          <w:p w14:paraId="4467A897">
            <w:pPr>
              <w:spacing w:line="360" w:lineRule="auto"/>
              <w:jc w:val="center"/>
              <w:rPr>
                <w:rFonts w:hint="default" w:ascii="Arial" w:hAnsi="Arial" w:cs="Arial"/>
                <w:szCs w:val="21"/>
              </w:rPr>
            </w:pPr>
            <w:r>
              <w:rPr>
                <w:rFonts w:hint="default" w:ascii="Arial" w:hAnsi="Arial" w:cs="Arial"/>
                <w:szCs w:val="21"/>
              </w:rPr>
              <w:t>2</w:t>
            </w:r>
            <w:r>
              <w:rPr>
                <w:rFonts w:hint="default" w:ascii="Arial" w:hAnsi="Arial" w:cs="Arial"/>
                <w:szCs w:val="21"/>
                <w:lang w:val="en-US" w:eastAsia="zh-CN"/>
              </w:rPr>
              <w:t>4</w:t>
            </w:r>
            <w:r>
              <w:rPr>
                <w:rFonts w:hint="default" w:ascii="Arial" w:hAnsi="Arial" w:cs="Arial"/>
                <w:szCs w:val="21"/>
              </w:rPr>
              <w:t>分</w:t>
            </w:r>
          </w:p>
        </w:tc>
      </w:tr>
      <w:tr w14:paraId="7BCEA0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60656737">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2</w:t>
            </w:r>
          </w:p>
        </w:tc>
        <w:tc>
          <w:tcPr>
            <w:tcW w:w="1233" w:type="dxa"/>
            <w:noWrap w:val="0"/>
            <w:vAlign w:val="center"/>
          </w:tcPr>
          <w:p w14:paraId="56CBFEDE">
            <w:pPr>
              <w:widowControl/>
              <w:spacing w:line="400" w:lineRule="exact"/>
              <w:jc w:val="center"/>
              <w:rPr>
                <w:rFonts w:hint="default" w:ascii="Arial" w:hAnsi="Arial" w:cs="Arial"/>
                <w:szCs w:val="21"/>
              </w:rPr>
            </w:pPr>
            <w:r>
              <w:rPr>
                <w:rFonts w:hint="default" w:ascii="Arial" w:hAnsi="Arial" w:cs="Arial"/>
                <w:b/>
                <w:bCs/>
                <w:szCs w:val="21"/>
              </w:rPr>
              <w:t>项目实施方案（满分15分）</w:t>
            </w:r>
          </w:p>
        </w:tc>
        <w:tc>
          <w:tcPr>
            <w:tcW w:w="6406" w:type="dxa"/>
            <w:noWrap w:val="0"/>
            <w:vAlign w:val="center"/>
          </w:tcPr>
          <w:p w14:paraId="0C779B76">
            <w:pPr>
              <w:spacing w:line="400" w:lineRule="exact"/>
              <w:rPr>
                <w:rFonts w:hint="default" w:ascii="Arial" w:hAnsi="Arial" w:cs="Arial"/>
                <w:szCs w:val="21"/>
              </w:rPr>
            </w:pPr>
            <w:r>
              <w:rPr>
                <w:rFonts w:hint="default" w:ascii="Arial" w:hAnsi="Arial" w:cs="Arial"/>
                <w:b/>
                <w:bCs/>
                <w:szCs w:val="21"/>
              </w:rPr>
              <w:t>一档（0分）：</w:t>
            </w:r>
            <w:r>
              <w:rPr>
                <w:rFonts w:hint="default" w:ascii="Arial" w:hAnsi="Arial" w:cs="Arial"/>
                <w:szCs w:val="21"/>
              </w:rPr>
              <w:t>投标文件未提供项目实施方案不得分。</w:t>
            </w:r>
          </w:p>
          <w:p w14:paraId="65CBFB7A">
            <w:pPr>
              <w:spacing w:line="400" w:lineRule="exact"/>
              <w:jc w:val="left"/>
              <w:rPr>
                <w:rFonts w:hint="default" w:ascii="Arial" w:hAnsi="Arial" w:cs="Arial"/>
                <w:szCs w:val="21"/>
              </w:rPr>
            </w:pPr>
            <w:r>
              <w:rPr>
                <w:rFonts w:hint="default" w:ascii="Arial" w:hAnsi="Arial" w:cs="Arial"/>
                <w:b/>
                <w:bCs/>
                <w:szCs w:val="21"/>
              </w:rPr>
              <w:t>二档（3分）：</w:t>
            </w:r>
            <w:r>
              <w:rPr>
                <w:rFonts w:hint="default" w:ascii="Arial" w:hAnsi="Arial" w:cs="Arial"/>
                <w:szCs w:val="21"/>
              </w:rPr>
              <w:t>提供项目实施方案，方案内容具有产品保管措施、产品包装措施，有产品的出厂、配送、安装的计划安排。</w:t>
            </w:r>
          </w:p>
          <w:p w14:paraId="7DAADF29">
            <w:pPr>
              <w:spacing w:line="400" w:lineRule="exact"/>
              <w:jc w:val="left"/>
              <w:rPr>
                <w:rFonts w:hint="default" w:ascii="Arial" w:hAnsi="Arial" w:cs="Arial"/>
                <w:szCs w:val="21"/>
              </w:rPr>
            </w:pPr>
            <w:r>
              <w:rPr>
                <w:rFonts w:hint="default" w:ascii="Arial" w:hAnsi="Arial" w:cs="Arial"/>
                <w:b/>
                <w:bCs/>
                <w:szCs w:val="21"/>
              </w:rPr>
              <w:t>三档（7分）：</w:t>
            </w:r>
            <w:r>
              <w:rPr>
                <w:rFonts w:hint="default" w:ascii="Arial" w:hAnsi="Arial" w:cs="Arial"/>
                <w:szCs w:val="21"/>
              </w:rPr>
              <w:t>提供项目实施方案，方案内容具有产品保管措施、产品包装措施、产品运输安排措施，有产品的出厂、配送、安装的计划安排、说明及各阶段的时间规划，有工作进度及控制方案。</w:t>
            </w:r>
          </w:p>
          <w:p w14:paraId="08AC0747">
            <w:pPr>
              <w:spacing w:line="400" w:lineRule="exact"/>
              <w:jc w:val="left"/>
              <w:rPr>
                <w:rFonts w:hint="default" w:ascii="Arial" w:hAnsi="Arial" w:cs="Arial"/>
                <w:szCs w:val="21"/>
              </w:rPr>
            </w:pPr>
            <w:r>
              <w:rPr>
                <w:rFonts w:hint="default" w:ascii="Arial" w:hAnsi="Arial" w:cs="Arial"/>
                <w:b/>
                <w:bCs/>
                <w:szCs w:val="21"/>
              </w:rPr>
              <w:t>四档（11分）：</w:t>
            </w:r>
            <w:r>
              <w:rPr>
                <w:rFonts w:hint="default" w:ascii="Arial" w:hAnsi="Arial" w:cs="Arial"/>
                <w:szCs w:val="21"/>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有实施进度说明，对产品的配送、安装有相应的方案说明。</w:t>
            </w:r>
          </w:p>
          <w:p w14:paraId="45EBAEB6">
            <w:pPr>
              <w:spacing w:line="400" w:lineRule="exact"/>
              <w:jc w:val="left"/>
              <w:rPr>
                <w:rFonts w:hint="default" w:ascii="Arial" w:hAnsi="Arial" w:cs="Arial"/>
                <w:spacing w:val="9"/>
                <w:szCs w:val="21"/>
              </w:rPr>
            </w:pPr>
            <w:r>
              <w:rPr>
                <w:rFonts w:hint="default" w:ascii="Arial" w:hAnsi="Arial" w:cs="Arial"/>
                <w:b/>
                <w:bCs/>
                <w:szCs w:val="21"/>
              </w:rPr>
              <w:t>五档（15分）：</w:t>
            </w:r>
            <w:r>
              <w:rPr>
                <w:rFonts w:hint="default" w:ascii="Arial" w:hAnsi="Arial" w:cs="Arial"/>
                <w:szCs w:val="21"/>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项目管理框架、技术管理构架等，有对本项目的风险预见及风险应对措施，有实施进度说明，对产品的安装、验收的各阶段有详细的方案说明。</w:t>
            </w:r>
          </w:p>
        </w:tc>
        <w:tc>
          <w:tcPr>
            <w:tcW w:w="849" w:type="dxa"/>
            <w:noWrap w:val="0"/>
            <w:vAlign w:val="center"/>
          </w:tcPr>
          <w:p w14:paraId="4E108B90">
            <w:pPr>
              <w:spacing w:line="360" w:lineRule="auto"/>
              <w:jc w:val="center"/>
              <w:rPr>
                <w:rFonts w:hint="default" w:ascii="Arial" w:hAnsi="Arial" w:cs="Arial"/>
                <w:szCs w:val="21"/>
              </w:rPr>
            </w:pPr>
            <w:r>
              <w:rPr>
                <w:rFonts w:hint="default" w:ascii="Arial" w:hAnsi="Arial" w:cs="Arial"/>
                <w:szCs w:val="21"/>
              </w:rPr>
              <w:t>15分</w:t>
            </w:r>
          </w:p>
        </w:tc>
      </w:tr>
      <w:tr w14:paraId="7BED0D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183" w:hRule="atLeast"/>
          <w:jc w:val="center"/>
        </w:trPr>
        <w:tc>
          <w:tcPr>
            <w:tcW w:w="589" w:type="dxa"/>
            <w:tcBorders>
              <w:top w:val="single" w:color="auto" w:sz="4" w:space="0"/>
              <w:bottom w:val="single" w:color="auto" w:sz="4" w:space="0"/>
            </w:tcBorders>
            <w:noWrap w:val="0"/>
            <w:vAlign w:val="center"/>
          </w:tcPr>
          <w:p w14:paraId="2CD0CC0D">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3</w:t>
            </w:r>
          </w:p>
        </w:tc>
        <w:tc>
          <w:tcPr>
            <w:tcW w:w="1233" w:type="dxa"/>
            <w:noWrap w:val="0"/>
            <w:vAlign w:val="center"/>
          </w:tcPr>
          <w:p w14:paraId="0B685CD4">
            <w:pPr>
              <w:widowControl/>
              <w:spacing w:line="400" w:lineRule="exact"/>
              <w:ind w:left="-16" w:hanging="1"/>
              <w:jc w:val="center"/>
              <w:rPr>
                <w:rFonts w:hint="default" w:ascii="Arial" w:hAnsi="Arial" w:cs="Arial"/>
                <w:szCs w:val="21"/>
              </w:rPr>
            </w:pPr>
            <w:r>
              <w:rPr>
                <w:rFonts w:hint="default" w:ascii="Arial" w:hAnsi="Arial" w:cs="Arial"/>
                <w:b/>
                <w:spacing w:val="7"/>
                <w:szCs w:val="21"/>
              </w:rPr>
              <w:t>培训方案 （满分12分）</w:t>
            </w:r>
          </w:p>
        </w:tc>
        <w:tc>
          <w:tcPr>
            <w:tcW w:w="6406" w:type="dxa"/>
            <w:noWrap w:val="0"/>
            <w:vAlign w:val="center"/>
          </w:tcPr>
          <w:p w14:paraId="31DFEA0D">
            <w:pPr>
              <w:spacing w:line="400" w:lineRule="exact"/>
              <w:jc w:val="left"/>
              <w:rPr>
                <w:rFonts w:hint="default" w:ascii="Arial" w:hAnsi="Arial" w:cs="Arial"/>
                <w:szCs w:val="21"/>
              </w:rPr>
            </w:pPr>
            <w:r>
              <w:rPr>
                <w:rFonts w:hint="default" w:ascii="Arial" w:hAnsi="Arial" w:cs="Arial"/>
                <w:b/>
                <w:bCs/>
                <w:szCs w:val="21"/>
              </w:rPr>
              <w:t>一档（0分）：</w:t>
            </w:r>
            <w:r>
              <w:rPr>
                <w:rFonts w:hint="default" w:ascii="Arial" w:hAnsi="Arial" w:cs="Arial"/>
                <w:szCs w:val="21"/>
              </w:rPr>
              <w:t>投标文件中未提供设备操作、使用及维护培训方案不得分。</w:t>
            </w:r>
          </w:p>
          <w:p w14:paraId="60783F5F">
            <w:pPr>
              <w:spacing w:line="400" w:lineRule="exact"/>
              <w:jc w:val="left"/>
              <w:rPr>
                <w:rFonts w:hint="default" w:ascii="Arial" w:hAnsi="Arial" w:cs="Arial"/>
                <w:szCs w:val="21"/>
              </w:rPr>
            </w:pPr>
            <w:r>
              <w:rPr>
                <w:rFonts w:hint="default" w:ascii="Arial" w:hAnsi="Arial" w:cs="Arial"/>
                <w:b/>
                <w:bCs/>
                <w:szCs w:val="21"/>
              </w:rPr>
              <w:t>二档（</w:t>
            </w:r>
            <w:r>
              <w:rPr>
                <w:rFonts w:hint="default" w:ascii="Arial" w:hAnsi="Arial" w:cs="Arial"/>
                <w:b/>
                <w:bCs/>
                <w:szCs w:val="21"/>
                <w:lang w:val="en-US" w:eastAsia="zh-CN"/>
              </w:rPr>
              <w:t>3</w:t>
            </w:r>
            <w:r>
              <w:rPr>
                <w:rFonts w:hint="default" w:ascii="Arial" w:hAnsi="Arial" w:cs="Arial"/>
                <w:b/>
                <w:bCs/>
                <w:szCs w:val="21"/>
              </w:rPr>
              <w:t>分）：</w:t>
            </w:r>
            <w:r>
              <w:rPr>
                <w:rFonts w:hint="default" w:ascii="Arial" w:hAnsi="Arial" w:cs="Arial"/>
                <w:szCs w:val="21"/>
              </w:rPr>
              <w:t>提供设备操作、使用及维护培训方案，方案内容具有简单的设备操作、使用及维护培训计划，包含招标文件要求的设备使用培训内容，提供专业技术人员对招标人进行培训，产品交付使用时对招标人进行1次设备操作、使用及维护培训，验收合格后对招标人进行2次设备操作、使用及维护培训，每次培训时长不低于20分钟，培训内容有设备标准操作方法、设备使用注意事项。</w:t>
            </w:r>
          </w:p>
          <w:p w14:paraId="4171476D">
            <w:pPr>
              <w:spacing w:line="400" w:lineRule="exact"/>
              <w:jc w:val="left"/>
              <w:rPr>
                <w:rFonts w:hint="default" w:ascii="Arial" w:hAnsi="Arial" w:cs="Arial"/>
                <w:szCs w:val="21"/>
              </w:rPr>
            </w:pPr>
            <w:r>
              <w:rPr>
                <w:rFonts w:hint="default" w:ascii="Arial" w:hAnsi="Arial" w:cs="Arial"/>
                <w:b/>
                <w:bCs/>
                <w:szCs w:val="21"/>
              </w:rPr>
              <w:t>三档（</w:t>
            </w:r>
            <w:r>
              <w:rPr>
                <w:rFonts w:hint="default" w:ascii="Arial" w:hAnsi="Arial" w:cs="Arial"/>
                <w:b/>
                <w:bCs/>
                <w:szCs w:val="21"/>
                <w:lang w:val="en-US" w:eastAsia="zh-CN"/>
              </w:rPr>
              <w:t>6</w:t>
            </w:r>
            <w:r>
              <w:rPr>
                <w:rFonts w:hint="default" w:ascii="Arial" w:hAnsi="Arial" w:cs="Arial"/>
                <w:b/>
                <w:bCs/>
                <w:szCs w:val="21"/>
              </w:rPr>
              <w:t>分）：</w:t>
            </w:r>
            <w:r>
              <w:rPr>
                <w:rFonts w:hint="default" w:ascii="Arial" w:hAnsi="Arial" w:cs="Arial"/>
                <w:szCs w:val="21"/>
              </w:rPr>
              <w:t>提供设备操作、使用及维护培训方案，方案内容具有详细的设备操作、使用及维护培训计划，包含招标文件要求的设备使用培训内容，提供专业技术人员对招标人进行培训，产品交付使用时对招标人进行至少1次设备操作、使用及维护培训，验收合格后对招标人进行至少3次设备操作、使用及维护培训，每次培训时长不低于20分钟，培训内容有设备标准操作方法、设备使用注意事项、设备基础维护知识。</w:t>
            </w:r>
          </w:p>
          <w:p w14:paraId="7A1CF6F2">
            <w:pPr>
              <w:spacing w:line="400" w:lineRule="exact"/>
              <w:jc w:val="left"/>
              <w:rPr>
                <w:rFonts w:hint="default" w:ascii="Arial" w:hAnsi="Arial" w:cs="Arial"/>
                <w:szCs w:val="21"/>
              </w:rPr>
            </w:pPr>
            <w:r>
              <w:rPr>
                <w:rFonts w:hint="default" w:ascii="Arial" w:hAnsi="Arial" w:cs="Arial"/>
                <w:b/>
                <w:bCs/>
                <w:szCs w:val="21"/>
              </w:rPr>
              <w:t>四档（9分）：</w:t>
            </w:r>
            <w:r>
              <w:rPr>
                <w:rFonts w:hint="default" w:ascii="Arial" w:hAnsi="Arial" w:cs="Arial"/>
                <w:szCs w:val="21"/>
              </w:rPr>
              <w:t>提供设备操作、使用及维护培训方案，方案内容具有完善的设备操作、使用及维护培训计划，包含招标文件要求的设备使用培训内容，提供专业技术人员对招标人进行培训，产品交付使用时对招标人进行至少1次设备操作、使用及维护培训，验收合格后对招标人进行至少3次设备操作、使用及维护培训，每次培训时长不低于25分钟，培训内容有设备标准操作方法、设备使用注意事项、设备基础维护知识、设备一般故障处理方法、设备重大故障处理方法、设备维护保养细则。</w:t>
            </w:r>
          </w:p>
          <w:p w14:paraId="293927F7">
            <w:pPr>
              <w:spacing w:line="400" w:lineRule="exact"/>
              <w:jc w:val="left"/>
              <w:rPr>
                <w:rFonts w:hint="default" w:ascii="Arial" w:hAnsi="Arial" w:cs="Arial"/>
                <w:szCs w:val="21"/>
              </w:rPr>
            </w:pPr>
            <w:r>
              <w:rPr>
                <w:rFonts w:hint="default" w:ascii="Arial" w:hAnsi="Arial" w:cs="Arial"/>
                <w:b/>
                <w:bCs/>
                <w:szCs w:val="21"/>
              </w:rPr>
              <w:t>五档（12分）：</w:t>
            </w:r>
            <w:r>
              <w:rPr>
                <w:rFonts w:hint="default" w:ascii="Arial" w:hAnsi="Arial" w:cs="Arial"/>
                <w:szCs w:val="21"/>
              </w:rPr>
              <w:t>提供设备操作、使用及维护培训方案，方案内容具有详细完善的设备操作、使用及维护培训计划，包含招标文件要求的设备使用培训内容，提供专业技术人员对招标人进行培训，产品交付使用时对招标人进行至少1次设备操作、使用及维护培训，验收合格后对招标人进行至少4次设备操作、使用及维护培训，每次培训时长不低于30分钟，培训内容有设备标准操作方法、设备使用注意事项、设备基础维护知识、设备一般故障处理方法、设备重大故障处理方法、设备维护保养细则、设备使用技术指导。</w:t>
            </w:r>
          </w:p>
        </w:tc>
        <w:tc>
          <w:tcPr>
            <w:tcW w:w="849" w:type="dxa"/>
            <w:noWrap w:val="0"/>
            <w:vAlign w:val="center"/>
          </w:tcPr>
          <w:p w14:paraId="6434FFA0">
            <w:pPr>
              <w:spacing w:line="360" w:lineRule="auto"/>
              <w:jc w:val="center"/>
              <w:rPr>
                <w:rFonts w:hint="default" w:ascii="Arial" w:hAnsi="Arial" w:cs="Arial"/>
                <w:szCs w:val="21"/>
              </w:rPr>
            </w:pPr>
            <w:r>
              <w:rPr>
                <w:rFonts w:hint="default" w:ascii="Arial" w:hAnsi="Arial" w:cs="Arial"/>
                <w:szCs w:val="21"/>
              </w:rPr>
              <w:t>12分</w:t>
            </w:r>
          </w:p>
        </w:tc>
      </w:tr>
      <w:tr w14:paraId="314156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8" w:hRule="atLeast"/>
          <w:jc w:val="center"/>
        </w:trPr>
        <w:tc>
          <w:tcPr>
            <w:tcW w:w="589" w:type="dxa"/>
            <w:tcBorders>
              <w:top w:val="single" w:color="auto" w:sz="4" w:space="0"/>
              <w:bottom w:val="single" w:color="auto" w:sz="4" w:space="0"/>
            </w:tcBorders>
            <w:noWrap w:val="0"/>
            <w:vAlign w:val="center"/>
          </w:tcPr>
          <w:p w14:paraId="4784EEDE">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三</w:t>
            </w:r>
          </w:p>
        </w:tc>
        <w:tc>
          <w:tcPr>
            <w:tcW w:w="8488" w:type="dxa"/>
            <w:gridSpan w:val="3"/>
            <w:noWrap w:val="0"/>
            <w:vAlign w:val="center"/>
          </w:tcPr>
          <w:p w14:paraId="2805CDF5">
            <w:pPr>
              <w:spacing w:line="360" w:lineRule="auto"/>
              <w:ind w:firstLine="422" w:firstLineChars="200"/>
              <w:jc w:val="center"/>
              <w:rPr>
                <w:rFonts w:hint="default" w:ascii="Arial" w:hAnsi="Arial" w:cs="Arial"/>
                <w:szCs w:val="21"/>
              </w:rPr>
            </w:pPr>
            <w:r>
              <w:rPr>
                <w:rFonts w:hint="default" w:ascii="Arial" w:hAnsi="Arial" w:cs="Arial"/>
                <w:b/>
                <w:bCs/>
                <w:szCs w:val="21"/>
              </w:rPr>
              <w:t>商务部分（分值：</w:t>
            </w:r>
            <w:r>
              <w:rPr>
                <w:rFonts w:hint="default" w:ascii="Arial" w:hAnsi="Arial" w:cs="Arial"/>
                <w:b/>
                <w:bCs/>
                <w:szCs w:val="21"/>
                <w:lang w:val="en-US" w:eastAsia="zh-CN"/>
              </w:rPr>
              <w:t>19</w:t>
            </w:r>
            <w:r>
              <w:rPr>
                <w:rFonts w:hint="default" w:ascii="Arial" w:hAnsi="Arial" w:cs="Arial"/>
                <w:b/>
                <w:bCs/>
                <w:szCs w:val="21"/>
              </w:rPr>
              <w:t>分）</w:t>
            </w:r>
          </w:p>
        </w:tc>
      </w:tr>
      <w:tr w14:paraId="4FF88D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90" w:hRule="atLeast"/>
          <w:jc w:val="center"/>
        </w:trPr>
        <w:tc>
          <w:tcPr>
            <w:tcW w:w="589" w:type="dxa"/>
            <w:tcBorders>
              <w:top w:val="single" w:color="auto" w:sz="4" w:space="0"/>
            </w:tcBorders>
            <w:noWrap w:val="0"/>
            <w:vAlign w:val="center"/>
          </w:tcPr>
          <w:p w14:paraId="3E9B2076">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1</w:t>
            </w:r>
          </w:p>
        </w:tc>
        <w:tc>
          <w:tcPr>
            <w:tcW w:w="1233" w:type="dxa"/>
            <w:noWrap w:val="0"/>
            <w:vAlign w:val="center"/>
          </w:tcPr>
          <w:p w14:paraId="188E4B48">
            <w:pPr>
              <w:widowControl/>
              <w:spacing w:line="400" w:lineRule="exact"/>
              <w:jc w:val="center"/>
              <w:rPr>
                <w:rFonts w:hint="default" w:ascii="Arial" w:hAnsi="Arial" w:cs="Arial"/>
                <w:b/>
                <w:kern w:val="0"/>
                <w:szCs w:val="21"/>
              </w:rPr>
            </w:pPr>
            <w:r>
              <w:rPr>
                <w:rFonts w:hint="default" w:ascii="Arial" w:hAnsi="Arial" w:cs="Arial"/>
                <w:b/>
                <w:szCs w:val="21"/>
              </w:rPr>
              <w:t>售后服务方案</w:t>
            </w:r>
          </w:p>
          <w:p w14:paraId="6F8E43CD">
            <w:pPr>
              <w:pStyle w:val="50"/>
              <w:shd w:val="clear" w:color="auto" w:fill="FFFFFF"/>
              <w:spacing w:before="0" w:beforeAutospacing="0" w:after="0" w:afterAutospacing="0" w:line="400" w:lineRule="exact"/>
              <w:jc w:val="center"/>
              <w:rPr>
                <w:rFonts w:hint="default" w:ascii="Arial" w:hAnsi="Arial" w:cs="Arial"/>
                <w:szCs w:val="21"/>
              </w:rPr>
            </w:pPr>
            <w:r>
              <w:rPr>
                <w:rFonts w:hint="default" w:ascii="Arial" w:hAnsi="Arial" w:cs="Arial"/>
                <w:b/>
                <w:sz w:val="21"/>
                <w:szCs w:val="21"/>
              </w:rPr>
              <w:t>（满分</w:t>
            </w:r>
            <w:r>
              <w:rPr>
                <w:rFonts w:hint="default" w:ascii="Arial" w:hAnsi="Arial" w:cs="Arial"/>
                <w:b/>
                <w:bCs/>
                <w:sz w:val="21"/>
                <w:szCs w:val="21"/>
              </w:rPr>
              <w:t>15分）</w:t>
            </w:r>
          </w:p>
        </w:tc>
        <w:tc>
          <w:tcPr>
            <w:tcW w:w="6406" w:type="dxa"/>
            <w:noWrap w:val="0"/>
            <w:vAlign w:val="center"/>
          </w:tcPr>
          <w:p w14:paraId="69F1AE53">
            <w:pPr>
              <w:pStyle w:val="19"/>
              <w:spacing w:line="400" w:lineRule="exact"/>
              <w:ind w:firstLine="420" w:firstLineChars="200"/>
              <w:rPr>
                <w:rFonts w:hint="default" w:ascii="Arial" w:hAnsi="Arial" w:cs="Arial"/>
              </w:rPr>
            </w:pPr>
            <w:r>
              <w:rPr>
                <w:rFonts w:hint="default" w:ascii="Arial" w:hAnsi="Arial" w:cs="Arial"/>
              </w:rPr>
              <w:t>评标委员会成员对投标人提供的售后服务方案（包括但不仅限于：①售后服务计划；②售后服务人员配置；③售后保障举措；④应急预案）内进行独立评审并按以下规则独立打分：</w:t>
            </w:r>
          </w:p>
          <w:p w14:paraId="0B481AC0">
            <w:pPr>
              <w:pStyle w:val="19"/>
              <w:spacing w:line="400" w:lineRule="exact"/>
              <w:ind w:firstLine="420" w:firstLineChars="200"/>
              <w:rPr>
                <w:rFonts w:hint="default" w:ascii="Arial" w:hAnsi="Arial" w:cs="Arial"/>
              </w:rPr>
            </w:pPr>
            <w:r>
              <w:rPr>
                <w:rFonts w:hint="default" w:ascii="Arial" w:hAnsi="Arial" w:cs="Arial"/>
              </w:rPr>
              <w:t>一档（3分）：售后服务方案内容齐全，4项评审内容有1项经评审具有针对性、可操作性、且内容科学合理；</w:t>
            </w:r>
          </w:p>
          <w:p w14:paraId="2E8F4492">
            <w:pPr>
              <w:pStyle w:val="19"/>
              <w:spacing w:line="400" w:lineRule="exact"/>
              <w:ind w:firstLine="420" w:firstLineChars="200"/>
              <w:rPr>
                <w:rFonts w:hint="default" w:ascii="Arial" w:hAnsi="Arial" w:cs="Arial"/>
              </w:rPr>
            </w:pPr>
            <w:r>
              <w:rPr>
                <w:rFonts w:hint="default" w:ascii="Arial" w:hAnsi="Arial" w:cs="Arial"/>
              </w:rPr>
              <w:t>二档（7分）：售后服务方案内容齐全，4项评审内容有2项经评审具有针对性、可操作性、且内容科学合理；</w:t>
            </w:r>
          </w:p>
          <w:p w14:paraId="5D9B688A">
            <w:pPr>
              <w:pStyle w:val="19"/>
              <w:spacing w:line="400" w:lineRule="exact"/>
              <w:ind w:firstLine="420" w:firstLineChars="200"/>
              <w:rPr>
                <w:rFonts w:hint="default" w:ascii="Arial" w:hAnsi="Arial" w:cs="Arial"/>
              </w:rPr>
            </w:pPr>
            <w:r>
              <w:rPr>
                <w:rFonts w:hint="default" w:ascii="Arial" w:hAnsi="Arial" w:cs="Arial"/>
              </w:rPr>
              <w:t>三档（11分）：售后服务方案内容齐全，4项评审内容有3项经评审具有针对性、可操作性、且内容科学合理；</w:t>
            </w:r>
          </w:p>
          <w:p w14:paraId="29F31159">
            <w:pPr>
              <w:pStyle w:val="50"/>
              <w:shd w:val="clear" w:color="auto" w:fill="FFFFFF"/>
              <w:spacing w:before="0" w:beforeAutospacing="0" w:after="0" w:afterAutospacing="0" w:line="400" w:lineRule="exact"/>
              <w:ind w:firstLine="420" w:firstLineChars="200"/>
              <w:rPr>
                <w:rFonts w:hint="default" w:ascii="Arial" w:hAnsi="Arial" w:cs="Arial"/>
                <w:sz w:val="21"/>
                <w:szCs w:val="21"/>
              </w:rPr>
            </w:pPr>
            <w:r>
              <w:rPr>
                <w:rFonts w:hint="default" w:ascii="Arial" w:hAnsi="Arial" w:cs="Arial"/>
                <w:kern w:val="2"/>
                <w:sz w:val="21"/>
              </w:rPr>
              <w:t>四档（15分）：售后服务方案内容齐全，4项评审内容经评审均具有针对性、可操作性、且内容科学合理。</w:t>
            </w:r>
          </w:p>
        </w:tc>
        <w:tc>
          <w:tcPr>
            <w:tcW w:w="849" w:type="dxa"/>
            <w:noWrap w:val="0"/>
            <w:vAlign w:val="center"/>
          </w:tcPr>
          <w:p w14:paraId="65BCAC16">
            <w:pPr>
              <w:spacing w:line="360" w:lineRule="auto"/>
              <w:ind w:left="-78" w:leftChars="-37" w:right="-73" w:rightChars="-35"/>
              <w:jc w:val="center"/>
              <w:rPr>
                <w:rFonts w:hint="default" w:ascii="Arial" w:hAnsi="Arial" w:cs="Arial"/>
                <w:szCs w:val="21"/>
              </w:rPr>
            </w:pPr>
            <w:r>
              <w:rPr>
                <w:rFonts w:hint="default" w:ascii="Arial" w:hAnsi="Arial" w:cs="Arial"/>
                <w:szCs w:val="21"/>
              </w:rPr>
              <w:t>15</w:t>
            </w:r>
          </w:p>
        </w:tc>
      </w:tr>
      <w:tr w14:paraId="5A80D7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0" w:hRule="atLeast"/>
          <w:jc w:val="center"/>
        </w:trPr>
        <w:tc>
          <w:tcPr>
            <w:tcW w:w="589" w:type="dxa"/>
            <w:tcBorders>
              <w:top w:val="single" w:color="auto" w:sz="4" w:space="0"/>
            </w:tcBorders>
            <w:noWrap w:val="0"/>
            <w:vAlign w:val="center"/>
          </w:tcPr>
          <w:p w14:paraId="70133C78">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2</w:t>
            </w:r>
          </w:p>
        </w:tc>
        <w:tc>
          <w:tcPr>
            <w:tcW w:w="1233" w:type="dxa"/>
            <w:noWrap w:val="0"/>
            <w:vAlign w:val="center"/>
          </w:tcPr>
          <w:p w14:paraId="219E4AF4">
            <w:pPr>
              <w:widowControl/>
              <w:spacing w:line="400" w:lineRule="exact"/>
              <w:jc w:val="center"/>
              <w:rPr>
                <w:rFonts w:hint="default" w:ascii="Arial" w:hAnsi="Arial" w:cs="Arial"/>
                <w:b/>
                <w:bCs/>
                <w:kern w:val="0"/>
                <w:szCs w:val="21"/>
              </w:rPr>
            </w:pPr>
            <w:r>
              <w:rPr>
                <w:rFonts w:hint="default" w:ascii="Arial" w:hAnsi="Arial" w:cs="Arial"/>
                <w:b/>
                <w:bCs/>
                <w:kern w:val="0"/>
                <w:szCs w:val="21"/>
              </w:rPr>
              <w:t>信誉业绩</w:t>
            </w:r>
          </w:p>
          <w:p w14:paraId="1F32B9F2">
            <w:pPr>
              <w:pStyle w:val="50"/>
              <w:shd w:val="clear" w:color="auto" w:fill="FFFFFF"/>
              <w:spacing w:before="0" w:beforeAutospacing="0" w:after="0" w:afterAutospacing="0" w:line="400" w:lineRule="exact"/>
              <w:jc w:val="center"/>
              <w:rPr>
                <w:rFonts w:hint="default" w:ascii="Arial" w:hAnsi="Arial" w:cs="Arial"/>
                <w:szCs w:val="21"/>
              </w:rPr>
            </w:pPr>
            <w:r>
              <w:rPr>
                <w:rFonts w:hint="default" w:ascii="Arial" w:hAnsi="Arial" w:cs="Arial"/>
                <w:b/>
                <w:bCs/>
                <w:sz w:val="21"/>
                <w:szCs w:val="21"/>
              </w:rPr>
              <w:t>（满分</w:t>
            </w:r>
            <w:r>
              <w:rPr>
                <w:rFonts w:hint="default" w:ascii="Arial" w:hAnsi="Arial" w:cs="Arial"/>
                <w:b/>
                <w:bCs/>
                <w:sz w:val="21"/>
                <w:szCs w:val="21"/>
                <w:lang w:val="en-US" w:eastAsia="zh-CN"/>
              </w:rPr>
              <w:t>4</w:t>
            </w:r>
            <w:r>
              <w:rPr>
                <w:rFonts w:hint="default" w:ascii="Arial" w:hAnsi="Arial" w:cs="Arial"/>
                <w:b/>
                <w:bCs/>
                <w:sz w:val="21"/>
                <w:szCs w:val="21"/>
              </w:rPr>
              <w:t>分）</w:t>
            </w:r>
          </w:p>
        </w:tc>
        <w:tc>
          <w:tcPr>
            <w:tcW w:w="6406" w:type="dxa"/>
            <w:noWrap w:val="0"/>
            <w:vAlign w:val="center"/>
          </w:tcPr>
          <w:p w14:paraId="51405D82">
            <w:pPr>
              <w:pStyle w:val="50"/>
              <w:shd w:val="clear" w:color="auto" w:fill="FFFFFF"/>
              <w:spacing w:before="0" w:beforeAutospacing="0" w:after="0" w:afterAutospacing="0" w:line="400" w:lineRule="exact"/>
              <w:ind w:firstLine="420" w:firstLineChars="200"/>
              <w:rPr>
                <w:rFonts w:hint="default" w:ascii="Arial" w:hAnsi="Arial" w:cs="Arial"/>
              </w:rPr>
            </w:pPr>
            <w:r>
              <w:rPr>
                <w:rFonts w:hint="default" w:ascii="Arial" w:hAnsi="Arial" w:cs="Arial"/>
                <w:kern w:val="2"/>
                <w:sz w:val="21"/>
              </w:rPr>
              <w:t>2023年1月 1日至提交投标文件截止时间止，投标人或所投产品制造商具有与本次采购内容有关的类似项目业绩的，每项得2分，满分</w:t>
            </w:r>
            <w:r>
              <w:rPr>
                <w:rFonts w:hint="default" w:ascii="Arial" w:hAnsi="Arial" w:cs="Arial"/>
                <w:kern w:val="2"/>
                <w:sz w:val="21"/>
                <w:lang w:val="en-US" w:eastAsia="zh-CN"/>
              </w:rPr>
              <w:t>4</w:t>
            </w:r>
            <w:r>
              <w:rPr>
                <w:rFonts w:hint="default" w:ascii="Arial" w:hAnsi="Arial" w:cs="Arial"/>
                <w:kern w:val="2"/>
                <w:sz w:val="21"/>
              </w:rPr>
              <w:t>分。</w:t>
            </w:r>
            <w:r>
              <w:rPr>
                <w:rFonts w:hint="default" w:ascii="Arial" w:hAnsi="Arial" w:cs="Arial"/>
                <w:b/>
                <w:bCs/>
                <w:kern w:val="2"/>
                <w:sz w:val="21"/>
              </w:rPr>
              <w:t>【注：需在投标文件中提供前述类似项目业绩的合同或者中标（成交）通知书复印件并加盖投标人公章，未按要求提供的不得分。】</w:t>
            </w:r>
          </w:p>
        </w:tc>
        <w:tc>
          <w:tcPr>
            <w:tcW w:w="849" w:type="dxa"/>
            <w:noWrap w:val="0"/>
            <w:vAlign w:val="center"/>
          </w:tcPr>
          <w:p w14:paraId="7D045C65">
            <w:pPr>
              <w:spacing w:line="360" w:lineRule="auto"/>
              <w:ind w:left="-78" w:leftChars="-37" w:right="-73" w:rightChars="-35"/>
              <w:jc w:val="center"/>
              <w:rPr>
                <w:rFonts w:hint="default" w:ascii="Arial" w:hAnsi="Arial" w:eastAsia="宋体" w:cs="Arial"/>
                <w:szCs w:val="21"/>
                <w:lang w:eastAsia="zh-CN"/>
              </w:rPr>
            </w:pPr>
            <w:r>
              <w:rPr>
                <w:rFonts w:hint="default" w:ascii="Arial" w:hAnsi="Arial" w:cs="Arial"/>
                <w:szCs w:val="21"/>
                <w:lang w:val="en-US" w:eastAsia="zh-CN"/>
              </w:rPr>
              <w:t>4</w:t>
            </w:r>
          </w:p>
        </w:tc>
      </w:tr>
      <w:tr w14:paraId="02E86F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6" w:hRule="atLeast"/>
          <w:jc w:val="center"/>
        </w:trPr>
        <w:tc>
          <w:tcPr>
            <w:tcW w:w="8228" w:type="dxa"/>
            <w:gridSpan w:val="3"/>
            <w:noWrap w:val="0"/>
            <w:vAlign w:val="center"/>
          </w:tcPr>
          <w:p w14:paraId="65E794B0">
            <w:pPr>
              <w:spacing w:line="360" w:lineRule="auto"/>
              <w:ind w:left="-78" w:leftChars="-37" w:right="-73" w:rightChars="-35"/>
              <w:jc w:val="center"/>
              <w:rPr>
                <w:rFonts w:hint="default" w:ascii="Arial" w:hAnsi="Arial" w:cs="Arial"/>
                <w:szCs w:val="21"/>
              </w:rPr>
            </w:pPr>
            <w:r>
              <w:rPr>
                <w:rFonts w:hint="default" w:ascii="Arial" w:hAnsi="Arial" w:cs="Arial"/>
                <w:szCs w:val="21"/>
              </w:rPr>
              <w:t>合计</w:t>
            </w:r>
          </w:p>
        </w:tc>
        <w:tc>
          <w:tcPr>
            <w:tcW w:w="849" w:type="dxa"/>
            <w:noWrap w:val="0"/>
            <w:vAlign w:val="center"/>
          </w:tcPr>
          <w:p w14:paraId="31ADCC78">
            <w:pPr>
              <w:spacing w:line="360" w:lineRule="auto"/>
              <w:ind w:left="-78" w:leftChars="-37" w:right="-73" w:rightChars="-35"/>
              <w:jc w:val="center"/>
              <w:rPr>
                <w:rFonts w:hint="default" w:ascii="Arial" w:hAnsi="Arial" w:cs="Arial"/>
                <w:szCs w:val="21"/>
              </w:rPr>
            </w:pPr>
            <w:r>
              <w:rPr>
                <w:rFonts w:hint="default" w:ascii="Arial" w:hAnsi="Arial" w:cs="Arial"/>
                <w:szCs w:val="21"/>
              </w:rPr>
              <w:t>100分</w:t>
            </w:r>
          </w:p>
        </w:tc>
      </w:tr>
    </w:tbl>
    <w:p w14:paraId="00CE4749">
      <w:pP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br w:type="page"/>
      </w:r>
    </w:p>
    <w:p w14:paraId="35030B45">
      <w:pPr>
        <w:numPr>
          <w:ilvl w:val="0"/>
          <w:numId w:val="5"/>
        </w:numPr>
        <w:jc w:val="both"/>
        <w:rPr>
          <w:rFonts w:hint="default"/>
          <w:b/>
          <w:bCs/>
          <w:color w:val="auto"/>
          <w:sz w:val="28"/>
          <w:szCs w:val="28"/>
          <w:highlight w:val="none"/>
          <w:lang w:val="en-US" w:eastAsia="zh-CN"/>
        </w:rPr>
      </w:pPr>
      <w:r>
        <w:rPr>
          <w:rFonts w:hint="eastAsia" w:cs="Times New Roman"/>
          <w:b/>
          <w:bCs/>
          <w:color w:val="auto"/>
          <w:kern w:val="2"/>
          <w:sz w:val="28"/>
          <w:szCs w:val="28"/>
          <w:lang w:val="en-US" w:eastAsia="zh-CN" w:bidi="ar-SA"/>
        </w:rPr>
        <w:t>标项二：</w:t>
      </w:r>
      <w:r>
        <w:rPr>
          <w:rFonts w:hint="eastAsia"/>
          <w:b/>
          <w:bCs/>
          <w:color w:val="auto"/>
          <w:sz w:val="28"/>
          <w:szCs w:val="28"/>
          <w:highlight w:val="none"/>
          <w:lang w:val="en-US" w:eastAsia="zh-CN"/>
        </w:rPr>
        <w:t>肺功能测试系统</w:t>
      </w:r>
    </w:p>
    <w:tbl>
      <w:tblPr>
        <w:tblStyle w:val="55"/>
        <w:tblpPr w:leftFromText="180" w:rightFromText="180" w:vertAnchor="text" w:tblpXSpec="center" w:tblpY="1"/>
        <w:tblOverlap w:val="never"/>
        <w:tblW w:w="90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89"/>
        <w:gridCol w:w="1233"/>
        <w:gridCol w:w="6406"/>
        <w:gridCol w:w="849"/>
      </w:tblGrid>
      <w:tr w14:paraId="4F84FD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3" w:hRule="atLeast"/>
          <w:jc w:val="center"/>
        </w:trPr>
        <w:tc>
          <w:tcPr>
            <w:tcW w:w="589" w:type="dxa"/>
            <w:noWrap w:val="0"/>
            <w:vAlign w:val="center"/>
          </w:tcPr>
          <w:p w14:paraId="679ABAF7">
            <w:pPr>
              <w:spacing w:line="360" w:lineRule="auto"/>
              <w:ind w:left="-78" w:leftChars="-37" w:right="-73" w:rightChars="-35"/>
              <w:jc w:val="center"/>
              <w:rPr>
                <w:rFonts w:hint="default" w:ascii="Arial" w:hAnsi="Arial" w:cs="Arial"/>
                <w:b/>
                <w:szCs w:val="21"/>
              </w:rPr>
            </w:pPr>
            <w:r>
              <w:rPr>
                <w:rFonts w:hint="default" w:ascii="Arial" w:hAnsi="Arial" w:cs="Arial"/>
                <w:b/>
                <w:szCs w:val="21"/>
              </w:rPr>
              <w:t>序号</w:t>
            </w:r>
          </w:p>
        </w:tc>
        <w:tc>
          <w:tcPr>
            <w:tcW w:w="1233" w:type="dxa"/>
            <w:noWrap w:val="0"/>
            <w:vAlign w:val="center"/>
          </w:tcPr>
          <w:p w14:paraId="01DFCB08">
            <w:pPr>
              <w:spacing w:line="360" w:lineRule="auto"/>
              <w:ind w:left="-78" w:leftChars="-37" w:right="-73" w:rightChars="-35"/>
              <w:jc w:val="center"/>
              <w:rPr>
                <w:rFonts w:hint="default" w:ascii="Arial" w:hAnsi="Arial" w:cs="Arial"/>
                <w:b/>
                <w:szCs w:val="21"/>
              </w:rPr>
            </w:pPr>
            <w:r>
              <w:rPr>
                <w:rFonts w:hint="default" w:ascii="Arial" w:hAnsi="Arial" w:cs="Arial"/>
                <w:b/>
                <w:szCs w:val="21"/>
              </w:rPr>
              <w:t>评审因素</w:t>
            </w:r>
          </w:p>
        </w:tc>
        <w:tc>
          <w:tcPr>
            <w:tcW w:w="6406" w:type="dxa"/>
            <w:noWrap w:val="0"/>
            <w:vAlign w:val="center"/>
          </w:tcPr>
          <w:p w14:paraId="686C0BF9">
            <w:pPr>
              <w:spacing w:line="360" w:lineRule="auto"/>
              <w:ind w:left="-78" w:leftChars="-37" w:right="-73" w:rightChars="-35"/>
              <w:jc w:val="center"/>
              <w:rPr>
                <w:rFonts w:hint="default" w:ascii="Arial" w:hAnsi="Arial" w:cs="Arial"/>
                <w:b/>
                <w:szCs w:val="21"/>
              </w:rPr>
            </w:pPr>
            <w:r>
              <w:rPr>
                <w:rFonts w:hint="default" w:ascii="Arial" w:hAnsi="Arial" w:cs="Arial"/>
                <w:b/>
                <w:szCs w:val="21"/>
              </w:rPr>
              <w:t>评分细则</w:t>
            </w:r>
          </w:p>
        </w:tc>
        <w:tc>
          <w:tcPr>
            <w:tcW w:w="849" w:type="dxa"/>
            <w:noWrap w:val="0"/>
            <w:vAlign w:val="center"/>
          </w:tcPr>
          <w:p w14:paraId="1D57453B">
            <w:pPr>
              <w:spacing w:line="360" w:lineRule="auto"/>
              <w:ind w:left="-78" w:leftChars="-37" w:right="-73" w:rightChars="-35"/>
              <w:jc w:val="center"/>
              <w:rPr>
                <w:rFonts w:hint="default" w:ascii="Arial" w:hAnsi="Arial" w:cs="Arial"/>
                <w:b/>
                <w:szCs w:val="21"/>
              </w:rPr>
            </w:pPr>
            <w:r>
              <w:rPr>
                <w:rFonts w:hint="default" w:ascii="Arial" w:hAnsi="Arial" w:cs="Arial"/>
                <w:b/>
                <w:szCs w:val="21"/>
              </w:rPr>
              <w:t>分值</w:t>
            </w:r>
          </w:p>
        </w:tc>
      </w:tr>
      <w:tr w14:paraId="3CE376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1" w:hRule="atLeast"/>
          <w:jc w:val="center"/>
        </w:trPr>
        <w:tc>
          <w:tcPr>
            <w:tcW w:w="589" w:type="dxa"/>
            <w:noWrap w:val="0"/>
            <w:vAlign w:val="center"/>
          </w:tcPr>
          <w:p w14:paraId="4D05FCAC">
            <w:pPr>
              <w:spacing w:line="360" w:lineRule="auto"/>
              <w:ind w:left="-78" w:leftChars="-37" w:right="-73" w:rightChars="-35"/>
              <w:jc w:val="center"/>
              <w:rPr>
                <w:rFonts w:hint="default" w:ascii="Arial" w:hAnsi="Arial" w:cs="Arial"/>
                <w:b/>
                <w:szCs w:val="21"/>
              </w:rPr>
            </w:pPr>
            <w:r>
              <w:rPr>
                <w:rFonts w:hint="default" w:ascii="Arial" w:hAnsi="Arial" w:cs="Arial"/>
                <w:b/>
                <w:szCs w:val="21"/>
              </w:rPr>
              <w:t>一</w:t>
            </w:r>
          </w:p>
        </w:tc>
        <w:tc>
          <w:tcPr>
            <w:tcW w:w="8488" w:type="dxa"/>
            <w:gridSpan w:val="3"/>
            <w:noWrap w:val="0"/>
            <w:vAlign w:val="center"/>
          </w:tcPr>
          <w:p w14:paraId="209BE9F8">
            <w:pPr>
              <w:spacing w:line="360" w:lineRule="auto"/>
              <w:ind w:left="-78" w:leftChars="-37" w:right="-73" w:rightChars="-35"/>
              <w:jc w:val="center"/>
              <w:rPr>
                <w:rFonts w:hint="default" w:ascii="Arial" w:hAnsi="Arial" w:cs="Arial"/>
                <w:b/>
                <w:szCs w:val="21"/>
              </w:rPr>
            </w:pPr>
            <w:r>
              <w:rPr>
                <w:rFonts w:hint="default" w:ascii="Arial" w:hAnsi="Arial" w:cs="Arial"/>
                <w:b/>
                <w:szCs w:val="21"/>
              </w:rPr>
              <w:t>价格部分（分值：30分）</w:t>
            </w:r>
          </w:p>
        </w:tc>
      </w:tr>
      <w:tr w14:paraId="366E21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noWrap w:val="0"/>
            <w:vAlign w:val="center"/>
          </w:tcPr>
          <w:p w14:paraId="2D672F41">
            <w:pPr>
              <w:spacing w:line="360" w:lineRule="auto"/>
              <w:ind w:left="-78" w:leftChars="-37" w:right="-73" w:rightChars="-35"/>
              <w:jc w:val="center"/>
              <w:rPr>
                <w:rFonts w:hint="default" w:ascii="Arial" w:hAnsi="Arial" w:cs="Arial"/>
                <w:bCs/>
                <w:szCs w:val="21"/>
              </w:rPr>
            </w:pPr>
            <w:r>
              <w:rPr>
                <w:rFonts w:hint="default" w:ascii="Arial" w:hAnsi="Arial" w:cs="Arial"/>
                <w:bCs/>
                <w:szCs w:val="21"/>
              </w:rPr>
              <w:t>1</w:t>
            </w:r>
          </w:p>
        </w:tc>
        <w:tc>
          <w:tcPr>
            <w:tcW w:w="1233" w:type="dxa"/>
            <w:tcBorders>
              <w:bottom w:val="single" w:color="auto" w:sz="4" w:space="0"/>
              <w:right w:val="single" w:color="auto" w:sz="4" w:space="0"/>
            </w:tcBorders>
            <w:noWrap w:val="0"/>
            <w:vAlign w:val="center"/>
          </w:tcPr>
          <w:p w14:paraId="07DACC50">
            <w:pPr>
              <w:spacing w:line="360" w:lineRule="auto"/>
              <w:ind w:right="-73" w:rightChars="-35"/>
              <w:jc w:val="center"/>
              <w:rPr>
                <w:rFonts w:hint="default" w:ascii="Arial" w:hAnsi="Arial" w:cs="Arial"/>
                <w:bCs/>
                <w:szCs w:val="21"/>
              </w:rPr>
            </w:pPr>
            <w:r>
              <w:rPr>
                <w:rFonts w:hint="default" w:ascii="Arial" w:hAnsi="Arial" w:cs="Arial"/>
                <w:bCs/>
                <w:szCs w:val="21"/>
              </w:rPr>
              <w:t>价格分</w:t>
            </w:r>
          </w:p>
        </w:tc>
        <w:tc>
          <w:tcPr>
            <w:tcW w:w="6406" w:type="dxa"/>
            <w:tcBorders>
              <w:left w:val="single" w:color="auto" w:sz="4" w:space="0"/>
              <w:bottom w:val="single" w:color="auto" w:sz="4" w:space="0"/>
              <w:right w:val="single" w:color="auto" w:sz="4" w:space="0"/>
            </w:tcBorders>
            <w:noWrap w:val="0"/>
            <w:vAlign w:val="center"/>
          </w:tcPr>
          <w:p w14:paraId="329FAC76">
            <w:pPr>
              <w:spacing w:line="360" w:lineRule="exact"/>
              <w:ind w:firstLine="420" w:firstLineChars="200"/>
              <w:rPr>
                <w:rFonts w:hint="default" w:ascii="Arial" w:hAnsi="Arial" w:cs="Arial"/>
                <w:bCs/>
                <w:szCs w:val="21"/>
              </w:rPr>
            </w:pPr>
            <w:r>
              <w:rPr>
                <w:rFonts w:hint="default" w:ascii="Arial" w:hAnsi="Arial" w:cs="Arial"/>
                <w:szCs w:val="21"/>
              </w:rPr>
              <w:t>1.1</w:t>
            </w:r>
            <w:r>
              <w:rPr>
                <w:rFonts w:hint="default" w:ascii="Arial" w:hAnsi="Arial" w:cs="Arial"/>
                <w:bCs/>
                <w:szCs w:val="21"/>
              </w:rPr>
              <w:t>评标价为投标人的投标报价进行政策性扣除后的价格，评标价只是作为评标时使用。最终中标人的中标金额等于投标报价。</w:t>
            </w:r>
          </w:p>
          <w:p w14:paraId="3B2DDB6C">
            <w:pPr>
              <w:spacing w:line="360" w:lineRule="exact"/>
              <w:ind w:firstLine="420" w:firstLineChars="200"/>
              <w:rPr>
                <w:rFonts w:hint="default" w:ascii="Arial" w:hAnsi="Arial" w:cs="Arial"/>
                <w:bCs/>
                <w:szCs w:val="21"/>
              </w:rPr>
            </w:pPr>
            <w:r>
              <w:rPr>
                <w:rFonts w:hint="default" w:ascii="Arial" w:hAnsi="Arial" w:cs="Arial"/>
                <w:szCs w:val="21"/>
              </w:rPr>
              <w:t xml:space="preserve">1.2 </w:t>
            </w:r>
            <w:r>
              <w:rPr>
                <w:rFonts w:hint="default" w:ascii="Arial" w:hAnsi="Arial" w:cs="Arial"/>
                <w:bCs/>
                <w:szCs w:val="21"/>
              </w:rPr>
              <w:t>政策性扣除计算方法。</w:t>
            </w:r>
          </w:p>
          <w:p w14:paraId="2FDF31A3">
            <w:pPr>
              <w:spacing w:line="360" w:lineRule="exact"/>
              <w:ind w:firstLine="420" w:firstLineChars="200"/>
              <w:rPr>
                <w:rFonts w:hint="default" w:ascii="Arial" w:hAnsi="Arial" w:cs="Arial"/>
                <w:szCs w:val="21"/>
              </w:rPr>
            </w:pPr>
            <w:r>
              <w:rPr>
                <w:rFonts w:hint="default" w:ascii="Arial" w:hAnsi="Arial" w:cs="Arial"/>
                <w:szCs w:val="21"/>
              </w:rPr>
              <w:t>1.2.1对小微企业的价格评审</w:t>
            </w:r>
            <w:r>
              <w:rPr>
                <w:rFonts w:hint="default" w:ascii="Arial" w:hAnsi="Arial" w:cs="Arial"/>
                <w:bCs/>
                <w:szCs w:val="21"/>
              </w:rPr>
              <w:t>优惠</w:t>
            </w:r>
          </w:p>
          <w:p w14:paraId="06A1BD2E">
            <w:pPr>
              <w:spacing w:line="360" w:lineRule="exact"/>
              <w:ind w:firstLine="420" w:firstLineChars="200"/>
              <w:rPr>
                <w:rFonts w:hint="default" w:ascii="Arial" w:hAnsi="Arial" w:cs="Arial"/>
                <w:bCs/>
                <w:szCs w:val="21"/>
              </w:rPr>
            </w:pPr>
            <w:r>
              <w:rPr>
                <w:rFonts w:hint="default" w:ascii="Arial" w:hAnsi="Arial" w:cs="Arial"/>
                <w:szCs w:val="21"/>
              </w:rPr>
              <w:t>☑适用于非专门面向中小企业采购项目</w:t>
            </w:r>
          </w:p>
          <w:p w14:paraId="20C0967C">
            <w:pPr>
              <w:spacing w:line="360" w:lineRule="exact"/>
              <w:ind w:firstLine="420" w:firstLineChars="200"/>
              <w:rPr>
                <w:rFonts w:hint="default" w:ascii="Arial" w:hAnsi="Arial" w:cs="Arial"/>
                <w:bCs/>
                <w:szCs w:val="21"/>
              </w:rPr>
            </w:pPr>
            <w:r>
              <w:rPr>
                <w:rFonts w:hint="default" w:ascii="Arial" w:hAnsi="Arial" w:cs="Arial"/>
                <w:bCs/>
                <w:szCs w:val="21"/>
              </w:rPr>
              <w:t>投标人</w:t>
            </w:r>
            <w:r>
              <w:rPr>
                <w:rFonts w:hint="default" w:ascii="Arial" w:hAnsi="Arial" w:cs="Arial"/>
                <w:szCs w:val="21"/>
              </w:rPr>
              <w:t>被评定为</w:t>
            </w:r>
            <w:r>
              <w:rPr>
                <w:rFonts w:hint="default" w:ascii="Arial" w:hAnsi="Arial" w:cs="Arial"/>
                <w:bCs/>
                <w:szCs w:val="21"/>
              </w:rPr>
              <w:t>监狱企业或者残疾人福利性单位或者其</w:t>
            </w:r>
            <w:r>
              <w:rPr>
                <w:rFonts w:hint="default" w:ascii="Arial" w:hAnsi="Arial" w:cs="Arial"/>
                <w:szCs w:val="21"/>
              </w:rPr>
              <w:t>提供的货物全部由符合政策要求的小型、微型企业制造，即货物由小型、微型企业生产且使用该小型、微型企业商号或者注册商标的，</w:t>
            </w:r>
            <w:r>
              <w:rPr>
                <w:rFonts w:hint="default" w:ascii="Arial" w:hAnsi="Arial" w:cs="Arial"/>
                <w:bCs/>
                <w:szCs w:val="21"/>
              </w:rPr>
              <w:t>该投标人的投标报价</w:t>
            </w:r>
            <w:r>
              <w:rPr>
                <w:rFonts w:hint="default" w:ascii="Arial" w:hAnsi="Arial" w:cs="Arial"/>
                <w:szCs w:val="21"/>
              </w:rPr>
              <w:t>给予</w:t>
            </w:r>
            <w:r>
              <w:rPr>
                <w:rFonts w:hint="default" w:ascii="Arial" w:hAnsi="Arial" w:cs="Arial"/>
                <w:b/>
                <w:bCs/>
                <w:u w:val="single"/>
              </w:rPr>
              <w:t>20%</w:t>
            </w:r>
            <w:r>
              <w:rPr>
                <w:rFonts w:hint="default" w:ascii="Arial" w:hAnsi="Arial" w:cs="Arial"/>
                <w:szCs w:val="21"/>
              </w:rPr>
              <w:t>的扣除</w:t>
            </w:r>
            <w:r>
              <w:rPr>
                <w:rFonts w:hint="default" w:ascii="Arial" w:hAnsi="Arial" w:cs="Arial"/>
                <w:bCs/>
                <w:szCs w:val="21"/>
              </w:rPr>
              <w:t>，</w:t>
            </w:r>
            <w:r>
              <w:rPr>
                <w:rFonts w:hint="default" w:ascii="Arial" w:hAnsi="Arial" w:cs="Arial"/>
                <w:szCs w:val="21"/>
              </w:rPr>
              <w:t>扣除后的价格为评标价，即评标价=投标报价×（1-</w:t>
            </w:r>
            <w:r>
              <w:rPr>
                <w:rFonts w:hint="default" w:ascii="Arial" w:hAnsi="Arial" w:cs="Arial"/>
                <w:b/>
                <w:bCs/>
                <w:u w:val="single"/>
              </w:rPr>
              <w:t>20%</w:t>
            </w:r>
            <w:r>
              <w:rPr>
                <w:rFonts w:hint="default" w:ascii="Arial" w:hAnsi="Arial" w:cs="Arial"/>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投标报价给予</w:t>
            </w:r>
            <w:r>
              <w:rPr>
                <w:rFonts w:hint="default" w:ascii="Arial" w:hAnsi="Arial" w:cs="Arial"/>
                <w:b/>
                <w:bCs/>
                <w:u w:val="single"/>
              </w:rPr>
              <w:t>6%</w:t>
            </w:r>
            <w:r>
              <w:rPr>
                <w:rFonts w:hint="default" w:ascii="Arial" w:hAnsi="Arial" w:cs="Arial"/>
                <w:color w:val="000000"/>
              </w:rPr>
              <w:t xml:space="preserve"> </w:t>
            </w:r>
            <w:r>
              <w:rPr>
                <w:rFonts w:hint="default" w:ascii="Arial" w:hAnsi="Arial" w:cs="Arial"/>
                <w:szCs w:val="21"/>
              </w:rPr>
              <w:t>的扣除，用扣除后的价格参加评审，扣除后的价格为评标价，即评标价=投标报价×（1－</w:t>
            </w:r>
            <w:r>
              <w:rPr>
                <w:rFonts w:hint="default" w:ascii="Arial" w:hAnsi="Arial" w:cs="Arial"/>
                <w:b/>
                <w:bCs/>
                <w:u w:val="single"/>
              </w:rPr>
              <w:t>6%</w:t>
            </w:r>
            <w:r>
              <w:rPr>
                <w:rFonts w:hint="default" w:ascii="Arial" w:hAnsi="Arial" w:cs="Arial"/>
                <w:szCs w:val="21"/>
              </w:rPr>
              <w:t>）。</w:t>
            </w:r>
          </w:p>
          <w:p w14:paraId="603A3015">
            <w:pPr>
              <w:spacing w:line="360" w:lineRule="exact"/>
              <w:ind w:firstLine="420" w:firstLineChars="200"/>
              <w:rPr>
                <w:rFonts w:hint="default" w:ascii="Arial" w:hAnsi="Arial" w:cs="Arial"/>
                <w:szCs w:val="21"/>
              </w:rPr>
            </w:pPr>
            <w:r>
              <w:rPr>
                <w:rFonts w:hint="default" w:ascii="Arial" w:hAnsi="Arial" w:cs="Arial"/>
                <w:szCs w:val="21"/>
              </w:rPr>
              <w:t>1.2.2对本国产品的价格评审</w:t>
            </w:r>
            <w:r>
              <w:rPr>
                <w:rFonts w:hint="default" w:ascii="Arial" w:hAnsi="Arial" w:cs="Arial"/>
                <w:bCs/>
                <w:szCs w:val="21"/>
              </w:rPr>
              <w:t>优惠</w:t>
            </w:r>
          </w:p>
          <w:p w14:paraId="41DCA0A7">
            <w:pPr>
              <w:spacing w:line="360" w:lineRule="exact"/>
              <w:ind w:firstLine="420" w:firstLineChars="200"/>
              <w:rPr>
                <w:rFonts w:hint="default" w:ascii="Arial" w:hAnsi="Arial" w:cs="Arial"/>
              </w:rPr>
            </w:pPr>
            <w:r>
              <w:rPr>
                <w:rFonts w:hint="default" w:ascii="Arial" w:hAnsi="Arial" w:cs="Arial"/>
                <w:szCs w:val="21"/>
              </w:rPr>
              <w:t>投标人对其提供的产品出具《关于符合本国产品标准的声明函》（样式见“第六章投标文件格式”）或财政部会同有关部门规定的有关证明文件，该产品被视为本国产品的，给予政策性价格扣除，用扣除后的价格参与评审。</w:t>
            </w:r>
          </w:p>
          <w:p w14:paraId="24239E78">
            <w:pPr>
              <w:spacing w:line="360" w:lineRule="exact"/>
              <w:ind w:firstLine="420" w:firstLineChars="200"/>
              <w:rPr>
                <w:rFonts w:hint="default" w:ascii="Arial" w:hAnsi="Arial" w:cs="Arial"/>
              </w:rPr>
            </w:pPr>
            <w:r>
              <w:rPr>
                <w:rFonts w:hint="default" w:ascii="Arial" w:hAnsi="Arial" w:cs="Arial"/>
              </w:rPr>
              <w:t>对本国产品的支持政策：政府采购活动中既有本国产品又有非本国产品参与竞争的，依法对本国产品给予价格评审优惠，对本国产品的报价给予20%的价格扣除，用扣除后的价格参与评审。</w:t>
            </w:r>
          </w:p>
          <w:p w14:paraId="4F2494AF">
            <w:pPr>
              <w:widowControl/>
              <w:spacing w:line="360" w:lineRule="exact"/>
              <w:ind w:firstLine="420" w:firstLineChars="200"/>
              <w:jc w:val="left"/>
              <w:textAlignment w:val="baseline"/>
              <w:rPr>
                <w:rFonts w:hint="default" w:ascii="Arial" w:hAnsi="Arial" w:cs="Arial"/>
                <w:szCs w:val="21"/>
              </w:rPr>
            </w:pPr>
            <w:r>
              <w:rPr>
                <w:rFonts w:hint="default" w:ascii="Arial" w:hAnsi="Arial" w:cs="Arial"/>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A6A1DD9">
            <w:pPr>
              <w:spacing w:line="360" w:lineRule="exact"/>
              <w:ind w:firstLine="420" w:firstLineChars="200"/>
              <w:rPr>
                <w:rFonts w:hint="default" w:ascii="Arial" w:hAnsi="Arial" w:cs="Arial"/>
                <w:szCs w:val="21"/>
              </w:rPr>
            </w:pPr>
            <w:r>
              <w:rPr>
                <w:rFonts w:hint="default" w:ascii="Arial" w:hAnsi="Arial" w:cs="Arial"/>
                <w:szCs w:val="21"/>
              </w:rPr>
              <w:t>除上述情况外，评标价=投标报价。</w:t>
            </w:r>
          </w:p>
          <w:p w14:paraId="4FAB5FB4">
            <w:pPr>
              <w:spacing w:line="360" w:lineRule="exact"/>
              <w:ind w:firstLine="420" w:firstLineChars="200"/>
              <w:rPr>
                <w:rFonts w:hint="default" w:ascii="Arial" w:hAnsi="Arial" w:cs="Arial"/>
                <w:bCs/>
                <w:szCs w:val="21"/>
              </w:rPr>
            </w:pPr>
            <w:r>
              <w:rPr>
                <w:rFonts w:hint="default" w:ascii="Arial" w:hAnsi="Arial" w:cs="Arial"/>
                <w:bCs/>
                <w:szCs w:val="21"/>
              </w:rPr>
              <w:t>1.3满足招标文件要求且评标价最低的评标价为评标基准价，基准价得分为</w:t>
            </w:r>
            <w:r>
              <w:rPr>
                <w:rFonts w:hint="default" w:ascii="Arial" w:hAnsi="Arial" w:cs="Arial"/>
                <w:bCs/>
                <w:szCs w:val="21"/>
                <w:u w:val="single"/>
              </w:rPr>
              <w:t>30</w:t>
            </w:r>
            <w:r>
              <w:rPr>
                <w:rFonts w:hint="default" w:ascii="Arial" w:hAnsi="Arial" w:cs="Arial"/>
                <w:bCs/>
                <w:szCs w:val="21"/>
              </w:rPr>
              <w:t>分。</w:t>
            </w:r>
          </w:p>
          <w:p w14:paraId="6D31F31F">
            <w:pPr>
              <w:spacing w:line="360" w:lineRule="exact"/>
              <w:ind w:firstLine="420" w:firstLineChars="200"/>
              <w:rPr>
                <w:rFonts w:hint="default" w:ascii="Arial" w:hAnsi="Arial" w:cs="Arial"/>
                <w:bCs/>
                <w:szCs w:val="21"/>
              </w:rPr>
            </w:pPr>
            <w:r>
              <w:rPr>
                <w:rFonts w:hint="default" w:ascii="Arial" w:hAnsi="Arial" w:cs="Arial"/>
                <w:bCs/>
                <w:szCs w:val="21"/>
              </w:rPr>
              <w:t xml:space="preserve">1.4价格分计算公式：        </w:t>
            </w:r>
          </w:p>
          <w:p w14:paraId="34166EB4">
            <w:pPr>
              <w:spacing w:line="360" w:lineRule="exact"/>
              <w:ind w:right="-73" w:rightChars="-35" w:firstLine="420" w:firstLineChars="200"/>
              <w:rPr>
                <w:rFonts w:hint="default" w:ascii="Arial" w:hAnsi="Arial" w:cs="Arial"/>
                <w:b/>
                <w:szCs w:val="21"/>
              </w:rPr>
            </w:pPr>
            <w:r>
              <w:rPr>
                <w:rFonts w:hint="default" w:ascii="Arial" w:hAnsi="Arial" w:cs="Arial"/>
                <w:bCs/>
              </w:rPr>
              <w:t>价格分=(评标基准价／评标价)×</w:t>
            </w:r>
            <w:r>
              <w:rPr>
                <w:rFonts w:hint="default" w:ascii="Arial" w:hAnsi="Arial" w:cs="Arial"/>
                <w:bCs/>
                <w:u w:val="single"/>
              </w:rPr>
              <w:t>30</w:t>
            </w:r>
            <w:r>
              <w:rPr>
                <w:rFonts w:hint="default" w:ascii="Arial" w:hAnsi="Arial" w:cs="Arial"/>
                <w:bCs/>
              </w:rPr>
              <w:t>分</w:t>
            </w:r>
          </w:p>
        </w:tc>
        <w:tc>
          <w:tcPr>
            <w:tcW w:w="849" w:type="dxa"/>
            <w:tcBorders>
              <w:left w:val="single" w:color="auto" w:sz="4" w:space="0"/>
              <w:bottom w:val="single" w:color="auto" w:sz="4" w:space="0"/>
            </w:tcBorders>
            <w:noWrap w:val="0"/>
            <w:vAlign w:val="center"/>
          </w:tcPr>
          <w:p w14:paraId="26543E67">
            <w:pPr>
              <w:spacing w:line="360" w:lineRule="auto"/>
              <w:ind w:right="-73" w:rightChars="-35"/>
              <w:jc w:val="center"/>
              <w:rPr>
                <w:rFonts w:hint="default" w:ascii="Arial" w:hAnsi="Arial" w:cs="Arial"/>
                <w:bCs/>
                <w:szCs w:val="21"/>
              </w:rPr>
            </w:pPr>
            <w:r>
              <w:rPr>
                <w:rFonts w:hint="default" w:ascii="Arial" w:hAnsi="Arial" w:cs="Arial"/>
                <w:bCs/>
                <w:szCs w:val="21"/>
              </w:rPr>
              <w:t xml:space="preserve">满分 </w:t>
            </w:r>
          </w:p>
          <w:p w14:paraId="25FF5831">
            <w:pPr>
              <w:spacing w:line="360" w:lineRule="auto"/>
              <w:ind w:right="-73" w:rightChars="-35"/>
              <w:jc w:val="center"/>
              <w:rPr>
                <w:rFonts w:hint="default" w:ascii="Arial" w:hAnsi="Arial" w:cs="Arial"/>
                <w:b/>
                <w:szCs w:val="21"/>
              </w:rPr>
            </w:pPr>
            <w:r>
              <w:rPr>
                <w:rFonts w:hint="default" w:ascii="Arial" w:hAnsi="Arial" w:cs="Arial"/>
                <w:bCs/>
                <w:szCs w:val="21"/>
              </w:rPr>
              <w:t>30分</w:t>
            </w:r>
          </w:p>
        </w:tc>
      </w:tr>
      <w:tr w14:paraId="16CC6D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1" w:hRule="atLeast"/>
          <w:jc w:val="center"/>
        </w:trPr>
        <w:tc>
          <w:tcPr>
            <w:tcW w:w="589" w:type="dxa"/>
            <w:noWrap w:val="0"/>
            <w:vAlign w:val="center"/>
          </w:tcPr>
          <w:p w14:paraId="6A0E435B">
            <w:pPr>
              <w:spacing w:line="360" w:lineRule="auto"/>
              <w:ind w:left="-78" w:leftChars="-37" w:right="-73" w:rightChars="-35"/>
              <w:jc w:val="center"/>
              <w:rPr>
                <w:rFonts w:hint="default" w:ascii="Arial" w:hAnsi="Arial" w:cs="Arial"/>
                <w:b/>
                <w:szCs w:val="21"/>
              </w:rPr>
            </w:pPr>
            <w:r>
              <w:rPr>
                <w:rFonts w:hint="default" w:ascii="Arial" w:hAnsi="Arial" w:cs="Arial"/>
                <w:b/>
                <w:szCs w:val="21"/>
              </w:rPr>
              <w:t>二</w:t>
            </w:r>
          </w:p>
        </w:tc>
        <w:tc>
          <w:tcPr>
            <w:tcW w:w="8488" w:type="dxa"/>
            <w:gridSpan w:val="3"/>
            <w:tcBorders>
              <w:top w:val="single" w:color="auto" w:sz="4" w:space="0"/>
            </w:tcBorders>
            <w:noWrap w:val="0"/>
            <w:vAlign w:val="center"/>
          </w:tcPr>
          <w:p w14:paraId="66AA4F4D">
            <w:pPr>
              <w:spacing w:line="360" w:lineRule="auto"/>
              <w:ind w:left="-78" w:leftChars="-37" w:right="-73" w:rightChars="-35"/>
              <w:jc w:val="center"/>
              <w:rPr>
                <w:rFonts w:hint="default" w:ascii="Arial" w:hAnsi="Arial" w:cs="Arial"/>
                <w:b/>
                <w:szCs w:val="21"/>
              </w:rPr>
            </w:pPr>
            <w:r>
              <w:rPr>
                <w:rFonts w:hint="default" w:ascii="Arial" w:hAnsi="Arial" w:cs="Arial"/>
                <w:b/>
                <w:szCs w:val="21"/>
              </w:rPr>
              <w:t>技术部分（分值</w:t>
            </w:r>
            <w:r>
              <w:rPr>
                <w:rFonts w:hint="default" w:ascii="Arial" w:hAnsi="Arial" w:cs="Arial"/>
                <w:b/>
                <w:szCs w:val="21"/>
                <w:lang w:val="en-US" w:eastAsia="zh-CN"/>
              </w:rPr>
              <w:t>51</w:t>
            </w:r>
            <w:r>
              <w:rPr>
                <w:rFonts w:hint="default" w:ascii="Arial" w:hAnsi="Arial" w:cs="Arial"/>
                <w:b/>
                <w:szCs w:val="21"/>
              </w:rPr>
              <w:t>分）</w:t>
            </w:r>
          </w:p>
        </w:tc>
      </w:tr>
      <w:tr w14:paraId="2F685A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89" w:type="dxa"/>
            <w:tcBorders>
              <w:bottom w:val="single" w:color="auto" w:sz="4" w:space="0"/>
            </w:tcBorders>
            <w:noWrap w:val="0"/>
            <w:vAlign w:val="center"/>
          </w:tcPr>
          <w:p w14:paraId="6C0CDE97">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1</w:t>
            </w:r>
          </w:p>
        </w:tc>
        <w:tc>
          <w:tcPr>
            <w:tcW w:w="1233" w:type="dxa"/>
            <w:noWrap w:val="0"/>
            <w:vAlign w:val="center"/>
          </w:tcPr>
          <w:p w14:paraId="0D869FD9">
            <w:pPr>
              <w:widowControl/>
              <w:spacing w:line="400" w:lineRule="exact"/>
              <w:jc w:val="center"/>
              <w:rPr>
                <w:rFonts w:hint="default" w:ascii="Arial" w:hAnsi="Arial" w:cs="Arial"/>
                <w:b/>
                <w:bCs/>
                <w:spacing w:val="-1"/>
                <w:kern w:val="0"/>
              </w:rPr>
            </w:pPr>
            <w:r>
              <w:rPr>
                <w:rFonts w:hint="default" w:ascii="Arial" w:hAnsi="Arial" w:cs="Arial"/>
                <w:b/>
                <w:bCs/>
                <w:spacing w:val="-1"/>
                <w:kern w:val="0"/>
              </w:rPr>
              <w:t>技术性能</w:t>
            </w:r>
          </w:p>
          <w:p w14:paraId="5808C03A">
            <w:pPr>
              <w:widowControl/>
              <w:spacing w:line="400" w:lineRule="exact"/>
              <w:jc w:val="center"/>
              <w:rPr>
                <w:rFonts w:hint="default" w:ascii="Arial" w:hAnsi="Arial" w:cs="Arial"/>
                <w:szCs w:val="21"/>
              </w:rPr>
            </w:pPr>
            <w:r>
              <w:rPr>
                <w:rFonts w:hint="default" w:ascii="Arial" w:hAnsi="Arial" w:cs="Arial"/>
                <w:b/>
                <w:bCs/>
                <w:spacing w:val="-1"/>
                <w:kern w:val="0"/>
              </w:rPr>
              <w:t>（满分2</w:t>
            </w:r>
            <w:r>
              <w:rPr>
                <w:rFonts w:hint="default" w:ascii="Arial" w:hAnsi="Arial" w:cs="Arial"/>
                <w:b/>
                <w:bCs/>
                <w:spacing w:val="-1"/>
                <w:kern w:val="0"/>
                <w:lang w:val="en-US" w:eastAsia="zh-CN"/>
              </w:rPr>
              <w:t>4</w:t>
            </w:r>
            <w:r>
              <w:rPr>
                <w:rFonts w:hint="default" w:ascii="Arial" w:hAnsi="Arial" w:cs="Arial"/>
                <w:b/>
                <w:bCs/>
                <w:spacing w:val="-1"/>
                <w:kern w:val="0"/>
              </w:rPr>
              <w:t>分）</w:t>
            </w:r>
            <w:r>
              <w:rPr>
                <w:rFonts w:hint="default" w:ascii="Arial" w:hAnsi="Arial" w:cs="Arial"/>
                <w:b/>
                <w:bCs/>
                <w:sz w:val="24"/>
              </w:rPr>
              <w:t xml:space="preserve"> </w:t>
            </w:r>
          </w:p>
        </w:tc>
        <w:tc>
          <w:tcPr>
            <w:tcW w:w="6406" w:type="dxa"/>
            <w:noWrap w:val="0"/>
            <w:vAlign w:val="center"/>
          </w:tcPr>
          <w:p w14:paraId="4E7B5DF4">
            <w:pPr>
              <w:numPr>
                <w:ilvl w:val="0"/>
                <w:numId w:val="0"/>
              </w:numPr>
              <w:spacing w:line="360" w:lineRule="exact"/>
              <w:jc w:val="left"/>
              <w:rPr>
                <w:rFonts w:hint="default" w:ascii="Arial" w:hAnsi="Arial" w:cs="Arial"/>
                <w:szCs w:val="21"/>
              </w:rPr>
            </w:pPr>
            <w:r>
              <w:rPr>
                <w:rFonts w:hint="default" w:ascii="Arial" w:hAnsi="Arial" w:eastAsia="宋体" w:cs="Arial"/>
                <w:kern w:val="2"/>
                <w:sz w:val="21"/>
                <w:szCs w:val="21"/>
                <w:lang w:val="en-US" w:eastAsia="zh-CN" w:bidi="ar-SA"/>
              </w:rPr>
              <w:t>（1）</w:t>
            </w:r>
            <w:r>
              <w:rPr>
                <w:rFonts w:hint="default" w:ascii="Arial" w:hAnsi="Arial" w:cs="Arial"/>
                <w:szCs w:val="21"/>
              </w:rPr>
              <w:t>评委根据招标文件要求，对通过资格性和符合性审查进入详评的各投标人投标文件的“项目要求及技术需求”偏离情况进行独立评审，并按如下计分方式确定得分：</w:t>
            </w:r>
          </w:p>
          <w:p w14:paraId="13C93686">
            <w:pPr>
              <w:numPr>
                <w:ilvl w:val="0"/>
                <w:numId w:val="0"/>
              </w:numPr>
              <w:spacing w:line="360" w:lineRule="exact"/>
              <w:jc w:val="both"/>
              <w:rPr>
                <w:rFonts w:hint="default" w:ascii="Arial" w:hAnsi="Arial" w:cs="Arial"/>
                <w:szCs w:val="21"/>
              </w:rPr>
            </w:pPr>
            <w:r>
              <w:rPr>
                <w:rFonts w:hint="default" w:ascii="Arial" w:hAnsi="Arial" w:eastAsia="宋体" w:cs="Arial"/>
                <w:kern w:val="2"/>
                <w:sz w:val="21"/>
                <w:szCs w:val="21"/>
                <w:lang w:val="en-US" w:eastAsia="zh-CN" w:bidi="ar-SA"/>
              </w:rPr>
              <w:t>（2）</w:t>
            </w:r>
            <w:r>
              <w:rPr>
                <w:rFonts w:hint="default" w:ascii="Arial" w:hAnsi="Arial" w:cs="Arial"/>
                <w:szCs w:val="21"/>
              </w:rPr>
              <w:t>基本分：经评委评审，投标人的投标文件满足招标文件全部实质性要求的，即得24分；</w:t>
            </w:r>
          </w:p>
          <w:p w14:paraId="4C1793E2">
            <w:pPr>
              <w:widowControl/>
              <w:numPr>
                <w:ilvl w:val="0"/>
                <w:numId w:val="0"/>
              </w:numPr>
              <w:spacing w:line="360" w:lineRule="exact"/>
              <w:jc w:val="left"/>
              <w:rPr>
                <w:rFonts w:hint="default" w:ascii="Arial" w:hAnsi="Arial" w:cs="Arial"/>
                <w:szCs w:val="21"/>
              </w:rPr>
            </w:pPr>
            <w:r>
              <w:rPr>
                <w:rFonts w:hint="default" w:ascii="Arial" w:hAnsi="Arial" w:eastAsia="宋体" w:cs="Arial"/>
                <w:kern w:val="2"/>
                <w:sz w:val="21"/>
                <w:szCs w:val="21"/>
                <w:lang w:val="en-US" w:eastAsia="zh-CN" w:bidi="ar-SA"/>
              </w:rPr>
              <w:t>（3）</w:t>
            </w:r>
            <w:r>
              <w:rPr>
                <w:rFonts w:hint="default" w:ascii="Arial" w:hAnsi="Arial" w:cs="Arial"/>
                <w:szCs w:val="21"/>
              </w:rPr>
              <w:t>负偏离扣分：投标人对招标文件第三章“项目需求”的“技术要求”中</w:t>
            </w:r>
            <w:r>
              <w:rPr>
                <w:rFonts w:hint="default" w:ascii="Arial" w:hAnsi="Arial" w:cs="Arial"/>
                <w:szCs w:val="21"/>
                <w:lang w:val="en-US" w:eastAsia="zh-CN"/>
              </w:rPr>
              <w:t>未</w:t>
            </w:r>
            <w:r>
              <w:rPr>
                <w:rFonts w:hint="default" w:ascii="Arial" w:hAnsi="Arial" w:cs="Arial"/>
              </w:rPr>
              <w:t>标注 “</w:t>
            </w:r>
            <w:r>
              <w:rPr>
                <w:rFonts w:hint="default" w:ascii="Arial" w:hAnsi="Arial" w:eastAsia="仿宋_GB2312" w:cs="Arial"/>
                <w:color w:val="000000"/>
                <w:kern w:val="0"/>
                <w:sz w:val="21"/>
                <w:szCs w:val="21"/>
                <w:lang w:eastAsia="zh-CN" w:bidi="ar"/>
              </w:rPr>
              <w:t>▲</w:t>
            </w:r>
            <w:r>
              <w:rPr>
                <w:rFonts w:hint="default" w:ascii="Arial" w:hAnsi="Arial" w:cs="Arial"/>
              </w:rPr>
              <w:t>”的技术要求</w:t>
            </w:r>
            <w:r>
              <w:rPr>
                <w:rFonts w:hint="default" w:ascii="Arial" w:hAnsi="Arial" w:cs="Arial"/>
                <w:szCs w:val="21"/>
              </w:rPr>
              <w:t>响应存在负偏离的，每有一项扣</w:t>
            </w:r>
            <w:r>
              <w:rPr>
                <w:rFonts w:hint="default" w:ascii="Arial" w:hAnsi="Arial" w:cs="Arial"/>
                <w:szCs w:val="21"/>
                <w:lang w:val="en-US" w:eastAsia="zh-CN"/>
              </w:rPr>
              <w:t>3</w:t>
            </w:r>
            <w:r>
              <w:rPr>
                <w:rFonts w:hint="default" w:ascii="Arial" w:hAnsi="Arial" w:cs="Arial"/>
                <w:szCs w:val="21"/>
              </w:rPr>
              <w:t>分，最多扣24分</w:t>
            </w:r>
          </w:p>
        </w:tc>
        <w:tc>
          <w:tcPr>
            <w:tcW w:w="849" w:type="dxa"/>
            <w:noWrap w:val="0"/>
            <w:vAlign w:val="center"/>
          </w:tcPr>
          <w:p w14:paraId="4855C4A8">
            <w:pPr>
              <w:spacing w:line="360" w:lineRule="auto"/>
              <w:jc w:val="center"/>
              <w:rPr>
                <w:rFonts w:hint="default" w:ascii="Arial" w:hAnsi="Arial" w:cs="Arial"/>
                <w:szCs w:val="21"/>
              </w:rPr>
            </w:pPr>
            <w:r>
              <w:rPr>
                <w:rFonts w:hint="default" w:ascii="Arial" w:hAnsi="Arial" w:cs="Arial"/>
                <w:szCs w:val="21"/>
              </w:rPr>
              <w:t>2</w:t>
            </w:r>
            <w:r>
              <w:rPr>
                <w:rFonts w:hint="default" w:ascii="Arial" w:hAnsi="Arial" w:cs="Arial"/>
                <w:szCs w:val="21"/>
                <w:lang w:val="en-US" w:eastAsia="zh-CN"/>
              </w:rPr>
              <w:t>4</w:t>
            </w:r>
            <w:r>
              <w:rPr>
                <w:rFonts w:hint="default" w:ascii="Arial" w:hAnsi="Arial" w:cs="Arial"/>
                <w:szCs w:val="21"/>
              </w:rPr>
              <w:t>分</w:t>
            </w:r>
          </w:p>
        </w:tc>
      </w:tr>
      <w:tr w14:paraId="59694D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10" w:hRule="atLeast"/>
          <w:jc w:val="center"/>
        </w:trPr>
        <w:tc>
          <w:tcPr>
            <w:tcW w:w="589" w:type="dxa"/>
            <w:tcBorders>
              <w:bottom w:val="single" w:color="auto" w:sz="4" w:space="0"/>
            </w:tcBorders>
            <w:noWrap w:val="0"/>
            <w:vAlign w:val="center"/>
          </w:tcPr>
          <w:p w14:paraId="10B63003">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2</w:t>
            </w:r>
          </w:p>
        </w:tc>
        <w:tc>
          <w:tcPr>
            <w:tcW w:w="1233" w:type="dxa"/>
            <w:noWrap w:val="0"/>
            <w:vAlign w:val="center"/>
          </w:tcPr>
          <w:p w14:paraId="2DE23368">
            <w:pPr>
              <w:widowControl/>
              <w:spacing w:line="400" w:lineRule="exact"/>
              <w:jc w:val="center"/>
              <w:rPr>
                <w:rFonts w:hint="default" w:ascii="Arial" w:hAnsi="Arial" w:cs="Arial"/>
                <w:szCs w:val="21"/>
              </w:rPr>
            </w:pPr>
            <w:r>
              <w:rPr>
                <w:rFonts w:hint="default" w:ascii="Arial" w:hAnsi="Arial" w:cs="Arial"/>
                <w:b/>
                <w:bCs/>
                <w:szCs w:val="21"/>
              </w:rPr>
              <w:t>项目实施方案（满分15分）</w:t>
            </w:r>
          </w:p>
        </w:tc>
        <w:tc>
          <w:tcPr>
            <w:tcW w:w="6406" w:type="dxa"/>
            <w:noWrap w:val="0"/>
            <w:vAlign w:val="center"/>
          </w:tcPr>
          <w:p w14:paraId="06F53366">
            <w:pPr>
              <w:spacing w:line="400" w:lineRule="exact"/>
              <w:rPr>
                <w:rFonts w:hint="default" w:ascii="Arial" w:hAnsi="Arial" w:cs="Arial"/>
                <w:szCs w:val="21"/>
              </w:rPr>
            </w:pPr>
            <w:r>
              <w:rPr>
                <w:rFonts w:hint="default" w:ascii="Arial" w:hAnsi="Arial" w:cs="Arial"/>
                <w:b/>
                <w:bCs/>
                <w:szCs w:val="21"/>
              </w:rPr>
              <w:t>一档（0分）：</w:t>
            </w:r>
            <w:r>
              <w:rPr>
                <w:rFonts w:hint="default" w:ascii="Arial" w:hAnsi="Arial" w:cs="Arial"/>
                <w:szCs w:val="21"/>
              </w:rPr>
              <w:t>投标文件未提供项目实施方案不得分。</w:t>
            </w:r>
          </w:p>
          <w:p w14:paraId="5D0FA96A">
            <w:pPr>
              <w:spacing w:line="400" w:lineRule="exact"/>
              <w:jc w:val="left"/>
              <w:rPr>
                <w:rFonts w:hint="default" w:ascii="Arial" w:hAnsi="Arial" w:cs="Arial"/>
                <w:szCs w:val="21"/>
              </w:rPr>
            </w:pPr>
            <w:r>
              <w:rPr>
                <w:rFonts w:hint="default" w:ascii="Arial" w:hAnsi="Arial" w:cs="Arial"/>
                <w:b/>
                <w:bCs/>
                <w:szCs w:val="21"/>
              </w:rPr>
              <w:t>二档（3分）：</w:t>
            </w:r>
            <w:r>
              <w:rPr>
                <w:rFonts w:hint="default" w:ascii="Arial" w:hAnsi="Arial" w:cs="Arial"/>
                <w:szCs w:val="21"/>
              </w:rPr>
              <w:t>提供项目实施方案，方案内容具有产品保管措施、产品包装措施，有产品的出厂、配送、安装的计划安排。</w:t>
            </w:r>
          </w:p>
          <w:p w14:paraId="21EA772E">
            <w:pPr>
              <w:spacing w:line="400" w:lineRule="exact"/>
              <w:jc w:val="left"/>
              <w:rPr>
                <w:rFonts w:hint="default" w:ascii="Arial" w:hAnsi="Arial" w:cs="Arial"/>
                <w:szCs w:val="21"/>
              </w:rPr>
            </w:pPr>
            <w:r>
              <w:rPr>
                <w:rFonts w:hint="default" w:ascii="Arial" w:hAnsi="Arial" w:cs="Arial"/>
                <w:b/>
                <w:bCs/>
                <w:szCs w:val="21"/>
              </w:rPr>
              <w:t>三档（7分）：</w:t>
            </w:r>
            <w:r>
              <w:rPr>
                <w:rFonts w:hint="default" w:ascii="Arial" w:hAnsi="Arial" w:cs="Arial"/>
                <w:szCs w:val="21"/>
              </w:rPr>
              <w:t>提供项目实施方案，方案内容具有产品保管措施、产品包装措施、产品运输安排措施，有产品的出厂、配送、安装的计划安排、说明及各阶段的时间规划，有工作进度及控制方案。</w:t>
            </w:r>
          </w:p>
          <w:p w14:paraId="50592484">
            <w:pPr>
              <w:spacing w:line="400" w:lineRule="exact"/>
              <w:jc w:val="left"/>
              <w:rPr>
                <w:rFonts w:hint="default" w:ascii="Arial" w:hAnsi="Arial" w:cs="Arial"/>
                <w:szCs w:val="21"/>
              </w:rPr>
            </w:pPr>
            <w:r>
              <w:rPr>
                <w:rFonts w:hint="default" w:ascii="Arial" w:hAnsi="Arial" w:cs="Arial"/>
                <w:b/>
                <w:bCs/>
                <w:szCs w:val="21"/>
              </w:rPr>
              <w:t>四档（11分）：</w:t>
            </w:r>
            <w:r>
              <w:rPr>
                <w:rFonts w:hint="default" w:ascii="Arial" w:hAnsi="Arial" w:cs="Arial"/>
                <w:szCs w:val="21"/>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有实施进度说明，对产品的配送、安装有相应的方案说明。</w:t>
            </w:r>
          </w:p>
          <w:p w14:paraId="2507CC2E">
            <w:pPr>
              <w:spacing w:line="400" w:lineRule="exact"/>
              <w:jc w:val="left"/>
              <w:rPr>
                <w:rFonts w:hint="default" w:ascii="Arial" w:hAnsi="Arial" w:cs="Arial"/>
                <w:spacing w:val="9"/>
                <w:szCs w:val="21"/>
              </w:rPr>
            </w:pPr>
            <w:r>
              <w:rPr>
                <w:rFonts w:hint="default" w:ascii="Arial" w:hAnsi="Arial" w:cs="Arial"/>
                <w:b/>
                <w:bCs/>
                <w:szCs w:val="21"/>
              </w:rPr>
              <w:t>五档（15分）：</w:t>
            </w:r>
            <w:r>
              <w:rPr>
                <w:rFonts w:hint="default" w:ascii="Arial" w:hAnsi="Arial" w:cs="Arial"/>
                <w:szCs w:val="21"/>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项目管理框架、技术管理构架等，有对本项目的风险预见及风险应对措施，有实施进度说明，对产品的安装、验收的各阶段有详细的方案说明。</w:t>
            </w:r>
          </w:p>
        </w:tc>
        <w:tc>
          <w:tcPr>
            <w:tcW w:w="849" w:type="dxa"/>
            <w:noWrap w:val="0"/>
            <w:vAlign w:val="center"/>
          </w:tcPr>
          <w:p w14:paraId="7E3A359E">
            <w:pPr>
              <w:spacing w:line="360" w:lineRule="auto"/>
              <w:jc w:val="center"/>
              <w:rPr>
                <w:rFonts w:hint="default" w:ascii="Arial" w:hAnsi="Arial" w:cs="Arial"/>
                <w:szCs w:val="21"/>
              </w:rPr>
            </w:pPr>
            <w:r>
              <w:rPr>
                <w:rFonts w:hint="default" w:ascii="Arial" w:hAnsi="Arial" w:cs="Arial"/>
                <w:szCs w:val="21"/>
              </w:rPr>
              <w:t>15分</w:t>
            </w:r>
          </w:p>
        </w:tc>
      </w:tr>
      <w:tr w14:paraId="5A49B2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45" w:hRule="atLeast"/>
          <w:jc w:val="center"/>
        </w:trPr>
        <w:tc>
          <w:tcPr>
            <w:tcW w:w="589" w:type="dxa"/>
            <w:tcBorders>
              <w:top w:val="single" w:color="auto" w:sz="4" w:space="0"/>
              <w:bottom w:val="single" w:color="auto" w:sz="4" w:space="0"/>
            </w:tcBorders>
            <w:noWrap w:val="0"/>
            <w:vAlign w:val="center"/>
          </w:tcPr>
          <w:p w14:paraId="73226D01">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3</w:t>
            </w:r>
          </w:p>
        </w:tc>
        <w:tc>
          <w:tcPr>
            <w:tcW w:w="1233" w:type="dxa"/>
            <w:noWrap w:val="0"/>
            <w:vAlign w:val="center"/>
          </w:tcPr>
          <w:p w14:paraId="769505B1">
            <w:pPr>
              <w:widowControl/>
              <w:spacing w:line="400" w:lineRule="exact"/>
              <w:ind w:left="-16" w:hanging="1"/>
              <w:jc w:val="center"/>
              <w:rPr>
                <w:rFonts w:hint="default" w:ascii="Arial" w:hAnsi="Arial" w:cs="Arial"/>
                <w:szCs w:val="21"/>
              </w:rPr>
            </w:pPr>
            <w:r>
              <w:rPr>
                <w:rFonts w:hint="default" w:ascii="Arial" w:hAnsi="Arial" w:cs="Arial"/>
                <w:b/>
                <w:spacing w:val="7"/>
                <w:szCs w:val="21"/>
              </w:rPr>
              <w:t>培训方案 （满分12分）</w:t>
            </w:r>
          </w:p>
        </w:tc>
        <w:tc>
          <w:tcPr>
            <w:tcW w:w="6406" w:type="dxa"/>
            <w:noWrap w:val="0"/>
            <w:vAlign w:val="center"/>
          </w:tcPr>
          <w:p w14:paraId="0A447176">
            <w:pPr>
              <w:spacing w:line="400" w:lineRule="exact"/>
              <w:jc w:val="left"/>
              <w:rPr>
                <w:rFonts w:hint="default" w:ascii="Arial" w:hAnsi="Arial" w:cs="Arial"/>
                <w:szCs w:val="21"/>
              </w:rPr>
            </w:pPr>
            <w:r>
              <w:rPr>
                <w:rFonts w:hint="default" w:ascii="Arial" w:hAnsi="Arial" w:cs="Arial"/>
                <w:b/>
                <w:bCs/>
                <w:szCs w:val="21"/>
              </w:rPr>
              <w:t>一档（0分）：</w:t>
            </w:r>
            <w:r>
              <w:rPr>
                <w:rFonts w:hint="default" w:ascii="Arial" w:hAnsi="Arial" w:cs="Arial"/>
                <w:szCs w:val="21"/>
              </w:rPr>
              <w:t>投标文件中未提供设备操作、使用及维护培训方案不得分。</w:t>
            </w:r>
          </w:p>
          <w:p w14:paraId="42857CCE">
            <w:pPr>
              <w:spacing w:line="400" w:lineRule="exact"/>
              <w:jc w:val="left"/>
              <w:rPr>
                <w:rFonts w:hint="default" w:ascii="Arial" w:hAnsi="Arial" w:cs="Arial"/>
                <w:szCs w:val="21"/>
              </w:rPr>
            </w:pPr>
            <w:r>
              <w:rPr>
                <w:rFonts w:hint="default" w:ascii="Arial" w:hAnsi="Arial" w:cs="Arial"/>
                <w:b/>
                <w:bCs/>
                <w:szCs w:val="21"/>
              </w:rPr>
              <w:t>二档（</w:t>
            </w:r>
            <w:r>
              <w:rPr>
                <w:rFonts w:hint="default" w:ascii="Arial" w:hAnsi="Arial" w:cs="Arial"/>
                <w:b/>
                <w:bCs/>
                <w:szCs w:val="21"/>
                <w:lang w:val="en-US" w:eastAsia="zh-CN"/>
              </w:rPr>
              <w:t>3</w:t>
            </w:r>
            <w:r>
              <w:rPr>
                <w:rFonts w:hint="default" w:ascii="Arial" w:hAnsi="Arial" w:cs="Arial"/>
                <w:b/>
                <w:bCs/>
                <w:szCs w:val="21"/>
              </w:rPr>
              <w:t>分）：</w:t>
            </w:r>
            <w:r>
              <w:rPr>
                <w:rFonts w:hint="default" w:ascii="Arial" w:hAnsi="Arial" w:cs="Arial"/>
                <w:szCs w:val="21"/>
              </w:rPr>
              <w:t>提供设备操作、使用及维护培训方案，方案内容具有简单的设备操作、使用及维护培训计划，包含招标文件要求的设备使用培训内容，提供专业技术人员对招标人进行培训，产品交付使用时对招标人进行1次设备操作、使用及维护培训，验收合格后对招标人进行2次设备操作、使用及维护培训，每次培训时长不低于20分钟，培训内容有设备标准操作方法、设备使用注意事项。</w:t>
            </w:r>
          </w:p>
          <w:p w14:paraId="2080EC42">
            <w:pPr>
              <w:spacing w:line="400" w:lineRule="exact"/>
              <w:jc w:val="left"/>
              <w:rPr>
                <w:rFonts w:hint="default" w:ascii="Arial" w:hAnsi="Arial" w:cs="Arial"/>
                <w:szCs w:val="21"/>
              </w:rPr>
            </w:pPr>
            <w:r>
              <w:rPr>
                <w:rFonts w:hint="default" w:ascii="Arial" w:hAnsi="Arial" w:cs="Arial"/>
                <w:b/>
                <w:bCs/>
                <w:szCs w:val="21"/>
              </w:rPr>
              <w:t>三档（</w:t>
            </w:r>
            <w:r>
              <w:rPr>
                <w:rFonts w:hint="default" w:ascii="Arial" w:hAnsi="Arial" w:cs="Arial"/>
                <w:b/>
                <w:bCs/>
                <w:szCs w:val="21"/>
                <w:lang w:val="en-US" w:eastAsia="zh-CN"/>
              </w:rPr>
              <w:t>6</w:t>
            </w:r>
            <w:r>
              <w:rPr>
                <w:rFonts w:hint="default" w:ascii="Arial" w:hAnsi="Arial" w:cs="Arial"/>
                <w:b/>
                <w:bCs/>
                <w:szCs w:val="21"/>
              </w:rPr>
              <w:t>分）：</w:t>
            </w:r>
            <w:r>
              <w:rPr>
                <w:rFonts w:hint="default" w:ascii="Arial" w:hAnsi="Arial" w:cs="Arial"/>
                <w:szCs w:val="21"/>
              </w:rPr>
              <w:t>提供设备操作、使用及维护培训方案，方案内容具有详细的设备操作、使用及维护培训计划，包含招标文件要求的设备使用培训内容，提供专业技术人员对招标人进行培训，产品交付使用时对招标人进行至少1次设备操作、使用及维护培训，验收合格后对招标人进行至少3次设备操作、使用及维护培训，每次培训时长不低于20分钟，培训内容有设备标准操作方法、设备使用注意事项、设备基础维护知识。</w:t>
            </w:r>
          </w:p>
          <w:p w14:paraId="34007CB9">
            <w:pPr>
              <w:spacing w:line="400" w:lineRule="exact"/>
              <w:jc w:val="left"/>
              <w:rPr>
                <w:rFonts w:hint="default" w:ascii="Arial" w:hAnsi="Arial" w:cs="Arial"/>
                <w:szCs w:val="21"/>
              </w:rPr>
            </w:pPr>
            <w:r>
              <w:rPr>
                <w:rFonts w:hint="default" w:ascii="Arial" w:hAnsi="Arial" w:cs="Arial"/>
                <w:b/>
                <w:bCs/>
                <w:szCs w:val="21"/>
              </w:rPr>
              <w:t>四档（9分）：</w:t>
            </w:r>
            <w:r>
              <w:rPr>
                <w:rFonts w:hint="default" w:ascii="Arial" w:hAnsi="Arial" w:cs="Arial"/>
                <w:szCs w:val="21"/>
              </w:rPr>
              <w:t>提供设备操作、使用及维护培训方案，方案内容具有完善的设备操作、使用及维护培训计划，包含招标文件要求的设备使用培训内容，提供专业技术人员对招标人进行培训，产品交付使用时对招标人进行至少1次设备操作、使用及维护培训，验收合格后对招标人进行至少3次设备操作、使用及维护培训，每次培训时长不低于25分钟，培训内容有设备标准操作方法、设备使用注意事项、设备基础维护知识、设备一般故障处理方法、设备重大故障处理方法、设备维护保养细则。</w:t>
            </w:r>
          </w:p>
          <w:p w14:paraId="29F44799">
            <w:pPr>
              <w:spacing w:line="400" w:lineRule="exact"/>
              <w:jc w:val="left"/>
              <w:rPr>
                <w:rFonts w:hint="default" w:ascii="Arial" w:hAnsi="Arial" w:cs="Arial"/>
                <w:szCs w:val="21"/>
              </w:rPr>
            </w:pPr>
            <w:r>
              <w:rPr>
                <w:rFonts w:hint="default" w:ascii="Arial" w:hAnsi="Arial" w:cs="Arial"/>
                <w:b/>
                <w:bCs/>
                <w:szCs w:val="21"/>
              </w:rPr>
              <w:t>五档（12分）：</w:t>
            </w:r>
            <w:r>
              <w:rPr>
                <w:rFonts w:hint="default" w:ascii="Arial" w:hAnsi="Arial" w:cs="Arial"/>
                <w:szCs w:val="21"/>
              </w:rPr>
              <w:t>提供设备操作、使用及维护培训方案，方案内容具有详细完善的设备操作、使用及维护培训计划，包含招标文件要求的设备使用培训内容，提供专业技术人员对招标人进行培训，产品交付使用时对招标人进行至少1次设备操作、使用及维护培训，验收合格后对招标人进行至少4次设备操作、使用及维护培训，每次培训时长不低于30分钟，培训内容有设备标准操作方法、设备使用注意事项、设备基础维护知识、设备一般故障处理方法、设备重大故障处理方法、设备维护保养细则、设备使用技术指导。</w:t>
            </w:r>
          </w:p>
        </w:tc>
        <w:tc>
          <w:tcPr>
            <w:tcW w:w="849" w:type="dxa"/>
            <w:noWrap w:val="0"/>
            <w:vAlign w:val="center"/>
          </w:tcPr>
          <w:p w14:paraId="22C4CD69">
            <w:pPr>
              <w:spacing w:line="360" w:lineRule="auto"/>
              <w:jc w:val="center"/>
              <w:rPr>
                <w:rFonts w:hint="default" w:ascii="Arial" w:hAnsi="Arial" w:cs="Arial"/>
                <w:szCs w:val="21"/>
              </w:rPr>
            </w:pPr>
            <w:r>
              <w:rPr>
                <w:rFonts w:hint="default" w:ascii="Arial" w:hAnsi="Arial" w:cs="Arial"/>
                <w:szCs w:val="21"/>
              </w:rPr>
              <w:t>12分</w:t>
            </w:r>
          </w:p>
        </w:tc>
      </w:tr>
      <w:tr w14:paraId="42DCE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8" w:hRule="atLeast"/>
          <w:jc w:val="center"/>
        </w:trPr>
        <w:tc>
          <w:tcPr>
            <w:tcW w:w="589" w:type="dxa"/>
            <w:tcBorders>
              <w:top w:val="single" w:color="auto" w:sz="4" w:space="0"/>
              <w:bottom w:val="single" w:color="auto" w:sz="4" w:space="0"/>
            </w:tcBorders>
            <w:noWrap w:val="0"/>
            <w:vAlign w:val="center"/>
          </w:tcPr>
          <w:p w14:paraId="7D773E91">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三</w:t>
            </w:r>
          </w:p>
        </w:tc>
        <w:tc>
          <w:tcPr>
            <w:tcW w:w="8488" w:type="dxa"/>
            <w:gridSpan w:val="3"/>
            <w:noWrap w:val="0"/>
            <w:vAlign w:val="center"/>
          </w:tcPr>
          <w:p w14:paraId="2FACFD47">
            <w:pPr>
              <w:spacing w:line="360" w:lineRule="auto"/>
              <w:ind w:firstLine="422" w:firstLineChars="200"/>
              <w:jc w:val="center"/>
              <w:rPr>
                <w:rFonts w:hint="default" w:ascii="Arial" w:hAnsi="Arial" w:cs="Arial"/>
                <w:szCs w:val="21"/>
              </w:rPr>
            </w:pPr>
            <w:r>
              <w:rPr>
                <w:rFonts w:hint="default" w:ascii="Arial" w:hAnsi="Arial" w:cs="Arial"/>
                <w:b/>
                <w:bCs/>
                <w:szCs w:val="21"/>
              </w:rPr>
              <w:t>商务部分（分值：</w:t>
            </w:r>
            <w:r>
              <w:rPr>
                <w:rFonts w:hint="default" w:ascii="Arial" w:hAnsi="Arial" w:cs="Arial"/>
                <w:b/>
                <w:bCs/>
                <w:szCs w:val="21"/>
                <w:lang w:val="en-US" w:eastAsia="zh-CN"/>
              </w:rPr>
              <w:t>19</w:t>
            </w:r>
            <w:r>
              <w:rPr>
                <w:rFonts w:hint="default" w:ascii="Arial" w:hAnsi="Arial" w:cs="Arial"/>
                <w:b/>
                <w:bCs/>
                <w:szCs w:val="21"/>
              </w:rPr>
              <w:t>分）</w:t>
            </w:r>
          </w:p>
        </w:tc>
      </w:tr>
      <w:tr w14:paraId="0F5DC1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90" w:hRule="atLeast"/>
          <w:jc w:val="center"/>
        </w:trPr>
        <w:tc>
          <w:tcPr>
            <w:tcW w:w="589" w:type="dxa"/>
            <w:tcBorders>
              <w:top w:val="single" w:color="auto" w:sz="4" w:space="0"/>
            </w:tcBorders>
            <w:noWrap w:val="0"/>
            <w:vAlign w:val="center"/>
          </w:tcPr>
          <w:p w14:paraId="67090401">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1</w:t>
            </w:r>
          </w:p>
        </w:tc>
        <w:tc>
          <w:tcPr>
            <w:tcW w:w="1233" w:type="dxa"/>
            <w:noWrap w:val="0"/>
            <w:vAlign w:val="center"/>
          </w:tcPr>
          <w:p w14:paraId="4C5DA22F">
            <w:pPr>
              <w:widowControl/>
              <w:spacing w:line="400" w:lineRule="exact"/>
              <w:jc w:val="center"/>
              <w:rPr>
                <w:rFonts w:hint="default" w:ascii="Arial" w:hAnsi="Arial" w:cs="Arial"/>
                <w:b/>
                <w:kern w:val="0"/>
                <w:szCs w:val="21"/>
              </w:rPr>
            </w:pPr>
            <w:r>
              <w:rPr>
                <w:rFonts w:hint="default" w:ascii="Arial" w:hAnsi="Arial" w:cs="Arial"/>
                <w:b/>
                <w:szCs w:val="21"/>
              </w:rPr>
              <w:t>售后服务方案</w:t>
            </w:r>
          </w:p>
          <w:p w14:paraId="65CAB067">
            <w:pPr>
              <w:pStyle w:val="50"/>
              <w:shd w:val="clear" w:color="auto" w:fill="FFFFFF"/>
              <w:spacing w:before="0" w:beforeAutospacing="0" w:after="0" w:afterAutospacing="0" w:line="400" w:lineRule="exact"/>
              <w:jc w:val="center"/>
              <w:rPr>
                <w:rFonts w:hint="default" w:ascii="Arial" w:hAnsi="Arial" w:cs="Arial"/>
                <w:szCs w:val="21"/>
              </w:rPr>
            </w:pPr>
            <w:r>
              <w:rPr>
                <w:rFonts w:hint="default" w:ascii="Arial" w:hAnsi="Arial" w:cs="Arial"/>
                <w:b/>
                <w:sz w:val="21"/>
                <w:szCs w:val="21"/>
              </w:rPr>
              <w:t>（满分</w:t>
            </w:r>
            <w:r>
              <w:rPr>
                <w:rFonts w:hint="default" w:ascii="Arial" w:hAnsi="Arial" w:cs="Arial"/>
                <w:b/>
                <w:bCs/>
                <w:sz w:val="21"/>
                <w:szCs w:val="21"/>
              </w:rPr>
              <w:t>15分）</w:t>
            </w:r>
          </w:p>
        </w:tc>
        <w:tc>
          <w:tcPr>
            <w:tcW w:w="6406" w:type="dxa"/>
            <w:noWrap w:val="0"/>
            <w:vAlign w:val="center"/>
          </w:tcPr>
          <w:p w14:paraId="556FF59C">
            <w:pPr>
              <w:pStyle w:val="19"/>
              <w:spacing w:line="400" w:lineRule="exact"/>
              <w:ind w:firstLine="420" w:firstLineChars="200"/>
              <w:rPr>
                <w:rFonts w:hint="default" w:ascii="Arial" w:hAnsi="Arial" w:cs="Arial"/>
              </w:rPr>
            </w:pPr>
            <w:r>
              <w:rPr>
                <w:rFonts w:hint="default" w:ascii="Arial" w:hAnsi="Arial" w:cs="Arial"/>
              </w:rPr>
              <w:t>评标委员会成员对投标人提供的售后服务方案（包括但不仅限于：①售后服务计划；②售后服务人员配置；③售后保障举措；④应急预案）内进行独立评审并按以下规则独立打分：</w:t>
            </w:r>
          </w:p>
          <w:p w14:paraId="58CE32D4">
            <w:pPr>
              <w:pStyle w:val="19"/>
              <w:spacing w:line="400" w:lineRule="exact"/>
              <w:ind w:firstLine="420" w:firstLineChars="200"/>
              <w:rPr>
                <w:rFonts w:hint="default" w:ascii="Arial" w:hAnsi="Arial" w:cs="Arial"/>
              </w:rPr>
            </w:pPr>
            <w:r>
              <w:rPr>
                <w:rFonts w:hint="default" w:ascii="Arial" w:hAnsi="Arial" w:cs="Arial"/>
              </w:rPr>
              <w:t>一档（3分）：售后服务方案内容齐全，4项评审内容有1项经评审具有针对性、可操作性、且内容科学合理；</w:t>
            </w:r>
          </w:p>
          <w:p w14:paraId="4701EF92">
            <w:pPr>
              <w:pStyle w:val="19"/>
              <w:spacing w:line="400" w:lineRule="exact"/>
              <w:ind w:firstLine="420" w:firstLineChars="200"/>
              <w:rPr>
                <w:rFonts w:hint="default" w:ascii="Arial" w:hAnsi="Arial" w:cs="Arial"/>
              </w:rPr>
            </w:pPr>
            <w:r>
              <w:rPr>
                <w:rFonts w:hint="default" w:ascii="Arial" w:hAnsi="Arial" w:cs="Arial"/>
              </w:rPr>
              <w:t>二档（7分）：售后服务方案内容齐全，4项评审内容有2项经评审具有针对性、可操作性、且内容科学合理；</w:t>
            </w:r>
          </w:p>
          <w:p w14:paraId="5C8F39CC">
            <w:pPr>
              <w:pStyle w:val="19"/>
              <w:spacing w:line="400" w:lineRule="exact"/>
              <w:ind w:firstLine="420" w:firstLineChars="200"/>
              <w:rPr>
                <w:rFonts w:hint="default" w:ascii="Arial" w:hAnsi="Arial" w:cs="Arial"/>
              </w:rPr>
            </w:pPr>
            <w:r>
              <w:rPr>
                <w:rFonts w:hint="default" w:ascii="Arial" w:hAnsi="Arial" w:cs="Arial"/>
              </w:rPr>
              <w:t>三档（11分）：售后服务方案内容齐全，4项评审内容有3项经评审具有针对性、可操作性、且内容科学合理；</w:t>
            </w:r>
          </w:p>
          <w:p w14:paraId="799D2836">
            <w:pPr>
              <w:pStyle w:val="50"/>
              <w:shd w:val="clear" w:color="auto" w:fill="FFFFFF"/>
              <w:spacing w:before="0" w:beforeAutospacing="0" w:after="0" w:afterAutospacing="0" w:line="400" w:lineRule="exact"/>
              <w:ind w:firstLine="420" w:firstLineChars="200"/>
              <w:rPr>
                <w:rFonts w:hint="default" w:ascii="Arial" w:hAnsi="Arial" w:cs="Arial"/>
                <w:sz w:val="21"/>
                <w:szCs w:val="21"/>
              </w:rPr>
            </w:pPr>
            <w:r>
              <w:rPr>
                <w:rFonts w:hint="default" w:ascii="Arial" w:hAnsi="Arial" w:cs="Arial"/>
                <w:kern w:val="2"/>
                <w:sz w:val="21"/>
              </w:rPr>
              <w:t>四档（15分）：售后服务方案内容齐全，4项评审内容经评审均具有针对性、可操作性、且内容科学合理。</w:t>
            </w:r>
          </w:p>
        </w:tc>
        <w:tc>
          <w:tcPr>
            <w:tcW w:w="849" w:type="dxa"/>
            <w:noWrap w:val="0"/>
            <w:vAlign w:val="center"/>
          </w:tcPr>
          <w:p w14:paraId="056D37E5">
            <w:pPr>
              <w:spacing w:line="360" w:lineRule="auto"/>
              <w:ind w:left="-78" w:leftChars="-37" w:right="-73" w:rightChars="-35"/>
              <w:jc w:val="center"/>
              <w:rPr>
                <w:rFonts w:hint="default" w:ascii="Arial" w:hAnsi="Arial" w:cs="Arial"/>
                <w:szCs w:val="21"/>
              </w:rPr>
            </w:pPr>
            <w:r>
              <w:rPr>
                <w:rFonts w:hint="default" w:ascii="Arial" w:hAnsi="Arial" w:cs="Arial"/>
                <w:szCs w:val="21"/>
              </w:rPr>
              <w:t>15</w:t>
            </w:r>
          </w:p>
        </w:tc>
      </w:tr>
      <w:tr w14:paraId="3EE8F4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0" w:hRule="atLeast"/>
          <w:jc w:val="center"/>
        </w:trPr>
        <w:tc>
          <w:tcPr>
            <w:tcW w:w="589" w:type="dxa"/>
            <w:tcBorders>
              <w:top w:val="single" w:color="auto" w:sz="4" w:space="0"/>
            </w:tcBorders>
            <w:noWrap w:val="0"/>
            <w:vAlign w:val="center"/>
          </w:tcPr>
          <w:p w14:paraId="79B43911">
            <w:pPr>
              <w:pStyle w:val="201"/>
              <w:spacing w:line="360" w:lineRule="auto"/>
              <w:ind w:left="0" w:leftChars="0" w:firstLine="0" w:firstLineChars="0"/>
              <w:jc w:val="center"/>
              <w:rPr>
                <w:rFonts w:hint="default" w:ascii="Arial" w:hAnsi="Arial" w:cs="Arial"/>
                <w:szCs w:val="21"/>
              </w:rPr>
            </w:pPr>
            <w:r>
              <w:rPr>
                <w:rFonts w:hint="default" w:ascii="Arial" w:hAnsi="Arial" w:cs="Arial"/>
                <w:szCs w:val="21"/>
              </w:rPr>
              <w:t>2</w:t>
            </w:r>
          </w:p>
        </w:tc>
        <w:tc>
          <w:tcPr>
            <w:tcW w:w="1233" w:type="dxa"/>
            <w:noWrap w:val="0"/>
            <w:vAlign w:val="center"/>
          </w:tcPr>
          <w:p w14:paraId="27203EE2">
            <w:pPr>
              <w:widowControl/>
              <w:spacing w:line="400" w:lineRule="exact"/>
              <w:jc w:val="center"/>
              <w:rPr>
                <w:rFonts w:hint="default" w:ascii="Arial" w:hAnsi="Arial" w:cs="Arial"/>
                <w:b/>
                <w:bCs/>
                <w:kern w:val="0"/>
                <w:szCs w:val="21"/>
              </w:rPr>
            </w:pPr>
            <w:r>
              <w:rPr>
                <w:rFonts w:hint="default" w:ascii="Arial" w:hAnsi="Arial" w:cs="Arial"/>
                <w:b/>
                <w:bCs/>
                <w:kern w:val="0"/>
                <w:szCs w:val="21"/>
              </w:rPr>
              <w:t>信誉业绩</w:t>
            </w:r>
          </w:p>
          <w:p w14:paraId="78A33479">
            <w:pPr>
              <w:pStyle w:val="50"/>
              <w:shd w:val="clear" w:color="auto" w:fill="FFFFFF"/>
              <w:spacing w:before="0" w:beforeAutospacing="0" w:after="0" w:afterAutospacing="0" w:line="400" w:lineRule="exact"/>
              <w:jc w:val="center"/>
              <w:rPr>
                <w:rFonts w:hint="default" w:ascii="Arial" w:hAnsi="Arial" w:cs="Arial"/>
                <w:szCs w:val="21"/>
              </w:rPr>
            </w:pPr>
            <w:r>
              <w:rPr>
                <w:rFonts w:hint="default" w:ascii="Arial" w:hAnsi="Arial" w:cs="Arial"/>
                <w:b/>
                <w:bCs/>
                <w:sz w:val="21"/>
                <w:szCs w:val="21"/>
              </w:rPr>
              <w:t>（满分</w:t>
            </w:r>
            <w:r>
              <w:rPr>
                <w:rFonts w:hint="default" w:ascii="Arial" w:hAnsi="Arial" w:cs="Arial"/>
                <w:b/>
                <w:bCs/>
                <w:sz w:val="21"/>
                <w:szCs w:val="21"/>
                <w:lang w:val="en-US" w:eastAsia="zh-CN"/>
              </w:rPr>
              <w:t>4</w:t>
            </w:r>
            <w:r>
              <w:rPr>
                <w:rFonts w:hint="default" w:ascii="Arial" w:hAnsi="Arial" w:cs="Arial"/>
                <w:b/>
                <w:bCs/>
                <w:sz w:val="21"/>
                <w:szCs w:val="21"/>
              </w:rPr>
              <w:t>分）</w:t>
            </w:r>
          </w:p>
        </w:tc>
        <w:tc>
          <w:tcPr>
            <w:tcW w:w="6406" w:type="dxa"/>
            <w:noWrap w:val="0"/>
            <w:vAlign w:val="center"/>
          </w:tcPr>
          <w:p w14:paraId="7A388E58">
            <w:pPr>
              <w:pStyle w:val="50"/>
              <w:shd w:val="clear" w:color="auto" w:fill="FFFFFF"/>
              <w:spacing w:before="0" w:beforeAutospacing="0" w:after="0" w:afterAutospacing="0" w:line="400" w:lineRule="exact"/>
              <w:ind w:firstLine="420" w:firstLineChars="200"/>
              <w:rPr>
                <w:rFonts w:hint="default" w:ascii="Arial" w:hAnsi="Arial" w:cs="Arial"/>
              </w:rPr>
            </w:pPr>
            <w:r>
              <w:rPr>
                <w:rFonts w:hint="default" w:ascii="Arial" w:hAnsi="Arial" w:cs="Arial"/>
                <w:kern w:val="2"/>
                <w:sz w:val="21"/>
              </w:rPr>
              <w:t>2023年1月 1日至提交投标文件截止时间止，投标人或所投产品制造商具有与本次采购内容有关的类似项目业绩的，每项得2分，满分</w:t>
            </w:r>
            <w:r>
              <w:rPr>
                <w:rFonts w:hint="default" w:ascii="Arial" w:hAnsi="Arial" w:cs="Arial"/>
                <w:kern w:val="2"/>
                <w:sz w:val="21"/>
                <w:lang w:val="en-US" w:eastAsia="zh-CN"/>
              </w:rPr>
              <w:t>4</w:t>
            </w:r>
            <w:r>
              <w:rPr>
                <w:rFonts w:hint="default" w:ascii="Arial" w:hAnsi="Arial" w:cs="Arial"/>
                <w:kern w:val="2"/>
                <w:sz w:val="21"/>
              </w:rPr>
              <w:t>分。</w:t>
            </w:r>
            <w:r>
              <w:rPr>
                <w:rFonts w:hint="default" w:ascii="Arial" w:hAnsi="Arial" w:cs="Arial"/>
                <w:b/>
                <w:bCs/>
                <w:kern w:val="2"/>
                <w:sz w:val="21"/>
              </w:rPr>
              <w:t>【注：需在投标文件中提供前述类似项目业绩的合同或者中标（成交）通知书复印件并加盖投标人公章，未按要求提供的不得分。】</w:t>
            </w:r>
          </w:p>
        </w:tc>
        <w:tc>
          <w:tcPr>
            <w:tcW w:w="849" w:type="dxa"/>
            <w:noWrap w:val="0"/>
            <w:vAlign w:val="center"/>
          </w:tcPr>
          <w:p w14:paraId="15BC7645">
            <w:pPr>
              <w:spacing w:line="360" w:lineRule="auto"/>
              <w:ind w:left="-78" w:leftChars="-37" w:right="-73" w:rightChars="-35"/>
              <w:jc w:val="center"/>
              <w:rPr>
                <w:rFonts w:hint="default" w:ascii="Arial" w:hAnsi="Arial" w:eastAsia="宋体" w:cs="Arial"/>
                <w:szCs w:val="21"/>
                <w:lang w:eastAsia="zh-CN"/>
              </w:rPr>
            </w:pPr>
            <w:r>
              <w:rPr>
                <w:rFonts w:hint="default" w:ascii="Arial" w:hAnsi="Arial" w:cs="Arial"/>
                <w:szCs w:val="21"/>
                <w:lang w:val="en-US" w:eastAsia="zh-CN"/>
              </w:rPr>
              <w:t>4</w:t>
            </w:r>
          </w:p>
        </w:tc>
      </w:tr>
      <w:tr w14:paraId="6471FE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6" w:hRule="atLeast"/>
          <w:jc w:val="center"/>
        </w:trPr>
        <w:tc>
          <w:tcPr>
            <w:tcW w:w="8228" w:type="dxa"/>
            <w:gridSpan w:val="3"/>
            <w:noWrap w:val="0"/>
            <w:vAlign w:val="center"/>
          </w:tcPr>
          <w:p w14:paraId="735B6D7A">
            <w:pPr>
              <w:spacing w:line="360" w:lineRule="auto"/>
              <w:ind w:left="-78" w:leftChars="-37" w:right="-73" w:rightChars="-35"/>
              <w:jc w:val="center"/>
              <w:rPr>
                <w:rFonts w:hint="default" w:ascii="Arial" w:hAnsi="Arial" w:cs="Arial"/>
                <w:szCs w:val="21"/>
              </w:rPr>
            </w:pPr>
            <w:r>
              <w:rPr>
                <w:rFonts w:hint="default" w:ascii="Arial" w:hAnsi="Arial" w:cs="Arial"/>
                <w:szCs w:val="21"/>
              </w:rPr>
              <w:t>合计</w:t>
            </w:r>
          </w:p>
        </w:tc>
        <w:tc>
          <w:tcPr>
            <w:tcW w:w="849" w:type="dxa"/>
            <w:noWrap w:val="0"/>
            <w:vAlign w:val="center"/>
          </w:tcPr>
          <w:p w14:paraId="518428C6">
            <w:pPr>
              <w:spacing w:line="360" w:lineRule="auto"/>
              <w:ind w:left="-78" w:leftChars="-37" w:right="-73" w:rightChars="-35"/>
              <w:jc w:val="center"/>
              <w:rPr>
                <w:rFonts w:hint="default" w:ascii="Arial" w:hAnsi="Arial" w:cs="Arial"/>
                <w:szCs w:val="21"/>
              </w:rPr>
            </w:pPr>
            <w:r>
              <w:rPr>
                <w:rFonts w:hint="default" w:ascii="Arial" w:hAnsi="Arial" w:cs="Arial"/>
                <w:szCs w:val="21"/>
              </w:rPr>
              <w:t>100分</w:t>
            </w:r>
          </w:p>
        </w:tc>
      </w:tr>
    </w:tbl>
    <w:p w14:paraId="23491D17">
      <w:pPr>
        <w:spacing w:before="120" w:line="320" w:lineRule="atLeast"/>
        <w:outlineLvl w:val="1"/>
        <w:rPr>
          <w:rFonts w:ascii="Arial" w:hAnsi="Arial" w:cs="Arial"/>
          <w:bCs/>
          <w:color w:val="000000" w:themeColor="text1"/>
          <w:kern w:val="0"/>
          <w:szCs w:val="21"/>
          <w14:textFill>
            <w14:solidFill>
              <w14:schemeClr w14:val="tx1"/>
            </w14:solidFill>
          </w14:textFill>
        </w:rPr>
      </w:pPr>
      <w:r>
        <w:rPr>
          <w:rFonts w:ascii="Arial" w:hAnsi="Arial" w:cs="Arial"/>
          <w:color w:val="000000" w:themeColor="text1"/>
          <w14:textFill>
            <w14:solidFill>
              <w14:schemeClr w14:val="tx1"/>
            </w14:solidFill>
          </w14:textFill>
        </w:rPr>
        <w:br w:type="page"/>
      </w:r>
      <w:r>
        <w:rPr>
          <w:rFonts w:ascii="Arial" w:hAnsi="Arial" w:cs="Arial"/>
          <w:bCs/>
          <w:color w:val="000000" w:themeColor="text1"/>
          <w:kern w:val="0"/>
          <w:szCs w:val="21"/>
          <w14:textFill>
            <w14:solidFill>
              <w14:schemeClr w14:val="tx1"/>
            </w14:solidFill>
          </w14:textFill>
        </w:rPr>
        <w:t>（二）政府采购政策应用说明</w:t>
      </w:r>
    </w:p>
    <w:p w14:paraId="0B70FDED">
      <w:pPr>
        <w:spacing w:before="120" w:line="320" w:lineRule="atLeast"/>
        <w:ind w:firstLine="422" w:firstLineChars="200"/>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1、政策性加分说明</w:t>
      </w:r>
    </w:p>
    <w:p w14:paraId="1882D88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（1）</w:t>
      </w:r>
      <w:r>
        <w:rPr>
          <w:rFonts w:ascii="Arial" w:hAnsi="Arial" w:cs="Arial"/>
          <w:color w:val="000000" w:themeColor="text1"/>
          <w:szCs w:val="21"/>
          <w14:textFill>
            <w14:solidFill>
              <w14:schemeClr w14:val="tx1"/>
            </w14:solidFill>
          </w14:textFill>
        </w:rPr>
        <w:t>节能产品、环境标志产品</w:t>
      </w:r>
    </w:p>
    <w:p w14:paraId="238C8681">
      <w:pPr>
        <w:spacing w:before="120" w:line="320" w:lineRule="atLeast"/>
        <w:ind w:firstLine="420" w:firstLineChars="20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节能、环境标志产品以</w:t>
      </w:r>
      <w:r>
        <w:rPr>
          <w:rFonts w:ascii="Arial" w:hAnsi="Arial" w:cs="Arial"/>
          <w:color w:val="000000" w:themeColor="text1"/>
          <w14:textFill>
            <w14:solidFill>
              <w14:schemeClr w14:val="tx1"/>
            </w14:solidFill>
          </w14:textFill>
        </w:rPr>
        <w:t>国家财政部等部门</w:t>
      </w:r>
      <w:r>
        <w:rPr>
          <w:rFonts w:ascii="Arial" w:hAnsi="Arial" w:cs="Arial"/>
          <w:bCs/>
          <w:color w:val="000000" w:themeColor="text1"/>
          <w:szCs w:val="21"/>
          <w14:textFill>
            <w14:solidFill>
              <w14:schemeClr w14:val="tx1"/>
            </w14:solidFill>
          </w14:textFill>
        </w:rPr>
        <w:t>颁布的</w:t>
      </w:r>
      <w:r>
        <w:rPr>
          <w:rFonts w:ascii="Arial" w:hAnsi="Arial" w:cs="Arial"/>
          <w:color w:val="000000" w:themeColor="text1"/>
          <w14:textFill>
            <w14:solidFill>
              <w14:schemeClr w14:val="tx1"/>
            </w14:solidFill>
          </w14:textFill>
        </w:rPr>
        <w:t>节能产品政府采购品目清单和环境标志产品政府采购品目清单为准</w:t>
      </w:r>
      <w:r>
        <w:rPr>
          <w:rFonts w:ascii="Arial" w:hAnsi="Arial" w:cs="Arial"/>
          <w:bCs/>
          <w:color w:val="000000" w:themeColor="text1"/>
          <w:szCs w:val="21"/>
          <w14:textFill>
            <w14:solidFill>
              <w14:schemeClr w14:val="tx1"/>
            </w14:solidFill>
          </w14:textFill>
        </w:rPr>
        <w:t>，</w:t>
      </w:r>
      <w:r>
        <w:rPr>
          <w:rFonts w:ascii="Arial" w:hAnsi="Arial" w:cs="Arial"/>
          <w:color w:val="000000" w:themeColor="text1"/>
          <w:szCs w:val="21"/>
          <w14:textFill>
            <w14:solidFill>
              <w14:schemeClr w14:val="tx1"/>
            </w14:solidFill>
          </w14:textFill>
        </w:rPr>
        <w:t>通过中国政府采购网“节能产品查询”及“环境标志产品查询”进行。</w:t>
      </w:r>
    </w:p>
    <w:p w14:paraId="21DB2A4F">
      <w:pPr>
        <w:spacing w:before="120" w:line="320" w:lineRule="atLeast"/>
        <w:ind w:firstLine="422" w:firstLineChars="200"/>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2、政策性扣除计算方法</w:t>
      </w:r>
    </w:p>
    <w:p w14:paraId="31846DE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供应商符合小型、微型企业、监狱企业或残疾人福利性单位条件</w:t>
      </w:r>
      <w:r>
        <w:rPr>
          <w:rFonts w:hint="eastAsia" w:ascii="Arial" w:hAnsi="Arial" w:cs="Arial"/>
          <w:color w:val="000000" w:themeColor="text1"/>
          <w:szCs w:val="21"/>
          <w14:textFill>
            <w14:solidFill>
              <w14:schemeClr w14:val="tx1"/>
            </w14:solidFill>
          </w14:textFill>
        </w:rPr>
        <w:t>、本国产品政策</w:t>
      </w:r>
      <w:r>
        <w:rPr>
          <w:rFonts w:ascii="Arial" w:hAnsi="Arial" w:cs="Arial"/>
          <w:color w:val="000000" w:themeColor="text1"/>
          <w:szCs w:val="21"/>
          <w14:textFill>
            <w14:solidFill>
              <w14:schemeClr w14:val="tx1"/>
            </w14:solidFill>
          </w14:textFill>
        </w:rPr>
        <w:t>的，其投标报价将按相应比例进行扣除，用扣除后的价格参与评审（计算价格分）。</w:t>
      </w:r>
    </w:p>
    <w:p w14:paraId="3A77572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（1）小型、微型企业</w:t>
      </w:r>
    </w:p>
    <w:p w14:paraId="4A0D7E93">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供应商为非联合体的情况下投标报价扣除方式：对小型、微型企业投标报价给予</w:t>
      </w:r>
      <w:r>
        <w:rPr>
          <w:rFonts w:hint="eastAsia" w:ascii="Arial" w:hAnsi="Arial" w:cs="Arial"/>
          <w:color w:val="000000" w:themeColor="text1"/>
          <w:szCs w:val="21"/>
          <w:lang w:val="en-US" w:eastAsia="zh-CN"/>
          <w14:textFill>
            <w14:solidFill>
              <w14:schemeClr w14:val="tx1"/>
            </w14:solidFill>
          </w14:textFill>
        </w:rPr>
        <w:t>2</w:t>
      </w:r>
      <w:r>
        <w:rPr>
          <w:rFonts w:ascii="Arial" w:hAnsi="Arial" w:cs="Arial"/>
          <w:color w:val="000000" w:themeColor="text1"/>
          <w:szCs w:val="21"/>
          <w14:textFill>
            <w14:solidFill>
              <w14:schemeClr w14:val="tx1"/>
            </w14:solidFill>
          </w14:textFill>
        </w:rPr>
        <w:t>0%的扣除，以扣除后的投标报价参与评审（计算价格分）。</w:t>
      </w:r>
    </w:p>
    <w:p w14:paraId="4D1CAB5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（2）监狱企业</w:t>
      </w:r>
    </w:p>
    <w:p w14:paraId="5B5C555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根据财政部、司法部关于政府采购支持监狱企业发展有关问题的通知（财库[2014]68号），监狱企业视同小型、微型企业，享受小型、微型企业评审时</w:t>
      </w:r>
      <w:r>
        <w:rPr>
          <w:rFonts w:ascii="Arial" w:hAnsi="Arial" w:cs="Arial"/>
          <w:bCs/>
          <w:color w:val="000000" w:themeColor="text1"/>
          <w:szCs w:val="21"/>
          <w14:textFill>
            <w14:solidFill>
              <w14:schemeClr w14:val="tx1"/>
            </w14:solidFill>
          </w14:textFill>
        </w:rPr>
        <w:t>投标</w:t>
      </w:r>
      <w:r>
        <w:rPr>
          <w:rFonts w:ascii="Arial" w:hAnsi="Arial" w:cs="Arial"/>
          <w:color w:val="000000" w:themeColor="text1"/>
          <w:szCs w:val="21"/>
          <w14:textFill>
            <w14:solidFill>
              <w14:schemeClr w14:val="tx1"/>
            </w14:solidFill>
          </w14:textFill>
        </w:rPr>
        <w:t>价格扣除</w:t>
      </w:r>
      <w:r>
        <w:rPr>
          <w:rFonts w:hint="eastAsia" w:ascii="Arial" w:hAnsi="Arial" w:cs="Arial"/>
          <w:color w:val="000000" w:themeColor="text1"/>
          <w:szCs w:val="21"/>
          <w:lang w:val="en-US" w:eastAsia="zh-CN"/>
          <w14:textFill>
            <w14:solidFill>
              <w14:schemeClr w14:val="tx1"/>
            </w14:solidFill>
          </w14:textFill>
        </w:rPr>
        <w:t>2</w:t>
      </w:r>
      <w:r>
        <w:rPr>
          <w:rFonts w:ascii="Arial" w:hAnsi="Arial" w:cs="Arial"/>
          <w:color w:val="000000" w:themeColor="text1"/>
          <w:szCs w:val="21"/>
          <w14:textFill>
            <w14:solidFill>
              <w14:schemeClr w14:val="tx1"/>
            </w14:solidFill>
          </w14:textFill>
        </w:rPr>
        <w:t>0%的政府采购政策。</w:t>
      </w:r>
    </w:p>
    <w:p w14:paraId="333D916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（3）残疾人福利性单位</w:t>
      </w:r>
    </w:p>
    <w:p w14:paraId="41B19630">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根据财政部、民政部、中国残疾人联合会三部门发布的关于促进残疾人就业政府采购政策的通知（财库〔2017〕141号），残疾人福利性单位视同小型、微型企业，享受小型、微型企业评标时投标报价扣除</w:t>
      </w:r>
      <w:r>
        <w:rPr>
          <w:rFonts w:hint="eastAsia" w:ascii="Arial" w:hAnsi="Arial" w:cs="Arial"/>
          <w:color w:val="000000" w:themeColor="text1"/>
          <w:szCs w:val="21"/>
          <w:lang w:val="en-US" w:eastAsia="zh-CN"/>
          <w14:textFill>
            <w14:solidFill>
              <w14:schemeClr w14:val="tx1"/>
            </w14:solidFill>
          </w14:textFill>
        </w:rPr>
        <w:t>2</w:t>
      </w:r>
      <w:r>
        <w:rPr>
          <w:rFonts w:ascii="Arial" w:hAnsi="Arial" w:cs="Arial"/>
          <w:color w:val="000000" w:themeColor="text1"/>
          <w:szCs w:val="21"/>
          <w14:textFill>
            <w14:solidFill>
              <w14:schemeClr w14:val="tx1"/>
            </w14:solidFill>
          </w14:textFill>
        </w:rPr>
        <w:t>0%的政府采购政策。供应商既属于残疾人福利性单位又属于小型、微型企业的，其只能享受投标报价一次性</w:t>
      </w:r>
      <w:r>
        <w:rPr>
          <w:rFonts w:hint="eastAsia" w:ascii="Arial" w:hAnsi="Arial" w:cs="Arial"/>
          <w:color w:val="000000" w:themeColor="text1"/>
          <w:szCs w:val="21"/>
          <w:lang w:val="en-US" w:eastAsia="zh-CN"/>
          <w14:textFill>
            <w14:solidFill>
              <w14:schemeClr w14:val="tx1"/>
            </w14:solidFill>
          </w14:textFill>
        </w:rPr>
        <w:t>2</w:t>
      </w:r>
      <w:r>
        <w:rPr>
          <w:rFonts w:ascii="Arial" w:hAnsi="Arial" w:cs="Arial"/>
          <w:color w:val="000000" w:themeColor="text1"/>
          <w:szCs w:val="21"/>
          <w14:textFill>
            <w14:solidFill>
              <w14:schemeClr w14:val="tx1"/>
            </w14:solidFill>
          </w14:textFill>
        </w:rPr>
        <w:t>0%的扣除，不重复享受政策。</w:t>
      </w:r>
    </w:p>
    <w:p w14:paraId="574E2914">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92" w:name="_Hlk60654227"/>
      <w:bookmarkStart w:id="93" w:name="_Hlk60651046"/>
      <w:r>
        <w:rPr>
          <w:rFonts w:ascii="Arial" w:hAnsi="Arial" w:cs="Arial"/>
          <w:color w:val="000000" w:themeColor="text1"/>
          <w:szCs w:val="21"/>
          <w14:textFill>
            <w14:solidFill>
              <w14:schemeClr w14:val="tx1"/>
            </w14:solidFill>
          </w14:textFill>
        </w:rPr>
        <w:t>（4）联合体投标</w:t>
      </w:r>
    </w:p>
    <w:p w14:paraId="636271B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供应商为联合体的情况下投标价格扣除方式：接受大中型企业与小微企业组成联合体的采购项目，对于联合协议约定小微企业的合同份额占到合同总金额 30%以上的，评标时对联合体供应商的报价给予 4%的扣除，用扣除后的价格参加评审。组成联合体的小微企业与联合体内其他企业、分包企业之间不得存在直接控股、管理关系，否则价格不予扣除。</w:t>
      </w:r>
    </w:p>
    <w:p w14:paraId="3E3F7E7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（5）中标后分包</w:t>
      </w:r>
    </w:p>
    <w:p w14:paraId="117B0CF1">
      <w:pPr>
        <w:spacing w:before="120" w:line="320" w:lineRule="atLeast"/>
        <w:ind w:firstLine="420" w:firstLineChars="200"/>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允许大中型企业向一家或者多家小微企业分包的采购项目，对于分包意向协议约定小微企业的合同份额占到合同总金额 30%以上的，评标时对大中型企业供应商的报价给予4%的扣除，用扣除后的价格参加评审。接受分包的小微企业与分包企业之间不得存在直接控股、管理关系，否则价格不予扣除。</w:t>
      </w:r>
      <w:bookmarkEnd w:id="92"/>
      <w:bookmarkEnd w:id="93"/>
    </w:p>
    <w:p w14:paraId="05C3429B">
      <w:pPr>
        <w:pStyle w:val="30"/>
        <w:ind w:firstLine="420" w:firstLineChars="200"/>
        <w:rPr>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（6）本国产品的价格扣除计算：供应商投标</w:t>
      </w:r>
      <w:r>
        <w:rPr>
          <w:rFonts w:ascii="Arial" w:hAnsi="Arial" w:cs="Arial"/>
          <w:color w:val="000000" w:themeColor="text1"/>
          <w14:textFill>
            <w14:solidFill>
              <w14:schemeClr w14:val="tx1"/>
            </w14:solidFill>
          </w14:textFill>
        </w:rPr>
        <w:t>报价将按相应比例进行扣除，用扣除后的价格参与评审（计算价格分）</w:t>
      </w:r>
      <w:r>
        <w:rPr>
          <w:rFonts w:hint="eastAsia" w:ascii="Arial" w:hAnsi="Arial" w:cs="Arial"/>
          <w:color w:val="000000" w:themeColor="text1"/>
          <w14:textFill>
            <w14:solidFill>
              <w14:schemeClr w14:val="tx1"/>
            </w14:solidFill>
          </w14:textFill>
        </w:rPr>
        <w:t>，价格扣除比例分别如下：</w:t>
      </w:r>
    </w:p>
    <w:tbl>
      <w:tblPr>
        <w:tblStyle w:val="55"/>
        <w:tblW w:w="893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4693"/>
        <w:gridCol w:w="1909"/>
      </w:tblGrid>
      <w:tr w14:paraId="1CD0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8" w:type="dxa"/>
            <w:shd w:val="clear" w:color="auto" w:fill="auto"/>
          </w:tcPr>
          <w:p w14:paraId="2CACDF85">
            <w:pPr>
              <w:rPr>
                <w:color w:val="000000" w:themeColor="text1"/>
                <w14:textFill>
                  <w14:solidFill>
                    <w14:schemeClr w14:val="tx1"/>
                  </w14:solidFill>
                </w14:textFill>
              </w:rPr>
            </w:pPr>
            <w:r>
              <w:rPr>
                <w:rFonts w:hint="eastAsia"/>
                <w:color w:val="000000" w:themeColor="text1"/>
                <w14:textFill>
                  <w14:solidFill>
                    <w14:schemeClr w14:val="tx1"/>
                  </w14:solidFill>
                </w14:textFill>
              </w:rPr>
              <w:t>采购项目或者采购包中为单一产品</w:t>
            </w:r>
          </w:p>
        </w:tc>
        <w:tc>
          <w:tcPr>
            <w:tcW w:w="4693" w:type="dxa"/>
            <w:shd w:val="clear" w:color="auto" w:fill="auto"/>
          </w:tcPr>
          <w:p w14:paraId="3194B49B">
            <w:pPr>
              <w:rPr>
                <w:color w:val="000000" w:themeColor="text1"/>
                <w14:textFill>
                  <w14:solidFill>
                    <w14:schemeClr w14:val="tx1"/>
                  </w14:solidFill>
                </w14:textFill>
              </w:rPr>
            </w:pPr>
            <w:r>
              <w:rPr>
                <w:rFonts w:hint="eastAsia"/>
                <w:color w:val="000000" w:themeColor="text1"/>
                <w14:textFill>
                  <w14:solidFill>
                    <w14:schemeClr w14:val="tx1"/>
                  </w14:solidFill>
                </w14:textFill>
              </w:rPr>
              <w:t>若本项目既有本国产品又有非本国产品参与竞争的，供应商所提供符合本国产品标准的产品</w:t>
            </w:r>
          </w:p>
        </w:tc>
        <w:tc>
          <w:tcPr>
            <w:tcW w:w="1909" w:type="dxa"/>
            <w:vMerge w:val="restart"/>
            <w:shd w:val="clear" w:color="auto" w:fill="auto"/>
          </w:tcPr>
          <w:p w14:paraId="2C7D07A4">
            <w:pPr>
              <w:rPr>
                <w:color w:val="000000" w:themeColor="text1"/>
                <w14:textFill>
                  <w14:solidFill>
                    <w14:schemeClr w14:val="tx1"/>
                  </w14:solidFill>
                </w14:textFill>
              </w:rPr>
            </w:pPr>
            <w:r>
              <w:rPr>
                <w:rFonts w:hint="eastAsia"/>
                <w:color w:val="000000" w:themeColor="text1"/>
                <w14:textFill>
                  <w14:solidFill>
                    <w14:schemeClr w14:val="tx1"/>
                  </w14:solidFill>
                </w14:textFill>
              </w:rPr>
              <w:t>价格扣除全部产品报价的20%</w:t>
            </w:r>
          </w:p>
        </w:tc>
      </w:tr>
      <w:tr w14:paraId="05AD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8" w:type="dxa"/>
            <w:shd w:val="clear" w:color="auto" w:fill="auto"/>
          </w:tcPr>
          <w:p w14:paraId="0218A3BF">
            <w:pPr>
              <w:rPr>
                <w:color w:val="000000" w:themeColor="text1"/>
                <w14:textFill>
                  <w14:solidFill>
                    <w14:schemeClr w14:val="tx1"/>
                  </w14:solidFill>
                </w14:textFill>
              </w:rPr>
            </w:pPr>
            <w:r>
              <w:rPr>
                <w:rFonts w:hint="eastAsia"/>
                <w:color w:val="000000" w:themeColor="text1"/>
                <w14:textFill>
                  <w14:solidFill>
                    <w14:schemeClr w14:val="tx1"/>
                  </w14:solidFill>
                </w14:textFill>
              </w:rPr>
              <w:t>采购项目或者采购包中含有多种产品</w:t>
            </w:r>
          </w:p>
        </w:tc>
        <w:tc>
          <w:tcPr>
            <w:tcW w:w="4693" w:type="dxa"/>
            <w:shd w:val="clear" w:color="auto" w:fill="auto"/>
          </w:tcPr>
          <w:p w14:paraId="16E86C83">
            <w:pPr>
              <w:rPr>
                <w:color w:val="000000" w:themeColor="text1"/>
                <w14:textFill>
                  <w14:solidFill>
                    <w14:schemeClr w14:val="tx1"/>
                  </w14:solidFill>
                </w14:textFill>
              </w:rPr>
            </w:pPr>
            <w:r>
              <w:rPr>
                <w:rFonts w:hint="eastAsia"/>
                <w:color w:val="000000" w:themeColor="text1"/>
                <w:highlight w:val="none"/>
                <w14:textFill>
                  <w14:solidFill>
                    <w14:schemeClr w14:val="tx1"/>
                  </w14:solidFill>
                </w14:textFill>
              </w:rPr>
              <w:t>若</w:t>
            </w:r>
            <w:r>
              <w:rPr>
                <w:rFonts w:hint="eastAsia"/>
                <w:color w:val="000000" w:themeColor="text1"/>
                <w:highlight w:val="none"/>
                <w:lang w:val="en-US" w:eastAsia="zh-CN"/>
                <w14:textFill>
                  <w14:solidFill>
                    <w14:schemeClr w14:val="tx1"/>
                  </w14:solidFill>
                </w14:textFill>
              </w:rPr>
              <w:t>本项目</w:t>
            </w:r>
            <w:r>
              <w:rPr>
                <w:rFonts w:hint="eastAsia"/>
                <w:color w:val="000000" w:themeColor="text1"/>
                <w:highlight w:val="none"/>
                <w14:textFill>
                  <w14:solidFill>
                    <w14:schemeClr w14:val="tx1"/>
                  </w14:solidFill>
                </w14:textFill>
              </w:rPr>
              <w:t>既有本国产品又有非本国产品参与竞争的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color w:val="000000" w:themeColor="text1"/>
                <w:highlight w:val="none"/>
                <w:lang w:val="en-US" w:eastAsia="zh-CN"/>
                <w14:textFill>
                  <w14:solidFill>
                    <w14:schemeClr w14:val="tx1"/>
                  </w14:solidFill>
                </w14:textFill>
              </w:rPr>
              <w:t>提供符合</w:t>
            </w:r>
            <w:r>
              <w:rPr>
                <w:rFonts w:hint="eastAsia"/>
                <w:color w:val="000000" w:themeColor="text1"/>
                <w:highlight w:val="none"/>
                <w14:textFill>
                  <w14:solidFill>
                    <w14:schemeClr w14:val="tx1"/>
                  </w14:solidFill>
                </w14:textFill>
              </w:rPr>
              <w:t>本国产品标准的产品成本之和占该供应商提供的全部产品成本之和的比例达到80%以上时</w:t>
            </w:r>
            <w:r>
              <w:rPr>
                <w:rFonts w:hint="eastAsia"/>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供应商须在投标文件提交《关于符合本国产品标准的成本占比承诺函》。如供应商所有产品均为本国产品且填写《关于符合本国产品标准的声明函》的，无须填写《关于符合本国产品标准的成本占比承诺函》。</w:t>
            </w:r>
          </w:p>
        </w:tc>
        <w:tc>
          <w:tcPr>
            <w:tcW w:w="1909" w:type="dxa"/>
            <w:vMerge w:val="continue"/>
            <w:shd w:val="clear" w:color="auto" w:fill="auto"/>
          </w:tcPr>
          <w:p w14:paraId="39B24215">
            <w:pPr>
              <w:ind w:firstLine="420" w:firstLineChars="200"/>
              <w:rPr>
                <w:color w:val="000000" w:themeColor="text1"/>
                <w14:textFill>
                  <w14:solidFill>
                    <w14:schemeClr w14:val="tx1"/>
                  </w14:solidFill>
                </w14:textFill>
              </w:rPr>
            </w:pPr>
          </w:p>
        </w:tc>
      </w:tr>
      <w:tr w14:paraId="5386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tcPr>
          <w:p w14:paraId="7330D69E">
            <w:pPr>
              <w:rPr>
                <w:color w:val="000000" w:themeColor="text1"/>
                <w14:textFill>
                  <w14:solidFill>
                    <w14:schemeClr w14:val="tx1"/>
                  </w14:solidFill>
                </w14:textFill>
              </w:rPr>
            </w:pPr>
            <w:r>
              <w:rPr>
                <w:rFonts w:hint="eastAsia"/>
                <w:color w:val="000000" w:themeColor="text1"/>
                <w:highlight w:val="none"/>
                <w14:textFill>
                  <w14:solidFill>
                    <w14:schemeClr w14:val="tx1"/>
                  </w14:solidFill>
                </w14:textFill>
              </w:rPr>
              <w:t>注：未提供《关于符合本国产品标准的声明函》</w:t>
            </w:r>
            <w:r>
              <w:rPr>
                <w:rFonts w:hint="eastAsia"/>
                <w:color w:val="000000" w:themeColor="text1"/>
                <w:highlight w:val="none"/>
                <w:lang w:eastAsia="zh-CN"/>
                <w14:textFill>
                  <w14:solidFill>
                    <w14:schemeClr w14:val="tx1"/>
                  </w14:solidFill>
                </w14:textFill>
              </w:rPr>
              <w:t>、</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关于符合本国产品标准的成本占比承诺函》（如适用）</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不符合条件的，不享受价格扣除优惠。</w:t>
            </w:r>
          </w:p>
        </w:tc>
      </w:tr>
    </w:tbl>
    <w:p w14:paraId="29865789">
      <w:pPr>
        <w:spacing w:before="120" w:line="320" w:lineRule="atLeast"/>
        <w:ind w:firstLine="420" w:firstLineChars="200"/>
        <w:rPr>
          <w:rFonts w:ascii="Arial" w:hAnsi="Arial" w:cs="Arial"/>
          <w:color w:val="000000" w:themeColor="text1"/>
          <w:szCs w:val="21"/>
          <w14:textFill>
            <w14:solidFill>
              <w14:schemeClr w14:val="tx1"/>
            </w14:solidFill>
          </w14:textFill>
        </w:rPr>
      </w:pPr>
    </w:p>
    <w:p w14:paraId="20B79AD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（6）评标报价计算</w:t>
      </w:r>
    </w:p>
    <w:p w14:paraId="1D79040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a.供应商若符合中小企业支持政策的要求，计算公式具体为：评标报价＝投标总报价－（投标总报价*小微企业价格扣除比例）</w:t>
      </w:r>
    </w:p>
    <w:p w14:paraId="01DB7F1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b.供应商若符合本国产品支持政策的要求，计算公式具体为：评标报价＝投标总报价－（全部产品报价*20%）</w:t>
      </w:r>
    </w:p>
    <w:p w14:paraId="50ED868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c.供应商若同时符合中小企业、本国产品扶持政策的要求，计算公式具体为：评标报价＝投标总报价－（投标总报价*小微企业价格扣除比例）－（全部产品报价*20%）</w:t>
      </w:r>
    </w:p>
    <w:p w14:paraId="17C083DD">
      <w:pPr>
        <w:pStyle w:val="21"/>
        <w:ind w:firstLine="420" w:firstLineChars="200"/>
        <w:rPr>
          <w:rFonts w:ascii="Arial" w:hAnsi="Arial" w:cs="Arial"/>
          <w:color w:val="000000" w:themeColor="text1"/>
          <w:szCs w:val="2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备注：全部产品是指货物或服务采购项目或采购包中包含的全部货物、服务产品。</w:t>
      </w:r>
    </w:p>
    <w:p w14:paraId="41B04B71">
      <w:pPr>
        <w:spacing w:before="120" w:line="320" w:lineRule="atLeast"/>
        <w:ind w:firstLine="420" w:firstLineChars="200"/>
        <w:rPr>
          <w:rFonts w:ascii="Arial" w:hAnsi="Arial" w:cs="Arial"/>
          <w:bCs/>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w:t>
      </w:r>
      <w:r>
        <w:rPr>
          <w:rFonts w:ascii="Arial" w:hAnsi="Arial" w:cs="Arial"/>
          <w:b/>
          <w:bCs/>
          <w:color w:val="000000" w:themeColor="text1"/>
          <w:kern w:val="0"/>
          <w:szCs w:val="21"/>
          <w14:textFill>
            <w14:solidFill>
              <w14:schemeClr w14:val="tx1"/>
            </w14:solidFill>
          </w14:textFill>
        </w:rPr>
        <w:t>符合政府采购政策的相关条件</w:t>
      </w:r>
    </w:p>
    <w:p w14:paraId="52C3372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（1）小型、微型企业</w:t>
      </w:r>
    </w:p>
    <w:p w14:paraId="06C8F364">
      <w:pPr>
        <w:spacing w:before="120" w:line="320" w:lineRule="atLeast"/>
        <w:ind w:firstLine="420" w:firstLineChars="200"/>
        <w:rPr>
          <w:rFonts w:ascii="Arial" w:hAnsi="Arial" w:cs="Arial"/>
          <w:color w:val="000000" w:themeColor="text1"/>
          <w:szCs w:val="21"/>
          <w14:textFill>
            <w14:solidFill>
              <w14:schemeClr w14:val="tx1"/>
            </w14:solidFill>
          </w14:textFill>
        </w:rPr>
      </w:pPr>
      <w:bookmarkStart w:id="94" w:name="_Hlk60651069"/>
      <w:r>
        <w:rPr>
          <w:rFonts w:ascii="Arial" w:hAnsi="Arial" w:cs="Arial"/>
          <w:color w:val="000000" w:themeColor="text1"/>
          <w:szCs w:val="21"/>
          <w14:textFill>
            <w14:solidFill>
              <w14:schemeClr w14:val="tx1"/>
            </w14:solidFill>
          </w14:textFill>
        </w:rPr>
        <w:t>依照关于印发《政府采购促进中小企业发展管理办法》的通知（财库〔2020〕46号）之规定， 供应商提供的货物、工程或者服务符合下列情形的，享受本办法规定的中小企业扶持政策：</w:t>
      </w:r>
    </w:p>
    <w:p w14:paraId="4044ACDE">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在货物采购项目中，货物由中小企业制造，即货物由中小企业生产且使用该中小企业商号或者注册商标；（供应商提供的货物既有中小企业制造货物，也有大型企业制造货物的，不享受本办法规定的中小企业扶持政策。）</w:t>
      </w:r>
    </w:p>
    <w:p w14:paraId="13098E8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供应商根据中小企业划分标准（《关于印发中小企业划型标准规定的通知》（工信部联企业〔2011〕300号）判断是否为中小企业，符合中小企业划分标准的个体工商户，视同中小企业。以联合体形式参加政府采购活动，联合体各方均为中小企业的，联合体视同中小企业。其中，联合体各方均为小微企业的，联合体视同小微企业。</w:t>
      </w:r>
    </w:p>
    <w:bookmarkEnd w:id="94"/>
    <w:p w14:paraId="60B0B5A9">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供应商声明为中小企业的，应按招标文件规定在投标文件中提供声明函。</w:t>
      </w:r>
    </w:p>
    <w:p w14:paraId="06C2CE6B">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（2）监狱企业</w:t>
      </w:r>
    </w:p>
    <w:p w14:paraId="09E660A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依照《财政部 司法部关于政府采购支持监狱企业发展有关问题的通知》（财库〔2014〕68号）之规定，监狱企业应当符合以下条件：</w:t>
      </w:r>
    </w:p>
    <w:p w14:paraId="6A8D05B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①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1180E47">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②监狱企业参加政府采购活动时，应当提供由省级以上监狱管理局、戒毒管理局（含新疆生产建设兵团）或财政部门出具的属于监狱企业的证明文件，视同小型、微型企业。</w:t>
      </w:r>
    </w:p>
    <w:p w14:paraId="38608F6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w:t>
      </w:r>
      <w:r>
        <w:rPr>
          <w:rFonts w:ascii="Arial" w:hAnsi="Arial" w:cs="Arial"/>
          <w:bCs/>
          <w:color w:val="000000" w:themeColor="text1"/>
          <w:szCs w:val="21"/>
          <w14:textFill>
            <w14:solidFill>
              <w14:schemeClr w14:val="tx1"/>
            </w14:solidFill>
          </w14:textFill>
        </w:rPr>
        <w:t>供应商声明为监狱企业的，应按招标文件规定在投标文件中提供相关证明文件。</w:t>
      </w:r>
    </w:p>
    <w:p w14:paraId="7BD100B2">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（3）残疾人福利性单位</w:t>
      </w:r>
    </w:p>
    <w:p w14:paraId="3FB0D1FD">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依照财政部、民政部、中国残疾人联合会三部门发布的《关于促进残疾人就业政府采购政策的通知》（财库〔2017〕141号）之规定，享受政府采购支持政策的残疾人福利性单位应当符合同时满足以下条件：</w:t>
      </w:r>
    </w:p>
    <w:p w14:paraId="2CA81F53">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①安置的残疾人占本单位在职职工人数的比例不低于25%（含25%），并且安置的残疾人人数不少于10人（含10人）；</w:t>
      </w:r>
    </w:p>
    <w:p w14:paraId="5006083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②依法与安置的每位残疾人签订了一年以上（含一年）的劳动合同或服务协议；</w:t>
      </w:r>
    </w:p>
    <w:p w14:paraId="3B248B84">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③为安置的每位残疾人按月足额缴纳了基本养老保险、基本医疗保险、失业保险、工伤保险和生育保险等社会保险费；</w:t>
      </w:r>
    </w:p>
    <w:p w14:paraId="766A7076">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④通过银行等金融机构向安置的每位残疾人，按月支付了不低于单位所在区县适用的经省级人民政府批准的月最低工资标准的工资；</w:t>
      </w:r>
    </w:p>
    <w:p w14:paraId="58B2778A">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⑤提供本单位制造的货物、承担的工程或者服务（以下简称产品），或者提供其他残疾人福利性单位制造的货物（不包括使用非残疾人福利性单位注册商标的货物）。</w:t>
      </w:r>
    </w:p>
    <w:p w14:paraId="429346AF">
      <w:pPr>
        <w:spacing w:before="120" w:line="320" w:lineRule="atLeas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172B3DC">
      <w:pPr>
        <w:spacing w:before="120" w:line="320" w:lineRule="atLeast"/>
        <w:ind w:firstLine="420" w:firstLineChars="200"/>
        <w:rPr>
          <w:rFonts w:ascii="Arial" w:hAnsi="Arial" w:cs="Arial"/>
          <w:bCs/>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注：符合条件的残疾人福利性单位在参加政府采购活动时，应当提供《残疾人福利性单位声明函》（格式见第六章），并对声明的真实性负责。</w:t>
      </w:r>
    </w:p>
    <w:p w14:paraId="0932CBFF">
      <w:pPr>
        <w:ind w:firstLine="420" w:firstLineChars="200"/>
        <w:rPr>
          <w:rFonts w:ascii="Arial" w:hAnsi="Arial" w:cs="Arial"/>
          <w:b/>
          <w:bCs/>
          <w:color w:val="000000" w:themeColor="text1"/>
          <w:szCs w:val="21"/>
          <w:u w:val="single"/>
          <w14:textFill>
            <w14:solidFill>
              <w14:schemeClr w14:val="tx1"/>
            </w14:solidFill>
          </w14:textFill>
        </w:rPr>
      </w:pPr>
      <w:r>
        <w:rPr>
          <w:rFonts w:hint="eastAsia" w:ascii="Arial" w:hAnsi="Arial" w:cs="Arial"/>
          <w:color w:val="000000" w:themeColor="text1"/>
          <w:szCs w:val="21"/>
          <w14:textFill>
            <w14:solidFill>
              <w14:schemeClr w14:val="tx1"/>
            </w14:solidFill>
          </w14:textFill>
        </w:rPr>
        <w:t>（4）</w:t>
      </w:r>
      <w:r>
        <w:rPr>
          <w:rFonts w:hint="eastAsia" w:ascii="Arial" w:hAnsi="Arial" w:cs="Arial"/>
          <w:b/>
          <w:bCs/>
          <w:color w:val="000000" w:themeColor="text1"/>
          <w:szCs w:val="21"/>
          <w:u w:val="single"/>
          <w14:textFill>
            <w14:solidFill>
              <w14:schemeClr w14:val="tx1"/>
            </w14:solidFill>
          </w14:textFill>
        </w:rPr>
        <w:t>对本国产品的支持政策</w:t>
      </w:r>
    </w:p>
    <w:p w14:paraId="7AD95A08">
      <w:pPr>
        <w:spacing w:before="120" w:line="360" w:lineRule="auto"/>
        <w:ind w:left="819" w:leftChars="190" w:hanging="420" w:hanging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（4.1）</w:t>
      </w:r>
      <w:r>
        <w:rPr>
          <w:rFonts w:hint="default"/>
          <w:color w:val="000000" w:themeColor="text1"/>
          <w:szCs w:val="21"/>
          <w:highlight w:val="none"/>
          <w:lang w:val="en-US" w:eastAsia="zh-CN"/>
          <w14:textFill>
            <w14:solidFill>
              <w14:schemeClr w14:val="tx1"/>
            </w14:solidFill>
          </w14:textFill>
        </w:rPr>
        <w:t>本国产品标准</w:t>
      </w:r>
    </w:p>
    <w:p w14:paraId="31880D90">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“本国产品标准的产品”是指：符合《国务院办公厅关于在政府采购中实施本国产品标准及相关政策的通知》（国办发〔2025〕34号）规定的本国产品标准的产品。</w:t>
      </w:r>
    </w:p>
    <w:p w14:paraId="140E206A">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本国产品标准的产品应当符合以下条件：</w:t>
      </w:r>
    </w:p>
    <w:p w14:paraId="79E2DCF0">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r>
        <w:rPr>
          <w:rFonts w:hint="default"/>
          <w:color w:val="000000" w:themeColor="text1"/>
          <w:szCs w:val="21"/>
          <w:highlight w:val="none"/>
          <w:lang w:val="en-US" w:eastAsia="zh-CN"/>
          <w14:textFill>
            <w14:solidFill>
              <w14:schemeClr w14:val="tx1"/>
            </w14:solidFill>
          </w14:textFill>
        </w:rPr>
        <w:t>在中国境内生产</w:t>
      </w:r>
      <w:r>
        <w:rPr>
          <w:rFonts w:hint="eastAsia"/>
          <w:color w:val="000000" w:themeColor="text1"/>
          <w:szCs w:val="21"/>
          <w:highlight w:val="none"/>
          <w:lang w:val="en-US" w:eastAsia="zh-CN"/>
          <w14:textFill>
            <w14:solidFill>
              <w14:schemeClr w14:val="tx1"/>
            </w14:solidFill>
          </w14:textFill>
        </w:rPr>
        <w:t>。</w:t>
      </w:r>
      <w:r>
        <w:rPr>
          <w:rFonts w:hint="default"/>
          <w:color w:val="000000" w:themeColor="text1"/>
          <w:szCs w:val="21"/>
          <w:highlight w:val="none"/>
          <w:lang w:val="en-US" w:eastAsia="zh-CN"/>
          <w14:textFill>
            <w14:solidFill>
              <w14:schemeClr w14:val="tx1"/>
            </w14:solidFill>
          </w14:textFill>
        </w:rPr>
        <w:t>产品应当在中国境内生产，即在中华人民共和国关境内</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（含保税区、综合保税区等海关特殊监管区域）</w:t>
      </w:r>
      <w:r>
        <w:rPr>
          <w:rFonts w:hint="default"/>
          <w:color w:val="000000" w:themeColor="text1"/>
          <w:szCs w:val="21"/>
          <w:highlight w:val="none"/>
          <w:lang w:val="en-US" w:eastAsia="zh-CN"/>
          <w14:textFill>
            <w14:solidFill>
              <w14:schemeClr w14:val="tx1"/>
            </w14:solidFill>
          </w14:textFill>
        </w:rPr>
        <w:t>实现从原材料、组件到产品的属性改变；属性改变是指经过制造、加工或者组装等工序，产生完全不同于原材料、组件的新产品，并具有新的名称和特征（用途），属性改变不包括以下细微操作：</w:t>
      </w:r>
    </w:p>
    <w:p w14:paraId="1508D646">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①为确保产品在运输或者储存期间保持某种状态而进行的操作；</w:t>
      </w:r>
    </w:p>
    <w:p w14:paraId="267DA321">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②为产品运输或者销售进行的包装或者展示；</w:t>
      </w:r>
    </w:p>
    <w:p w14:paraId="5E66D65D">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③在产品或者其包装上粘贴或者印刷品牌、标志、标识以及其他用于区别的标记；</w:t>
      </w:r>
    </w:p>
    <w:p w14:paraId="21704C69">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④简单的上漆、磨光和分装；</w:t>
      </w:r>
    </w:p>
    <w:p w14:paraId="3208A437">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⑤其他不属于属性改变的情形；</w:t>
      </w:r>
    </w:p>
    <w:p w14:paraId="57BA9599">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（2）</w:t>
      </w:r>
      <w:r>
        <w:rPr>
          <w:rFonts w:hint="default"/>
          <w:color w:val="000000" w:themeColor="text1"/>
          <w:szCs w:val="21"/>
          <w:highlight w:val="none"/>
          <w:lang w:val="en-US" w:eastAsia="zh-CN"/>
          <w14:textFill>
            <w14:solidFill>
              <w14:schemeClr w14:val="tx1"/>
            </w14:solidFill>
          </w14:textFill>
        </w:rPr>
        <w:t>中国境内生产的组件成本占比达到规定比例</w:t>
      </w:r>
      <w:r>
        <w:rPr>
          <w:rFonts w:hint="eastAsia"/>
          <w:color w:val="000000" w:themeColor="text1"/>
          <w:szCs w:val="21"/>
          <w:highlight w:val="none"/>
          <w:lang w:val="en-US" w:eastAsia="zh-CN"/>
          <w14:textFill>
            <w14:solidFill>
              <w14:schemeClr w14:val="tx1"/>
            </w14:solidFill>
          </w14:textFill>
        </w:rPr>
        <w:t>。</w:t>
      </w:r>
    </w:p>
    <w:p w14:paraId="49B89FB3">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①产品在中国境内生产的组件成本占比应当达到规定比例，计算公式为：产品在中国境内生产的组件成本/产品总成本≥规定比例；</w:t>
      </w:r>
    </w:p>
    <w:p w14:paraId="75CCC305">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②产品在中国境内生产的组件成本，按照《中国境内生产的组件成本核算基本规则》计算；</w:t>
      </w:r>
    </w:p>
    <w:p w14:paraId="1556E322">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③中国境内生产的组件成本占比相关要求实施前，符合第（1）项条件的产品在政府采购活动中视同本国产品。</w:t>
      </w:r>
    </w:p>
    <w:p w14:paraId="6CD73FF0">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（3）</w:t>
      </w:r>
      <w:r>
        <w:rPr>
          <w:rFonts w:hint="default"/>
          <w:color w:val="000000" w:themeColor="text1"/>
          <w:szCs w:val="21"/>
          <w:highlight w:val="none"/>
          <w:lang w:val="en-US" w:eastAsia="zh-CN"/>
          <w14:textFill>
            <w14:solidFill>
              <w14:schemeClr w14:val="tx1"/>
            </w14:solidFill>
          </w14:textFill>
        </w:rPr>
        <w:t>特定产品的关键组件和工序在中国境内完成。</w:t>
      </w:r>
    </w:p>
    <w:p w14:paraId="52711DB5">
      <w:pPr>
        <w:spacing w:line="276"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①对特定产品，在符合第（1）项和第（2）项条件的基础上，应当符合财政部会同有关行业主管部门确定的其关键组件、关键工序在中国境内生产、完成等要求；</w:t>
      </w:r>
    </w:p>
    <w:p w14:paraId="6CB32CDB">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②特定产品的关键组件、关键工序符合相关要求实施前，符合第（1）项和第（2）项条件的产品在政府采购活动中视同本国产品。</w:t>
      </w:r>
    </w:p>
    <w:p w14:paraId="458F10E3">
      <w:pPr>
        <w:spacing w:before="120" w:line="360" w:lineRule="auto"/>
        <w:ind w:left="819" w:leftChars="190" w:hanging="420" w:hanging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（4.2）本国产品标准的适用范围</w:t>
      </w:r>
    </w:p>
    <w:p w14:paraId="2C4CDEC3">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7B44B2">
      <w:pPr>
        <w:spacing w:line="276" w:lineRule="auto"/>
        <w:ind w:firstLine="422" w:firstLineChars="200"/>
        <w:rPr>
          <w:rFonts w:hint="default"/>
          <w:color w:val="000000" w:themeColor="text1"/>
          <w:szCs w:val="21"/>
          <w:highlight w:val="none"/>
          <w:lang w:val="en-US" w:eastAsia="zh-CN"/>
          <w14:textFill>
            <w14:solidFill>
              <w14:schemeClr w14:val="tx1"/>
            </w14:solidFill>
          </w14:textFill>
        </w:rPr>
      </w:pPr>
      <w:r>
        <w:rPr>
          <w:rFonts w:hint="eastAsia"/>
          <w:b/>
          <w:bCs/>
          <w:color w:val="000000" w:themeColor="text1"/>
          <w:szCs w:val="21"/>
          <w:highlight w:val="none"/>
          <w:lang w:val="en-US" w:eastAsia="zh-CN"/>
          <w14:textFill>
            <w14:solidFill>
              <w14:schemeClr w14:val="tx1"/>
            </w14:solidFill>
          </w14:textFill>
        </w:rPr>
        <w:t>本项目是否适用对本国产品的支持政策详见投标人须知前附表。</w:t>
      </w:r>
    </w:p>
    <w:p w14:paraId="5AEFB6E9">
      <w:pPr>
        <w:spacing w:line="276" w:lineRule="auto"/>
        <w:ind w:firstLine="420" w:firstLineChars="200"/>
        <w:rPr>
          <w:rFonts w:hint="default"/>
          <w:color w:val="000000" w:themeColor="text1"/>
          <w:szCs w:val="21"/>
          <w:highlight w:val="none"/>
          <w:lang w:val="en-US" w:eastAsia="zh-CN"/>
          <w14:textFill>
            <w14:solidFill>
              <w14:schemeClr w14:val="tx1"/>
            </w14:solidFill>
          </w14:textFill>
        </w:rPr>
      </w:pPr>
      <w:r>
        <w:rPr>
          <w:rFonts w:hint="default"/>
          <w:color w:val="000000" w:themeColor="text1"/>
          <w:szCs w:val="21"/>
          <w:highlight w:val="none"/>
          <w:lang w:val="en-US" w:eastAsia="zh-CN"/>
          <w14:textFill>
            <w14:solidFill>
              <w14:schemeClr w14:val="tx1"/>
            </w14:solidFill>
          </w14:textFill>
        </w:rPr>
        <w:t>中华人民共和国缔结或者共同参加的国际条约、协定对政府采购中本国产品政策另有规定的，按照有关条约、协定执行。</w:t>
      </w:r>
    </w:p>
    <w:p w14:paraId="0985FC37">
      <w:pPr>
        <w:spacing w:before="120" w:line="320" w:lineRule="atLeast"/>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（4.3）价格评审优惠</w:t>
      </w:r>
    </w:p>
    <w:p w14:paraId="58974A0C">
      <w:pPr>
        <w:spacing w:before="120" w:line="320" w:lineRule="atLeast"/>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既有本国产品又有非本国产品参与竞争的，依法对本国产品给予价格评审优惠，对本国产品的报价给予20%的价格扣除，用扣除后的价格参与评审。</w:t>
      </w:r>
    </w:p>
    <w:p w14:paraId="0138916A">
      <w:pPr>
        <w:spacing w:before="120" w:line="320" w:lineRule="atLeast"/>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0274342">
      <w:pPr>
        <w:spacing w:before="120" w:line="320" w:lineRule="atLeast"/>
        <w:ind w:firstLine="420" w:firstLineChars="200"/>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14:textFill>
            <w14:solidFill>
              <w14:schemeClr w14:val="tx1"/>
            </w14:solidFill>
          </w14:textFill>
        </w:rPr>
        <w:t>价格扣除比例在第四章评审方法及标准中规定</w:t>
      </w:r>
      <w:r>
        <w:rPr>
          <w:rFonts w:hint="eastAsia"/>
          <w:color w:val="000000" w:themeColor="text1"/>
          <w:szCs w:val="21"/>
          <w:highlight w:val="none"/>
          <w:lang w:eastAsia="zh-CN"/>
          <w14:textFill>
            <w14:solidFill>
              <w14:schemeClr w14:val="tx1"/>
            </w14:solidFill>
          </w14:textFill>
        </w:rPr>
        <w:t>。</w:t>
      </w:r>
    </w:p>
    <w:p w14:paraId="37FA73BC">
      <w:p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（4.4）政策执行要求</w:t>
      </w:r>
    </w:p>
    <w:p w14:paraId="51299DA6">
      <w:p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（4.4.1）产品在中国境内生产的组件成本核算规则：产品在中国境内生产的组件成本，按照《中国境内生产的组件成本核算基本规则》计算。</w:t>
      </w:r>
    </w:p>
    <w:p w14:paraId="7C40E5CA">
      <w:pPr>
        <w:spacing w:before="120" w:line="360" w:lineRule="auto"/>
        <w:ind w:firstLine="2520" w:firstLineChars="1200"/>
        <w:rPr>
          <w:rFonts w:hint="eastAsia"/>
          <w:color w:val="000000" w:themeColor="text1"/>
          <w:szCs w:val="21"/>
          <w:highlight w:val="none"/>
          <w:lang w:eastAsia="zh-CN"/>
          <w14:textFill>
            <w14:solidFill>
              <w14:schemeClr w14:val="tx1"/>
            </w14:solidFill>
          </w14:textFill>
        </w:rPr>
      </w:pPr>
      <w:r>
        <w:rPr>
          <w:rFonts w:hint="eastAsia" w:eastAsia="宋体"/>
          <w:color w:val="000000" w:themeColor="text1"/>
          <w:szCs w:val="21"/>
          <w:highlight w:val="none"/>
          <w:lang w:eastAsia="zh-CN"/>
          <w14:textFill>
            <w14:solidFill>
              <w14:schemeClr w14:val="tx1"/>
            </w14:solidFill>
          </w14:textFill>
        </w:rPr>
        <w:t>《中国境内生产的组件成本核算基本规则》</w:t>
      </w:r>
    </w:p>
    <w:p w14:paraId="6B28EBF4">
      <w:p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10F5349">
      <w:pPr>
        <w:numPr>
          <w:ilvl w:val="0"/>
          <w:numId w:val="0"/>
        </w:num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14:textFill>
            <w14:solidFill>
              <w14:schemeClr w14:val="tx1"/>
            </w14:solidFill>
          </w14:textFill>
        </w:rPr>
        <w:t>产品的一级组件是指直接组成产品的组件。产品的二级组件是指直接组成产品一级组件的组件。一级组件不可分解的，视同二级组件。</w:t>
      </w:r>
    </w:p>
    <w:p w14:paraId="2454E3B2">
      <w:pPr>
        <w:numPr>
          <w:ilvl w:val="0"/>
          <w:numId w:val="0"/>
        </w:num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ascii="Times New Roman" w:eastAsia="宋体"/>
          <w:color w:val="000000" w:themeColor="text1"/>
          <w:szCs w:val="21"/>
          <w:highlight w:val="none"/>
          <w:lang w:val="en-US" w:eastAsia="zh-CN"/>
          <w14:textFill>
            <w14:solidFill>
              <w14:schemeClr w14:val="tx1"/>
            </w14:solidFill>
          </w14:textFill>
        </w:rPr>
        <w:t>2.</w:t>
      </w:r>
      <w:r>
        <w:rPr>
          <w:rFonts w:hint="eastAsia"/>
          <w:color w:val="000000" w:themeColor="text1"/>
          <w:szCs w:val="21"/>
          <w:highlight w:val="none"/>
          <w14:textFill>
            <w14:solidFill>
              <w14:schemeClr w14:val="tx1"/>
            </w14:solidFill>
          </w14:textFill>
        </w:rPr>
        <w:t>二级组件在中国境内生产的，其全部成本计入中国境内生产的组件成本；二级组件不在中国境内生产的，其成本不计入中国境内生产的组件成本。</w:t>
      </w:r>
    </w:p>
    <w:p w14:paraId="1CC3EDE2">
      <w:pPr>
        <w:spacing w:before="120" w:line="240" w:lineRule="auto"/>
        <w:ind w:firstLine="420" w:firstLineChars="200"/>
        <w:rPr>
          <w:rFonts w:hint="eastAsia"/>
          <w:color w:val="000000" w:themeColor="text1"/>
          <w:szCs w:val="21"/>
          <w:highlight w:val="none"/>
          <w14:textFill>
            <w14:solidFill>
              <w14:schemeClr w14:val="tx1"/>
            </w14:solidFill>
          </w14:textFill>
        </w:rPr>
      </w:pPr>
      <w:r>
        <w:rPr>
          <w:rFonts w:hint="eastAsia" w:ascii="Times New Roman" w:eastAsia="宋体"/>
          <w:color w:val="000000" w:themeColor="text1"/>
          <w:szCs w:val="21"/>
          <w:highlight w:val="none"/>
          <w:lang w:val="en-US" w:eastAsia="zh-CN"/>
          <w14:textFill>
            <w14:solidFill>
              <w14:schemeClr w14:val="tx1"/>
            </w14:solidFill>
          </w14:textFill>
        </w:rPr>
        <w:t>3.</w:t>
      </w:r>
      <w:r>
        <w:rPr>
          <w:rFonts w:hint="eastAsia"/>
          <w:color w:val="000000" w:themeColor="text1"/>
          <w:szCs w:val="21"/>
          <w:highlight w:val="none"/>
          <w14:textFill>
            <w14:solidFill>
              <w14:schemeClr w14:val="tx1"/>
            </w14:solidFill>
          </w14:textFill>
        </w:rPr>
        <w:t>产品总成本和组件成本以相关会计核算数据、采购合同、进货记录等为基础进行计算。</w:t>
      </w:r>
    </w:p>
    <w:p w14:paraId="3BFC0372">
      <w:pPr>
        <w:spacing w:before="120" w:line="240" w:lineRule="auto"/>
        <w:ind w:firstLine="420" w:firstLineChars="200"/>
        <w:rPr>
          <w:rFonts w:hint="eastAsia"/>
          <w:color w:val="000000" w:themeColor="text1"/>
          <w:szCs w:val="21"/>
          <w:highlight w:val="none"/>
          <w:lang w:val="en-US" w:eastAsia="zh-CN"/>
          <w14:textFill>
            <w14:solidFill>
              <w14:schemeClr w14:val="tx1"/>
            </w14:solidFill>
          </w14:textFill>
        </w:rPr>
      </w:pPr>
      <w:r>
        <w:rPr>
          <w:rFonts w:hint="eastAsia" w:ascii="Times New Roman" w:eastAsia="宋体"/>
          <w:color w:val="000000" w:themeColor="text1"/>
          <w:szCs w:val="21"/>
          <w:highlight w:val="none"/>
          <w:lang w:val="en-US" w:eastAsia="zh-CN"/>
          <w14:textFill>
            <w14:solidFill>
              <w14:schemeClr w14:val="tx1"/>
            </w14:solidFill>
          </w14:textFill>
        </w:rPr>
        <w:t>4.</w:t>
      </w:r>
      <w:r>
        <w:rPr>
          <w:rFonts w:hint="eastAsia"/>
          <w:color w:val="000000" w:themeColor="text1"/>
          <w:szCs w:val="21"/>
          <w:highlight w:val="none"/>
          <w14:textFill>
            <w14:solidFill>
              <w14:schemeClr w14:val="tx1"/>
            </w14:solidFill>
          </w14:textFill>
        </w:rPr>
        <w:t>需要对成本核算规则予以进一步明确的其他有关事项，由财政部会同有关部门另行规定。</w:t>
      </w:r>
    </w:p>
    <w:p w14:paraId="1D648B0F">
      <w:pPr>
        <w:spacing w:before="120" w:line="320" w:lineRule="atLeast"/>
        <w:ind w:firstLine="420" w:firstLineChars="20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（4.4.2）证明材料提交与审查：供应商需在投标（响应）文件中对其提供的产品出具《关于符合本国产品标准的声明函》（样式见投标文件格式）或财政部会同有关部门规定的有关证明文件。</w:t>
      </w:r>
      <w:r>
        <w:rPr>
          <w:rFonts w:hint="eastAsia"/>
          <w:b/>
          <w:bCs/>
          <w:color w:val="000000" w:themeColor="text1"/>
          <w:szCs w:val="21"/>
          <w:highlight w:val="none"/>
          <w:lang w:val="en-US" w:eastAsia="zh-CN"/>
          <w14:textFill>
            <w14:solidFill>
              <w14:schemeClr w14:val="tx1"/>
            </w14:solidFill>
          </w14:textFill>
        </w:rPr>
        <w:t>医疗器械产品凭药品监督管理部门授予的准字号注册证直接认定属于在中国境内生产的产品。</w:t>
      </w:r>
      <w:r>
        <w:rPr>
          <w:rFonts w:hint="eastAsia"/>
          <w:color w:val="000000" w:themeColor="text1"/>
          <w:szCs w:val="21"/>
          <w:highlight w:val="none"/>
          <w:lang w:val="en-US" w:eastAsia="zh-CN"/>
          <w14:textFill>
            <w14:solidFill>
              <w14:schemeClr w14:val="tx1"/>
            </w14:solidFill>
          </w14:textFill>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3809E51B">
      <w:pPr>
        <w:pStyle w:val="21"/>
        <w:ind w:firstLine="420" w:firstLineChars="200"/>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评审委员会应对《声明函》的完整性、准确性进行审查，对《声明函》内容含义不明确、同类事项与投标（响应）文件表述不一致或存在明显文字错误的，应</w:t>
      </w:r>
      <w:r>
        <w:rPr>
          <w:rFonts w:hint="eastAsia" w:cs="Times New Roman"/>
          <w:color w:val="000000" w:themeColor="text1"/>
          <w:kern w:val="2"/>
          <w:sz w:val="21"/>
          <w:szCs w:val="21"/>
          <w:highlight w:val="none"/>
          <w:lang w:val="en-US" w:eastAsia="zh-CN" w:bidi="ar-SA"/>
          <w14:textFill>
            <w14:solidFill>
              <w14:schemeClr w14:val="tx1"/>
            </w14:solidFill>
          </w14:textFill>
        </w:rPr>
        <w:t>当</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以书面形式要求供应商澄清、说明或者补正；</w:t>
      </w:r>
      <w:r>
        <w:rPr>
          <w:rFonts w:hint="eastAsia" w:cs="Times New Roman"/>
          <w:color w:val="000000" w:themeColor="text1"/>
          <w:kern w:val="2"/>
          <w:sz w:val="21"/>
          <w:szCs w:val="21"/>
          <w:highlight w:val="none"/>
          <w:lang w:val="en-US" w:eastAsia="zh-CN" w:bidi="ar-SA"/>
          <w14:textFill>
            <w14:solidFill>
              <w14:schemeClr w14:val="tx1"/>
            </w14:solidFill>
          </w14:textFill>
        </w:rPr>
        <w:t>经</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澄清、说明或者补正后仍不符合要求的，不认定为本国产品。</w:t>
      </w:r>
    </w:p>
    <w:p w14:paraId="6A324CAE">
      <w:pPr>
        <w:pStyle w:val="21"/>
        <w:ind w:firstLine="420" w:firstLineChars="20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澄清补正应当按照“6.3.3澄清、说明或补正”的规定提交。</w:t>
      </w:r>
    </w:p>
    <w:p w14:paraId="3C31F2B2">
      <w:pPr>
        <w:pStyle w:val="21"/>
        <w:ind w:firstLine="420" w:firstLineChars="200"/>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（4.5）成本核算与承诺</w:t>
      </w:r>
    </w:p>
    <w:p w14:paraId="7BEC242D">
      <w:pPr>
        <w:pStyle w:val="21"/>
        <w:ind w:firstLine="420" w:firstLineChars="20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供应商应依据《中国境内生产的组件成本核算基本规则》核算产品成本占比，并对核算结果负责，按要求提交《</w:t>
      </w:r>
      <w:r>
        <w:rPr>
          <w:rFonts w:hint="eastAsia" w:cs="Times New Roman"/>
          <w:color w:val="000000" w:themeColor="text1"/>
          <w:kern w:val="2"/>
          <w:sz w:val="21"/>
          <w:szCs w:val="21"/>
          <w:highlight w:val="none"/>
          <w:lang w:val="en-US" w:eastAsia="zh-CN" w:bidi="ar-SA"/>
          <w14:textFill>
            <w14:solidFill>
              <w14:schemeClr w14:val="tx1"/>
            </w14:solidFill>
          </w14:textFill>
        </w:rPr>
        <w:t>关于符合</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本国产品</w:t>
      </w:r>
      <w:r>
        <w:rPr>
          <w:rFonts w:hint="eastAsia" w:cs="Times New Roman"/>
          <w:color w:val="000000" w:themeColor="text1"/>
          <w:kern w:val="2"/>
          <w:sz w:val="21"/>
          <w:szCs w:val="21"/>
          <w:highlight w:val="none"/>
          <w:lang w:val="en-US" w:eastAsia="zh-CN" w:bidi="ar-SA"/>
          <w14:textFill>
            <w14:solidFill>
              <w14:schemeClr w14:val="tx1"/>
            </w14:solidFill>
          </w14:textFill>
        </w:rPr>
        <w:t>标准的</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成本占比承诺函》</w:t>
      </w:r>
      <w:r>
        <w:rPr>
          <w:rFonts w:hint="eastAsia" w:cs="Times New Roman"/>
          <w:color w:val="000000" w:themeColor="text1"/>
          <w:kern w:val="2"/>
          <w:sz w:val="21"/>
          <w:szCs w:val="21"/>
          <w:highlight w:val="none"/>
          <w:lang w:val="en-US" w:eastAsia="zh-CN" w:bidi="ar-SA"/>
          <w14:textFill>
            <w14:solidFill>
              <w14:schemeClr w14:val="tx1"/>
            </w14:solidFill>
          </w14:textFill>
        </w:rPr>
        <w:t>（如适用）</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（参考模板</w:t>
      </w:r>
      <w:r>
        <w:rPr>
          <w:rFonts w:hint="eastAsia" w:cs="Times New Roman"/>
          <w:color w:val="000000" w:themeColor="text1"/>
          <w:kern w:val="2"/>
          <w:sz w:val="21"/>
          <w:szCs w:val="21"/>
          <w:highlight w:val="none"/>
          <w:lang w:val="en-US" w:eastAsia="zh-CN" w:bidi="ar-SA"/>
          <w14:textFill>
            <w14:solidFill>
              <w14:schemeClr w14:val="tx1"/>
            </w14:solidFill>
          </w14:textFill>
        </w:rPr>
        <w:t>详见投标文件格式</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）。相关成本核算的原始凭证应妥善留存，以备核查。采购人可在履约验收环节对相关材料进行抽查。</w:t>
      </w:r>
    </w:p>
    <w:p w14:paraId="3ECD5861">
      <w:pPr>
        <w:spacing w:before="120" w:line="320" w:lineRule="atLeast"/>
        <w:ind w:firstLine="420" w:firstLineChars="200"/>
        <w:rPr>
          <w:rFonts w:hint="default"/>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4.6争议处理</w:t>
      </w:r>
    </w:p>
    <w:p w14:paraId="64FDF187">
      <w:pPr>
        <w:spacing w:before="120" w:line="320" w:lineRule="atLeast"/>
        <w:ind w:firstLine="420" w:firstLineChars="200"/>
        <w:rPr>
          <w:rFonts w:ascii="Arial" w:hAnsi="Arial" w:cs="Arial"/>
          <w:b/>
          <w:bCs/>
          <w:color w:val="000000" w:themeColor="text1"/>
          <w:kern w:val="0"/>
          <w:szCs w:val="21"/>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C5F972B">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br w:type="page"/>
      </w:r>
      <w:r>
        <w:rPr>
          <w:rFonts w:ascii="Arial" w:hAnsi="Arial" w:cs="Arial"/>
          <w:color w:val="000000" w:themeColor="text1"/>
          <w:szCs w:val="21"/>
          <w14:textFill>
            <w14:solidFill>
              <w14:schemeClr w14:val="tx1"/>
            </w14:solidFill>
          </w14:textFill>
        </w:rPr>
        <w:t>附表</w:t>
      </w:r>
    </w:p>
    <w:p w14:paraId="394EF1EB">
      <w:pPr>
        <w:spacing w:line="528" w:lineRule="exact"/>
        <w:ind w:firstLine="280" w:firstLineChars="100"/>
        <w:jc w:val="center"/>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中小微企业划型标准</w:t>
      </w:r>
    </w:p>
    <w:tbl>
      <w:tblPr>
        <w:tblStyle w:val="55"/>
        <w:tblW w:w="9197" w:type="dxa"/>
        <w:tblInd w:w="250" w:type="dxa"/>
        <w:tblLayout w:type="fixed"/>
        <w:tblCellMar>
          <w:top w:w="0" w:type="dxa"/>
          <w:left w:w="108" w:type="dxa"/>
          <w:bottom w:w="0" w:type="dxa"/>
          <w:right w:w="108" w:type="dxa"/>
        </w:tblCellMar>
      </w:tblPr>
      <w:tblGrid>
        <w:gridCol w:w="1446"/>
        <w:gridCol w:w="1701"/>
        <w:gridCol w:w="1134"/>
        <w:gridCol w:w="1976"/>
        <w:gridCol w:w="1720"/>
        <w:gridCol w:w="1220"/>
      </w:tblGrid>
      <w:tr w14:paraId="523324D6">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2525BDA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vAlign w:val="center"/>
          </w:tcPr>
          <w:p w14:paraId="741888F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vAlign w:val="center"/>
          </w:tcPr>
          <w:p w14:paraId="1FA6421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计量单位</w:t>
            </w:r>
          </w:p>
        </w:tc>
        <w:tc>
          <w:tcPr>
            <w:tcW w:w="1976" w:type="dxa"/>
            <w:tcBorders>
              <w:top w:val="single" w:color="auto" w:sz="4" w:space="0"/>
              <w:left w:val="nil"/>
              <w:bottom w:val="single" w:color="auto" w:sz="4" w:space="0"/>
              <w:right w:val="single" w:color="auto" w:sz="4" w:space="0"/>
            </w:tcBorders>
            <w:vAlign w:val="center"/>
          </w:tcPr>
          <w:p w14:paraId="7B1E6D9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中型</w:t>
            </w:r>
          </w:p>
        </w:tc>
        <w:tc>
          <w:tcPr>
            <w:tcW w:w="1720" w:type="dxa"/>
            <w:tcBorders>
              <w:top w:val="single" w:color="auto" w:sz="4" w:space="0"/>
              <w:left w:val="nil"/>
              <w:bottom w:val="single" w:color="auto" w:sz="4" w:space="0"/>
              <w:right w:val="single" w:color="auto" w:sz="4" w:space="0"/>
            </w:tcBorders>
            <w:vAlign w:val="center"/>
          </w:tcPr>
          <w:p w14:paraId="3CC0A6B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小型</w:t>
            </w:r>
          </w:p>
        </w:tc>
        <w:tc>
          <w:tcPr>
            <w:tcW w:w="1220" w:type="dxa"/>
            <w:tcBorders>
              <w:top w:val="single" w:color="auto" w:sz="4" w:space="0"/>
              <w:left w:val="nil"/>
              <w:bottom w:val="single" w:color="auto" w:sz="4" w:space="0"/>
              <w:right w:val="single" w:color="auto" w:sz="4" w:space="0"/>
            </w:tcBorders>
            <w:vAlign w:val="center"/>
          </w:tcPr>
          <w:p w14:paraId="142B733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微型</w:t>
            </w:r>
          </w:p>
        </w:tc>
      </w:tr>
      <w:tr w14:paraId="7D7D83FC">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3E4968DC">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农、林、牧、渔</w:t>
            </w:r>
          </w:p>
        </w:tc>
        <w:tc>
          <w:tcPr>
            <w:tcW w:w="1701" w:type="dxa"/>
            <w:tcBorders>
              <w:top w:val="nil"/>
              <w:left w:val="nil"/>
              <w:bottom w:val="single" w:color="auto" w:sz="4" w:space="0"/>
              <w:right w:val="single" w:color="auto" w:sz="4" w:space="0"/>
            </w:tcBorders>
            <w:vAlign w:val="center"/>
          </w:tcPr>
          <w:p w14:paraId="41E1516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245C6E5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5C91541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500≤Y＜20000</w:t>
            </w:r>
          </w:p>
        </w:tc>
        <w:tc>
          <w:tcPr>
            <w:tcW w:w="1720" w:type="dxa"/>
            <w:tcBorders>
              <w:top w:val="nil"/>
              <w:left w:val="nil"/>
              <w:bottom w:val="single" w:color="auto" w:sz="4" w:space="0"/>
              <w:right w:val="single" w:color="auto" w:sz="4" w:space="0"/>
            </w:tcBorders>
            <w:vAlign w:val="center"/>
          </w:tcPr>
          <w:p w14:paraId="474C5DEA">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50≤Y＜500</w:t>
            </w:r>
          </w:p>
        </w:tc>
        <w:tc>
          <w:tcPr>
            <w:tcW w:w="1220" w:type="dxa"/>
            <w:tcBorders>
              <w:top w:val="nil"/>
              <w:left w:val="nil"/>
              <w:bottom w:val="single" w:color="auto" w:sz="4" w:space="0"/>
              <w:right w:val="single" w:color="auto" w:sz="4" w:space="0"/>
            </w:tcBorders>
            <w:vAlign w:val="center"/>
          </w:tcPr>
          <w:p w14:paraId="3447E500">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Y＜50</w:t>
            </w:r>
          </w:p>
        </w:tc>
      </w:tr>
      <w:tr w14:paraId="654C472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7CA7394">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工业</w:t>
            </w:r>
          </w:p>
        </w:tc>
        <w:tc>
          <w:tcPr>
            <w:tcW w:w="1701" w:type="dxa"/>
            <w:tcBorders>
              <w:top w:val="nil"/>
              <w:left w:val="nil"/>
              <w:bottom w:val="single" w:color="auto" w:sz="4" w:space="0"/>
              <w:right w:val="single" w:color="auto" w:sz="4" w:space="0"/>
            </w:tcBorders>
            <w:vAlign w:val="center"/>
          </w:tcPr>
          <w:p w14:paraId="3EB89BA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15BC269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5BB8EC8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7E83DFF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20≤X＜300</w:t>
            </w:r>
          </w:p>
        </w:tc>
        <w:tc>
          <w:tcPr>
            <w:tcW w:w="1220" w:type="dxa"/>
            <w:tcBorders>
              <w:top w:val="nil"/>
              <w:left w:val="nil"/>
              <w:bottom w:val="single" w:color="auto" w:sz="4" w:space="0"/>
              <w:right w:val="single" w:color="auto" w:sz="4" w:space="0"/>
            </w:tcBorders>
            <w:vAlign w:val="center"/>
          </w:tcPr>
          <w:p w14:paraId="50FFAD9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X＜20</w:t>
            </w:r>
          </w:p>
        </w:tc>
      </w:tr>
      <w:tr w14:paraId="0AB3CF5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463762A">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1DB06B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0D5A9FA">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1F0DFE4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2000≤Y＜40000</w:t>
            </w:r>
          </w:p>
        </w:tc>
        <w:tc>
          <w:tcPr>
            <w:tcW w:w="1720" w:type="dxa"/>
            <w:tcBorders>
              <w:top w:val="nil"/>
              <w:left w:val="nil"/>
              <w:bottom w:val="single" w:color="auto" w:sz="4" w:space="0"/>
              <w:right w:val="single" w:color="auto" w:sz="4" w:space="0"/>
            </w:tcBorders>
            <w:vAlign w:val="center"/>
          </w:tcPr>
          <w:p w14:paraId="43C77E9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300≤Y＜2000</w:t>
            </w:r>
          </w:p>
        </w:tc>
        <w:tc>
          <w:tcPr>
            <w:tcW w:w="1220" w:type="dxa"/>
            <w:tcBorders>
              <w:top w:val="nil"/>
              <w:left w:val="nil"/>
              <w:bottom w:val="single" w:color="auto" w:sz="4" w:space="0"/>
              <w:right w:val="single" w:color="auto" w:sz="4" w:space="0"/>
            </w:tcBorders>
            <w:vAlign w:val="center"/>
          </w:tcPr>
          <w:p w14:paraId="6B6616F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Y＜300</w:t>
            </w:r>
          </w:p>
        </w:tc>
      </w:tr>
      <w:tr w14:paraId="7509A85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CEDA6FA">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建筑业</w:t>
            </w:r>
          </w:p>
        </w:tc>
        <w:tc>
          <w:tcPr>
            <w:tcW w:w="1701" w:type="dxa"/>
            <w:tcBorders>
              <w:top w:val="nil"/>
              <w:left w:val="nil"/>
              <w:bottom w:val="single" w:color="auto" w:sz="4" w:space="0"/>
              <w:right w:val="single" w:color="auto" w:sz="4" w:space="0"/>
            </w:tcBorders>
            <w:vAlign w:val="center"/>
          </w:tcPr>
          <w:p w14:paraId="573C0D1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46EF92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5233358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6000≤Y＜80000</w:t>
            </w:r>
          </w:p>
        </w:tc>
        <w:tc>
          <w:tcPr>
            <w:tcW w:w="1720" w:type="dxa"/>
            <w:tcBorders>
              <w:top w:val="nil"/>
              <w:left w:val="nil"/>
              <w:bottom w:val="single" w:color="auto" w:sz="4" w:space="0"/>
              <w:right w:val="single" w:color="auto" w:sz="4" w:space="0"/>
            </w:tcBorders>
            <w:vAlign w:val="center"/>
          </w:tcPr>
          <w:p w14:paraId="30C081B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300≤Y＜6000</w:t>
            </w:r>
          </w:p>
        </w:tc>
        <w:tc>
          <w:tcPr>
            <w:tcW w:w="1220" w:type="dxa"/>
            <w:tcBorders>
              <w:top w:val="nil"/>
              <w:left w:val="nil"/>
              <w:bottom w:val="single" w:color="auto" w:sz="4" w:space="0"/>
              <w:right w:val="single" w:color="auto" w:sz="4" w:space="0"/>
            </w:tcBorders>
            <w:vAlign w:val="center"/>
          </w:tcPr>
          <w:p w14:paraId="47C6F92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Y＜300</w:t>
            </w:r>
          </w:p>
        </w:tc>
      </w:tr>
      <w:tr w14:paraId="1A7447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CDBBDDF">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056430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02F4CA7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31CABFC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5000≤Z＜80000</w:t>
            </w:r>
          </w:p>
        </w:tc>
        <w:tc>
          <w:tcPr>
            <w:tcW w:w="1720" w:type="dxa"/>
            <w:tcBorders>
              <w:top w:val="nil"/>
              <w:left w:val="nil"/>
              <w:bottom w:val="single" w:color="auto" w:sz="4" w:space="0"/>
              <w:right w:val="single" w:color="auto" w:sz="4" w:space="0"/>
            </w:tcBorders>
            <w:vAlign w:val="center"/>
          </w:tcPr>
          <w:p w14:paraId="0B4071D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300≤Z＜5000</w:t>
            </w:r>
          </w:p>
        </w:tc>
        <w:tc>
          <w:tcPr>
            <w:tcW w:w="1220" w:type="dxa"/>
            <w:tcBorders>
              <w:top w:val="nil"/>
              <w:left w:val="nil"/>
              <w:bottom w:val="single" w:color="auto" w:sz="4" w:space="0"/>
              <w:right w:val="single" w:color="auto" w:sz="4" w:space="0"/>
            </w:tcBorders>
            <w:vAlign w:val="center"/>
          </w:tcPr>
          <w:p w14:paraId="0447141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Z＜300</w:t>
            </w:r>
          </w:p>
        </w:tc>
      </w:tr>
      <w:tr w14:paraId="124D275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FF121CC">
            <w:pPr>
              <w:widowControl/>
              <w:ind w:firstLine="315" w:firstLineChars="15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批发业</w:t>
            </w:r>
          </w:p>
        </w:tc>
        <w:tc>
          <w:tcPr>
            <w:tcW w:w="1701" w:type="dxa"/>
            <w:tcBorders>
              <w:top w:val="nil"/>
              <w:left w:val="nil"/>
              <w:bottom w:val="single" w:color="auto" w:sz="4" w:space="0"/>
              <w:right w:val="single" w:color="auto" w:sz="4" w:space="0"/>
            </w:tcBorders>
            <w:vAlign w:val="center"/>
          </w:tcPr>
          <w:p w14:paraId="4D030D3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14FA2B8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070CED7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20≤X＜200</w:t>
            </w:r>
          </w:p>
        </w:tc>
        <w:tc>
          <w:tcPr>
            <w:tcW w:w="1720" w:type="dxa"/>
            <w:tcBorders>
              <w:top w:val="nil"/>
              <w:left w:val="nil"/>
              <w:bottom w:val="single" w:color="auto" w:sz="4" w:space="0"/>
              <w:right w:val="single" w:color="auto" w:sz="4" w:space="0"/>
            </w:tcBorders>
            <w:vAlign w:val="center"/>
          </w:tcPr>
          <w:p w14:paraId="7ED3AE4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5≤X＜20</w:t>
            </w:r>
          </w:p>
        </w:tc>
        <w:tc>
          <w:tcPr>
            <w:tcW w:w="1220" w:type="dxa"/>
            <w:tcBorders>
              <w:top w:val="nil"/>
              <w:left w:val="nil"/>
              <w:bottom w:val="single" w:color="auto" w:sz="4" w:space="0"/>
              <w:right w:val="single" w:color="auto" w:sz="4" w:space="0"/>
            </w:tcBorders>
            <w:vAlign w:val="center"/>
          </w:tcPr>
          <w:p w14:paraId="180F482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X＜5</w:t>
            </w:r>
          </w:p>
        </w:tc>
      </w:tr>
      <w:tr w14:paraId="3F40DF4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0DC2083">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584709B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4EBB370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179EAD1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5000≤Y＜40000</w:t>
            </w:r>
          </w:p>
        </w:tc>
        <w:tc>
          <w:tcPr>
            <w:tcW w:w="1720" w:type="dxa"/>
            <w:tcBorders>
              <w:top w:val="nil"/>
              <w:left w:val="nil"/>
              <w:bottom w:val="single" w:color="auto" w:sz="4" w:space="0"/>
              <w:right w:val="single" w:color="auto" w:sz="4" w:space="0"/>
            </w:tcBorders>
            <w:vAlign w:val="center"/>
          </w:tcPr>
          <w:p w14:paraId="5D5C822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1000≤Y＜5000</w:t>
            </w:r>
          </w:p>
        </w:tc>
        <w:tc>
          <w:tcPr>
            <w:tcW w:w="1220" w:type="dxa"/>
            <w:tcBorders>
              <w:top w:val="nil"/>
              <w:left w:val="nil"/>
              <w:bottom w:val="single" w:color="auto" w:sz="4" w:space="0"/>
              <w:right w:val="single" w:color="auto" w:sz="4" w:space="0"/>
            </w:tcBorders>
            <w:vAlign w:val="center"/>
          </w:tcPr>
          <w:p w14:paraId="7C056E8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Y＜1000</w:t>
            </w:r>
          </w:p>
        </w:tc>
      </w:tr>
      <w:tr w14:paraId="768E5F8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51FCE46">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零售业</w:t>
            </w:r>
          </w:p>
        </w:tc>
        <w:tc>
          <w:tcPr>
            <w:tcW w:w="1701" w:type="dxa"/>
            <w:tcBorders>
              <w:top w:val="nil"/>
              <w:left w:val="nil"/>
              <w:bottom w:val="single" w:color="auto" w:sz="4" w:space="0"/>
              <w:right w:val="single" w:color="auto" w:sz="4" w:space="0"/>
            </w:tcBorders>
            <w:vAlign w:val="center"/>
          </w:tcPr>
          <w:p w14:paraId="6CCF025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64E1840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5E8C528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50≤X＜300</w:t>
            </w:r>
          </w:p>
        </w:tc>
        <w:tc>
          <w:tcPr>
            <w:tcW w:w="1720" w:type="dxa"/>
            <w:tcBorders>
              <w:top w:val="nil"/>
              <w:left w:val="nil"/>
              <w:bottom w:val="single" w:color="auto" w:sz="4" w:space="0"/>
              <w:right w:val="single" w:color="auto" w:sz="4" w:space="0"/>
            </w:tcBorders>
            <w:vAlign w:val="center"/>
          </w:tcPr>
          <w:p w14:paraId="077F9BE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10≤X＜50</w:t>
            </w:r>
          </w:p>
        </w:tc>
        <w:tc>
          <w:tcPr>
            <w:tcW w:w="1220" w:type="dxa"/>
            <w:tcBorders>
              <w:top w:val="nil"/>
              <w:left w:val="nil"/>
              <w:bottom w:val="single" w:color="auto" w:sz="4" w:space="0"/>
              <w:right w:val="single" w:color="auto" w:sz="4" w:space="0"/>
            </w:tcBorders>
            <w:vAlign w:val="center"/>
          </w:tcPr>
          <w:p w14:paraId="40BDFD2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w:t>
            </w:r>
          </w:p>
        </w:tc>
      </w:tr>
      <w:tr w14:paraId="4E5EB25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667F71A">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B2EE76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5FDFBA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4469137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500≤Y＜20000</w:t>
            </w:r>
          </w:p>
        </w:tc>
        <w:tc>
          <w:tcPr>
            <w:tcW w:w="1720" w:type="dxa"/>
            <w:tcBorders>
              <w:top w:val="nil"/>
              <w:left w:val="nil"/>
              <w:bottom w:val="single" w:color="auto" w:sz="4" w:space="0"/>
              <w:right w:val="single" w:color="auto" w:sz="4" w:space="0"/>
            </w:tcBorders>
            <w:vAlign w:val="center"/>
          </w:tcPr>
          <w:p w14:paraId="122B3F2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100≤Y＜500</w:t>
            </w:r>
          </w:p>
        </w:tc>
        <w:tc>
          <w:tcPr>
            <w:tcW w:w="1220" w:type="dxa"/>
            <w:tcBorders>
              <w:top w:val="nil"/>
              <w:left w:val="nil"/>
              <w:bottom w:val="single" w:color="auto" w:sz="4" w:space="0"/>
              <w:right w:val="single" w:color="auto" w:sz="4" w:space="0"/>
            </w:tcBorders>
            <w:vAlign w:val="center"/>
          </w:tcPr>
          <w:p w14:paraId="1D4B41E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w:t>
            </w:r>
          </w:p>
        </w:tc>
      </w:tr>
      <w:tr w14:paraId="30C5122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28BF596">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交通运输业</w:t>
            </w:r>
          </w:p>
        </w:tc>
        <w:tc>
          <w:tcPr>
            <w:tcW w:w="1701" w:type="dxa"/>
            <w:tcBorders>
              <w:top w:val="nil"/>
              <w:left w:val="nil"/>
              <w:bottom w:val="single" w:color="auto" w:sz="4" w:space="0"/>
              <w:right w:val="single" w:color="auto" w:sz="4" w:space="0"/>
            </w:tcBorders>
            <w:vAlign w:val="center"/>
          </w:tcPr>
          <w:p w14:paraId="4AE9426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D61152A">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471685C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3EC4155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20≤X＜300</w:t>
            </w:r>
          </w:p>
        </w:tc>
        <w:tc>
          <w:tcPr>
            <w:tcW w:w="1220" w:type="dxa"/>
            <w:tcBorders>
              <w:top w:val="nil"/>
              <w:left w:val="nil"/>
              <w:bottom w:val="single" w:color="auto" w:sz="4" w:space="0"/>
              <w:right w:val="single" w:color="auto" w:sz="4" w:space="0"/>
            </w:tcBorders>
            <w:vAlign w:val="center"/>
          </w:tcPr>
          <w:p w14:paraId="0F225EE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X＜20</w:t>
            </w:r>
          </w:p>
        </w:tc>
      </w:tr>
      <w:tr w14:paraId="56886D6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179222E">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0026D65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7B7F4D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2C0C3AE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3000≤Y＜30000</w:t>
            </w:r>
          </w:p>
        </w:tc>
        <w:tc>
          <w:tcPr>
            <w:tcW w:w="1720" w:type="dxa"/>
            <w:tcBorders>
              <w:top w:val="nil"/>
              <w:left w:val="nil"/>
              <w:bottom w:val="single" w:color="auto" w:sz="4" w:space="0"/>
              <w:right w:val="single" w:color="auto" w:sz="4" w:space="0"/>
            </w:tcBorders>
            <w:vAlign w:val="center"/>
          </w:tcPr>
          <w:p w14:paraId="6702805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200≤Y＜3000</w:t>
            </w:r>
          </w:p>
        </w:tc>
        <w:tc>
          <w:tcPr>
            <w:tcW w:w="1220" w:type="dxa"/>
            <w:tcBorders>
              <w:top w:val="nil"/>
              <w:left w:val="nil"/>
              <w:bottom w:val="single" w:color="auto" w:sz="4" w:space="0"/>
              <w:right w:val="single" w:color="auto" w:sz="4" w:space="0"/>
            </w:tcBorders>
            <w:vAlign w:val="center"/>
          </w:tcPr>
          <w:p w14:paraId="47EC40D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Y＜200</w:t>
            </w:r>
          </w:p>
        </w:tc>
      </w:tr>
      <w:tr w14:paraId="51FCA4F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BDB37B9">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仓储业</w:t>
            </w:r>
          </w:p>
        </w:tc>
        <w:tc>
          <w:tcPr>
            <w:tcW w:w="1701" w:type="dxa"/>
            <w:tcBorders>
              <w:top w:val="nil"/>
              <w:left w:val="nil"/>
              <w:bottom w:val="single" w:color="auto" w:sz="4" w:space="0"/>
              <w:right w:val="single" w:color="auto" w:sz="4" w:space="0"/>
            </w:tcBorders>
            <w:vAlign w:val="center"/>
          </w:tcPr>
          <w:p w14:paraId="735CFE8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473D9C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16ACACE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100≤X＜200</w:t>
            </w:r>
          </w:p>
        </w:tc>
        <w:tc>
          <w:tcPr>
            <w:tcW w:w="1720" w:type="dxa"/>
            <w:tcBorders>
              <w:top w:val="nil"/>
              <w:left w:val="nil"/>
              <w:bottom w:val="single" w:color="auto" w:sz="4" w:space="0"/>
              <w:right w:val="single" w:color="auto" w:sz="4" w:space="0"/>
            </w:tcBorders>
            <w:vAlign w:val="center"/>
          </w:tcPr>
          <w:p w14:paraId="408433F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20≤X＜100</w:t>
            </w:r>
          </w:p>
        </w:tc>
        <w:tc>
          <w:tcPr>
            <w:tcW w:w="1220" w:type="dxa"/>
            <w:tcBorders>
              <w:top w:val="nil"/>
              <w:left w:val="nil"/>
              <w:bottom w:val="single" w:color="auto" w:sz="4" w:space="0"/>
              <w:right w:val="single" w:color="auto" w:sz="4" w:space="0"/>
            </w:tcBorders>
            <w:vAlign w:val="center"/>
          </w:tcPr>
          <w:p w14:paraId="68DFCD0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X＜20</w:t>
            </w:r>
          </w:p>
        </w:tc>
      </w:tr>
      <w:tr w14:paraId="5D9868E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E6AC840">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1874FF4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7C47F05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3EAADA6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1000≤Y＜30000</w:t>
            </w:r>
          </w:p>
        </w:tc>
        <w:tc>
          <w:tcPr>
            <w:tcW w:w="1720" w:type="dxa"/>
            <w:tcBorders>
              <w:top w:val="nil"/>
              <w:left w:val="nil"/>
              <w:bottom w:val="single" w:color="auto" w:sz="4" w:space="0"/>
              <w:right w:val="single" w:color="auto" w:sz="4" w:space="0"/>
            </w:tcBorders>
            <w:vAlign w:val="center"/>
          </w:tcPr>
          <w:p w14:paraId="6677AD5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100≤Y＜1000</w:t>
            </w:r>
          </w:p>
        </w:tc>
        <w:tc>
          <w:tcPr>
            <w:tcW w:w="1220" w:type="dxa"/>
            <w:tcBorders>
              <w:top w:val="nil"/>
              <w:left w:val="nil"/>
              <w:bottom w:val="single" w:color="auto" w:sz="4" w:space="0"/>
              <w:right w:val="single" w:color="auto" w:sz="4" w:space="0"/>
            </w:tcBorders>
            <w:vAlign w:val="center"/>
          </w:tcPr>
          <w:p w14:paraId="45BA02E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w:t>
            </w:r>
          </w:p>
        </w:tc>
      </w:tr>
      <w:tr w14:paraId="5C6FE1E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2D4B210">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邮政业</w:t>
            </w:r>
          </w:p>
        </w:tc>
        <w:tc>
          <w:tcPr>
            <w:tcW w:w="1701" w:type="dxa"/>
            <w:tcBorders>
              <w:top w:val="nil"/>
              <w:left w:val="nil"/>
              <w:bottom w:val="single" w:color="auto" w:sz="4" w:space="0"/>
              <w:right w:val="single" w:color="auto" w:sz="4" w:space="0"/>
            </w:tcBorders>
            <w:vAlign w:val="center"/>
          </w:tcPr>
          <w:p w14:paraId="103ED78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4906A3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2F8A629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44ECCFD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20≤X＜300</w:t>
            </w:r>
          </w:p>
        </w:tc>
        <w:tc>
          <w:tcPr>
            <w:tcW w:w="1220" w:type="dxa"/>
            <w:tcBorders>
              <w:top w:val="nil"/>
              <w:left w:val="nil"/>
              <w:bottom w:val="single" w:color="auto" w:sz="4" w:space="0"/>
              <w:right w:val="single" w:color="auto" w:sz="4" w:space="0"/>
            </w:tcBorders>
            <w:vAlign w:val="center"/>
          </w:tcPr>
          <w:p w14:paraId="53D1E3F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X＜20</w:t>
            </w:r>
          </w:p>
        </w:tc>
      </w:tr>
      <w:tr w14:paraId="005C76D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B7B26AC">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39AA3A7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F6968D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147D29A0">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2000≤Y＜30000</w:t>
            </w:r>
          </w:p>
        </w:tc>
        <w:tc>
          <w:tcPr>
            <w:tcW w:w="1720" w:type="dxa"/>
            <w:tcBorders>
              <w:top w:val="nil"/>
              <w:left w:val="nil"/>
              <w:bottom w:val="single" w:color="auto" w:sz="4" w:space="0"/>
              <w:right w:val="single" w:color="auto" w:sz="4" w:space="0"/>
            </w:tcBorders>
            <w:vAlign w:val="center"/>
          </w:tcPr>
          <w:p w14:paraId="207983E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100≤Y＜2000</w:t>
            </w:r>
          </w:p>
        </w:tc>
        <w:tc>
          <w:tcPr>
            <w:tcW w:w="1220" w:type="dxa"/>
            <w:tcBorders>
              <w:top w:val="nil"/>
              <w:left w:val="nil"/>
              <w:bottom w:val="single" w:color="auto" w:sz="4" w:space="0"/>
              <w:right w:val="single" w:color="auto" w:sz="4" w:space="0"/>
            </w:tcBorders>
            <w:vAlign w:val="center"/>
          </w:tcPr>
          <w:p w14:paraId="0F9230E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w:t>
            </w:r>
          </w:p>
        </w:tc>
      </w:tr>
      <w:tr w14:paraId="175659E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640C4F3">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住宿业</w:t>
            </w:r>
          </w:p>
        </w:tc>
        <w:tc>
          <w:tcPr>
            <w:tcW w:w="1701" w:type="dxa"/>
            <w:tcBorders>
              <w:top w:val="nil"/>
              <w:left w:val="nil"/>
              <w:bottom w:val="single" w:color="auto" w:sz="4" w:space="0"/>
              <w:right w:val="single" w:color="auto" w:sz="4" w:space="0"/>
            </w:tcBorders>
            <w:vAlign w:val="center"/>
          </w:tcPr>
          <w:p w14:paraId="29D4B4C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425F9E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7CF471E0">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3FF5728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10≤X＜100</w:t>
            </w:r>
          </w:p>
        </w:tc>
        <w:tc>
          <w:tcPr>
            <w:tcW w:w="1220" w:type="dxa"/>
            <w:tcBorders>
              <w:top w:val="nil"/>
              <w:left w:val="nil"/>
              <w:bottom w:val="single" w:color="auto" w:sz="4" w:space="0"/>
              <w:right w:val="single" w:color="auto" w:sz="4" w:space="0"/>
            </w:tcBorders>
            <w:vAlign w:val="center"/>
          </w:tcPr>
          <w:p w14:paraId="53A7496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w:t>
            </w:r>
          </w:p>
        </w:tc>
      </w:tr>
      <w:tr w14:paraId="7A5D983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969C2FB">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ED79EF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037945E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4278113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2000≤Y＜10000</w:t>
            </w:r>
          </w:p>
        </w:tc>
        <w:tc>
          <w:tcPr>
            <w:tcW w:w="1720" w:type="dxa"/>
            <w:tcBorders>
              <w:top w:val="nil"/>
              <w:left w:val="nil"/>
              <w:bottom w:val="single" w:color="auto" w:sz="4" w:space="0"/>
              <w:right w:val="single" w:color="auto" w:sz="4" w:space="0"/>
            </w:tcBorders>
            <w:vAlign w:val="center"/>
          </w:tcPr>
          <w:p w14:paraId="01805B0A">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100≤Y＜2000</w:t>
            </w:r>
          </w:p>
        </w:tc>
        <w:tc>
          <w:tcPr>
            <w:tcW w:w="1220" w:type="dxa"/>
            <w:tcBorders>
              <w:top w:val="nil"/>
              <w:left w:val="nil"/>
              <w:bottom w:val="single" w:color="auto" w:sz="4" w:space="0"/>
              <w:right w:val="single" w:color="auto" w:sz="4" w:space="0"/>
            </w:tcBorders>
            <w:vAlign w:val="center"/>
          </w:tcPr>
          <w:p w14:paraId="416D6E7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w:t>
            </w:r>
          </w:p>
        </w:tc>
      </w:tr>
      <w:tr w14:paraId="575048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4DF8B57">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餐饮业</w:t>
            </w:r>
          </w:p>
        </w:tc>
        <w:tc>
          <w:tcPr>
            <w:tcW w:w="1701" w:type="dxa"/>
            <w:tcBorders>
              <w:top w:val="nil"/>
              <w:left w:val="nil"/>
              <w:bottom w:val="single" w:color="auto" w:sz="4" w:space="0"/>
              <w:right w:val="single" w:color="auto" w:sz="4" w:space="0"/>
            </w:tcBorders>
            <w:vAlign w:val="center"/>
          </w:tcPr>
          <w:p w14:paraId="7E3E995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FA0944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74F0801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481CA88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10≤X＜100</w:t>
            </w:r>
          </w:p>
        </w:tc>
        <w:tc>
          <w:tcPr>
            <w:tcW w:w="1220" w:type="dxa"/>
            <w:tcBorders>
              <w:top w:val="nil"/>
              <w:left w:val="nil"/>
              <w:bottom w:val="single" w:color="auto" w:sz="4" w:space="0"/>
              <w:right w:val="single" w:color="auto" w:sz="4" w:space="0"/>
            </w:tcBorders>
            <w:vAlign w:val="center"/>
          </w:tcPr>
          <w:p w14:paraId="040E6F5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w:t>
            </w:r>
          </w:p>
        </w:tc>
      </w:tr>
      <w:tr w14:paraId="5978066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6E6ACEF">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6091E19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20AA3DB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4DB67BF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2000≤Y＜10000</w:t>
            </w:r>
          </w:p>
        </w:tc>
        <w:tc>
          <w:tcPr>
            <w:tcW w:w="1720" w:type="dxa"/>
            <w:tcBorders>
              <w:top w:val="nil"/>
              <w:left w:val="nil"/>
              <w:bottom w:val="single" w:color="auto" w:sz="4" w:space="0"/>
              <w:right w:val="single" w:color="auto" w:sz="4" w:space="0"/>
            </w:tcBorders>
            <w:vAlign w:val="center"/>
          </w:tcPr>
          <w:p w14:paraId="36ABCD8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100≤Y＜2000</w:t>
            </w:r>
          </w:p>
        </w:tc>
        <w:tc>
          <w:tcPr>
            <w:tcW w:w="1220" w:type="dxa"/>
            <w:tcBorders>
              <w:top w:val="nil"/>
              <w:left w:val="nil"/>
              <w:bottom w:val="single" w:color="auto" w:sz="4" w:space="0"/>
              <w:right w:val="single" w:color="auto" w:sz="4" w:space="0"/>
            </w:tcBorders>
            <w:vAlign w:val="center"/>
          </w:tcPr>
          <w:p w14:paraId="367AB4F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w:t>
            </w:r>
          </w:p>
        </w:tc>
      </w:tr>
      <w:tr w14:paraId="322739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FF9CA05">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信息传输业</w:t>
            </w:r>
          </w:p>
        </w:tc>
        <w:tc>
          <w:tcPr>
            <w:tcW w:w="1701" w:type="dxa"/>
            <w:tcBorders>
              <w:top w:val="nil"/>
              <w:left w:val="nil"/>
              <w:bottom w:val="single" w:color="auto" w:sz="4" w:space="0"/>
              <w:right w:val="single" w:color="auto" w:sz="4" w:space="0"/>
            </w:tcBorders>
            <w:vAlign w:val="center"/>
          </w:tcPr>
          <w:p w14:paraId="1123BC2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11159E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13A954C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100≤X＜2000</w:t>
            </w:r>
          </w:p>
        </w:tc>
        <w:tc>
          <w:tcPr>
            <w:tcW w:w="1720" w:type="dxa"/>
            <w:tcBorders>
              <w:top w:val="nil"/>
              <w:left w:val="nil"/>
              <w:bottom w:val="single" w:color="auto" w:sz="4" w:space="0"/>
              <w:right w:val="single" w:color="auto" w:sz="4" w:space="0"/>
            </w:tcBorders>
            <w:vAlign w:val="center"/>
          </w:tcPr>
          <w:p w14:paraId="0D47B9E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10≤X＜100</w:t>
            </w:r>
          </w:p>
        </w:tc>
        <w:tc>
          <w:tcPr>
            <w:tcW w:w="1220" w:type="dxa"/>
            <w:tcBorders>
              <w:top w:val="nil"/>
              <w:left w:val="nil"/>
              <w:bottom w:val="single" w:color="auto" w:sz="4" w:space="0"/>
              <w:right w:val="single" w:color="auto" w:sz="4" w:space="0"/>
            </w:tcBorders>
            <w:vAlign w:val="center"/>
          </w:tcPr>
          <w:p w14:paraId="5E5556B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w:t>
            </w:r>
          </w:p>
        </w:tc>
      </w:tr>
      <w:tr w14:paraId="051D5F9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45622E0">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1092B1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4A96ABD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310E1B1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1000≤Y＜100000</w:t>
            </w:r>
          </w:p>
        </w:tc>
        <w:tc>
          <w:tcPr>
            <w:tcW w:w="1720" w:type="dxa"/>
            <w:tcBorders>
              <w:top w:val="nil"/>
              <w:left w:val="nil"/>
              <w:bottom w:val="single" w:color="auto" w:sz="4" w:space="0"/>
              <w:right w:val="single" w:color="auto" w:sz="4" w:space="0"/>
            </w:tcBorders>
            <w:vAlign w:val="center"/>
          </w:tcPr>
          <w:p w14:paraId="56C5517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100≤Y＜1000</w:t>
            </w:r>
          </w:p>
        </w:tc>
        <w:tc>
          <w:tcPr>
            <w:tcW w:w="1220" w:type="dxa"/>
            <w:tcBorders>
              <w:top w:val="nil"/>
              <w:left w:val="nil"/>
              <w:bottom w:val="single" w:color="auto" w:sz="4" w:space="0"/>
              <w:right w:val="single" w:color="auto" w:sz="4" w:space="0"/>
            </w:tcBorders>
            <w:vAlign w:val="center"/>
          </w:tcPr>
          <w:p w14:paraId="392A7E9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w:t>
            </w:r>
          </w:p>
        </w:tc>
      </w:tr>
      <w:tr w14:paraId="71AA39F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8777711">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vAlign w:val="center"/>
          </w:tcPr>
          <w:p w14:paraId="3BC5884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FC3B2DA">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2F5085D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6D1384D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10≤X＜100</w:t>
            </w:r>
          </w:p>
        </w:tc>
        <w:tc>
          <w:tcPr>
            <w:tcW w:w="1220" w:type="dxa"/>
            <w:tcBorders>
              <w:top w:val="nil"/>
              <w:left w:val="nil"/>
              <w:bottom w:val="single" w:color="auto" w:sz="4" w:space="0"/>
              <w:right w:val="single" w:color="auto" w:sz="4" w:space="0"/>
            </w:tcBorders>
            <w:vAlign w:val="center"/>
          </w:tcPr>
          <w:p w14:paraId="55ECDE5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w:t>
            </w:r>
          </w:p>
        </w:tc>
      </w:tr>
      <w:tr w14:paraId="4976A52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111805E">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52B6D9D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0E03CC7C">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14A57AD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1000≤Y＜10000</w:t>
            </w:r>
          </w:p>
        </w:tc>
        <w:tc>
          <w:tcPr>
            <w:tcW w:w="1720" w:type="dxa"/>
            <w:tcBorders>
              <w:top w:val="nil"/>
              <w:left w:val="nil"/>
              <w:bottom w:val="single" w:color="auto" w:sz="4" w:space="0"/>
              <w:right w:val="single" w:color="auto" w:sz="4" w:space="0"/>
            </w:tcBorders>
            <w:vAlign w:val="center"/>
          </w:tcPr>
          <w:p w14:paraId="169A2BE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50≤Y＜1000</w:t>
            </w:r>
          </w:p>
        </w:tc>
        <w:tc>
          <w:tcPr>
            <w:tcW w:w="1220" w:type="dxa"/>
            <w:tcBorders>
              <w:top w:val="nil"/>
              <w:left w:val="nil"/>
              <w:bottom w:val="single" w:color="auto" w:sz="4" w:space="0"/>
              <w:right w:val="single" w:color="auto" w:sz="4" w:space="0"/>
            </w:tcBorders>
            <w:vAlign w:val="center"/>
          </w:tcPr>
          <w:p w14:paraId="3C28B8D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Y＜50</w:t>
            </w:r>
          </w:p>
        </w:tc>
      </w:tr>
      <w:tr w14:paraId="74DFB0E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5578863">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vAlign w:val="center"/>
          </w:tcPr>
          <w:p w14:paraId="367EBB1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FDF192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5711074B">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1000≤Y＜200000</w:t>
            </w:r>
          </w:p>
        </w:tc>
        <w:tc>
          <w:tcPr>
            <w:tcW w:w="1720" w:type="dxa"/>
            <w:tcBorders>
              <w:top w:val="nil"/>
              <w:left w:val="nil"/>
              <w:bottom w:val="single" w:color="auto" w:sz="4" w:space="0"/>
              <w:right w:val="single" w:color="auto" w:sz="4" w:space="0"/>
            </w:tcBorders>
            <w:vAlign w:val="center"/>
          </w:tcPr>
          <w:p w14:paraId="088B194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100≤X＜1000</w:t>
            </w:r>
          </w:p>
        </w:tc>
        <w:tc>
          <w:tcPr>
            <w:tcW w:w="1220" w:type="dxa"/>
            <w:tcBorders>
              <w:top w:val="nil"/>
              <w:left w:val="nil"/>
              <w:bottom w:val="single" w:color="auto" w:sz="4" w:space="0"/>
              <w:right w:val="single" w:color="auto" w:sz="4" w:space="0"/>
            </w:tcBorders>
            <w:vAlign w:val="center"/>
          </w:tcPr>
          <w:p w14:paraId="7442869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X＜100</w:t>
            </w:r>
          </w:p>
        </w:tc>
      </w:tr>
      <w:tr w14:paraId="231D675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229F289">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62BEBCB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3DFF750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4685A75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5000≤Z＜10000</w:t>
            </w:r>
          </w:p>
        </w:tc>
        <w:tc>
          <w:tcPr>
            <w:tcW w:w="1720" w:type="dxa"/>
            <w:tcBorders>
              <w:top w:val="nil"/>
              <w:left w:val="nil"/>
              <w:bottom w:val="single" w:color="auto" w:sz="4" w:space="0"/>
              <w:right w:val="single" w:color="auto" w:sz="4" w:space="0"/>
            </w:tcBorders>
            <w:vAlign w:val="center"/>
          </w:tcPr>
          <w:p w14:paraId="0060C8B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2000≤Y＜5000</w:t>
            </w:r>
          </w:p>
        </w:tc>
        <w:tc>
          <w:tcPr>
            <w:tcW w:w="1220" w:type="dxa"/>
            <w:tcBorders>
              <w:top w:val="nil"/>
              <w:left w:val="nil"/>
              <w:bottom w:val="single" w:color="auto" w:sz="4" w:space="0"/>
              <w:right w:val="single" w:color="auto" w:sz="4" w:space="0"/>
            </w:tcBorders>
            <w:vAlign w:val="center"/>
          </w:tcPr>
          <w:p w14:paraId="2BA14A8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Y＜2000</w:t>
            </w:r>
          </w:p>
        </w:tc>
      </w:tr>
      <w:tr w14:paraId="21D028B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E0963BE">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物业管理</w:t>
            </w:r>
          </w:p>
        </w:tc>
        <w:tc>
          <w:tcPr>
            <w:tcW w:w="1701" w:type="dxa"/>
            <w:tcBorders>
              <w:top w:val="nil"/>
              <w:left w:val="nil"/>
              <w:bottom w:val="single" w:color="auto" w:sz="4" w:space="0"/>
              <w:right w:val="single" w:color="auto" w:sz="4" w:space="0"/>
            </w:tcBorders>
            <w:vAlign w:val="center"/>
          </w:tcPr>
          <w:p w14:paraId="7BD3BF8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4BB233F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0F1DE4A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1DF8B745">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100≤X＜300</w:t>
            </w:r>
          </w:p>
        </w:tc>
        <w:tc>
          <w:tcPr>
            <w:tcW w:w="1220" w:type="dxa"/>
            <w:tcBorders>
              <w:top w:val="nil"/>
              <w:left w:val="nil"/>
              <w:bottom w:val="single" w:color="auto" w:sz="4" w:space="0"/>
              <w:right w:val="single" w:color="auto" w:sz="4" w:space="0"/>
            </w:tcBorders>
            <w:vAlign w:val="center"/>
          </w:tcPr>
          <w:p w14:paraId="5F8D3460">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X＜100</w:t>
            </w:r>
          </w:p>
        </w:tc>
      </w:tr>
      <w:tr w14:paraId="7018BCF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A37E14A">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D0DB43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2A8C81B6">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33ECE03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1000≤Y＜5000</w:t>
            </w:r>
          </w:p>
        </w:tc>
        <w:tc>
          <w:tcPr>
            <w:tcW w:w="1720" w:type="dxa"/>
            <w:tcBorders>
              <w:top w:val="nil"/>
              <w:left w:val="nil"/>
              <w:bottom w:val="single" w:color="auto" w:sz="4" w:space="0"/>
              <w:right w:val="single" w:color="auto" w:sz="4" w:space="0"/>
            </w:tcBorders>
            <w:vAlign w:val="center"/>
          </w:tcPr>
          <w:p w14:paraId="6E679FC0">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500≤Y＜1000</w:t>
            </w:r>
          </w:p>
        </w:tc>
        <w:tc>
          <w:tcPr>
            <w:tcW w:w="1220" w:type="dxa"/>
            <w:tcBorders>
              <w:top w:val="nil"/>
              <w:left w:val="nil"/>
              <w:bottom w:val="single" w:color="auto" w:sz="4" w:space="0"/>
              <w:right w:val="single" w:color="auto" w:sz="4" w:space="0"/>
            </w:tcBorders>
            <w:vAlign w:val="center"/>
          </w:tcPr>
          <w:p w14:paraId="1384C27A">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Y＜500</w:t>
            </w:r>
          </w:p>
        </w:tc>
      </w:tr>
      <w:tr w14:paraId="58B4B24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6242A87">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vAlign w:val="center"/>
          </w:tcPr>
          <w:p w14:paraId="4F9CD0C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4B840E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17403FB7">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1399C224">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10≤X＜100</w:t>
            </w:r>
          </w:p>
        </w:tc>
        <w:tc>
          <w:tcPr>
            <w:tcW w:w="1220" w:type="dxa"/>
            <w:tcBorders>
              <w:top w:val="nil"/>
              <w:left w:val="nil"/>
              <w:bottom w:val="single" w:color="auto" w:sz="4" w:space="0"/>
              <w:right w:val="single" w:color="auto" w:sz="4" w:space="0"/>
            </w:tcBorders>
            <w:vAlign w:val="center"/>
          </w:tcPr>
          <w:p w14:paraId="57356A4F">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w:t>
            </w:r>
          </w:p>
        </w:tc>
      </w:tr>
      <w:tr w14:paraId="0F3E6FC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95A84AE">
            <w:pPr>
              <w:widowControl/>
              <w:jc w:val="left"/>
              <w:rPr>
                <w:rFonts w:ascii="Arial" w:hAnsi="Arial" w:cs="Arial"/>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6442B048">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158B166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万元</w:t>
            </w:r>
          </w:p>
        </w:tc>
        <w:tc>
          <w:tcPr>
            <w:tcW w:w="1976" w:type="dxa"/>
            <w:tcBorders>
              <w:top w:val="nil"/>
              <w:left w:val="nil"/>
              <w:bottom w:val="single" w:color="auto" w:sz="4" w:space="0"/>
              <w:right w:val="single" w:color="auto" w:sz="4" w:space="0"/>
            </w:tcBorders>
            <w:vAlign w:val="center"/>
          </w:tcPr>
          <w:p w14:paraId="69F5A4A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8000≤Z＜120000</w:t>
            </w:r>
          </w:p>
        </w:tc>
        <w:tc>
          <w:tcPr>
            <w:tcW w:w="1720" w:type="dxa"/>
            <w:tcBorders>
              <w:top w:val="nil"/>
              <w:left w:val="nil"/>
              <w:bottom w:val="single" w:color="auto" w:sz="4" w:space="0"/>
              <w:right w:val="single" w:color="auto" w:sz="4" w:space="0"/>
            </w:tcBorders>
            <w:vAlign w:val="center"/>
          </w:tcPr>
          <w:p w14:paraId="2C0F7F39">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100≤Z＜8000</w:t>
            </w:r>
          </w:p>
        </w:tc>
        <w:tc>
          <w:tcPr>
            <w:tcW w:w="1220" w:type="dxa"/>
            <w:tcBorders>
              <w:top w:val="nil"/>
              <w:left w:val="nil"/>
              <w:bottom w:val="single" w:color="auto" w:sz="4" w:space="0"/>
              <w:right w:val="single" w:color="auto" w:sz="4" w:space="0"/>
            </w:tcBorders>
            <w:vAlign w:val="center"/>
          </w:tcPr>
          <w:p w14:paraId="3F244A6D">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Y＜100</w:t>
            </w:r>
          </w:p>
        </w:tc>
      </w:tr>
      <w:tr w14:paraId="4D3EB243">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014FCBED">
            <w:pPr>
              <w:widowControl/>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vAlign w:val="center"/>
          </w:tcPr>
          <w:p w14:paraId="088EBBC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B7E7CD1">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人</w:t>
            </w:r>
          </w:p>
        </w:tc>
        <w:tc>
          <w:tcPr>
            <w:tcW w:w="1976" w:type="dxa"/>
            <w:tcBorders>
              <w:top w:val="nil"/>
              <w:left w:val="nil"/>
              <w:bottom w:val="single" w:color="auto" w:sz="4" w:space="0"/>
              <w:right w:val="single" w:color="auto" w:sz="4" w:space="0"/>
            </w:tcBorders>
            <w:vAlign w:val="center"/>
          </w:tcPr>
          <w:p w14:paraId="245B2B8E">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6F02EBA3">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10≤X＜100</w:t>
            </w:r>
          </w:p>
        </w:tc>
        <w:tc>
          <w:tcPr>
            <w:tcW w:w="1220" w:type="dxa"/>
            <w:tcBorders>
              <w:top w:val="nil"/>
              <w:left w:val="nil"/>
              <w:bottom w:val="single" w:color="auto" w:sz="4" w:space="0"/>
              <w:right w:val="single" w:color="auto" w:sz="4" w:space="0"/>
            </w:tcBorders>
            <w:vAlign w:val="center"/>
          </w:tcPr>
          <w:p w14:paraId="14683922">
            <w:pPr>
              <w:widowControl/>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X＜10</w:t>
            </w:r>
          </w:p>
        </w:tc>
      </w:tr>
    </w:tbl>
    <w:p w14:paraId="38422743">
      <w:pPr>
        <w:spacing w:line="360" w:lineRule="auto"/>
        <w:ind w:firstLine="525" w:firstLineChars="25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1EC122A6">
      <w:pPr>
        <w:spacing w:line="360" w:lineRule="auto"/>
        <w:rPr>
          <w:rFonts w:ascii="Arial" w:hAnsi="Arial" w:cs="Arial"/>
          <w:color w:val="000000" w:themeColor="text1"/>
          <w:sz w:val="28"/>
          <w:szCs w:val="28"/>
          <w14:textFill>
            <w14:solidFill>
              <w14:schemeClr w14:val="tx1"/>
            </w14:solidFill>
          </w14:textFill>
        </w:rPr>
      </w:pPr>
      <w:r>
        <w:rPr>
          <w:rFonts w:ascii="Arial" w:hAnsi="Arial" w:cs="Arial"/>
          <w:color w:val="000000" w:themeColor="text1"/>
          <w:szCs w:val="21"/>
          <w14:textFill>
            <w14:solidFill>
              <w14:schemeClr w14:val="tx1"/>
            </w14:solidFill>
          </w14:textFill>
        </w:rPr>
        <w:br w:type="page"/>
      </w:r>
      <w:bookmarkStart w:id="95" w:name="_Hlk132788258"/>
      <w:r>
        <w:rPr>
          <w:rFonts w:ascii="Arial" w:hAnsi="Arial" w:cs="Arial"/>
          <w:color w:val="000000" w:themeColor="text1"/>
          <w:sz w:val="28"/>
          <w:szCs w:val="28"/>
          <w14:textFill>
            <w14:solidFill>
              <w14:schemeClr w14:val="tx1"/>
            </w14:solidFill>
          </w14:textFill>
        </w:rPr>
        <w:t>附：</w:t>
      </w:r>
    </w:p>
    <w:p w14:paraId="2DF051A4">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position w:val="-335"/>
          <w:sz w:val="20"/>
          <w:szCs w:val="20"/>
          <w14:textFill>
            <w14:solidFill>
              <w14:schemeClr w14:val="tx1"/>
            </w14:solidFill>
          </w14:textFill>
        </w:rPr>
        <w:drawing>
          <wp:inline distT="0" distB="0" distL="114300" distR="114300">
            <wp:extent cx="5302885" cy="7731760"/>
            <wp:effectExtent l="0" t="0" r="12065"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0"/>
                    <a:stretch>
                      <a:fillRect/>
                    </a:stretch>
                  </pic:blipFill>
                  <pic:spPr>
                    <a:xfrm>
                      <a:off x="0" y="0"/>
                      <a:ext cx="5302885" cy="7731760"/>
                    </a:xfrm>
                    <a:prstGeom prst="rect">
                      <a:avLst/>
                    </a:prstGeom>
                    <a:noFill/>
                    <a:ln>
                      <a:noFill/>
                    </a:ln>
                  </pic:spPr>
                </pic:pic>
              </a:graphicData>
            </a:graphic>
          </wp:inline>
        </w:drawing>
      </w:r>
    </w:p>
    <w:bookmarkEnd w:id="95"/>
    <w:p w14:paraId="429A9D59">
      <w:pPr>
        <w:rPr>
          <w:rFonts w:ascii="Arial" w:hAnsi="Arial" w:cs="Arial"/>
          <w:color w:val="000000" w:themeColor="text1"/>
          <w14:textFill>
            <w14:solidFill>
              <w14:schemeClr w14:val="tx1"/>
            </w14:solidFill>
          </w14:textFill>
        </w:rPr>
      </w:pPr>
    </w:p>
    <w:p w14:paraId="5BC3C49C">
      <w:pPr>
        <w:spacing w:before="120" w:line="320" w:lineRule="atLeast"/>
        <w:rPr>
          <w:rFonts w:ascii="Arial" w:hAnsi="Arial" w:cs="Arial"/>
          <w:bCs/>
          <w:color w:val="000000" w:themeColor="text1"/>
          <w:szCs w:val="21"/>
          <w14:textFill>
            <w14:solidFill>
              <w14:schemeClr w14:val="tx1"/>
            </w14:solidFill>
          </w14:textFill>
        </w:rPr>
      </w:pPr>
    </w:p>
    <w:bookmarkEnd w:id="79"/>
    <w:p w14:paraId="1F58CAF4">
      <w:pP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br w:type="page"/>
      </w:r>
    </w:p>
    <w:p w14:paraId="155E845C">
      <w:pPr>
        <w:spacing w:line="528" w:lineRule="exact"/>
        <w:ind w:firstLine="280" w:firstLineChars="100"/>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节能产品政府采购品目清单</w:t>
      </w:r>
    </w:p>
    <w:p w14:paraId="524CDBDB">
      <w:pPr>
        <w:spacing w:line="151" w:lineRule="exact"/>
      </w:pPr>
    </w:p>
    <w:tbl>
      <w:tblPr>
        <w:tblStyle w:val="258"/>
        <w:tblW w:w="9737" w:type="dxa"/>
        <w:tblInd w:w="-4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7"/>
        <w:gridCol w:w="1050"/>
        <w:gridCol w:w="1786"/>
        <w:gridCol w:w="1691"/>
        <w:gridCol w:w="4623"/>
      </w:tblGrid>
      <w:tr w14:paraId="3CA8C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87" w:type="dxa"/>
            <w:vAlign w:val="top"/>
          </w:tcPr>
          <w:p w14:paraId="0A315357">
            <w:pPr>
              <w:pStyle w:val="257"/>
              <w:spacing w:before="128" w:line="224" w:lineRule="auto"/>
              <w:ind w:left="91"/>
              <w:jc w:val="center"/>
              <w:rPr>
                <w:rFonts w:hint="default" w:ascii="Arial" w:hAnsi="Arial" w:eastAsia="宋体" w:cs="Arial"/>
                <w:sz w:val="21"/>
                <w:szCs w:val="21"/>
              </w:rPr>
            </w:pPr>
            <w:r>
              <w:rPr>
                <w:rFonts w:hint="default" w:ascii="Arial" w:hAnsi="Arial" w:eastAsia="宋体" w:cs="Arial"/>
                <w:b/>
                <w:bCs/>
                <w:spacing w:val="-9"/>
                <w:sz w:val="21"/>
                <w:szCs w:val="21"/>
              </w:rPr>
              <w:t>品目</w:t>
            </w:r>
          </w:p>
          <w:p w14:paraId="598A6C7F">
            <w:pPr>
              <w:pStyle w:val="257"/>
              <w:spacing w:before="45" w:line="222" w:lineRule="auto"/>
              <w:ind w:left="72"/>
              <w:jc w:val="center"/>
              <w:rPr>
                <w:rFonts w:hint="default" w:ascii="Arial" w:hAnsi="Arial" w:eastAsia="宋体" w:cs="Arial"/>
                <w:sz w:val="21"/>
                <w:szCs w:val="21"/>
              </w:rPr>
            </w:pPr>
            <w:r>
              <w:rPr>
                <w:rFonts w:hint="default" w:ascii="Arial" w:hAnsi="Arial" w:eastAsia="宋体" w:cs="Arial"/>
                <w:b/>
                <w:bCs/>
                <w:spacing w:val="-4"/>
                <w:sz w:val="21"/>
                <w:szCs w:val="21"/>
              </w:rPr>
              <w:t>序号</w:t>
            </w:r>
          </w:p>
        </w:tc>
        <w:tc>
          <w:tcPr>
            <w:tcW w:w="4527" w:type="dxa"/>
            <w:gridSpan w:val="3"/>
            <w:vAlign w:val="top"/>
          </w:tcPr>
          <w:p w14:paraId="66D4BAAC">
            <w:pPr>
              <w:pStyle w:val="257"/>
              <w:spacing w:before="285" w:line="223" w:lineRule="auto"/>
              <w:ind w:left="2226"/>
              <w:rPr>
                <w:rFonts w:hint="default" w:ascii="Arial" w:hAnsi="Arial" w:eastAsia="宋体" w:cs="Arial"/>
                <w:sz w:val="21"/>
                <w:szCs w:val="21"/>
              </w:rPr>
            </w:pPr>
            <w:r>
              <w:rPr>
                <w:rFonts w:hint="default" w:ascii="Arial" w:hAnsi="Arial" w:eastAsia="宋体" w:cs="Arial"/>
                <w:b/>
                <w:bCs/>
                <w:spacing w:val="-5"/>
                <w:sz w:val="21"/>
                <w:szCs w:val="21"/>
              </w:rPr>
              <w:t>名称</w:t>
            </w:r>
          </w:p>
        </w:tc>
        <w:tc>
          <w:tcPr>
            <w:tcW w:w="4623" w:type="dxa"/>
            <w:vAlign w:val="top"/>
          </w:tcPr>
          <w:p w14:paraId="3A2744A3">
            <w:pPr>
              <w:pStyle w:val="257"/>
              <w:spacing w:before="285" w:line="220" w:lineRule="auto"/>
              <w:ind w:left="939"/>
              <w:rPr>
                <w:rFonts w:hint="default" w:ascii="Arial" w:hAnsi="Arial" w:eastAsia="宋体" w:cs="Arial"/>
                <w:sz w:val="21"/>
                <w:szCs w:val="21"/>
              </w:rPr>
            </w:pPr>
            <w:r>
              <w:rPr>
                <w:rFonts w:hint="default" w:ascii="Arial" w:hAnsi="Arial" w:eastAsia="宋体" w:cs="Arial"/>
                <w:b/>
                <w:bCs/>
                <w:spacing w:val="-4"/>
                <w:sz w:val="21"/>
                <w:szCs w:val="21"/>
              </w:rPr>
              <w:t>依据的标准</w:t>
            </w:r>
          </w:p>
        </w:tc>
      </w:tr>
      <w:tr w14:paraId="690AD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87" w:type="dxa"/>
            <w:vMerge w:val="restart"/>
            <w:tcBorders>
              <w:bottom w:val="nil"/>
            </w:tcBorders>
            <w:vAlign w:val="top"/>
          </w:tcPr>
          <w:p w14:paraId="1228478B">
            <w:pPr>
              <w:spacing w:line="246" w:lineRule="auto"/>
              <w:rPr>
                <w:rFonts w:hint="default" w:ascii="Arial" w:hAnsi="Arial" w:eastAsia="宋体" w:cs="Arial"/>
                <w:sz w:val="21"/>
                <w:szCs w:val="21"/>
              </w:rPr>
            </w:pPr>
          </w:p>
          <w:p w14:paraId="07C59DD1">
            <w:pPr>
              <w:spacing w:line="247" w:lineRule="auto"/>
              <w:rPr>
                <w:rFonts w:hint="default" w:ascii="Arial" w:hAnsi="Arial" w:eastAsia="宋体" w:cs="Arial"/>
                <w:sz w:val="21"/>
                <w:szCs w:val="21"/>
              </w:rPr>
            </w:pPr>
          </w:p>
          <w:p w14:paraId="3A849AFF">
            <w:pPr>
              <w:spacing w:line="247" w:lineRule="auto"/>
              <w:rPr>
                <w:rFonts w:hint="default" w:ascii="Arial" w:hAnsi="Arial" w:eastAsia="宋体" w:cs="Arial"/>
                <w:sz w:val="21"/>
                <w:szCs w:val="21"/>
              </w:rPr>
            </w:pPr>
          </w:p>
          <w:p w14:paraId="29D73DF7">
            <w:pPr>
              <w:spacing w:line="247" w:lineRule="auto"/>
              <w:rPr>
                <w:rFonts w:hint="default" w:ascii="Arial" w:hAnsi="Arial" w:eastAsia="宋体" w:cs="Arial"/>
                <w:sz w:val="21"/>
                <w:szCs w:val="21"/>
              </w:rPr>
            </w:pPr>
          </w:p>
          <w:p w14:paraId="1C83C889">
            <w:pPr>
              <w:pStyle w:val="257"/>
              <w:spacing w:before="62" w:line="258" w:lineRule="exact"/>
              <w:ind w:left="257"/>
              <w:rPr>
                <w:rFonts w:hint="default" w:ascii="Arial" w:hAnsi="Arial" w:eastAsia="宋体" w:cs="Arial"/>
                <w:sz w:val="21"/>
                <w:szCs w:val="21"/>
              </w:rPr>
            </w:pPr>
            <w:r>
              <w:rPr>
                <w:rFonts w:hint="default" w:ascii="Arial" w:hAnsi="Arial" w:eastAsia="宋体" w:cs="Arial"/>
                <w:position w:val="1"/>
                <w:sz w:val="21"/>
                <w:szCs w:val="21"/>
              </w:rPr>
              <w:t>1</w:t>
            </w:r>
          </w:p>
        </w:tc>
        <w:tc>
          <w:tcPr>
            <w:tcW w:w="1050" w:type="dxa"/>
            <w:vMerge w:val="restart"/>
            <w:tcBorders>
              <w:bottom w:val="nil"/>
            </w:tcBorders>
            <w:vAlign w:val="top"/>
          </w:tcPr>
          <w:p w14:paraId="4C2387A2">
            <w:pPr>
              <w:spacing w:line="277" w:lineRule="auto"/>
              <w:rPr>
                <w:rFonts w:hint="default" w:ascii="Arial" w:hAnsi="Arial" w:eastAsia="宋体" w:cs="Arial"/>
                <w:sz w:val="21"/>
                <w:szCs w:val="21"/>
              </w:rPr>
            </w:pPr>
          </w:p>
          <w:p w14:paraId="6CE6E9A5">
            <w:pPr>
              <w:spacing w:line="277" w:lineRule="auto"/>
              <w:rPr>
                <w:rFonts w:hint="default" w:ascii="Arial" w:hAnsi="Arial" w:eastAsia="宋体" w:cs="Arial"/>
                <w:sz w:val="21"/>
                <w:szCs w:val="21"/>
              </w:rPr>
            </w:pPr>
          </w:p>
          <w:p w14:paraId="5F3A6CB2">
            <w:pPr>
              <w:spacing w:line="278" w:lineRule="auto"/>
              <w:rPr>
                <w:rFonts w:hint="default" w:ascii="Arial" w:hAnsi="Arial" w:eastAsia="宋体" w:cs="Arial"/>
                <w:sz w:val="21"/>
                <w:szCs w:val="21"/>
              </w:rPr>
            </w:pPr>
          </w:p>
          <w:p w14:paraId="561B9496">
            <w:pPr>
              <w:pStyle w:val="257"/>
              <w:spacing w:before="62" w:line="304" w:lineRule="auto"/>
              <w:ind w:left="14" w:right="8" w:hanging="5"/>
              <w:rPr>
                <w:rFonts w:hint="default" w:ascii="Arial" w:hAnsi="Arial" w:eastAsia="宋体" w:cs="Arial"/>
                <w:sz w:val="21"/>
                <w:szCs w:val="21"/>
              </w:rPr>
            </w:pPr>
            <w:r>
              <w:rPr>
                <w:rFonts w:hint="default" w:ascii="Arial" w:hAnsi="Arial" w:eastAsia="宋体" w:cs="Arial"/>
                <w:spacing w:val="5"/>
                <w:sz w:val="21"/>
                <w:szCs w:val="21"/>
              </w:rPr>
              <w:t>A020101</w:t>
            </w:r>
            <w:r>
              <w:rPr>
                <w:rFonts w:hint="default" w:ascii="Arial" w:hAnsi="Arial" w:eastAsia="宋体" w:cs="Arial"/>
                <w:spacing w:val="-43"/>
                <w:sz w:val="21"/>
                <w:szCs w:val="21"/>
              </w:rPr>
              <w:t xml:space="preserve"> </w:t>
            </w:r>
            <w:r>
              <w:rPr>
                <w:rFonts w:hint="default" w:ascii="Arial" w:hAnsi="Arial" w:eastAsia="宋体" w:cs="Arial"/>
                <w:spacing w:val="5"/>
                <w:sz w:val="21"/>
                <w:szCs w:val="21"/>
              </w:rPr>
              <w:t>计算</w:t>
            </w:r>
            <w:r>
              <w:rPr>
                <w:rFonts w:hint="default" w:ascii="Arial" w:hAnsi="Arial" w:eastAsia="宋体" w:cs="Arial"/>
                <w:sz w:val="21"/>
                <w:szCs w:val="21"/>
              </w:rPr>
              <w:t xml:space="preserve"> </w:t>
            </w:r>
            <w:r>
              <w:rPr>
                <w:rFonts w:hint="default" w:ascii="Arial" w:hAnsi="Arial" w:eastAsia="宋体" w:cs="Arial"/>
                <w:spacing w:val="6"/>
                <w:sz w:val="21"/>
                <w:szCs w:val="21"/>
              </w:rPr>
              <w:t>机设备</w:t>
            </w:r>
          </w:p>
        </w:tc>
        <w:tc>
          <w:tcPr>
            <w:tcW w:w="1786" w:type="dxa"/>
            <w:vAlign w:val="top"/>
          </w:tcPr>
          <w:p w14:paraId="4ABE0E89">
            <w:pPr>
              <w:pStyle w:val="257"/>
              <w:spacing w:before="155" w:line="304" w:lineRule="auto"/>
              <w:ind w:left="17" w:right="10" w:firstLine="1"/>
              <w:rPr>
                <w:rFonts w:hint="default" w:ascii="Arial" w:hAnsi="Arial" w:eastAsia="宋体" w:cs="Arial"/>
                <w:sz w:val="21"/>
                <w:szCs w:val="21"/>
              </w:rPr>
            </w:pPr>
            <w:r>
              <w:rPr>
                <w:rFonts w:hint="default" w:ascii="Arial" w:hAnsi="Arial" w:eastAsia="宋体" w:cs="Arial"/>
                <w:spacing w:val="3"/>
                <w:sz w:val="21"/>
                <w:szCs w:val="21"/>
              </w:rPr>
              <w:t>★A02010104 台式计</w:t>
            </w:r>
            <w:r>
              <w:rPr>
                <w:rFonts w:hint="default" w:ascii="Arial" w:hAnsi="Arial" w:eastAsia="宋体" w:cs="Arial"/>
                <w:spacing w:val="12"/>
                <w:sz w:val="21"/>
                <w:szCs w:val="21"/>
              </w:rPr>
              <w:t xml:space="preserve"> </w:t>
            </w:r>
            <w:r>
              <w:rPr>
                <w:rFonts w:hint="default" w:ascii="Arial" w:hAnsi="Arial" w:eastAsia="宋体" w:cs="Arial"/>
                <w:spacing w:val="4"/>
                <w:sz w:val="21"/>
                <w:szCs w:val="21"/>
              </w:rPr>
              <w:t>算机</w:t>
            </w:r>
          </w:p>
        </w:tc>
        <w:tc>
          <w:tcPr>
            <w:tcW w:w="1691" w:type="dxa"/>
            <w:vAlign w:val="top"/>
          </w:tcPr>
          <w:p w14:paraId="22F9EE17">
            <w:pPr>
              <w:rPr>
                <w:rFonts w:hint="default" w:ascii="Arial" w:hAnsi="Arial" w:eastAsia="宋体" w:cs="Arial"/>
                <w:sz w:val="21"/>
                <w:szCs w:val="21"/>
              </w:rPr>
            </w:pPr>
          </w:p>
        </w:tc>
        <w:tc>
          <w:tcPr>
            <w:tcW w:w="4623" w:type="dxa"/>
            <w:vAlign w:val="top"/>
          </w:tcPr>
          <w:p w14:paraId="184594AE">
            <w:pPr>
              <w:pStyle w:val="257"/>
              <w:spacing w:before="156" w:line="304" w:lineRule="auto"/>
              <w:ind w:left="19" w:right="11" w:firstLine="3"/>
              <w:rPr>
                <w:rFonts w:hint="default" w:ascii="Arial" w:hAnsi="Arial" w:eastAsia="宋体" w:cs="Arial"/>
                <w:sz w:val="21"/>
                <w:szCs w:val="21"/>
              </w:rPr>
            </w:pPr>
            <w:r>
              <w:rPr>
                <w:rFonts w:hint="default" w:ascii="Arial" w:hAnsi="Arial" w:eastAsia="宋体" w:cs="Arial"/>
                <w:spacing w:val="19"/>
                <w:sz w:val="21"/>
                <w:szCs w:val="21"/>
              </w:rPr>
              <w:t>《微型计算机能效限定值及能效</w:t>
            </w:r>
            <w:r>
              <w:rPr>
                <w:rFonts w:hint="default" w:ascii="Arial" w:hAnsi="Arial" w:eastAsia="宋体" w:cs="Arial"/>
                <w:spacing w:val="2"/>
                <w:sz w:val="21"/>
                <w:szCs w:val="21"/>
              </w:rPr>
              <w:t xml:space="preserve"> </w:t>
            </w:r>
            <w:r>
              <w:rPr>
                <w:rFonts w:hint="default" w:ascii="Arial" w:hAnsi="Arial" w:eastAsia="宋体" w:cs="Arial"/>
                <w:spacing w:val="6"/>
                <w:sz w:val="21"/>
                <w:szCs w:val="21"/>
              </w:rPr>
              <w:t>等级》（</w:t>
            </w:r>
            <w:r>
              <w:rPr>
                <w:rFonts w:hint="default" w:ascii="Arial" w:hAnsi="Arial" w:eastAsia="宋体" w:cs="Arial"/>
                <w:sz w:val="21"/>
                <w:szCs w:val="21"/>
              </w:rPr>
              <w:t>GB</w:t>
            </w:r>
            <w:r>
              <w:rPr>
                <w:rFonts w:hint="default" w:ascii="Arial" w:hAnsi="Arial" w:eastAsia="宋体" w:cs="Arial"/>
                <w:spacing w:val="6"/>
                <w:sz w:val="21"/>
                <w:szCs w:val="21"/>
              </w:rPr>
              <w:t xml:space="preserve"> 28380）</w:t>
            </w:r>
          </w:p>
        </w:tc>
      </w:tr>
      <w:tr w14:paraId="3F33F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87" w:type="dxa"/>
            <w:vMerge w:val="continue"/>
            <w:tcBorders>
              <w:top w:val="nil"/>
              <w:bottom w:val="nil"/>
            </w:tcBorders>
            <w:vAlign w:val="top"/>
          </w:tcPr>
          <w:p w14:paraId="0625F8B3">
            <w:pPr>
              <w:rPr>
                <w:rFonts w:hint="default" w:ascii="Arial" w:hAnsi="Arial" w:eastAsia="宋体" w:cs="Arial"/>
                <w:sz w:val="21"/>
                <w:szCs w:val="21"/>
              </w:rPr>
            </w:pPr>
          </w:p>
        </w:tc>
        <w:tc>
          <w:tcPr>
            <w:tcW w:w="1050" w:type="dxa"/>
            <w:vMerge w:val="continue"/>
            <w:tcBorders>
              <w:top w:val="nil"/>
              <w:bottom w:val="nil"/>
            </w:tcBorders>
            <w:vAlign w:val="top"/>
          </w:tcPr>
          <w:p w14:paraId="40B80048">
            <w:pPr>
              <w:rPr>
                <w:rFonts w:hint="default" w:ascii="Arial" w:hAnsi="Arial" w:eastAsia="宋体" w:cs="Arial"/>
                <w:sz w:val="21"/>
                <w:szCs w:val="21"/>
              </w:rPr>
            </w:pPr>
          </w:p>
        </w:tc>
        <w:tc>
          <w:tcPr>
            <w:tcW w:w="1786" w:type="dxa"/>
            <w:vAlign w:val="top"/>
          </w:tcPr>
          <w:p w14:paraId="6B92F9DE">
            <w:pPr>
              <w:pStyle w:val="257"/>
              <w:spacing w:before="108" w:line="293" w:lineRule="auto"/>
              <w:ind w:left="15" w:right="10" w:firstLine="3"/>
              <w:rPr>
                <w:rFonts w:hint="default" w:ascii="Arial" w:hAnsi="Arial" w:eastAsia="宋体" w:cs="Arial"/>
                <w:sz w:val="21"/>
                <w:szCs w:val="21"/>
              </w:rPr>
            </w:pPr>
            <w:r>
              <w:rPr>
                <w:rFonts w:hint="default" w:ascii="Arial" w:hAnsi="Arial" w:eastAsia="宋体" w:cs="Arial"/>
                <w:spacing w:val="3"/>
                <w:sz w:val="21"/>
                <w:szCs w:val="21"/>
              </w:rPr>
              <w:t>★A02010105 便携式</w:t>
            </w:r>
            <w:r>
              <w:rPr>
                <w:rFonts w:hint="default" w:ascii="Arial" w:hAnsi="Arial" w:eastAsia="宋体" w:cs="Arial"/>
                <w:spacing w:val="12"/>
                <w:sz w:val="21"/>
                <w:szCs w:val="21"/>
              </w:rPr>
              <w:t xml:space="preserve"> </w:t>
            </w:r>
            <w:r>
              <w:rPr>
                <w:rFonts w:hint="default" w:ascii="Arial" w:hAnsi="Arial" w:eastAsia="宋体" w:cs="Arial"/>
                <w:spacing w:val="6"/>
                <w:sz w:val="21"/>
                <w:szCs w:val="21"/>
              </w:rPr>
              <w:t>计算机</w:t>
            </w:r>
          </w:p>
        </w:tc>
        <w:tc>
          <w:tcPr>
            <w:tcW w:w="1691" w:type="dxa"/>
            <w:vAlign w:val="top"/>
          </w:tcPr>
          <w:p w14:paraId="14E453B6">
            <w:pPr>
              <w:rPr>
                <w:rFonts w:hint="default" w:ascii="Arial" w:hAnsi="Arial" w:eastAsia="宋体" w:cs="Arial"/>
                <w:sz w:val="21"/>
                <w:szCs w:val="21"/>
              </w:rPr>
            </w:pPr>
          </w:p>
        </w:tc>
        <w:tc>
          <w:tcPr>
            <w:tcW w:w="4623" w:type="dxa"/>
            <w:vAlign w:val="top"/>
          </w:tcPr>
          <w:p w14:paraId="194ACF51">
            <w:pPr>
              <w:pStyle w:val="257"/>
              <w:spacing w:before="108" w:line="293" w:lineRule="auto"/>
              <w:ind w:left="19" w:right="11" w:firstLine="3"/>
              <w:rPr>
                <w:rFonts w:hint="default" w:ascii="Arial" w:hAnsi="Arial" w:eastAsia="宋体" w:cs="Arial"/>
                <w:sz w:val="21"/>
                <w:szCs w:val="21"/>
              </w:rPr>
            </w:pPr>
            <w:r>
              <w:rPr>
                <w:rFonts w:hint="default" w:ascii="Arial" w:hAnsi="Arial" w:eastAsia="宋体" w:cs="Arial"/>
                <w:spacing w:val="19"/>
                <w:sz w:val="21"/>
                <w:szCs w:val="21"/>
              </w:rPr>
              <w:t>《微型计算机能效限定值及能效</w:t>
            </w:r>
            <w:r>
              <w:rPr>
                <w:rFonts w:hint="default" w:ascii="Arial" w:hAnsi="Arial" w:eastAsia="宋体" w:cs="Arial"/>
                <w:spacing w:val="2"/>
                <w:sz w:val="21"/>
                <w:szCs w:val="21"/>
              </w:rPr>
              <w:t xml:space="preserve"> </w:t>
            </w:r>
            <w:r>
              <w:rPr>
                <w:rFonts w:hint="default" w:ascii="Arial" w:hAnsi="Arial" w:eastAsia="宋体" w:cs="Arial"/>
                <w:spacing w:val="6"/>
                <w:sz w:val="21"/>
                <w:szCs w:val="21"/>
              </w:rPr>
              <w:t>等级》（</w:t>
            </w:r>
            <w:r>
              <w:rPr>
                <w:rFonts w:hint="default" w:ascii="Arial" w:hAnsi="Arial" w:eastAsia="宋体" w:cs="Arial"/>
                <w:sz w:val="21"/>
                <w:szCs w:val="21"/>
              </w:rPr>
              <w:t>GB</w:t>
            </w:r>
            <w:r>
              <w:rPr>
                <w:rFonts w:hint="default" w:ascii="Arial" w:hAnsi="Arial" w:eastAsia="宋体" w:cs="Arial"/>
                <w:spacing w:val="6"/>
                <w:sz w:val="21"/>
                <w:szCs w:val="21"/>
              </w:rPr>
              <w:t xml:space="preserve"> 28380）</w:t>
            </w:r>
          </w:p>
        </w:tc>
      </w:tr>
      <w:tr w14:paraId="5F48F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87" w:type="dxa"/>
            <w:vMerge w:val="continue"/>
            <w:tcBorders>
              <w:top w:val="nil"/>
            </w:tcBorders>
            <w:vAlign w:val="top"/>
          </w:tcPr>
          <w:p w14:paraId="5AD3B477">
            <w:pPr>
              <w:rPr>
                <w:rFonts w:hint="default" w:ascii="Arial" w:hAnsi="Arial" w:eastAsia="宋体" w:cs="Arial"/>
                <w:sz w:val="21"/>
                <w:szCs w:val="21"/>
              </w:rPr>
            </w:pPr>
          </w:p>
        </w:tc>
        <w:tc>
          <w:tcPr>
            <w:tcW w:w="1050" w:type="dxa"/>
            <w:vMerge w:val="continue"/>
            <w:tcBorders>
              <w:top w:val="nil"/>
            </w:tcBorders>
            <w:vAlign w:val="top"/>
          </w:tcPr>
          <w:p w14:paraId="0C5EF5BF">
            <w:pPr>
              <w:rPr>
                <w:rFonts w:hint="default" w:ascii="Arial" w:hAnsi="Arial" w:eastAsia="宋体" w:cs="Arial"/>
                <w:sz w:val="21"/>
                <w:szCs w:val="21"/>
              </w:rPr>
            </w:pPr>
          </w:p>
        </w:tc>
        <w:tc>
          <w:tcPr>
            <w:tcW w:w="1786" w:type="dxa"/>
            <w:vAlign w:val="top"/>
          </w:tcPr>
          <w:p w14:paraId="0E8D6FD6">
            <w:pPr>
              <w:pStyle w:val="257"/>
              <w:spacing w:before="128" w:line="301" w:lineRule="auto"/>
              <w:ind w:left="15" w:right="10" w:firstLine="3"/>
              <w:rPr>
                <w:rFonts w:hint="default" w:ascii="Arial" w:hAnsi="Arial" w:eastAsia="宋体" w:cs="Arial"/>
                <w:sz w:val="21"/>
                <w:szCs w:val="21"/>
              </w:rPr>
            </w:pPr>
            <w:r>
              <w:rPr>
                <w:rFonts w:hint="default" w:ascii="Arial" w:hAnsi="Arial" w:eastAsia="宋体" w:cs="Arial"/>
                <w:spacing w:val="3"/>
                <w:sz w:val="21"/>
                <w:szCs w:val="21"/>
              </w:rPr>
              <w:t>★A02010107 平板式</w:t>
            </w:r>
            <w:r>
              <w:rPr>
                <w:rFonts w:hint="default" w:ascii="Arial" w:hAnsi="Arial" w:eastAsia="宋体" w:cs="Arial"/>
                <w:spacing w:val="12"/>
                <w:sz w:val="21"/>
                <w:szCs w:val="21"/>
              </w:rPr>
              <w:t xml:space="preserve"> </w:t>
            </w:r>
            <w:r>
              <w:rPr>
                <w:rFonts w:hint="default" w:ascii="Arial" w:hAnsi="Arial" w:eastAsia="宋体" w:cs="Arial"/>
                <w:spacing w:val="8"/>
                <w:sz w:val="21"/>
                <w:szCs w:val="21"/>
              </w:rPr>
              <w:t>微型计算机</w:t>
            </w:r>
          </w:p>
        </w:tc>
        <w:tc>
          <w:tcPr>
            <w:tcW w:w="1691" w:type="dxa"/>
            <w:vAlign w:val="top"/>
          </w:tcPr>
          <w:p w14:paraId="1D7B8C81">
            <w:pPr>
              <w:rPr>
                <w:rFonts w:hint="default" w:ascii="Arial" w:hAnsi="Arial" w:eastAsia="宋体" w:cs="Arial"/>
                <w:sz w:val="21"/>
                <w:szCs w:val="21"/>
              </w:rPr>
            </w:pPr>
          </w:p>
        </w:tc>
        <w:tc>
          <w:tcPr>
            <w:tcW w:w="4623" w:type="dxa"/>
            <w:vAlign w:val="top"/>
          </w:tcPr>
          <w:p w14:paraId="7C74F5E3">
            <w:pPr>
              <w:pStyle w:val="257"/>
              <w:spacing w:before="128" w:line="301" w:lineRule="auto"/>
              <w:ind w:left="19" w:right="11" w:firstLine="3"/>
              <w:rPr>
                <w:rFonts w:hint="default" w:ascii="Arial" w:hAnsi="Arial" w:eastAsia="宋体" w:cs="Arial"/>
                <w:sz w:val="21"/>
                <w:szCs w:val="21"/>
              </w:rPr>
            </w:pPr>
            <w:r>
              <w:rPr>
                <w:rFonts w:hint="default" w:ascii="Arial" w:hAnsi="Arial" w:eastAsia="宋体" w:cs="Arial"/>
                <w:spacing w:val="19"/>
                <w:sz w:val="21"/>
                <w:szCs w:val="21"/>
              </w:rPr>
              <w:t>《微型计算机能效限定值及能效</w:t>
            </w:r>
            <w:r>
              <w:rPr>
                <w:rFonts w:hint="default" w:ascii="Arial" w:hAnsi="Arial" w:eastAsia="宋体" w:cs="Arial"/>
                <w:spacing w:val="2"/>
                <w:sz w:val="21"/>
                <w:szCs w:val="21"/>
              </w:rPr>
              <w:t xml:space="preserve"> </w:t>
            </w:r>
            <w:r>
              <w:rPr>
                <w:rFonts w:hint="default" w:ascii="Arial" w:hAnsi="Arial" w:eastAsia="宋体" w:cs="Arial"/>
                <w:spacing w:val="6"/>
                <w:sz w:val="21"/>
                <w:szCs w:val="21"/>
              </w:rPr>
              <w:t>等级》（</w:t>
            </w:r>
            <w:r>
              <w:rPr>
                <w:rFonts w:hint="default" w:ascii="Arial" w:hAnsi="Arial" w:eastAsia="宋体" w:cs="Arial"/>
                <w:sz w:val="21"/>
                <w:szCs w:val="21"/>
              </w:rPr>
              <w:t>GB</w:t>
            </w:r>
            <w:r>
              <w:rPr>
                <w:rFonts w:hint="default" w:ascii="Arial" w:hAnsi="Arial" w:eastAsia="宋体" w:cs="Arial"/>
                <w:spacing w:val="6"/>
                <w:sz w:val="21"/>
                <w:szCs w:val="21"/>
              </w:rPr>
              <w:t xml:space="preserve"> 28380）</w:t>
            </w:r>
          </w:p>
        </w:tc>
      </w:tr>
      <w:tr w14:paraId="53F2F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87" w:type="dxa"/>
            <w:vMerge w:val="restart"/>
            <w:tcBorders>
              <w:bottom w:val="nil"/>
            </w:tcBorders>
            <w:vAlign w:val="top"/>
          </w:tcPr>
          <w:p w14:paraId="42DEF06C">
            <w:pPr>
              <w:spacing w:line="250" w:lineRule="auto"/>
              <w:rPr>
                <w:rFonts w:hint="default" w:ascii="Arial" w:hAnsi="Arial" w:eastAsia="宋体" w:cs="Arial"/>
                <w:sz w:val="21"/>
                <w:szCs w:val="21"/>
              </w:rPr>
            </w:pPr>
          </w:p>
          <w:p w14:paraId="2DF3F2B3">
            <w:pPr>
              <w:spacing w:line="251" w:lineRule="auto"/>
              <w:rPr>
                <w:rFonts w:hint="default" w:ascii="Arial" w:hAnsi="Arial" w:eastAsia="宋体" w:cs="Arial"/>
                <w:sz w:val="21"/>
                <w:szCs w:val="21"/>
              </w:rPr>
            </w:pPr>
          </w:p>
          <w:p w14:paraId="13EAE6DA">
            <w:pPr>
              <w:spacing w:line="251" w:lineRule="auto"/>
              <w:rPr>
                <w:rFonts w:hint="default" w:ascii="Arial" w:hAnsi="Arial" w:eastAsia="宋体" w:cs="Arial"/>
                <w:sz w:val="21"/>
                <w:szCs w:val="21"/>
              </w:rPr>
            </w:pPr>
          </w:p>
          <w:p w14:paraId="4DBFEF75">
            <w:pPr>
              <w:spacing w:line="251" w:lineRule="auto"/>
              <w:rPr>
                <w:rFonts w:hint="default" w:ascii="Arial" w:hAnsi="Arial" w:eastAsia="宋体" w:cs="Arial"/>
                <w:sz w:val="21"/>
                <w:szCs w:val="21"/>
              </w:rPr>
            </w:pPr>
          </w:p>
          <w:p w14:paraId="6709EF03">
            <w:pPr>
              <w:spacing w:line="251" w:lineRule="auto"/>
              <w:rPr>
                <w:rFonts w:hint="default" w:ascii="Arial" w:hAnsi="Arial" w:eastAsia="宋体" w:cs="Arial"/>
                <w:sz w:val="21"/>
                <w:szCs w:val="21"/>
              </w:rPr>
            </w:pPr>
          </w:p>
          <w:p w14:paraId="66613EC7">
            <w:pPr>
              <w:spacing w:line="251" w:lineRule="auto"/>
              <w:rPr>
                <w:rFonts w:hint="default" w:ascii="Arial" w:hAnsi="Arial" w:eastAsia="宋体" w:cs="Arial"/>
                <w:sz w:val="21"/>
                <w:szCs w:val="21"/>
              </w:rPr>
            </w:pPr>
          </w:p>
          <w:p w14:paraId="4946EADF">
            <w:pPr>
              <w:spacing w:line="251" w:lineRule="auto"/>
              <w:rPr>
                <w:rFonts w:hint="default" w:ascii="Arial" w:hAnsi="Arial" w:eastAsia="宋体" w:cs="Arial"/>
                <w:sz w:val="21"/>
                <w:szCs w:val="21"/>
              </w:rPr>
            </w:pPr>
          </w:p>
          <w:p w14:paraId="07C8A2A9">
            <w:pPr>
              <w:spacing w:line="251" w:lineRule="auto"/>
              <w:rPr>
                <w:rFonts w:hint="default" w:ascii="Arial" w:hAnsi="Arial" w:eastAsia="宋体" w:cs="Arial"/>
                <w:sz w:val="21"/>
                <w:szCs w:val="21"/>
              </w:rPr>
            </w:pPr>
          </w:p>
          <w:p w14:paraId="554BC166">
            <w:pPr>
              <w:pStyle w:val="257"/>
              <w:spacing w:before="61" w:line="258" w:lineRule="exact"/>
              <w:ind w:left="245"/>
              <w:rPr>
                <w:rFonts w:hint="default" w:ascii="Arial" w:hAnsi="Arial" w:eastAsia="宋体" w:cs="Arial"/>
                <w:sz w:val="21"/>
                <w:szCs w:val="21"/>
              </w:rPr>
            </w:pPr>
            <w:r>
              <w:rPr>
                <w:rFonts w:hint="default" w:ascii="Arial" w:hAnsi="Arial" w:eastAsia="宋体" w:cs="Arial"/>
                <w:position w:val="1"/>
                <w:sz w:val="21"/>
                <w:szCs w:val="21"/>
              </w:rPr>
              <w:t>2</w:t>
            </w:r>
          </w:p>
        </w:tc>
        <w:tc>
          <w:tcPr>
            <w:tcW w:w="1050" w:type="dxa"/>
            <w:vMerge w:val="restart"/>
            <w:tcBorders>
              <w:bottom w:val="nil"/>
            </w:tcBorders>
            <w:vAlign w:val="top"/>
          </w:tcPr>
          <w:p w14:paraId="57CB3C0F">
            <w:pPr>
              <w:spacing w:line="264" w:lineRule="auto"/>
              <w:rPr>
                <w:rFonts w:hint="default" w:ascii="Arial" w:hAnsi="Arial" w:eastAsia="宋体" w:cs="Arial"/>
                <w:sz w:val="21"/>
                <w:szCs w:val="21"/>
              </w:rPr>
            </w:pPr>
          </w:p>
          <w:p w14:paraId="3F33C448">
            <w:pPr>
              <w:spacing w:line="264" w:lineRule="auto"/>
              <w:rPr>
                <w:rFonts w:hint="default" w:ascii="Arial" w:hAnsi="Arial" w:eastAsia="宋体" w:cs="Arial"/>
                <w:sz w:val="21"/>
                <w:szCs w:val="21"/>
              </w:rPr>
            </w:pPr>
          </w:p>
          <w:p w14:paraId="6C6EE0C6">
            <w:pPr>
              <w:spacing w:line="264" w:lineRule="auto"/>
              <w:rPr>
                <w:rFonts w:hint="default" w:ascii="Arial" w:hAnsi="Arial" w:eastAsia="宋体" w:cs="Arial"/>
                <w:sz w:val="21"/>
                <w:szCs w:val="21"/>
              </w:rPr>
            </w:pPr>
          </w:p>
          <w:p w14:paraId="01ADF2A1">
            <w:pPr>
              <w:spacing w:line="265" w:lineRule="auto"/>
              <w:rPr>
                <w:rFonts w:hint="default" w:ascii="Arial" w:hAnsi="Arial" w:eastAsia="宋体" w:cs="Arial"/>
                <w:sz w:val="21"/>
                <w:szCs w:val="21"/>
              </w:rPr>
            </w:pPr>
          </w:p>
          <w:p w14:paraId="428C943E">
            <w:pPr>
              <w:spacing w:line="265" w:lineRule="auto"/>
              <w:rPr>
                <w:rFonts w:hint="default" w:ascii="Arial" w:hAnsi="Arial" w:eastAsia="宋体" w:cs="Arial"/>
                <w:sz w:val="21"/>
                <w:szCs w:val="21"/>
              </w:rPr>
            </w:pPr>
          </w:p>
          <w:p w14:paraId="03F5F8D9">
            <w:pPr>
              <w:spacing w:line="265" w:lineRule="auto"/>
              <w:rPr>
                <w:rFonts w:hint="default" w:ascii="Arial" w:hAnsi="Arial" w:eastAsia="宋体" w:cs="Arial"/>
                <w:sz w:val="21"/>
                <w:szCs w:val="21"/>
              </w:rPr>
            </w:pPr>
          </w:p>
          <w:p w14:paraId="66753446">
            <w:pPr>
              <w:spacing w:line="265" w:lineRule="auto"/>
              <w:rPr>
                <w:rFonts w:hint="default" w:ascii="Arial" w:hAnsi="Arial" w:eastAsia="宋体" w:cs="Arial"/>
                <w:sz w:val="21"/>
                <w:szCs w:val="21"/>
              </w:rPr>
            </w:pPr>
          </w:p>
          <w:p w14:paraId="5CDCB347">
            <w:pPr>
              <w:pStyle w:val="257"/>
              <w:spacing w:before="62" w:line="304" w:lineRule="auto"/>
              <w:ind w:left="14" w:right="8" w:hanging="5"/>
              <w:rPr>
                <w:rFonts w:hint="default" w:ascii="Arial" w:hAnsi="Arial" w:eastAsia="宋体" w:cs="Arial"/>
                <w:sz w:val="21"/>
                <w:szCs w:val="21"/>
              </w:rPr>
            </w:pPr>
            <w:r>
              <w:rPr>
                <w:rFonts w:hint="default" w:ascii="Arial" w:hAnsi="Arial" w:eastAsia="宋体" w:cs="Arial"/>
                <w:spacing w:val="5"/>
                <w:sz w:val="21"/>
                <w:szCs w:val="21"/>
              </w:rPr>
              <w:t>A020106</w:t>
            </w:r>
            <w:r>
              <w:rPr>
                <w:rFonts w:hint="default" w:ascii="Arial" w:hAnsi="Arial" w:eastAsia="宋体" w:cs="Arial"/>
                <w:spacing w:val="-43"/>
                <w:sz w:val="21"/>
                <w:szCs w:val="21"/>
              </w:rPr>
              <w:t xml:space="preserve"> </w:t>
            </w:r>
            <w:r>
              <w:rPr>
                <w:rFonts w:hint="default" w:ascii="Arial" w:hAnsi="Arial" w:eastAsia="宋体" w:cs="Arial"/>
                <w:spacing w:val="5"/>
                <w:sz w:val="21"/>
                <w:szCs w:val="21"/>
              </w:rPr>
              <w:t>输入</w:t>
            </w:r>
            <w:r>
              <w:rPr>
                <w:rFonts w:hint="default" w:ascii="Arial" w:hAnsi="Arial" w:eastAsia="宋体" w:cs="Arial"/>
                <w:sz w:val="21"/>
                <w:szCs w:val="21"/>
              </w:rPr>
              <w:t xml:space="preserve"> </w:t>
            </w:r>
            <w:r>
              <w:rPr>
                <w:rFonts w:hint="default" w:ascii="Arial" w:hAnsi="Arial" w:eastAsia="宋体" w:cs="Arial"/>
                <w:spacing w:val="7"/>
                <w:sz w:val="21"/>
                <w:szCs w:val="21"/>
              </w:rPr>
              <w:t>输出设备</w:t>
            </w:r>
          </w:p>
        </w:tc>
        <w:tc>
          <w:tcPr>
            <w:tcW w:w="1786" w:type="dxa"/>
            <w:vMerge w:val="restart"/>
            <w:tcBorders>
              <w:bottom w:val="nil"/>
            </w:tcBorders>
            <w:vAlign w:val="top"/>
          </w:tcPr>
          <w:p w14:paraId="6337D827">
            <w:pPr>
              <w:spacing w:line="315" w:lineRule="auto"/>
              <w:rPr>
                <w:rFonts w:hint="default" w:ascii="Arial" w:hAnsi="Arial" w:eastAsia="宋体" w:cs="Arial"/>
                <w:sz w:val="21"/>
                <w:szCs w:val="21"/>
              </w:rPr>
            </w:pPr>
          </w:p>
          <w:p w14:paraId="7A823806">
            <w:pPr>
              <w:spacing w:line="315" w:lineRule="auto"/>
              <w:rPr>
                <w:rFonts w:hint="default" w:ascii="Arial" w:hAnsi="Arial" w:eastAsia="宋体" w:cs="Arial"/>
                <w:sz w:val="21"/>
                <w:szCs w:val="21"/>
              </w:rPr>
            </w:pPr>
          </w:p>
          <w:p w14:paraId="3D3BFA49">
            <w:pPr>
              <w:spacing w:line="315" w:lineRule="auto"/>
              <w:rPr>
                <w:rFonts w:hint="default" w:ascii="Arial" w:hAnsi="Arial" w:eastAsia="宋体" w:cs="Arial"/>
                <w:sz w:val="21"/>
                <w:szCs w:val="21"/>
              </w:rPr>
            </w:pPr>
          </w:p>
          <w:p w14:paraId="25EE30A5">
            <w:pPr>
              <w:pStyle w:val="257"/>
              <w:spacing w:before="62" w:line="229" w:lineRule="auto"/>
              <w:ind w:left="9"/>
              <w:rPr>
                <w:rFonts w:hint="default" w:ascii="Arial" w:hAnsi="Arial" w:eastAsia="宋体" w:cs="Arial"/>
                <w:sz w:val="21"/>
                <w:szCs w:val="21"/>
              </w:rPr>
            </w:pPr>
            <w:r>
              <w:rPr>
                <w:rFonts w:hint="default" w:ascii="Arial" w:hAnsi="Arial" w:eastAsia="宋体" w:cs="Arial"/>
                <w:spacing w:val="5"/>
                <w:sz w:val="21"/>
                <w:szCs w:val="21"/>
              </w:rPr>
              <w:t>A02010601</w:t>
            </w:r>
            <w:r>
              <w:rPr>
                <w:rFonts w:hint="default" w:ascii="Arial" w:hAnsi="Arial" w:eastAsia="宋体" w:cs="Arial"/>
                <w:spacing w:val="-28"/>
                <w:sz w:val="21"/>
                <w:szCs w:val="21"/>
              </w:rPr>
              <w:t xml:space="preserve"> </w:t>
            </w:r>
            <w:r>
              <w:rPr>
                <w:rFonts w:hint="default" w:ascii="Arial" w:hAnsi="Arial" w:eastAsia="宋体" w:cs="Arial"/>
                <w:spacing w:val="5"/>
                <w:sz w:val="21"/>
                <w:szCs w:val="21"/>
              </w:rPr>
              <w:t>打印设备</w:t>
            </w:r>
          </w:p>
        </w:tc>
        <w:tc>
          <w:tcPr>
            <w:tcW w:w="1691" w:type="dxa"/>
            <w:vAlign w:val="top"/>
          </w:tcPr>
          <w:p w14:paraId="7F31F808">
            <w:pPr>
              <w:pStyle w:val="257"/>
              <w:spacing w:before="114" w:line="297" w:lineRule="auto"/>
              <w:ind w:left="31" w:right="8" w:hanging="21"/>
              <w:rPr>
                <w:rFonts w:hint="default" w:ascii="Arial" w:hAnsi="Arial" w:eastAsia="宋体" w:cs="Arial"/>
                <w:sz w:val="21"/>
                <w:szCs w:val="21"/>
              </w:rPr>
            </w:pPr>
            <w:r>
              <w:rPr>
                <w:rFonts w:hint="default" w:ascii="Arial" w:hAnsi="Arial" w:eastAsia="宋体" w:cs="Arial"/>
                <w:spacing w:val="3"/>
                <w:sz w:val="21"/>
                <w:szCs w:val="21"/>
              </w:rPr>
              <w:t>A0201060101</w:t>
            </w:r>
            <w:r>
              <w:rPr>
                <w:rFonts w:hint="default" w:ascii="Arial" w:hAnsi="Arial" w:eastAsia="宋体" w:cs="Arial"/>
                <w:spacing w:val="50"/>
                <w:sz w:val="21"/>
                <w:szCs w:val="21"/>
              </w:rPr>
              <w:t xml:space="preserve"> </w:t>
            </w:r>
            <w:r>
              <w:rPr>
                <w:rFonts w:hint="default" w:ascii="Arial" w:hAnsi="Arial" w:eastAsia="宋体" w:cs="Arial"/>
                <w:spacing w:val="3"/>
                <w:sz w:val="21"/>
                <w:szCs w:val="21"/>
              </w:rPr>
              <w:t>喷</w:t>
            </w:r>
            <w:r>
              <w:rPr>
                <w:rFonts w:hint="default" w:ascii="Arial" w:hAnsi="Arial" w:eastAsia="宋体" w:cs="Arial"/>
                <w:spacing w:val="-51"/>
                <w:sz w:val="21"/>
                <w:szCs w:val="21"/>
              </w:rPr>
              <w:t xml:space="preserve"> </w:t>
            </w:r>
            <w:r>
              <w:rPr>
                <w:rFonts w:hint="default" w:ascii="Arial" w:hAnsi="Arial" w:eastAsia="宋体" w:cs="Arial"/>
                <w:spacing w:val="3"/>
                <w:sz w:val="21"/>
                <w:szCs w:val="21"/>
              </w:rPr>
              <w:t>墨</w:t>
            </w:r>
            <w:r>
              <w:rPr>
                <w:rFonts w:hint="default" w:ascii="Arial" w:hAnsi="Arial" w:eastAsia="宋体" w:cs="Arial"/>
                <w:spacing w:val="-53"/>
                <w:sz w:val="21"/>
                <w:szCs w:val="21"/>
              </w:rPr>
              <w:t xml:space="preserve"> </w:t>
            </w:r>
            <w:r>
              <w:rPr>
                <w:rFonts w:hint="default" w:ascii="Arial" w:hAnsi="Arial" w:eastAsia="宋体" w:cs="Arial"/>
                <w:spacing w:val="3"/>
                <w:sz w:val="21"/>
                <w:szCs w:val="21"/>
              </w:rPr>
              <w:t>打</w:t>
            </w:r>
            <w:r>
              <w:rPr>
                <w:rFonts w:hint="default" w:ascii="Arial" w:hAnsi="Arial" w:eastAsia="宋体" w:cs="Arial"/>
                <w:sz w:val="21"/>
                <w:szCs w:val="21"/>
              </w:rPr>
              <w:t xml:space="preserve"> </w:t>
            </w:r>
            <w:r>
              <w:rPr>
                <w:rFonts w:hint="default" w:ascii="Arial" w:hAnsi="Arial" w:eastAsia="宋体" w:cs="Arial"/>
                <w:spacing w:val="-2"/>
                <w:sz w:val="21"/>
                <w:szCs w:val="21"/>
              </w:rPr>
              <w:t>印机</w:t>
            </w:r>
          </w:p>
        </w:tc>
        <w:tc>
          <w:tcPr>
            <w:tcW w:w="4623" w:type="dxa"/>
            <w:vAlign w:val="top"/>
          </w:tcPr>
          <w:p w14:paraId="77135BFF">
            <w:pPr>
              <w:pStyle w:val="257"/>
              <w:spacing w:before="114" w:line="297" w:lineRule="auto"/>
              <w:ind w:left="22" w:right="13"/>
              <w:rPr>
                <w:rFonts w:hint="default" w:ascii="Arial" w:hAnsi="Arial" w:eastAsia="宋体" w:cs="Arial"/>
                <w:sz w:val="21"/>
                <w:szCs w:val="21"/>
              </w:rPr>
            </w:pPr>
            <w:r>
              <w:rPr>
                <w:rFonts w:hint="default" w:ascii="Arial" w:hAnsi="Arial" w:eastAsia="宋体" w:cs="Arial"/>
                <w:spacing w:val="5"/>
                <w:sz w:val="21"/>
                <w:szCs w:val="21"/>
              </w:rPr>
              <w:t>《复印机、打印机和传真机能效限</w:t>
            </w:r>
            <w:r>
              <w:rPr>
                <w:rFonts w:hint="default" w:ascii="Arial" w:hAnsi="Arial" w:eastAsia="宋体" w:cs="Arial"/>
                <w:sz w:val="21"/>
                <w:szCs w:val="21"/>
              </w:rPr>
              <w:t xml:space="preserve"> </w:t>
            </w:r>
            <w:r>
              <w:rPr>
                <w:rFonts w:hint="default" w:ascii="Arial" w:hAnsi="Arial" w:eastAsia="宋体" w:cs="Arial"/>
                <w:spacing w:val="7"/>
                <w:sz w:val="21"/>
                <w:szCs w:val="21"/>
              </w:rPr>
              <w:t>定值及能效等级》（</w:t>
            </w:r>
            <w:r>
              <w:rPr>
                <w:rFonts w:hint="default" w:ascii="Arial" w:hAnsi="Arial" w:eastAsia="宋体" w:cs="Arial"/>
                <w:sz w:val="21"/>
                <w:szCs w:val="21"/>
              </w:rPr>
              <w:t>GB</w:t>
            </w:r>
            <w:r>
              <w:rPr>
                <w:rFonts w:hint="default" w:ascii="Arial" w:hAnsi="Arial" w:eastAsia="宋体" w:cs="Arial"/>
                <w:spacing w:val="7"/>
                <w:sz w:val="21"/>
                <w:szCs w:val="21"/>
              </w:rPr>
              <w:t xml:space="preserve"> 21521）</w:t>
            </w:r>
          </w:p>
        </w:tc>
      </w:tr>
      <w:tr w14:paraId="161A8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87" w:type="dxa"/>
            <w:vMerge w:val="continue"/>
            <w:tcBorders>
              <w:top w:val="nil"/>
              <w:bottom w:val="nil"/>
            </w:tcBorders>
            <w:vAlign w:val="top"/>
          </w:tcPr>
          <w:p w14:paraId="113919B2">
            <w:pPr>
              <w:rPr>
                <w:rFonts w:hint="default" w:ascii="Arial" w:hAnsi="Arial" w:eastAsia="宋体" w:cs="Arial"/>
                <w:sz w:val="21"/>
                <w:szCs w:val="21"/>
              </w:rPr>
            </w:pPr>
          </w:p>
        </w:tc>
        <w:tc>
          <w:tcPr>
            <w:tcW w:w="1050" w:type="dxa"/>
            <w:vMerge w:val="continue"/>
            <w:tcBorders>
              <w:top w:val="nil"/>
              <w:bottom w:val="nil"/>
            </w:tcBorders>
            <w:vAlign w:val="top"/>
          </w:tcPr>
          <w:p w14:paraId="5A8B70EA">
            <w:pPr>
              <w:rPr>
                <w:rFonts w:hint="default" w:ascii="Arial" w:hAnsi="Arial" w:eastAsia="宋体" w:cs="Arial"/>
                <w:sz w:val="21"/>
                <w:szCs w:val="21"/>
              </w:rPr>
            </w:pPr>
          </w:p>
        </w:tc>
        <w:tc>
          <w:tcPr>
            <w:tcW w:w="1786" w:type="dxa"/>
            <w:vMerge w:val="continue"/>
            <w:tcBorders>
              <w:top w:val="nil"/>
              <w:bottom w:val="nil"/>
            </w:tcBorders>
            <w:vAlign w:val="top"/>
          </w:tcPr>
          <w:p w14:paraId="1BABABE3">
            <w:pPr>
              <w:rPr>
                <w:rFonts w:hint="default" w:ascii="Arial" w:hAnsi="Arial" w:eastAsia="宋体" w:cs="Arial"/>
                <w:sz w:val="21"/>
                <w:szCs w:val="21"/>
              </w:rPr>
            </w:pPr>
          </w:p>
        </w:tc>
        <w:tc>
          <w:tcPr>
            <w:tcW w:w="1691" w:type="dxa"/>
            <w:vAlign w:val="top"/>
          </w:tcPr>
          <w:p w14:paraId="1829A827">
            <w:pPr>
              <w:pStyle w:val="257"/>
              <w:spacing w:before="116" w:line="296" w:lineRule="auto"/>
              <w:ind w:left="19" w:right="8"/>
              <w:rPr>
                <w:rFonts w:hint="default" w:ascii="Arial" w:hAnsi="Arial" w:eastAsia="宋体" w:cs="Arial"/>
                <w:sz w:val="21"/>
                <w:szCs w:val="21"/>
              </w:rPr>
            </w:pPr>
            <w:r>
              <w:rPr>
                <w:rFonts w:hint="default" w:ascii="Arial" w:hAnsi="Arial" w:eastAsia="宋体" w:cs="Arial"/>
                <w:spacing w:val="3"/>
                <w:sz w:val="21"/>
                <w:szCs w:val="21"/>
              </w:rPr>
              <w:t>★</w:t>
            </w:r>
            <w:r>
              <w:rPr>
                <w:rFonts w:hint="default" w:ascii="Arial" w:hAnsi="Arial" w:eastAsia="宋体" w:cs="Arial"/>
                <w:spacing w:val="-50"/>
                <w:sz w:val="21"/>
                <w:szCs w:val="21"/>
              </w:rPr>
              <w:t xml:space="preserve"> </w:t>
            </w:r>
            <w:r>
              <w:rPr>
                <w:rFonts w:hint="default" w:ascii="Arial" w:hAnsi="Arial" w:eastAsia="宋体" w:cs="Arial"/>
                <w:spacing w:val="3"/>
                <w:sz w:val="21"/>
                <w:szCs w:val="21"/>
              </w:rPr>
              <w:t>A0201060102</w:t>
            </w:r>
            <w:r>
              <w:rPr>
                <w:rFonts w:hint="default" w:ascii="Arial" w:hAnsi="Arial" w:eastAsia="宋体" w:cs="Arial"/>
                <w:spacing w:val="41"/>
                <w:sz w:val="21"/>
                <w:szCs w:val="21"/>
              </w:rPr>
              <w:t xml:space="preserve"> </w:t>
            </w:r>
            <w:r>
              <w:rPr>
                <w:rFonts w:hint="default" w:ascii="Arial" w:hAnsi="Arial" w:eastAsia="宋体" w:cs="Arial"/>
                <w:spacing w:val="3"/>
                <w:sz w:val="21"/>
                <w:szCs w:val="21"/>
              </w:rPr>
              <w:t>激</w:t>
            </w:r>
            <w:r>
              <w:rPr>
                <w:rFonts w:hint="default" w:ascii="Arial" w:hAnsi="Arial" w:eastAsia="宋体" w:cs="Arial"/>
                <w:spacing w:val="-54"/>
                <w:sz w:val="21"/>
                <w:szCs w:val="21"/>
              </w:rPr>
              <w:t xml:space="preserve"> </w:t>
            </w:r>
            <w:r>
              <w:rPr>
                <w:rFonts w:hint="default" w:ascii="Arial" w:hAnsi="Arial" w:eastAsia="宋体" w:cs="Arial"/>
                <w:spacing w:val="3"/>
                <w:sz w:val="21"/>
                <w:szCs w:val="21"/>
              </w:rPr>
              <w:t>光</w:t>
            </w:r>
            <w:r>
              <w:rPr>
                <w:rFonts w:hint="default" w:ascii="Arial" w:hAnsi="Arial" w:eastAsia="宋体" w:cs="Arial"/>
                <w:sz w:val="21"/>
                <w:szCs w:val="21"/>
              </w:rPr>
              <w:t xml:space="preserve"> </w:t>
            </w:r>
            <w:r>
              <w:rPr>
                <w:rFonts w:hint="default" w:ascii="Arial" w:hAnsi="Arial" w:eastAsia="宋体" w:cs="Arial"/>
                <w:spacing w:val="5"/>
                <w:sz w:val="21"/>
                <w:szCs w:val="21"/>
              </w:rPr>
              <w:t>打印机</w:t>
            </w:r>
          </w:p>
        </w:tc>
        <w:tc>
          <w:tcPr>
            <w:tcW w:w="4623" w:type="dxa"/>
            <w:vAlign w:val="top"/>
          </w:tcPr>
          <w:p w14:paraId="7EC2AD05">
            <w:pPr>
              <w:pStyle w:val="257"/>
              <w:spacing w:before="116" w:line="296" w:lineRule="auto"/>
              <w:ind w:left="22" w:right="13"/>
              <w:rPr>
                <w:rFonts w:hint="default" w:ascii="Arial" w:hAnsi="Arial" w:eastAsia="宋体" w:cs="Arial"/>
                <w:sz w:val="21"/>
                <w:szCs w:val="21"/>
              </w:rPr>
            </w:pPr>
            <w:r>
              <w:rPr>
                <w:rFonts w:hint="default" w:ascii="Arial" w:hAnsi="Arial" w:eastAsia="宋体" w:cs="Arial"/>
                <w:spacing w:val="5"/>
                <w:sz w:val="21"/>
                <w:szCs w:val="21"/>
              </w:rPr>
              <w:t>《复印机、打印机和传真机能效限</w:t>
            </w:r>
            <w:r>
              <w:rPr>
                <w:rFonts w:hint="default" w:ascii="Arial" w:hAnsi="Arial" w:eastAsia="宋体" w:cs="Arial"/>
                <w:sz w:val="21"/>
                <w:szCs w:val="21"/>
              </w:rPr>
              <w:t xml:space="preserve"> </w:t>
            </w:r>
            <w:r>
              <w:rPr>
                <w:rFonts w:hint="default" w:ascii="Arial" w:hAnsi="Arial" w:eastAsia="宋体" w:cs="Arial"/>
                <w:spacing w:val="7"/>
                <w:sz w:val="21"/>
                <w:szCs w:val="21"/>
              </w:rPr>
              <w:t>定值及能效等级》（</w:t>
            </w:r>
            <w:r>
              <w:rPr>
                <w:rFonts w:hint="default" w:ascii="Arial" w:hAnsi="Arial" w:eastAsia="宋体" w:cs="Arial"/>
                <w:sz w:val="21"/>
                <w:szCs w:val="21"/>
              </w:rPr>
              <w:t>GB</w:t>
            </w:r>
            <w:r>
              <w:rPr>
                <w:rFonts w:hint="default" w:ascii="Arial" w:hAnsi="Arial" w:eastAsia="宋体" w:cs="Arial"/>
                <w:spacing w:val="7"/>
                <w:sz w:val="21"/>
                <w:szCs w:val="21"/>
              </w:rPr>
              <w:t xml:space="preserve"> 21521）</w:t>
            </w:r>
          </w:p>
        </w:tc>
      </w:tr>
      <w:tr w14:paraId="64666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87" w:type="dxa"/>
            <w:vMerge w:val="continue"/>
            <w:tcBorders>
              <w:top w:val="nil"/>
              <w:bottom w:val="nil"/>
            </w:tcBorders>
            <w:vAlign w:val="top"/>
          </w:tcPr>
          <w:p w14:paraId="58C0881B">
            <w:pPr>
              <w:rPr>
                <w:rFonts w:hint="default" w:ascii="Arial" w:hAnsi="Arial" w:eastAsia="宋体" w:cs="Arial"/>
                <w:sz w:val="21"/>
                <w:szCs w:val="21"/>
              </w:rPr>
            </w:pPr>
          </w:p>
        </w:tc>
        <w:tc>
          <w:tcPr>
            <w:tcW w:w="1050" w:type="dxa"/>
            <w:vMerge w:val="continue"/>
            <w:tcBorders>
              <w:top w:val="nil"/>
              <w:bottom w:val="nil"/>
            </w:tcBorders>
            <w:vAlign w:val="top"/>
          </w:tcPr>
          <w:p w14:paraId="2084B94C">
            <w:pPr>
              <w:rPr>
                <w:rFonts w:hint="default" w:ascii="Arial" w:hAnsi="Arial" w:eastAsia="宋体" w:cs="Arial"/>
                <w:sz w:val="21"/>
                <w:szCs w:val="21"/>
              </w:rPr>
            </w:pPr>
          </w:p>
        </w:tc>
        <w:tc>
          <w:tcPr>
            <w:tcW w:w="1786" w:type="dxa"/>
            <w:vMerge w:val="continue"/>
            <w:tcBorders>
              <w:top w:val="nil"/>
            </w:tcBorders>
            <w:vAlign w:val="top"/>
          </w:tcPr>
          <w:p w14:paraId="59040E5C">
            <w:pPr>
              <w:rPr>
                <w:rFonts w:hint="default" w:ascii="Arial" w:hAnsi="Arial" w:eastAsia="宋体" w:cs="Arial"/>
                <w:sz w:val="21"/>
                <w:szCs w:val="21"/>
              </w:rPr>
            </w:pPr>
          </w:p>
        </w:tc>
        <w:tc>
          <w:tcPr>
            <w:tcW w:w="1691" w:type="dxa"/>
            <w:vAlign w:val="top"/>
          </w:tcPr>
          <w:p w14:paraId="23C697E9">
            <w:pPr>
              <w:pStyle w:val="257"/>
              <w:spacing w:before="116" w:line="296" w:lineRule="auto"/>
              <w:ind w:left="19" w:right="8"/>
              <w:rPr>
                <w:rFonts w:hint="default" w:ascii="Arial" w:hAnsi="Arial" w:eastAsia="宋体" w:cs="Arial"/>
                <w:sz w:val="21"/>
                <w:szCs w:val="21"/>
              </w:rPr>
            </w:pPr>
            <w:r>
              <w:rPr>
                <w:rFonts w:hint="default" w:ascii="Arial" w:hAnsi="Arial" w:eastAsia="宋体" w:cs="Arial"/>
                <w:spacing w:val="3"/>
                <w:sz w:val="21"/>
                <w:szCs w:val="21"/>
              </w:rPr>
              <w:t>★</w:t>
            </w:r>
            <w:r>
              <w:rPr>
                <w:rFonts w:hint="default" w:ascii="Arial" w:hAnsi="Arial" w:eastAsia="宋体" w:cs="Arial"/>
                <w:spacing w:val="-54"/>
                <w:sz w:val="21"/>
                <w:szCs w:val="21"/>
              </w:rPr>
              <w:t xml:space="preserve"> </w:t>
            </w:r>
            <w:r>
              <w:rPr>
                <w:rFonts w:hint="default" w:ascii="Arial" w:hAnsi="Arial" w:eastAsia="宋体" w:cs="Arial"/>
                <w:spacing w:val="3"/>
                <w:sz w:val="21"/>
                <w:szCs w:val="21"/>
              </w:rPr>
              <w:t>A0201060104</w:t>
            </w:r>
            <w:r>
              <w:rPr>
                <w:rFonts w:hint="default" w:ascii="Arial" w:hAnsi="Arial" w:eastAsia="宋体" w:cs="Arial"/>
                <w:spacing w:val="43"/>
                <w:sz w:val="21"/>
                <w:szCs w:val="21"/>
              </w:rPr>
              <w:t xml:space="preserve"> </w:t>
            </w:r>
            <w:r>
              <w:rPr>
                <w:rFonts w:hint="default" w:ascii="Arial" w:hAnsi="Arial" w:eastAsia="宋体" w:cs="Arial"/>
                <w:spacing w:val="3"/>
                <w:sz w:val="21"/>
                <w:szCs w:val="21"/>
              </w:rPr>
              <w:t>针</w:t>
            </w:r>
            <w:r>
              <w:rPr>
                <w:rFonts w:hint="default" w:ascii="Arial" w:hAnsi="Arial" w:eastAsia="宋体" w:cs="Arial"/>
                <w:spacing w:val="-52"/>
                <w:sz w:val="21"/>
                <w:szCs w:val="21"/>
              </w:rPr>
              <w:t xml:space="preserve"> </w:t>
            </w:r>
            <w:r>
              <w:rPr>
                <w:rFonts w:hint="default" w:ascii="Arial" w:hAnsi="Arial" w:eastAsia="宋体" w:cs="Arial"/>
                <w:spacing w:val="3"/>
                <w:sz w:val="21"/>
                <w:szCs w:val="21"/>
              </w:rPr>
              <w:t>式</w:t>
            </w:r>
            <w:r>
              <w:rPr>
                <w:rFonts w:hint="default" w:ascii="Arial" w:hAnsi="Arial" w:eastAsia="宋体" w:cs="Arial"/>
                <w:sz w:val="21"/>
                <w:szCs w:val="21"/>
              </w:rPr>
              <w:t xml:space="preserve"> </w:t>
            </w:r>
            <w:r>
              <w:rPr>
                <w:rFonts w:hint="default" w:ascii="Arial" w:hAnsi="Arial" w:eastAsia="宋体" w:cs="Arial"/>
                <w:spacing w:val="5"/>
                <w:sz w:val="21"/>
                <w:szCs w:val="21"/>
              </w:rPr>
              <w:t>打印机</w:t>
            </w:r>
          </w:p>
        </w:tc>
        <w:tc>
          <w:tcPr>
            <w:tcW w:w="4623" w:type="dxa"/>
            <w:vAlign w:val="top"/>
          </w:tcPr>
          <w:p w14:paraId="729BCEFE">
            <w:pPr>
              <w:pStyle w:val="257"/>
              <w:spacing w:before="116" w:line="296" w:lineRule="auto"/>
              <w:ind w:left="22" w:right="13"/>
              <w:rPr>
                <w:rFonts w:hint="default" w:ascii="Arial" w:hAnsi="Arial" w:eastAsia="宋体" w:cs="Arial"/>
                <w:sz w:val="21"/>
                <w:szCs w:val="21"/>
              </w:rPr>
            </w:pPr>
            <w:r>
              <w:rPr>
                <w:rFonts w:hint="default" w:ascii="Arial" w:hAnsi="Arial" w:eastAsia="宋体" w:cs="Arial"/>
                <w:spacing w:val="5"/>
                <w:sz w:val="21"/>
                <w:szCs w:val="21"/>
              </w:rPr>
              <w:t>《复印机、打印机和传真机能效限</w:t>
            </w:r>
            <w:r>
              <w:rPr>
                <w:rFonts w:hint="default" w:ascii="Arial" w:hAnsi="Arial" w:eastAsia="宋体" w:cs="Arial"/>
                <w:sz w:val="21"/>
                <w:szCs w:val="21"/>
              </w:rPr>
              <w:t xml:space="preserve"> </w:t>
            </w:r>
            <w:r>
              <w:rPr>
                <w:rFonts w:hint="default" w:ascii="Arial" w:hAnsi="Arial" w:eastAsia="宋体" w:cs="Arial"/>
                <w:spacing w:val="7"/>
                <w:sz w:val="21"/>
                <w:szCs w:val="21"/>
              </w:rPr>
              <w:t>定值及能效等级》（</w:t>
            </w:r>
            <w:r>
              <w:rPr>
                <w:rFonts w:hint="default" w:ascii="Arial" w:hAnsi="Arial" w:eastAsia="宋体" w:cs="Arial"/>
                <w:sz w:val="21"/>
                <w:szCs w:val="21"/>
              </w:rPr>
              <w:t>GB</w:t>
            </w:r>
            <w:r>
              <w:rPr>
                <w:rFonts w:hint="default" w:ascii="Arial" w:hAnsi="Arial" w:eastAsia="宋体" w:cs="Arial"/>
                <w:spacing w:val="7"/>
                <w:sz w:val="21"/>
                <w:szCs w:val="21"/>
              </w:rPr>
              <w:t xml:space="preserve"> 21521）</w:t>
            </w:r>
          </w:p>
        </w:tc>
      </w:tr>
      <w:tr w14:paraId="67C0E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87" w:type="dxa"/>
            <w:vMerge w:val="continue"/>
            <w:tcBorders>
              <w:top w:val="nil"/>
              <w:bottom w:val="nil"/>
            </w:tcBorders>
            <w:vAlign w:val="top"/>
          </w:tcPr>
          <w:p w14:paraId="6E8A581E">
            <w:pPr>
              <w:rPr>
                <w:rFonts w:hint="default" w:ascii="Arial" w:hAnsi="Arial" w:eastAsia="宋体" w:cs="Arial"/>
                <w:sz w:val="21"/>
                <w:szCs w:val="21"/>
              </w:rPr>
            </w:pPr>
          </w:p>
        </w:tc>
        <w:tc>
          <w:tcPr>
            <w:tcW w:w="1050" w:type="dxa"/>
            <w:vMerge w:val="continue"/>
            <w:tcBorders>
              <w:top w:val="nil"/>
              <w:bottom w:val="nil"/>
            </w:tcBorders>
            <w:vAlign w:val="top"/>
          </w:tcPr>
          <w:p w14:paraId="48AD7B59">
            <w:pPr>
              <w:rPr>
                <w:rFonts w:hint="default" w:ascii="Arial" w:hAnsi="Arial" w:eastAsia="宋体" w:cs="Arial"/>
                <w:sz w:val="21"/>
                <w:szCs w:val="21"/>
              </w:rPr>
            </w:pPr>
          </w:p>
        </w:tc>
        <w:tc>
          <w:tcPr>
            <w:tcW w:w="1786" w:type="dxa"/>
            <w:vAlign w:val="top"/>
          </w:tcPr>
          <w:p w14:paraId="012842CB">
            <w:pPr>
              <w:pStyle w:val="257"/>
              <w:spacing w:before="290" w:line="230" w:lineRule="auto"/>
              <w:ind w:left="9"/>
              <w:rPr>
                <w:rFonts w:hint="default" w:ascii="Arial" w:hAnsi="Arial" w:eastAsia="宋体" w:cs="Arial"/>
                <w:sz w:val="21"/>
                <w:szCs w:val="21"/>
              </w:rPr>
            </w:pPr>
            <w:r>
              <w:rPr>
                <w:rFonts w:hint="default" w:ascii="Arial" w:hAnsi="Arial" w:eastAsia="宋体" w:cs="Arial"/>
                <w:spacing w:val="5"/>
                <w:sz w:val="21"/>
                <w:szCs w:val="21"/>
              </w:rPr>
              <w:t>A02010604</w:t>
            </w:r>
            <w:r>
              <w:rPr>
                <w:rFonts w:hint="default" w:ascii="Arial" w:hAnsi="Arial" w:eastAsia="宋体" w:cs="Arial"/>
                <w:spacing w:val="-28"/>
                <w:sz w:val="21"/>
                <w:szCs w:val="21"/>
              </w:rPr>
              <w:t xml:space="preserve"> </w:t>
            </w:r>
            <w:r>
              <w:rPr>
                <w:rFonts w:hint="default" w:ascii="Arial" w:hAnsi="Arial" w:eastAsia="宋体" w:cs="Arial"/>
                <w:spacing w:val="5"/>
                <w:sz w:val="21"/>
                <w:szCs w:val="21"/>
              </w:rPr>
              <w:t>显示设备</w:t>
            </w:r>
          </w:p>
        </w:tc>
        <w:tc>
          <w:tcPr>
            <w:tcW w:w="1691" w:type="dxa"/>
            <w:vAlign w:val="top"/>
          </w:tcPr>
          <w:p w14:paraId="5C12ACEB">
            <w:pPr>
              <w:pStyle w:val="257"/>
              <w:spacing w:before="133" w:line="303" w:lineRule="auto"/>
              <w:ind w:left="20" w:right="8" w:hanging="1"/>
              <w:rPr>
                <w:rFonts w:hint="default" w:ascii="Arial" w:hAnsi="Arial" w:eastAsia="宋体" w:cs="Arial"/>
                <w:sz w:val="21"/>
                <w:szCs w:val="21"/>
              </w:rPr>
            </w:pPr>
            <w:r>
              <w:rPr>
                <w:rFonts w:hint="default" w:ascii="Arial" w:hAnsi="Arial" w:eastAsia="宋体" w:cs="Arial"/>
                <w:spacing w:val="2"/>
                <w:sz w:val="21"/>
                <w:szCs w:val="21"/>
              </w:rPr>
              <w:t>★</w:t>
            </w:r>
            <w:r>
              <w:rPr>
                <w:rFonts w:hint="default" w:ascii="Arial" w:hAnsi="Arial" w:eastAsia="宋体" w:cs="Arial"/>
                <w:spacing w:val="-54"/>
                <w:sz w:val="21"/>
                <w:szCs w:val="21"/>
              </w:rPr>
              <w:t xml:space="preserve"> </w:t>
            </w:r>
            <w:r>
              <w:rPr>
                <w:rFonts w:hint="default" w:ascii="Arial" w:hAnsi="Arial" w:eastAsia="宋体" w:cs="Arial"/>
                <w:spacing w:val="2"/>
                <w:sz w:val="21"/>
                <w:szCs w:val="21"/>
              </w:rPr>
              <w:t>A0201060401</w:t>
            </w:r>
            <w:r>
              <w:rPr>
                <w:rFonts w:hint="default" w:ascii="Arial" w:hAnsi="Arial" w:eastAsia="宋体" w:cs="Arial"/>
                <w:spacing w:val="44"/>
                <w:sz w:val="21"/>
                <w:szCs w:val="21"/>
              </w:rPr>
              <w:t xml:space="preserve"> </w:t>
            </w:r>
            <w:r>
              <w:rPr>
                <w:rFonts w:hint="default" w:ascii="Arial" w:hAnsi="Arial" w:eastAsia="宋体" w:cs="Arial"/>
                <w:spacing w:val="2"/>
                <w:sz w:val="21"/>
                <w:szCs w:val="21"/>
              </w:rPr>
              <w:t>液</w:t>
            </w:r>
            <w:r>
              <w:rPr>
                <w:rFonts w:hint="default" w:ascii="Arial" w:hAnsi="Arial" w:eastAsia="宋体" w:cs="Arial"/>
                <w:spacing w:val="-39"/>
                <w:sz w:val="21"/>
                <w:szCs w:val="21"/>
              </w:rPr>
              <w:t xml:space="preserve"> </w:t>
            </w:r>
            <w:r>
              <w:rPr>
                <w:rFonts w:hint="default" w:ascii="Arial" w:hAnsi="Arial" w:eastAsia="宋体" w:cs="Arial"/>
                <w:spacing w:val="2"/>
                <w:sz w:val="21"/>
                <w:szCs w:val="21"/>
              </w:rPr>
              <w:t>晶</w:t>
            </w:r>
            <w:r>
              <w:rPr>
                <w:rFonts w:hint="default" w:ascii="Arial" w:hAnsi="Arial" w:eastAsia="宋体" w:cs="Arial"/>
                <w:sz w:val="21"/>
                <w:szCs w:val="21"/>
              </w:rPr>
              <w:t xml:space="preserve"> </w:t>
            </w:r>
            <w:r>
              <w:rPr>
                <w:rFonts w:hint="default" w:ascii="Arial" w:hAnsi="Arial" w:eastAsia="宋体" w:cs="Arial"/>
                <w:spacing w:val="5"/>
                <w:sz w:val="21"/>
                <w:szCs w:val="21"/>
              </w:rPr>
              <w:t>显示器</w:t>
            </w:r>
          </w:p>
        </w:tc>
        <w:tc>
          <w:tcPr>
            <w:tcW w:w="4623" w:type="dxa"/>
            <w:vAlign w:val="top"/>
          </w:tcPr>
          <w:p w14:paraId="18494CB7">
            <w:pPr>
              <w:pStyle w:val="257"/>
              <w:spacing w:before="133" w:line="303" w:lineRule="auto"/>
              <w:ind w:left="22" w:right="11"/>
              <w:rPr>
                <w:rFonts w:hint="default" w:ascii="Arial" w:hAnsi="Arial" w:eastAsia="宋体" w:cs="Arial"/>
                <w:sz w:val="21"/>
                <w:szCs w:val="21"/>
              </w:rPr>
            </w:pPr>
            <w:r>
              <w:rPr>
                <w:rFonts w:hint="default" w:ascii="Arial" w:hAnsi="Arial" w:eastAsia="宋体" w:cs="Arial"/>
                <w:spacing w:val="19"/>
                <w:sz w:val="21"/>
                <w:szCs w:val="21"/>
              </w:rPr>
              <w:t>《计算机显示器能效限定值及能</w:t>
            </w:r>
            <w:r>
              <w:rPr>
                <w:rFonts w:hint="default" w:ascii="Arial" w:hAnsi="Arial" w:eastAsia="宋体" w:cs="Arial"/>
                <w:spacing w:val="2"/>
                <w:sz w:val="21"/>
                <w:szCs w:val="21"/>
              </w:rPr>
              <w:t xml:space="preserve"> </w:t>
            </w:r>
            <w:r>
              <w:rPr>
                <w:rFonts w:hint="default" w:ascii="Arial" w:hAnsi="Arial" w:eastAsia="宋体" w:cs="Arial"/>
                <w:spacing w:val="6"/>
                <w:sz w:val="21"/>
                <w:szCs w:val="21"/>
              </w:rPr>
              <w:t>效等级》（</w:t>
            </w:r>
            <w:r>
              <w:rPr>
                <w:rFonts w:hint="default" w:ascii="Arial" w:hAnsi="Arial" w:eastAsia="宋体" w:cs="Arial"/>
                <w:sz w:val="21"/>
                <w:szCs w:val="21"/>
              </w:rPr>
              <w:t>GB</w:t>
            </w:r>
            <w:r>
              <w:rPr>
                <w:rFonts w:hint="default" w:ascii="Arial" w:hAnsi="Arial" w:eastAsia="宋体" w:cs="Arial"/>
                <w:spacing w:val="6"/>
                <w:sz w:val="21"/>
                <w:szCs w:val="21"/>
              </w:rPr>
              <w:t xml:space="preserve"> 21520）</w:t>
            </w:r>
          </w:p>
        </w:tc>
      </w:tr>
      <w:tr w14:paraId="227E7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87" w:type="dxa"/>
            <w:vMerge w:val="continue"/>
            <w:tcBorders>
              <w:top w:val="nil"/>
            </w:tcBorders>
            <w:vAlign w:val="top"/>
          </w:tcPr>
          <w:p w14:paraId="2D2B5A45">
            <w:pPr>
              <w:rPr>
                <w:rFonts w:hint="default" w:ascii="Arial" w:hAnsi="Arial" w:eastAsia="宋体" w:cs="Arial"/>
                <w:sz w:val="21"/>
                <w:szCs w:val="21"/>
              </w:rPr>
            </w:pPr>
          </w:p>
        </w:tc>
        <w:tc>
          <w:tcPr>
            <w:tcW w:w="1050" w:type="dxa"/>
            <w:vMerge w:val="continue"/>
            <w:tcBorders>
              <w:top w:val="nil"/>
            </w:tcBorders>
            <w:vAlign w:val="top"/>
          </w:tcPr>
          <w:p w14:paraId="6B725E32">
            <w:pPr>
              <w:rPr>
                <w:rFonts w:hint="default" w:ascii="Arial" w:hAnsi="Arial" w:eastAsia="宋体" w:cs="Arial"/>
                <w:sz w:val="21"/>
                <w:szCs w:val="21"/>
              </w:rPr>
            </w:pPr>
          </w:p>
        </w:tc>
        <w:tc>
          <w:tcPr>
            <w:tcW w:w="1786" w:type="dxa"/>
            <w:vAlign w:val="top"/>
          </w:tcPr>
          <w:p w14:paraId="6DAC4AEF">
            <w:pPr>
              <w:spacing w:line="364" w:lineRule="auto"/>
              <w:rPr>
                <w:rFonts w:hint="default" w:ascii="Arial" w:hAnsi="Arial" w:eastAsia="宋体" w:cs="Arial"/>
                <w:sz w:val="21"/>
                <w:szCs w:val="21"/>
              </w:rPr>
            </w:pPr>
          </w:p>
          <w:p w14:paraId="113F2740">
            <w:pPr>
              <w:pStyle w:val="257"/>
              <w:spacing w:before="62" w:line="304" w:lineRule="auto"/>
              <w:ind w:left="14" w:right="10" w:hanging="5"/>
              <w:rPr>
                <w:rFonts w:hint="default" w:ascii="Arial" w:hAnsi="Arial" w:eastAsia="宋体" w:cs="Arial"/>
                <w:sz w:val="21"/>
                <w:szCs w:val="21"/>
              </w:rPr>
            </w:pPr>
            <w:r>
              <w:rPr>
                <w:rFonts w:hint="default" w:ascii="Arial" w:hAnsi="Arial" w:eastAsia="宋体" w:cs="Arial"/>
                <w:spacing w:val="4"/>
                <w:sz w:val="21"/>
                <w:szCs w:val="21"/>
              </w:rPr>
              <w:t>A02010609 图形图像</w:t>
            </w:r>
            <w:r>
              <w:rPr>
                <w:rFonts w:hint="default" w:ascii="Arial" w:hAnsi="Arial" w:eastAsia="宋体" w:cs="Arial"/>
                <w:spacing w:val="7"/>
                <w:sz w:val="21"/>
                <w:szCs w:val="21"/>
              </w:rPr>
              <w:t xml:space="preserve"> 输入设备</w:t>
            </w:r>
          </w:p>
        </w:tc>
        <w:tc>
          <w:tcPr>
            <w:tcW w:w="1691" w:type="dxa"/>
            <w:vAlign w:val="top"/>
          </w:tcPr>
          <w:p w14:paraId="6805AE99">
            <w:pPr>
              <w:spacing w:line="259" w:lineRule="auto"/>
              <w:rPr>
                <w:rFonts w:hint="default" w:ascii="Arial" w:hAnsi="Arial" w:eastAsia="宋体" w:cs="Arial"/>
                <w:sz w:val="21"/>
                <w:szCs w:val="21"/>
              </w:rPr>
            </w:pPr>
          </w:p>
          <w:p w14:paraId="4DA0013E">
            <w:pPr>
              <w:spacing w:line="260" w:lineRule="auto"/>
              <w:rPr>
                <w:rFonts w:hint="default" w:ascii="Arial" w:hAnsi="Arial" w:eastAsia="宋体" w:cs="Arial"/>
                <w:sz w:val="21"/>
                <w:szCs w:val="21"/>
              </w:rPr>
            </w:pPr>
          </w:p>
          <w:p w14:paraId="68978D05">
            <w:pPr>
              <w:pStyle w:val="257"/>
              <w:spacing w:before="61" w:line="229" w:lineRule="auto"/>
              <w:ind w:left="10"/>
              <w:rPr>
                <w:rFonts w:hint="default" w:ascii="Arial" w:hAnsi="Arial" w:eastAsia="宋体" w:cs="Arial"/>
                <w:sz w:val="21"/>
                <w:szCs w:val="21"/>
              </w:rPr>
            </w:pPr>
            <w:r>
              <w:rPr>
                <w:rFonts w:hint="default" w:ascii="Arial" w:hAnsi="Arial" w:eastAsia="宋体" w:cs="Arial"/>
                <w:spacing w:val="5"/>
                <w:sz w:val="21"/>
                <w:szCs w:val="21"/>
              </w:rPr>
              <w:t>A0201060901</w:t>
            </w:r>
            <w:r>
              <w:rPr>
                <w:rFonts w:hint="default" w:ascii="Arial" w:hAnsi="Arial" w:eastAsia="宋体" w:cs="Arial"/>
                <w:spacing w:val="-34"/>
                <w:sz w:val="21"/>
                <w:szCs w:val="21"/>
              </w:rPr>
              <w:t xml:space="preserve"> </w:t>
            </w:r>
            <w:r>
              <w:rPr>
                <w:rFonts w:hint="default" w:ascii="Arial" w:hAnsi="Arial" w:eastAsia="宋体" w:cs="Arial"/>
                <w:spacing w:val="5"/>
                <w:sz w:val="21"/>
                <w:szCs w:val="21"/>
              </w:rPr>
              <w:t>扫描仪</w:t>
            </w:r>
          </w:p>
        </w:tc>
        <w:tc>
          <w:tcPr>
            <w:tcW w:w="4623" w:type="dxa"/>
            <w:vAlign w:val="top"/>
          </w:tcPr>
          <w:p w14:paraId="74E2A656">
            <w:pPr>
              <w:pStyle w:val="257"/>
              <w:spacing w:before="114" w:line="299" w:lineRule="auto"/>
              <w:ind w:left="22" w:hanging="3"/>
              <w:jc w:val="both"/>
              <w:rPr>
                <w:rFonts w:hint="default" w:ascii="Arial" w:hAnsi="Arial" w:eastAsia="宋体" w:cs="Arial"/>
                <w:sz w:val="21"/>
                <w:szCs w:val="21"/>
              </w:rPr>
            </w:pPr>
            <w:r>
              <w:rPr>
                <w:rFonts w:hint="default" w:ascii="Arial" w:hAnsi="Arial" w:eastAsia="宋体" w:cs="Arial"/>
                <w:sz w:val="21"/>
                <w:szCs w:val="21"/>
              </w:rPr>
              <w:t>参照《复印机、打印机和传真机能</w:t>
            </w:r>
            <w:r>
              <w:rPr>
                <w:rFonts w:hint="default" w:ascii="Arial" w:hAnsi="Arial" w:eastAsia="宋体" w:cs="Arial"/>
                <w:spacing w:val="3"/>
                <w:sz w:val="21"/>
                <w:szCs w:val="21"/>
              </w:rPr>
              <w:t xml:space="preserve">  </w:t>
            </w:r>
            <w:r>
              <w:rPr>
                <w:rFonts w:hint="default" w:ascii="Arial" w:hAnsi="Arial" w:eastAsia="宋体" w:cs="Arial"/>
                <w:spacing w:val="-4"/>
                <w:sz w:val="21"/>
                <w:szCs w:val="21"/>
              </w:rPr>
              <w:t>效限定值及能效等级》（GB</w:t>
            </w:r>
            <w:r>
              <w:rPr>
                <w:rFonts w:hint="default" w:ascii="Arial" w:hAnsi="Arial" w:eastAsia="宋体" w:cs="Arial"/>
                <w:spacing w:val="-24"/>
                <w:sz w:val="21"/>
                <w:szCs w:val="21"/>
              </w:rPr>
              <w:t xml:space="preserve"> </w:t>
            </w:r>
            <w:r>
              <w:rPr>
                <w:rFonts w:hint="default" w:ascii="Arial" w:hAnsi="Arial" w:eastAsia="宋体" w:cs="Arial"/>
                <w:spacing w:val="-4"/>
                <w:sz w:val="21"/>
                <w:szCs w:val="21"/>
              </w:rPr>
              <w:t>21521）</w:t>
            </w:r>
            <w:r>
              <w:rPr>
                <w:rFonts w:hint="default" w:ascii="Arial" w:hAnsi="Arial" w:eastAsia="宋体" w:cs="Arial"/>
                <w:sz w:val="21"/>
                <w:szCs w:val="21"/>
              </w:rPr>
              <w:t xml:space="preserve"> </w:t>
            </w:r>
            <w:r>
              <w:rPr>
                <w:rFonts w:hint="default" w:ascii="Arial" w:hAnsi="Arial" w:eastAsia="宋体" w:cs="Arial"/>
                <w:spacing w:val="4"/>
                <w:sz w:val="21"/>
                <w:szCs w:val="21"/>
              </w:rPr>
              <w:t>中打印速度为</w:t>
            </w:r>
            <w:r>
              <w:rPr>
                <w:rFonts w:hint="default" w:ascii="Arial" w:hAnsi="Arial" w:eastAsia="宋体" w:cs="Arial"/>
                <w:spacing w:val="38"/>
                <w:sz w:val="21"/>
                <w:szCs w:val="21"/>
              </w:rPr>
              <w:t xml:space="preserve"> </w:t>
            </w:r>
            <w:r>
              <w:rPr>
                <w:rFonts w:hint="default" w:ascii="Arial" w:hAnsi="Arial" w:eastAsia="宋体" w:cs="Arial"/>
                <w:spacing w:val="4"/>
                <w:sz w:val="21"/>
                <w:szCs w:val="21"/>
              </w:rPr>
              <w:t>15 页/分的针式打</w:t>
            </w:r>
            <w:r>
              <w:rPr>
                <w:rFonts w:hint="default" w:ascii="Arial" w:hAnsi="Arial" w:eastAsia="宋体" w:cs="Arial"/>
                <w:sz w:val="21"/>
                <w:szCs w:val="21"/>
              </w:rPr>
              <w:t xml:space="preserve">  </w:t>
            </w:r>
            <w:r>
              <w:rPr>
                <w:rFonts w:hint="default" w:ascii="Arial" w:hAnsi="Arial" w:eastAsia="宋体" w:cs="Arial"/>
                <w:spacing w:val="2"/>
                <w:sz w:val="21"/>
                <w:szCs w:val="21"/>
              </w:rPr>
              <w:t>印机相关要求</w:t>
            </w:r>
          </w:p>
        </w:tc>
      </w:tr>
      <w:tr w14:paraId="4363F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87" w:type="dxa"/>
            <w:vAlign w:val="top"/>
          </w:tcPr>
          <w:p w14:paraId="7DEEA9BA">
            <w:pPr>
              <w:pStyle w:val="257"/>
              <w:spacing w:before="246" w:line="256" w:lineRule="exact"/>
              <w:ind w:left="246"/>
              <w:rPr>
                <w:rFonts w:hint="default" w:ascii="Arial" w:hAnsi="Arial" w:eastAsia="宋体" w:cs="Arial"/>
                <w:sz w:val="21"/>
                <w:szCs w:val="21"/>
              </w:rPr>
            </w:pPr>
            <w:r>
              <w:rPr>
                <w:rFonts w:hint="default" w:ascii="Arial" w:hAnsi="Arial" w:eastAsia="宋体" w:cs="Arial"/>
                <w:position w:val="1"/>
                <w:sz w:val="21"/>
                <w:szCs w:val="21"/>
              </w:rPr>
              <w:t>3</w:t>
            </w:r>
          </w:p>
        </w:tc>
        <w:tc>
          <w:tcPr>
            <w:tcW w:w="1050" w:type="dxa"/>
            <w:vAlign w:val="top"/>
          </w:tcPr>
          <w:p w14:paraId="5A4B440B">
            <w:pPr>
              <w:pStyle w:val="257"/>
              <w:spacing w:before="90" w:line="281" w:lineRule="auto"/>
              <w:ind w:left="15" w:right="8" w:hanging="6"/>
              <w:rPr>
                <w:rFonts w:hint="default" w:ascii="Arial" w:hAnsi="Arial" w:eastAsia="宋体" w:cs="Arial"/>
                <w:sz w:val="21"/>
                <w:szCs w:val="21"/>
              </w:rPr>
            </w:pPr>
            <w:r>
              <w:rPr>
                <w:rFonts w:hint="default" w:ascii="Arial" w:hAnsi="Arial" w:eastAsia="宋体" w:cs="Arial"/>
                <w:spacing w:val="4"/>
                <w:sz w:val="21"/>
                <w:szCs w:val="21"/>
              </w:rPr>
              <w:t>A020202</w:t>
            </w:r>
            <w:r>
              <w:rPr>
                <w:rFonts w:hint="default" w:ascii="Arial" w:hAnsi="Arial" w:eastAsia="宋体" w:cs="Arial"/>
                <w:spacing w:val="-34"/>
                <w:sz w:val="21"/>
                <w:szCs w:val="21"/>
              </w:rPr>
              <w:t xml:space="preserve"> </w:t>
            </w:r>
            <w:r>
              <w:rPr>
                <w:rFonts w:hint="default" w:ascii="Arial" w:hAnsi="Arial" w:eastAsia="宋体" w:cs="Arial"/>
                <w:spacing w:val="4"/>
                <w:sz w:val="21"/>
                <w:szCs w:val="21"/>
              </w:rPr>
              <w:t>投影</w:t>
            </w:r>
            <w:r>
              <w:rPr>
                <w:rFonts w:hint="default" w:ascii="Arial" w:hAnsi="Arial" w:eastAsia="宋体" w:cs="Arial"/>
                <w:sz w:val="21"/>
                <w:szCs w:val="21"/>
              </w:rPr>
              <w:t xml:space="preserve"> 仪</w:t>
            </w:r>
          </w:p>
        </w:tc>
        <w:tc>
          <w:tcPr>
            <w:tcW w:w="1786" w:type="dxa"/>
            <w:vAlign w:val="top"/>
          </w:tcPr>
          <w:p w14:paraId="0D5D17E9">
            <w:pPr>
              <w:rPr>
                <w:rFonts w:hint="default" w:ascii="Arial" w:hAnsi="Arial" w:eastAsia="宋体" w:cs="Arial"/>
                <w:sz w:val="21"/>
                <w:szCs w:val="21"/>
              </w:rPr>
            </w:pPr>
          </w:p>
        </w:tc>
        <w:tc>
          <w:tcPr>
            <w:tcW w:w="1691" w:type="dxa"/>
            <w:vAlign w:val="top"/>
          </w:tcPr>
          <w:p w14:paraId="3227F6BA">
            <w:pPr>
              <w:rPr>
                <w:rFonts w:hint="default" w:ascii="Arial" w:hAnsi="Arial" w:eastAsia="宋体" w:cs="Arial"/>
                <w:sz w:val="21"/>
                <w:szCs w:val="21"/>
              </w:rPr>
            </w:pPr>
          </w:p>
        </w:tc>
        <w:tc>
          <w:tcPr>
            <w:tcW w:w="4623" w:type="dxa"/>
            <w:vAlign w:val="top"/>
          </w:tcPr>
          <w:p w14:paraId="5CE677B4">
            <w:pPr>
              <w:pStyle w:val="257"/>
              <w:spacing w:before="90" w:line="281" w:lineRule="auto"/>
              <w:ind w:left="27" w:hanging="4"/>
              <w:rPr>
                <w:rFonts w:hint="default" w:ascii="Arial" w:hAnsi="Arial" w:eastAsia="宋体" w:cs="Arial"/>
                <w:sz w:val="21"/>
                <w:szCs w:val="21"/>
              </w:rPr>
            </w:pPr>
            <w:r>
              <w:rPr>
                <w:rFonts w:hint="default" w:ascii="Arial" w:hAnsi="Arial" w:eastAsia="宋体" w:cs="Arial"/>
                <w:spacing w:val="6"/>
                <w:sz w:val="21"/>
                <w:szCs w:val="21"/>
              </w:rPr>
              <w:t>《投影机能效限定值及能效等级》</w:t>
            </w:r>
            <w:r>
              <w:rPr>
                <w:rFonts w:hint="default" w:ascii="Arial" w:hAnsi="Arial" w:eastAsia="宋体" w:cs="Arial"/>
                <w:sz w:val="21"/>
                <w:szCs w:val="21"/>
              </w:rPr>
              <w:t xml:space="preserve"> （GB</w:t>
            </w:r>
            <w:r>
              <w:rPr>
                <w:rFonts w:hint="default" w:ascii="Arial" w:hAnsi="Arial" w:eastAsia="宋体" w:cs="Arial"/>
                <w:spacing w:val="22"/>
                <w:sz w:val="21"/>
                <w:szCs w:val="21"/>
              </w:rPr>
              <w:t xml:space="preserve"> </w:t>
            </w:r>
            <w:r>
              <w:rPr>
                <w:rFonts w:hint="default" w:ascii="Arial" w:hAnsi="Arial" w:eastAsia="宋体" w:cs="Arial"/>
                <w:sz w:val="21"/>
                <w:szCs w:val="21"/>
              </w:rPr>
              <w:t>32028）</w:t>
            </w:r>
          </w:p>
        </w:tc>
      </w:tr>
      <w:tr w14:paraId="16063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87" w:type="dxa"/>
            <w:vAlign w:val="top"/>
          </w:tcPr>
          <w:p w14:paraId="3518E151">
            <w:pPr>
              <w:pStyle w:val="257"/>
              <w:spacing w:before="289" w:line="258" w:lineRule="exact"/>
              <w:ind w:left="242"/>
              <w:rPr>
                <w:rFonts w:hint="default" w:ascii="Arial" w:hAnsi="Arial" w:eastAsia="宋体" w:cs="Arial"/>
                <w:sz w:val="21"/>
                <w:szCs w:val="21"/>
              </w:rPr>
            </w:pPr>
            <w:r>
              <w:rPr>
                <w:rFonts w:hint="default" w:ascii="Arial" w:hAnsi="Arial" w:eastAsia="宋体" w:cs="Arial"/>
                <w:position w:val="1"/>
                <w:sz w:val="21"/>
                <w:szCs w:val="21"/>
              </w:rPr>
              <w:t>4</w:t>
            </w:r>
          </w:p>
        </w:tc>
        <w:tc>
          <w:tcPr>
            <w:tcW w:w="1050" w:type="dxa"/>
            <w:vAlign w:val="top"/>
          </w:tcPr>
          <w:p w14:paraId="5A536960">
            <w:pPr>
              <w:pStyle w:val="257"/>
              <w:spacing w:before="134" w:line="230" w:lineRule="auto"/>
              <w:ind w:left="9"/>
              <w:rPr>
                <w:rFonts w:hint="default" w:ascii="Arial" w:hAnsi="Arial" w:eastAsia="宋体" w:cs="Arial"/>
                <w:sz w:val="21"/>
                <w:szCs w:val="21"/>
              </w:rPr>
            </w:pPr>
            <w:r>
              <w:rPr>
                <w:rFonts w:hint="default" w:ascii="Arial" w:hAnsi="Arial" w:eastAsia="宋体" w:cs="Arial"/>
                <w:spacing w:val="4"/>
                <w:sz w:val="21"/>
                <w:szCs w:val="21"/>
              </w:rPr>
              <w:t>A020204</w:t>
            </w:r>
            <w:r>
              <w:rPr>
                <w:rFonts w:hint="default" w:ascii="Arial" w:hAnsi="Arial" w:eastAsia="宋体" w:cs="Arial"/>
                <w:spacing w:val="-34"/>
                <w:sz w:val="21"/>
                <w:szCs w:val="21"/>
              </w:rPr>
              <w:t xml:space="preserve"> </w:t>
            </w:r>
            <w:r>
              <w:rPr>
                <w:rFonts w:hint="default" w:ascii="Arial" w:hAnsi="Arial" w:eastAsia="宋体" w:cs="Arial"/>
                <w:spacing w:val="4"/>
                <w:sz w:val="21"/>
                <w:szCs w:val="21"/>
              </w:rPr>
              <w:t>多功</w:t>
            </w:r>
          </w:p>
          <w:p w14:paraId="64B209AC">
            <w:pPr>
              <w:pStyle w:val="257"/>
              <w:spacing w:before="75" w:line="228" w:lineRule="auto"/>
              <w:ind w:left="23"/>
              <w:rPr>
                <w:rFonts w:hint="default" w:ascii="Arial" w:hAnsi="Arial" w:eastAsia="宋体" w:cs="Arial"/>
                <w:sz w:val="21"/>
                <w:szCs w:val="21"/>
              </w:rPr>
            </w:pPr>
            <w:r>
              <w:rPr>
                <w:rFonts w:hint="default" w:ascii="Arial" w:hAnsi="Arial" w:eastAsia="宋体" w:cs="Arial"/>
                <w:spacing w:val="5"/>
                <w:sz w:val="21"/>
                <w:szCs w:val="21"/>
              </w:rPr>
              <w:t>能一体机</w:t>
            </w:r>
          </w:p>
        </w:tc>
        <w:tc>
          <w:tcPr>
            <w:tcW w:w="1786" w:type="dxa"/>
            <w:vAlign w:val="top"/>
          </w:tcPr>
          <w:p w14:paraId="798B9457">
            <w:pPr>
              <w:rPr>
                <w:rFonts w:hint="default" w:ascii="Arial" w:hAnsi="Arial" w:eastAsia="宋体" w:cs="Arial"/>
                <w:sz w:val="21"/>
                <w:szCs w:val="21"/>
              </w:rPr>
            </w:pPr>
          </w:p>
        </w:tc>
        <w:tc>
          <w:tcPr>
            <w:tcW w:w="1691" w:type="dxa"/>
            <w:vAlign w:val="top"/>
          </w:tcPr>
          <w:p w14:paraId="5AA17216">
            <w:pPr>
              <w:rPr>
                <w:rFonts w:hint="default" w:ascii="Arial" w:hAnsi="Arial" w:eastAsia="宋体" w:cs="Arial"/>
                <w:sz w:val="21"/>
                <w:szCs w:val="21"/>
              </w:rPr>
            </w:pPr>
          </w:p>
        </w:tc>
        <w:tc>
          <w:tcPr>
            <w:tcW w:w="4623" w:type="dxa"/>
            <w:vAlign w:val="top"/>
          </w:tcPr>
          <w:p w14:paraId="17A8257C">
            <w:pPr>
              <w:pStyle w:val="257"/>
              <w:spacing w:before="133" w:line="302" w:lineRule="auto"/>
              <w:ind w:left="22" w:right="13"/>
              <w:rPr>
                <w:rFonts w:hint="default" w:ascii="Arial" w:hAnsi="Arial" w:eastAsia="宋体" w:cs="Arial"/>
                <w:sz w:val="21"/>
                <w:szCs w:val="21"/>
              </w:rPr>
            </w:pPr>
            <w:r>
              <w:rPr>
                <w:rFonts w:hint="default" w:ascii="Arial" w:hAnsi="Arial" w:eastAsia="宋体" w:cs="Arial"/>
                <w:spacing w:val="5"/>
                <w:sz w:val="21"/>
                <w:szCs w:val="21"/>
              </w:rPr>
              <w:t>《复印机、打印机和传真机能效限</w:t>
            </w:r>
            <w:r>
              <w:rPr>
                <w:rFonts w:hint="default" w:ascii="Arial" w:hAnsi="Arial" w:eastAsia="宋体" w:cs="Arial"/>
                <w:sz w:val="21"/>
                <w:szCs w:val="21"/>
              </w:rPr>
              <w:t xml:space="preserve"> </w:t>
            </w:r>
            <w:r>
              <w:rPr>
                <w:rFonts w:hint="default" w:ascii="Arial" w:hAnsi="Arial" w:eastAsia="宋体" w:cs="Arial"/>
                <w:spacing w:val="7"/>
                <w:sz w:val="21"/>
                <w:szCs w:val="21"/>
              </w:rPr>
              <w:t>定值及能效等级》（</w:t>
            </w:r>
            <w:r>
              <w:rPr>
                <w:rFonts w:hint="default" w:ascii="Arial" w:hAnsi="Arial" w:eastAsia="宋体" w:cs="Arial"/>
                <w:sz w:val="21"/>
                <w:szCs w:val="21"/>
              </w:rPr>
              <w:t>GB</w:t>
            </w:r>
            <w:r>
              <w:rPr>
                <w:rFonts w:hint="default" w:ascii="Arial" w:hAnsi="Arial" w:eastAsia="宋体" w:cs="Arial"/>
                <w:spacing w:val="7"/>
                <w:sz w:val="21"/>
                <w:szCs w:val="21"/>
              </w:rPr>
              <w:t xml:space="preserve"> 21521）</w:t>
            </w:r>
          </w:p>
        </w:tc>
      </w:tr>
      <w:tr w14:paraId="21E9C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87" w:type="dxa"/>
            <w:vAlign w:val="top"/>
          </w:tcPr>
          <w:p w14:paraId="23F67604">
            <w:pPr>
              <w:pStyle w:val="257"/>
              <w:spacing w:before="227" w:line="256" w:lineRule="exact"/>
              <w:ind w:left="246"/>
              <w:rPr>
                <w:rFonts w:hint="default" w:ascii="Arial" w:hAnsi="Arial" w:eastAsia="宋体" w:cs="Arial"/>
                <w:sz w:val="21"/>
                <w:szCs w:val="21"/>
              </w:rPr>
            </w:pPr>
            <w:r>
              <w:rPr>
                <w:rFonts w:hint="default" w:ascii="Arial" w:hAnsi="Arial" w:eastAsia="宋体" w:cs="Arial"/>
                <w:position w:val="1"/>
                <w:sz w:val="21"/>
                <w:szCs w:val="21"/>
              </w:rPr>
              <w:t>5</w:t>
            </w:r>
          </w:p>
        </w:tc>
        <w:tc>
          <w:tcPr>
            <w:tcW w:w="1050" w:type="dxa"/>
            <w:vAlign w:val="top"/>
          </w:tcPr>
          <w:p w14:paraId="55CB746F">
            <w:pPr>
              <w:pStyle w:val="257"/>
              <w:spacing w:before="227" w:line="229" w:lineRule="auto"/>
              <w:ind w:left="9"/>
              <w:rPr>
                <w:rFonts w:hint="default" w:ascii="Arial" w:hAnsi="Arial" w:eastAsia="宋体" w:cs="Arial"/>
                <w:sz w:val="21"/>
                <w:szCs w:val="21"/>
              </w:rPr>
            </w:pPr>
            <w:r>
              <w:rPr>
                <w:rFonts w:hint="default" w:ascii="Arial" w:hAnsi="Arial" w:eastAsia="宋体" w:cs="Arial"/>
                <w:spacing w:val="4"/>
                <w:sz w:val="21"/>
                <w:szCs w:val="21"/>
              </w:rPr>
              <w:t>A020519</w:t>
            </w:r>
            <w:r>
              <w:rPr>
                <w:rFonts w:hint="default" w:ascii="Arial" w:hAnsi="Arial" w:eastAsia="宋体" w:cs="Arial"/>
                <w:spacing w:val="-32"/>
                <w:sz w:val="21"/>
                <w:szCs w:val="21"/>
              </w:rPr>
              <w:t xml:space="preserve"> </w:t>
            </w:r>
            <w:r>
              <w:rPr>
                <w:rFonts w:hint="default" w:ascii="Arial" w:hAnsi="Arial" w:eastAsia="宋体" w:cs="Arial"/>
                <w:spacing w:val="4"/>
                <w:sz w:val="21"/>
                <w:szCs w:val="21"/>
              </w:rPr>
              <w:t>泵</w:t>
            </w:r>
          </w:p>
        </w:tc>
        <w:tc>
          <w:tcPr>
            <w:tcW w:w="1786" w:type="dxa"/>
            <w:vAlign w:val="top"/>
          </w:tcPr>
          <w:p w14:paraId="32D1D5D1">
            <w:pPr>
              <w:pStyle w:val="257"/>
              <w:spacing w:before="227" w:line="229" w:lineRule="auto"/>
              <w:ind w:left="9"/>
              <w:rPr>
                <w:rFonts w:hint="default" w:ascii="Arial" w:hAnsi="Arial" w:eastAsia="宋体" w:cs="Arial"/>
                <w:sz w:val="21"/>
                <w:szCs w:val="21"/>
              </w:rPr>
            </w:pPr>
            <w:r>
              <w:rPr>
                <w:rFonts w:hint="default" w:ascii="Arial" w:hAnsi="Arial" w:eastAsia="宋体" w:cs="Arial"/>
                <w:spacing w:val="5"/>
                <w:sz w:val="21"/>
                <w:szCs w:val="21"/>
              </w:rPr>
              <w:t>A02051901</w:t>
            </w:r>
            <w:r>
              <w:rPr>
                <w:rFonts w:hint="default" w:ascii="Arial" w:hAnsi="Arial" w:eastAsia="宋体" w:cs="Arial"/>
                <w:spacing w:val="-33"/>
                <w:sz w:val="21"/>
                <w:szCs w:val="21"/>
              </w:rPr>
              <w:t xml:space="preserve"> </w:t>
            </w:r>
            <w:r>
              <w:rPr>
                <w:rFonts w:hint="default" w:ascii="Arial" w:hAnsi="Arial" w:eastAsia="宋体" w:cs="Arial"/>
                <w:spacing w:val="5"/>
                <w:sz w:val="21"/>
                <w:szCs w:val="21"/>
              </w:rPr>
              <w:t>离心泵</w:t>
            </w:r>
          </w:p>
        </w:tc>
        <w:tc>
          <w:tcPr>
            <w:tcW w:w="1691" w:type="dxa"/>
            <w:vAlign w:val="top"/>
          </w:tcPr>
          <w:p w14:paraId="25F44149">
            <w:pPr>
              <w:rPr>
                <w:rFonts w:hint="default" w:ascii="Arial" w:hAnsi="Arial" w:eastAsia="宋体" w:cs="Arial"/>
                <w:sz w:val="21"/>
                <w:szCs w:val="21"/>
              </w:rPr>
            </w:pPr>
          </w:p>
        </w:tc>
        <w:tc>
          <w:tcPr>
            <w:tcW w:w="4623" w:type="dxa"/>
            <w:vAlign w:val="top"/>
          </w:tcPr>
          <w:p w14:paraId="5DE31904">
            <w:pPr>
              <w:pStyle w:val="257"/>
              <w:spacing w:before="72" w:line="271" w:lineRule="auto"/>
              <w:ind w:left="17" w:right="11" w:firstLine="6"/>
              <w:rPr>
                <w:rFonts w:hint="default" w:ascii="Arial" w:hAnsi="Arial" w:eastAsia="宋体" w:cs="Arial"/>
                <w:sz w:val="21"/>
                <w:szCs w:val="21"/>
              </w:rPr>
            </w:pPr>
            <w:r>
              <w:rPr>
                <w:rFonts w:hint="default" w:ascii="Arial" w:hAnsi="Arial" w:eastAsia="宋体" w:cs="Arial"/>
                <w:spacing w:val="19"/>
                <w:sz w:val="21"/>
                <w:szCs w:val="21"/>
              </w:rPr>
              <w:t>《清水离心泵能效限定值及节能</w:t>
            </w:r>
            <w:r>
              <w:rPr>
                <w:rFonts w:hint="default" w:ascii="Arial" w:hAnsi="Arial" w:eastAsia="宋体" w:cs="Arial"/>
                <w:spacing w:val="2"/>
                <w:sz w:val="21"/>
                <w:szCs w:val="21"/>
              </w:rPr>
              <w:t xml:space="preserve"> </w:t>
            </w:r>
            <w:r>
              <w:rPr>
                <w:rFonts w:hint="default" w:ascii="Arial" w:hAnsi="Arial" w:eastAsia="宋体" w:cs="Arial"/>
                <w:spacing w:val="4"/>
                <w:sz w:val="21"/>
                <w:szCs w:val="21"/>
              </w:rPr>
              <w:t>评价值》（</w:t>
            </w:r>
            <w:r>
              <w:rPr>
                <w:rFonts w:hint="default" w:ascii="Arial" w:hAnsi="Arial" w:eastAsia="宋体" w:cs="Arial"/>
                <w:sz w:val="21"/>
                <w:szCs w:val="21"/>
              </w:rPr>
              <w:t>GB</w:t>
            </w:r>
            <w:r>
              <w:rPr>
                <w:rFonts w:hint="default" w:ascii="Arial" w:hAnsi="Arial" w:eastAsia="宋体" w:cs="Arial"/>
                <w:spacing w:val="39"/>
                <w:sz w:val="21"/>
                <w:szCs w:val="21"/>
              </w:rPr>
              <w:t xml:space="preserve"> </w:t>
            </w:r>
            <w:r>
              <w:rPr>
                <w:rFonts w:hint="default" w:ascii="Arial" w:hAnsi="Arial" w:eastAsia="宋体" w:cs="Arial"/>
                <w:spacing w:val="4"/>
                <w:sz w:val="21"/>
                <w:szCs w:val="21"/>
              </w:rPr>
              <w:t>19762）</w:t>
            </w:r>
          </w:p>
        </w:tc>
      </w:tr>
      <w:tr w14:paraId="31386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87" w:type="dxa"/>
            <w:vMerge w:val="restart"/>
            <w:tcBorders>
              <w:bottom w:val="nil"/>
            </w:tcBorders>
            <w:vAlign w:val="top"/>
          </w:tcPr>
          <w:p w14:paraId="7F5F898F">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6004FD5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0D1B5A5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F9C1294">
            <w:pPr>
              <w:pStyle w:val="257"/>
              <w:keepNext w:val="0"/>
              <w:keepLines w:val="0"/>
              <w:pageBreakBefore w:val="0"/>
              <w:widowControl w:val="0"/>
              <w:kinsoku/>
              <w:wordWrap/>
              <w:overflowPunct/>
              <w:topLinePunct w:val="0"/>
              <w:autoSpaceDE/>
              <w:autoSpaceDN/>
              <w:bidi w:val="0"/>
              <w:adjustRightInd/>
              <w:spacing w:before="62" w:line="288" w:lineRule="auto"/>
              <w:ind w:left="244"/>
              <w:textAlignment w:val="auto"/>
              <w:rPr>
                <w:rFonts w:hint="default" w:ascii="Arial" w:hAnsi="Arial" w:eastAsia="宋体" w:cs="Arial"/>
                <w:sz w:val="21"/>
                <w:szCs w:val="21"/>
              </w:rPr>
            </w:pPr>
            <w:r>
              <w:rPr>
                <w:rFonts w:hint="default" w:ascii="Arial" w:hAnsi="Arial" w:eastAsia="宋体" w:cs="Arial"/>
                <w:position w:val="1"/>
                <w:sz w:val="21"/>
                <w:szCs w:val="21"/>
              </w:rPr>
              <w:t>6</w:t>
            </w:r>
          </w:p>
        </w:tc>
        <w:tc>
          <w:tcPr>
            <w:tcW w:w="1050" w:type="dxa"/>
            <w:vMerge w:val="restart"/>
            <w:tcBorders>
              <w:bottom w:val="nil"/>
            </w:tcBorders>
            <w:vAlign w:val="top"/>
          </w:tcPr>
          <w:p w14:paraId="7C6C122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1080EB1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109E7F2F">
            <w:pPr>
              <w:pStyle w:val="257"/>
              <w:keepNext w:val="0"/>
              <w:keepLines w:val="0"/>
              <w:pageBreakBefore w:val="0"/>
              <w:widowControl w:val="0"/>
              <w:kinsoku/>
              <w:wordWrap/>
              <w:overflowPunct/>
              <w:topLinePunct w:val="0"/>
              <w:autoSpaceDE/>
              <w:autoSpaceDN/>
              <w:bidi w:val="0"/>
              <w:adjustRightInd/>
              <w:spacing w:before="61" w:line="288" w:lineRule="auto"/>
              <w:ind w:left="9"/>
              <w:textAlignment w:val="auto"/>
              <w:rPr>
                <w:rFonts w:hint="default" w:ascii="Arial" w:hAnsi="Arial" w:eastAsia="宋体" w:cs="Arial"/>
                <w:sz w:val="21"/>
                <w:szCs w:val="21"/>
              </w:rPr>
            </w:pPr>
            <w:r>
              <w:rPr>
                <w:rFonts w:hint="default" w:ascii="Arial" w:hAnsi="Arial" w:eastAsia="宋体" w:cs="Arial"/>
                <w:spacing w:val="5"/>
                <w:sz w:val="21"/>
                <w:szCs w:val="21"/>
              </w:rPr>
              <w:t>A020523</w:t>
            </w:r>
            <w:r>
              <w:rPr>
                <w:rFonts w:hint="default" w:ascii="Arial" w:hAnsi="Arial" w:eastAsia="宋体" w:cs="Arial"/>
                <w:spacing w:val="-43"/>
                <w:sz w:val="21"/>
                <w:szCs w:val="21"/>
              </w:rPr>
              <w:t xml:space="preserve"> </w:t>
            </w:r>
            <w:r>
              <w:rPr>
                <w:rFonts w:hint="default" w:ascii="Arial" w:hAnsi="Arial" w:eastAsia="宋体" w:cs="Arial"/>
                <w:spacing w:val="5"/>
                <w:sz w:val="21"/>
                <w:szCs w:val="21"/>
              </w:rPr>
              <w:t>制冷</w:t>
            </w:r>
          </w:p>
          <w:p w14:paraId="743302EF">
            <w:pPr>
              <w:pStyle w:val="257"/>
              <w:keepNext w:val="0"/>
              <w:keepLines w:val="0"/>
              <w:pageBreakBefore w:val="0"/>
              <w:widowControl w:val="0"/>
              <w:kinsoku/>
              <w:wordWrap/>
              <w:overflowPunct/>
              <w:topLinePunct w:val="0"/>
              <w:autoSpaceDE/>
              <w:autoSpaceDN/>
              <w:bidi w:val="0"/>
              <w:adjustRightInd/>
              <w:spacing w:before="75" w:line="288" w:lineRule="auto"/>
              <w:ind w:left="21"/>
              <w:textAlignment w:val="auto"/>
              <w:rPr>
                <w:rFonts w:hint="default" w:ascii="Arial" w:hAnsi="Arial" w:eastAsia="宋体" w:cs="Arial"/>
                <w:sz w:val="21"/>
                <w:szCs w:val="21"/>
              </w:rPr>
            </w:pPr>
            <w:r>
              <w:rPr>
                <w:rFonts w:hint="default" w:ascii="Arial" w:hAnsi="Arial" w:eastAsia="宋体" w:cs="Arial"/>
                <w:spacing w:val="5"/>
                <w:sz w:val="21"/>
                <w:szCs w:val="21"/>
              </w:rPr>
              <w:t>空调设备</w:t>
            </w:r>
          </w:p>
        </w:tc>
        <w:tc>
          <w:tcPr>
            <w:tcW w:w="1786" w:type="dxa"/>
            <w:vMerge w:val="restart"/>
            <w:tcBorders>
              <w:bottom w:val="nil"/>
            </w:tcBorders>
            <w:vAlign w:val="top"/>
          </w:tcPr>
          <w:p w14:paraId="0C9D345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136821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0329F5B6">
            <w:pPr>
              <w:pStyle w:val="257"/>
              <w:keepNext w:val="0"/>
              <w:keepLines w:val="0"/>
              <w:pageBreakBefore w:val="0"/>
              <w:widowControl w:val="0"/>
              <w:kinsoku/>
              <w:wordWrap/>
              <w:overflowPunct/>
              <w:topLinePunct w:val="0"/>
              <w:autoSpaceDE/>
              <w:autoSpaceDN/>
              <w:bidi w:val="0"/>
              <w:adjustRightInd/>
              <w:spacing w:before="62" w:line="288" w:lineRule="auto"/>
              <w:ind w:left="15" w:right="10" w:firstLine="3"/>
              <w:textAlignment w:val="auto"/>
              <w:rPr>
                <w:rFonts w:hint="default" w:ascii="Arial" w:hAnsi="Arial" w:eastAsia="宋体" w:cs="Arial"/>
                <w:sz w:val="21"/>
                <w:szCs w:val="21"/>
              </w:rPr>
            </w:pPr>
            <w:r>
              <w:rPr>
                <w:rFonts w:hint="default" w:ascii="Arial" w:hAnsi="Arial" w:eastAsia="宋体" w:cs="Arial"/>
                <w:spacing w:val="3"/>
                <w:sz w:val="21"/>
                <w:szCs w:val="21"/>
              </w:rPr>
              <w:t>★A02052301 制冷压</w:t>
            </w:r>
            <w:r>
              <w:rPr>
                <w:rFonts w:hint="default" w:ascii="Arial" w:hAnsi="Arial" w:eastAsia="宋体" w:cs="Arial"/>
                <w:spacing w:val="12"/>
                <w:sz w:val="21"/>
                <w:szCs w:val="21"/>
              </w:rPr>
              <w:t xml:space="preserve"> </w:t>
            </w:r>
            <w:r>
              <w:rPr>
                <w:rFonts w:hint="default" w:ascii="Arial" w:hAnsi="Arial" w:eastAsia="宋体" w:cs="Arial"/>
                <w:spacing w:val="5"/>
                <w:sz w:val="21"/>
                <w:szCs w:val="21"/>
              </w:rPr>
              <w:t>缩机</w:t>
            </w:r>
          </w:p>
        </w:tc>
        <w:tc>
          <w:tcPr>
            <w:tcW w:w="1691" w:type="dxa"/>
            <w:vAlign w:val="top"/>
          </w:tcPr>
          <w:p w14:paraId="25AD69B8">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18D5226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73C3DD7">
            <w:pPr>
              <w:pStyle w:val="257"/>
              <w:keepNext w:val="0"/>
              <w:keepLines w:val="0"/>
              <w:pageBreakBefore w:val="0"/>
              <w:widowControl w:val="0"/>
              <w:kinsoku/>
              <w:wordWrap/>
              <w:overflowPunct/>
              <w:topLinePunct w:val="0"/>
              <w:autoSpaceDE/>
              <w:autoSpaceDN/>
              <w:bidi w:val="0"/>
              <w:adjustRightInd/>
              <w:spacing w:before="61" w:line="288" w:lineRule="auto"/>
              <w:ind w:left="18"/>
              <w:textAlignment w:val="auto"/>
              <w:rPr>
                <w:rFonts w:hint="default" w:ascii="Arial" w:hAnsi="Arial" w:eastAsia="宋体" w:cs="Arial"/>
                <w:sz w:val="21"/>
                <w:szCs w:val="21"/>
              </w:rPr>
            </w:pPr>
            <w:r>
              <w:rPr>
                <w:rFonts w:hint="default" w:ascii="Arial" w:hAnsi="Arial" w:eastAsia="宋体" w:cs="Arial"/>
                <w:spacing w:val="6"/>
                <w:sz w:val="21"/>
                <w:szCs w:val="21"/>
              </w:rPr>
              <w:t>冷水机组</w:t>
            </w:r>
          </w:p>
        </w:tc>
        <w:tc>
          <w:tcPr>
            <w:tcW w:w="4623" w:type="dxa"/>
            <w:vAlign w:val="top"/>
          </w:tcPr>
          <w:p w14:paraId="4FEBE0EA">
            <w:pPr>
              <w:pStyle w:val="257"/>
              <w:keepNext w:val="0"/>
              <w:keepLines w:val="0"/>
              <w:pageBreakBefore w:val="0"/>
              <w:widowControl w:val="0"/>
              <w:kinsoku/>
              <w:wordWrap/>
              <w:overflowPunct/>
              <w:topLinePunct w:val="0"/>
              <w:autoSpaceDE/>
              <w:autoSpaceDN/>
              <w:bidi w:val="0"/>
              <w:adjustRightInd/>
              <w:spacing w:before="96" w:line="288" w:lineRule="auto"/>
              <w:ind w:left="17" w:right="11" w:firstLine="5"/>
              <w:jc w:val="both"/>
              <w:textAlignment w:val="auto"/>
              <w:rPr>
                <w:rFonts w:hint="default" w:ascii="Arial" w:hAnsi="Arial" w:eastAsia="宋体" w:cs="Arial"/>
                <w:sz w:val="21"/>
                <w:szCs w:val="21"/>
              </w:rPr>
            </w:pPr>
            <w:r>
              <w:rPr>
                <w:rFonts w:hint="default" w:ascii="Arial" w:hAnsi="Arial" w:eastAsia="宋体" w:cs="Arial"/>
                <w:spacing w:val="19"/>
                <w:sz w:val="21"/>
                <w:szCs w:val="21"/>
              </w:rPr>
              <w:t>《冷水机组能效限定值及能效等</w:t>
            </w:r>
            <w:r>
              <w:rPr>
                <w:rFonts w:hint="default" w:ascii="Arial" w:hAnsi="Arial" w:eastAsia="宋体" w:cs="Arial"/>
                <w:spacing w:val="2"/>
                <w:sz w:val="21"/>
                <w:szCs w:val="21"/>
              </w:rPr>
              <w:t xml:space="preserve"> </w:t>
            </w:r>
            <w:r>
              <w:rPr>
                <w:rFonts w:hint="default" w:ascii="Arial" w:hAnsi="Arial" w:eastAsia="宋体" w:cs="Arial"/>
                <w:spacing w:val="6"/>
                <w:sz w:val="21"/>
                <w:szCs w:val="21"/>
              </w:rPr>
              <w:t>级》（</w:t>
            </w:r>
            <w:r>
              <w:rPr>
                <w:rFonts w:hint="default" w:ascii="Arial" w:hAnsi="Arial" w:eastAsia="宋体" w:cs="Arial"/>
                <w:sz w:val="21"/>
                <w:szCs w:val="21"/>
              </w:rPr>
              <w:t>GB</w:t>
            </w:r>
            <w:r>
              <w:rPr>
                <w:rFonts w:hint="default" w:ascii="Arial" w:hAnsi="Arial" w:eastAsia="宋体" w:cs="Arial"/>
                <w:spacing w:val="-21"/>
                <w:sz w:val="21"/>
                <w:szCs w:val="21"/>
              </w:rPr>
              <w:t xml:space="preserve"> </w:t>
            </w:r>
            <w:r>
              <w:rPr>
                <w:rFonts w:hint="default" w:ascii="Arial" w:hAnsi="Arial" w:eastAsia="宋体" w:cs="Arial"/>
                <w:spacing w:val="6"/>
                <w:sz w:val="21"/>
                <w:szCs w:val="21"/>
              </w:rPr>
              <w:t>19577</w:t>
            </w:r>
            <w:r>
              <w:rPr>
                <w:rFonts w:hint="default" w:ascii="Arial" w:hAnsi="Arial" w:eastAsia="宋体" w:cs="Arial"/>
                <w:spacing w:val="9"/>
                <w:sz w:val="21"/>
                <w:szCs w:val="21"/>
              </w:rPr>
              <w:t>），</w:t>
            </w:r>
            <w:r>
              <w:rPr>
                <w:rFonts w:hint="default" w:ascii="Arial" w:hAnsi="Arial" w:eastAsia="宋体" w:cs="Arial"/>
                <w:spacing w:val="6"/>
                <w:sz w:val="21"/>
                <w:szCs w:val="21"/>
              </w:rPr>
              <w:t>《低环境温度</w:t>
            </w:r>
            <w:r>
              <w:rPr>
                <w:rFonts w:hint="default" w:ascii="Arial" w:hAnsi="Arial" w:eastAsia="宋体" w:cs="Arial"/>
                <w:sz w:val="21"/>
                <w:szCs w:val="21"/>
              </w:rPr>
              <w:t xml:space="preserve"> </w:t>
            </w:r>
            <w:r>
              <w:rPr>
                <w:rFonts w:hint="default" w:ascii="Arial" w:hAnsi="Arial" w:eastAsia="宋体" w:cs="Arial"/>
                <w:spacing w:val="5"/>
                <w:sz w:val="21"/>
                <w:szCs w:val="21"/>
              </w:rPr>
              <w:t>空气源热泵（冷水）机组能效限定</w:t>
            </w:r>
            <w:r>
              <w:rPr>
                <w:rFonts w:hint="default" w:ascii="Arial" w:hAnsi="Arial" w:eastAsia="宋体" w:cs="Arial"/>
                <w:spacing w:val="6"/>
                <w:sz w:val="21"/>
                <w:szCs w:val="21"/>
              </w:rPr>
              <w:t xml:space="preserve"> </w:t>
            </w:r>
            <w:r>
              <w:rPr>
                <w:rFonts w:hint="default" w:ascii="Arial" w:hAnsi="Arial" w:eastAsia="宋体" w:cs="Arial"/>
                <w:spacing w:val="7"/>
                <w:sz w:val="21"/>
                <w:szCs w:val="21"/>
              </w:rPr>
              <w:t>值及能效等级》（</w:t>
            </w:r>
            <w:r>
              <w:rPr>
                <w:rFonts w:hint="default" w:ascii="Arial" w:hAnsi="Arial" w:eastAsia="宋体" w:cs="Arial"/>
                <w:sz w:val="21"/>
                <w:szCs w:val="21"/>
              </w:rPr>
              <w:t>GB</w:t>
            </w:r>
            <w:r>
              <w:rPr>
                <w:rFonts w:hint="default" w:ascii="Arial" w:hAnsi="Arial" w:eastAsia="宋体" w:cs="Arial"/>
                <w:spacing w:val="7"/>
                <w:sz w:val="21"/>
                <w:szCs w:val="21"/>
              </w:rPr>
              <w:t xml:space="preserve"> 37480）</w:t>
            </w:r>
          </w:p>
        </w:tc>
      </w:tr>
      <w:tr w14:paraId="67049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87" w:type="dxa"/>
            <w:vMerge w:val="continue"/>
            <w:tcBorders>
              <w:top w:val="nil"/>
            </w:tcBorders>
            <w:vAlign w:val="top"/>
          </w:tcPr>
          <w:p w14:paraId="2390638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50" w:type="dxa"/>
            <w:vMerge w:val="continue"/>
            <w:tcBorders>
              <w:top w:val="nil"/>
            </w:tcBorders>
            <w:vAlign w:val="top"/>
          </w:tcPr>
          <w:p w14:paraId="7A0BAD7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Merge w:val="continue"/>
            <w:tcBorders>
              <w:top w:val="nil"/>
            </w:tcBorders>
            <w:vAlign w:val="top"/>
          </w:tcPr>
          <w:p w14:paraId="6E0EE60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691" w:type="dxa"/>
            <w:vAlign w:val="top"/>
          </w:tcPr>
          <w:p w14:paraId="2E1FBFD3">
            <w:pPr>
              <w:pStyle w:val="257"/>
              <w:keepNext w:val="0"/>
              <w:keepLines w:val="0"/>
              <w:pageBreakBefore w:val="0"/>
              <w:widowControl w:val="0"/>
              <w:kinsoku/>
              <w:wordWrap/>
              <w:overflowPunct/>
              <w:topLinePunct w:val="0"/>
              <w:autoSpaceDE/>
              <w:autoSpaceDN/>
              <w:bidi w:val="0"/>
              <w:adjustRightInd/>
              <w:spacing w:before="276" w:line="288" w:lineRule="auto"/>
              <w:ind w:left="19"/>
              <w:textAlignment w:val="auto"/>
              <w:rPr>
                <w:rFonts w:hint="default" w:ascii="Arial" w:hAnsi="Arial" w:eastAsia="宋体" w:cs="Arial"/>
                <w:sz w:val="21"/>
                <w:szCs w:val="21"/>
              </w:rPr>
            </w:pPr>
            <w:r>
              <w:rPr>
                <w:rFonts w:hint="default" w:ascii="Arial" w:hAnsi="Arial" w:eastAsia="宋体" w:cs="Arial"/>
                <w:spacing w:val="7"/>
                <w:sz w:val="21"/>
                <w:szCs w:val="21"/>
              </w:rPr>
              <w:t>水源热泵机组</w:t>
            </w:r>
          </w:p>
        </w:tc>
        <w:tc>
          <w:tcPr>
            <w:tcW w:w="4623" w:type="dxa"/>
            <w:vAlign w:val="top"/>
          </w:tcPr>
          <w:p w14:paraId="6B09B45B">
            <w:pPr>
              <w:pStyle w:val="257"/>
              <w:keepNext w:val="0"/>
              <w:keepLines w:val="0"/>
              <w:pageBreakBefore w:val="0"/>
              <w:widowControl w:val="0"/>
              <w:kinsoku/>
              <w:wordWrap/>
              <w:overflowPunct/>
              <w:topLinePunct w:val="0"/>
              <w:autoSpaceDE/>
              <w:autoSpaceDN/>
              <w:bidi w:val="0"/>
              <w:adjustRightInd/>
              <w:spacing w:before="120" w:line="288" w:lineRule="auto"/>
              <w:ind w:left="17" w:right="13" w:firstLine="6"/>
              <w:textAlignment w:val="auto"/>
              <w:rPr>
                <w:rFonts w:hint="default" w:ascii="Arial" w:hAnsi="Arial" w:eastAsia="宋体" w:cs="Arial"/>
                <w:sz w:val="21"/>
                <w:szCs w:val="21"/>
              </w:rPr>
            </w:pPr>
            <w:r>
              <w:rPr>
                <w:rFonts w:hint="default" w:ascii="Arial" w:hAnsi="Arial" w:eastAsia="宋体" w:cs="Arial"/>
                <w:spacing w:val="5"/>
                <w:sz w:val="21"/>
                <w:szCs w:val="21"/>
              </w:rPr>
              <w:t>《水（地）源热泵机组能效限定值</w:t>
            </w:r>
            <w:r>
              <w:rPr>
                <w:rFonts w:hint="default" w:ascii="Arial" w:hAnsi="Arial" w:eastAsia="宋体" w:cs="Arial"/>
                <w:sz w:val="21"/>
                <w:szCs w:val="21"/>
              </w:rPr>
              <w:t xml:space="preserve"> </w:t>
            </w:r>
            <w:r>
              <w:rPr>
                <w:rFonts w:hint="default" w:ascii="Arial" w:hAnsi="Arial" w:eastAsia="宋体" w:cs="Arial"/>
                <w:spacing w:val="7"/>
                <w:sz w:val="21"/>
                <w:szCs w:val="21"/>
              </w:rPr>
              <w:t>及能效等级》（</w:t>
            </w:r>
            <w:r>
              <w:rPr>
                <w:rFonts w:hint="default" w:ascii="Arial" w:hAnsi="Arial" w:eastAsia="宋体" w:cs="Arial"/>
                <w:sz w:val="21"/>
                <w:szCs w:val="21"/>
              </w:rPr>
              <w:t>GB</w:t>
            </w:r>
            <w:r>
              <w:rPr>
                <w:rFonts w:hint="default" w:ascii="Arial" w:hAnsi="Arial" w:eastAsia="宋体" w:cs="Arial"/>
                <w:spacing w:val="7"/>
                <w:sz w:val="21"/>
                <w:szCs w:val="21"/>
              </w:rPr>
              <w:t xml:space="preserve"> 30721）</w:t>
            </w:r>
          </w:p>
        </w:tc>
      </w:tr>
    </w:tbl>
    <w:p w14:paraId="4E0066F2">
      <w:pPr>
        <w:keepNext w:val="0"/>
        <w:keepLines w:val="0"/>
        <w:pageBreakBefore w:val="0"/>
        <w:widowControl w:val="0"/>
        <w:kinsoku/>
        <w:wordWrap/>
        <w:overflowPunct/>
        <w:topLinePunct w:val="0"/>
        <w:autoSpaceDE/>
        <w:autoSpaceDN/>
        <w:bidi w:val="0"/>
        <w:adjustRightInd/>
        <w:spacing w:line="288" w:lineRule="auto"/>
        <w:textAlignment w:val="auto"/>
        <w:rPr>
          <w:rFonts w:ascii="Arial"/>
          <w:sz w:val="21"/>
        </w:rPr>
      </w:pPr>
    </w:p>
    <w:p w14:paraId="47423BD4">
      <w:pPr>
        <w:keepNext w:val="0"/>
        <w:keepLines w:val="0"/>
        <w:pageBreakBefore w:val="0"/>
        <w:widowControl w:val="0"/>
        <w:kinsoku/>
        <w:wordWrap/>
        <w:overflowPunct/>
        <w:topLinePunct w:val="0"/>
        <w:autoSpaceDE/>
        <w:autoSpaceDN/>
        <w:bidi w:val="0"/>
        <w:adjustRightInd/>
        <w:spacing w:line="288" w:lineRule="auto"/>
        <w:textAlignment w:val="auto"/>
        <w:rPr>
          <w:rFonts w:ascii="Arial" w:hAnsi="Arial" w:eastAsia="Arial" w:cs="Arial"/>
          <w:sz w:val="21"/>
          <w:szCs w:val="21"/>
        </w:rPr>
        <w:sectPr>
          <w:pgSz w:w="11906" w:h="16838"/>
          <w:pgMar w:top="992" w:right="1134" w:bottom="1247" w:left="1417" w:header="850" w:footer="992" w:gutter="0"/>
          <w:pgBorders>
            <w:top w:val="none" w:sz="0" w:space="0"/>
            <w:left w:val="none" w:sz="0" w:space="0"/>
            <w:bottom w:val="none" w:sz="0" w:space="0"/>
            <w:right w:val="none" w:sz="0" w:space="0"/>
          </w:pgBorders>
          <w:cols w:space="720" w:num="1"/>
        </w:sectPr>
      </w:pPr>
    </w:p>
    <w:p w14:paraId="6F0C3D02">
      <w:pPr>
        <w:keepNext w:val="0"/>
        <w:keepLines w:val="0"/>
        <w:pageBreakBefore w:val="0"/>
        <w:widowControl w:val="0"/>
        <w:kinsoku/>
        <w:wordWrap/>
        <w:overflowPunct/>
        <w:topLinePunct w:val="0"/>
        <w:autoSpaceDE/>
        <w:autoSpaceDN/>
        <w:bidi w:val="0"/>
        <w:adjustRightInd/>
        <w:spacing w:line="288" w:lineRule="auto"/>
        <w:textAlignment w:val="auto"/>
        <w:rPr>
          <w:rFonts w:ascii="Arial"/>
          <w:sz w:val="2"/>
        </w:rPr>
      </w:pPr>
    </w:p>
    <w:tbl>
      <w:tblPr>
        <w:tblStyle w:val="258"/>
        <w:tblW w:w="9723" w:type="dxa"/>
        <w:tblInd w:w="-8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1077"/>
        <w:gridCol w:w="1786"/>
        <w:gridCol w:w="1678"/>
        <w:gridCol w:w="4609"/>
      </w:tblGrid>
      <w:tr w14:paraId="108F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3" w:type="dxa"/>
            <w:vMerge w:val="restart"/>
            <w:tcBorders>
              <w:bottom w:val="nil"/>
            </w:tcBorders>
            <w:vAlign w:val="top"/>
          </w:tcPr>
          <w:p w14:paraId="34DDC35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restart"/>
            <w:tcBorders>
              <w:bottom w:val="nil"/>
            </w:tcBorders>
            <w:vAlign w:val="top"/>
          </w:tcPr>
          <w:p w14:paraId="1295C6B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Align w:val="top"/>
          </w:tcPr>
          <w:p w14:paraId="051857C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678" w:type="dxa"/>
            <w:vAlign w:val="top"/>
          </w:tcPr>
          <w:p w14:paraId="549510A5">
            <w:pPr>
              <w:pStyle w:val="257"/>
              <w:keepNext w:val="0"/>
              <w:keepLines w:val="0"/>
              <w:pageBreakBefore w:val="0"/>
              <w:widowControl w:val="0"/>
              <w:kinsoku/>
              <w:wordWrap/>
              <w:overflowPunct/>
              <w:topLinePunct w:val="0"/>
              <w:autoSpaceDE/>
              <w:autoSpaceDN/>
              <w:bidi w:val="0"/>
              <w:adjustRightInd/>
              <w:spacing w:before="159" w:line="288" w:lineRule="auto"/>
              <w:ind w:left="19" w:right="11" w:firstLine="1"/>
              <w:textAlignment w:val="auto"/>
              <w:rPr>
                <w:rFonts w:hint="default" w:ascii="Arial" w:hAnsi="Arial" w:eastAsia="宋体" w:cs="Arial"/>
                <w:sz w:val="21"/>
                <w:szCs w:val="21"/>
              </w:rPr>
            </w:pPr>
            <w:r>
              <w:rPr>
                <w:rFonts w:hint="default" w:ascii="Arial" w:hAnsi="Arial" w:eastAsia="宋体" w:cs="Arial"/>
                <w:spacing w:val="18"/>
                <w:sz w:val="21"/>
                <w:szCs w:val="21"/>
              </w:rPr>
              <w:t>溴化锂吸收式冷水机</w:t>
            </w:r>
            <w:r>
              <w:rPr>
                <w:rFonts w:hint="default" w:ascii="Arial" w:hAnsi="Arial" w:eastAsia="宋体" w:cs="Arial"/>
                <w:spacing w:val="4"/>
                <w:sz w:val="21"/>
                <w:szCs w:val="21"/>
              </w:rPr>
              <w:t xml:space="preserve"> </w:t>
            </w:r>
            <w:r>
              <w:rPr>
                <w:rFonts w:hint="default" w:ascii="Arial" w:hAnsi="Arial" w:eastAsia="宋体" w:cs="Arial"/>
                <w:sz w:val="21"/>
                <w:szCs w:val="21"/>
              </w:rPr>
              <w:t>组</w:t>
            </w:r>
          </w:p>
        </w:tc>
        <w:tc>
          <w:tcPr>
            <w:tcW w:w="4609" w:type="dxa"/>
            <w:vAlign w:val="top"/>
          </w:tcPr>
          <w:p w14:paraId="75C2DCD0">
            <w:pPr>
              <w:pStyle w:val="257"/>
              <w:keepNext w:val="0"/>
              <w:keepLines w:val="0"/>
              <w:pageBreakBefore w:val="0"/>
              <w:widowControl w:val="0"/>
              <w:kinsoku/>
              <w:wordWrap/>
              <w:overflowPunct/>
              <w:topLinePunct w:val="0"/>
              <w:autoSpaceDE/>
              <w:autoSpaceDN/>
              <w:bidi w:val="0"/>
              <w:adjustRightInd/>
              <w:spacing w:before="160" w:line="288" w:lineRule="auto"/>
              <w:ind w:left="22" w:right="11"/>
              <w:textAlignment w:val="auto"/>
              <w:rPr>
                <w:rFonts w:hint="default" w:ascii="Arial" w:hAnsi="Arial" w:eastAsia="宋体" w:cs="Arial"/>
                <w:sz w:val="21"/>
                <w:szCs w:val="21"/>
              </w:rPr>
            </w:pPr>
            <w:r>
              <w:rPr>
                <w:rFonts w:hint="default" w:ascii="Arial" w:hAnsi="Arial" w:eastAsia="宋体" w:cs="Arial"/>
                <w:spacing w:val="19"/>
                <w:sz w:val="21"/>
                <w:szCs w:val="21"/>
              </w:rPr>
              <w:t>《溴化锂吸收式冷水机组能效限</w:t>
            </w:r>
            <w:r>
              <w:rPr>
                <w:rFonts w:hint="default" w:ascii="Arial" w:hAnsi="Arial" w:eastAsia="宋体" w:cs="Arial"/>
                <w:spacing w:val="2"/>
                <w:sz w:val="21"/>
                <w:szCs w:val="21"/>
              </w:rPr>
              <w:t xml:space="preserve"> </w:t>
            </w:r>
            <w:r>
              <w:rPr>
                <w:rFonts w:hint="default" w:ascii="Arial" w:hAnsi="Arial" w:eastAsia="宋体" w:cs="Arial"/>
                <w:spacing w:val="7"/>
                <w:sz w:val="21"/>
                <w:szCs w:val="21"/>
              </w:rPr>
              <w:t>定值及能效等级》（</w:t>
            </w:r>
            <w:r>
              <w:rPr>
                <w:rFonts w:hint="default" w:ascii="Arial" w:hAnsi="Arial" w:eastAsia="宋体" w:cs="Arial"/>
                <w:sz w:val="21"/>
                <w:szCs w:val="21"/>
              </w:rPr>
              <w:t>GB</w:t>
            </w:r>
            <w:r>
              <w:rPr>
                <w:rFonts w:hint="default" w:ascii="Arial" w:hAnsi="Arial" w:eastAsia="宋体" w:cs="Arial"/>
                <w:spacing w:val="7"/>
                <w:sz w:val="21"/>
                <w:szCs w:val="21"/>
              </w:rPr>
              <w:t xml:space="preserve"> 29540）</w:t>
            </w:r>
          </w:p>
        </w:tc>
      </w:tr>
      <w:tr w14:paraId="0C6F3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3" w:type="dxa"/>
            <w:vMerge w:val="continue"/>
            <w:tcBorders>
              <w:top w:val="nil"/>
              <w:bottom w:val="nil"/>
            </w:tcBorders>
            <w:vAlign w:val="top"/>
          </w:tcPr>
          <w:p w14:paraId="1E712B95">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bottom w:val="nil"/>
            </w:tcBorders>
            <w:vAlign w:val="top"/>
          </w:tcPr>
          <w:p w14:paraId="13D0E73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Merge w:val="restart"/>
            <w:tcBorders>
              <w:bottom w:val="nil"/>
            </w:tcBorders>
            <w:vAlign w:val="top"/>
          </w:tcPr>
          <w:p w14:paraId="29D9A29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D8D1BB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39DFC0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7696CF3E">
            <w:pPr>
              <w:pStyle w:val="257"/>
              <w:keepNext w:val="0"/>
              <w:keepLines w:val="0"/>
              <w:pageBreakBefore w:val="0"/>
              <w:widowControl w:val="0"/>
              <w:kinsoku/>
              <w:wordWrap/>
              <w:overflowPunct/>
              <w:topLinePunct w:val="0"/>
              <w:autoSpaceDE/>
              <w:autoSpaceDN/>
              <w:bidi w:val="0"/>
              <w:adjustRightInd/>
              <w:spacing w:before="62" w:line="288" w:lineRule="auto"/>
              <w:ind w:left="17" w:right="10"/>
              <w:textAlignment w:val="auto"/>
              <w:rPr>
                <w:rFonts w:hint="default" w:ascii="Arial" w:hAnsi="Arial" w:eastAsia="宋体" w:cs="Arial"/>
                <w:sz w:val="21"/>
                <w:szCs w:val="21"/>
              </w:rPr>
            </w:pPr>
            <w:r>
              <w:rPr>
                <w:rFonts w:hint="default" w:ascii="Arial" w:hAnsi="Arial" w:eastAsia="宋体" w:cs="Arial"/>
                <w:spacing w:val="3"/>
                <w:sz w:val="21"/>
                <w:szCs w:val="21"/>
              </w:rPr>
              <w:t>★A02052305 空调机</w:t>
            </w:r>
            <w:r>
              <w:rPr>
                <w:rFonts w:hint="default" w:ascii="Arial" w:hAnsi="Arial" w:eastAsia="宋体" w:cs="Arial"/>
                <w:spacing w:val="12"/>
                <w:sz w:val="21"/>
                <w:szCs w:val="21"/>
              </w:rPr>
              <w:t xml:space="preserve"> </w:t>
            </w:r>
            <w:r>
              <w:rPr>
                <w:rFonts w:hint="default" w:ascii="Arial" w:hAnsi="Arial" w:eastAsia="宋体" w:cs="Arial"/>
                <w:sz w:val="21"/>
                <w:szCs w:val="21"/>
              </w:rPr>
              <w:t>组</w:t>
            </w:r>
          </w:p>
        </w:tc>
        <w:tc>
          <w:tcPr>
            <w:tcW w:w="1678" w:type="dxa"/>
            <w:vAlign w:val="top"/>
          </w:tcPr>
          <w:p w14:paraId="67D043F6">
            <w:pPr>
              <w:pStyle w:val="257"/>
              <w:keepNext w:val="0"/>
              <w:keepLines w:val="0"/>
              <w:pageBreakBefore w:val="0"/>
              <w:widowControl w:val="0"/>
              <w:kinsoku/>
              <w:wordWrap/>
              <w:overflowPunct/>
              <w:topLinePunct w:val="0"/>
              <w:autoSpaceDE/>
              <w:autoSpaceDN/>
              <w:bidi w:val="0"/>
              <w:adjustRightInd/>
              <w:spacing w:before="65" w:line="288" w:lineRule="auto"/>
              <w:ind w:left="15" w:right="11" w:firstLine="10"/>
              <w:jc w:val="both"/>
              <w:textAlignment w:val="auto"/>
              <w:rPr>
                <w:rFonts w:hint="default" w:ascii="Arial" w:hAnsi="Arial" w:eastAsia="宋体" w:cs="Arial"/>
                <w:sz w:val="21"/>
                <w:szCs w:val="21"/>
              </w:rPr>
            </w:pPr>
            <w:r>
              <w:rPr>
                <w:rFonts w:hint="default" w:ascii="Arial" w:hAnsi="Arial" w:eastAsia="宋体" w:cs="Arial"/>
                <w:spacing w:val="15"/>
                <w:sz w:val="21"/>
                <w:szCs w:val="21"/>
              </w:rPr>
              <w:t>多联式空调（热泵）</w:t>
            </w:r>
            <w:r>
              <w:rPr>
                <w:rFonts w:hint="default" w:ascii="Arial" w:hAnsi="Arial" w:eastAsia="宋体" w:cs="Arial"/>
                <w:spacing w:val="7"/>
                <w:sz w:val="21"/>
                <w:szCs w:val="21"/>
              </w:rPr>
              <w:t xml:space="preserve"> </w:t>
            </w:r>
            <w:r>
              <w:rPr>
                <w:rFonts w:hint="default" w:ascii="Arial" w:hAnsi="Arial" w:eastAsia="宋体" w:cs="Arial"/>
                <w:spacing w:val="-8"/>
                <w:sz w:val="21"/>
                <w:szCs w:val="21"/>
              </w:rPr>
              <w:t>机</w:t>
            </w:r>
            <w:r>
              <w:rPr>
                <w:rFonts w:hint="default" w:ascii="Arial" w:hAnsi="Arial" w:eastAsia="宋体" w:cs="Arial"/>
                <w:spacing w:val="34"/>
                <w:sz w:val="21"/>
                <w:szCs w:val="21"/>
              </w:rPr>
              <w:t xml:space="preserve">  </w:t>
            </w:r>
            <w:r>
              <w:rPr>
                <w:rFonts w:hint="default" w:ascii="Arial" w:hAnsi="Arial" w:eastAsia="宋体" w:cs="Arial"/>
                <w:spacing w:val="-8"/>
                <w:sz w:val="21"/>
                <w:szCs w:val="21"/>
              </w:rPr>
              <w:t>组</w:t>
            </w:r>
            <w:r>
              <w:rPr>
                <w:rFonts w:hint="default" w:ascii="Arial" w:hAnsi="Arial" w:eastAsia="宋体" w:cs="Arial"/>
                <w:spacing w:val="2"/>
                <w:sz w:val="21"/>
                <w:szCs w:val="21"/>
              </w:rPr>
              <w:t xml:space="preserve">   </w:t>
            </w:r>
            <w:r>
              <w:rPr>
                <w:rFonts w:hint="default" w:ascii="Arial" w:hAnsi="Arial" w:eastAsia="宋体" w:cs="Arial"/>
                <w:spacing w:val="-8"/>
                <w:sz w:val="21"/>
                <w:szCs w:val="21"/>
              </w:rPr>
              <w:t>(</w:t>
            </w:r>
            <w:r>
              <w:rPr>
                <w:rFonts w:hint="default" w:ascii="Arial" w:hAnsi="Arial" w:eastAsia="宋体" w:cs="Arial"/>
                <w:spacing w:val="33"/>
                <w:sz w:val="21"/>
                <w:szCs w:val="21"/>
              </w:rPr>
              <w:t xml:space="preserve">  </w:t>
            </w:r>
            <w:r>
              <w:rPr>
                <w:rFonts w:hint="default" w:ascii="Arial" w:hAnsi="Arial" w:eastAsia="宋体" w:cs="Arial"/>
                <w:spacing w:val="-8"/>
                <w:sz w:val="21"/>
                <w:szCs w:val="21"/>
              </w:rPr>
              <w:t>制</w:t>
            </w:r>
            <w:r>
              <w:rPr>
                <w:rFonts w:hint="default" w:ascii="Arial" w:hAnsi="Arial" w:eastAsia="宋体" w:cs="Arial"/>
                <w:spacing w:val="35"/>
                <w:sz w:val="21"/>
                <w:szCs w:val="21"/>
              </w:rPr>
              <w:t xml:space="preserve">  </w:t>
            </w:r>
            <w:r>
              <w:rPr>
                <w:rFonts w:hint="default" w:ascii="Arial" w:hAnsi="Arial" w:eastAsia="宋体" w:cs="Arial"/>
                <w:spacing w:val="-8"/>
                <w:sz w:val="21"/>
                <w:szCs w:val="21"/>
              </w:rPr>
              <w:t>冷</w:t>
            </w:r>
            <w:r>
              <w:rPr>
                <w:rFonts w:hint="default" w:ascii="Arial" w:hAnsi="Arial" w:eastAsia="宋体" w:cs="Arial"/>
                <w:sz w:val="21"/>
                <w:szCs w:val="21"/>
              </w:rPr>
              <w:t xml:space="preserve"> </w:t>
            </w:r>
            <w:r>
              <w:rPr>
                <w:rFonts w:hint="default" w:ascii="Arial" w:hAnsi="Arial" w:eastAsia="宋体" w:cs="Arial"/>
                <w:spacing w:val="5"/>
                <w:sz w:val="21"/>
                <w:szCs w:val="21"/>
              </w:rPr>
              <w:t>量&gt;14000W)</w:t>
            </w:r>
          </w:p>
        </w:tc>
        <w:tc>
          <w:tcPr>
            <w:tcW w:w="4609" w:type="dxa"/>
            <w:vAlign w:val="top"/>
          </w:tcPr>
          <w:p w14:paraId="52513D91">
            <w:pPr>
              <w:pStyle w:val="257"/>
              <w:keepNext w:val="0"/>
              <w:keepLines w:val="0"/>
              <w:pageBreakBefore w:val="0"/>
              <w:widowControl w:val="0"/>
              <w:kinsoku/>
              <w:wordWrap/>
              <w:overflowPunct/>
              <w:topLinePunct w:val="0"/>
              <w:autoSpaceDE/>
              <w:autoSpaceDN/>
              <w:bidi w:val="0"/>
              <w:adjustRightInd/>
              <w:spacing w:before="221" w:line="288" w:lineRule="auto"/>
              <w:ind w:left="22"/>
              <w:textAlignment w:val="auto"/>
              <w:rPr>
                <w:rFonts w:hint="default" w:ascii="Arial" w:hAnsi="Arial" w:eastAsia="宋体" w:cs="Arial"/>
                <w:sz w:val="21"/>
                <w:szCs w:val="21"/>
              </w:rPr>
            </w:pPr>
            <w:r>
              <w:rPr>
                <w:rFonts w:hint="default" w:ascii="Arial" w:hAnsi="Arial" w:eastAsia="宋体" w:cs="Arial"/>
                <w:sz w:val="21"/>
                <w:szCs w:val="21"/>
              </w:rPr>
              <w:t>《多联式空调（热泵）机组能效限</w:t>
            </w:r>
            <w:r>
              <w:rPr>
                <w:rFonts w:hint="default" w:ascii="Arial" w:hAnsi="Arial" w:eastAsia="宋体" w:cs="Arial"/>
                <w:spacing w:val="2"/>
                <w:sz w:val="21"/>
                <w:szCs w:val="21"/>
              </w:rPr>
              <w:t xml:space="preserve">  </w:t>
            </w:r>
            <w:r>
              <w:rPr>
                <w:rFonts w:hint="default" w:ascii="Arial" w:hAnsi="Arial" w:eastAsia="宋体" w:cs="Arial"/>
                <w:spacing w:val="-4"/>
                <w:sz w:val="21"/>
                <w:szCs w:val="21"/>
              </w:rPr>
              <w:t>定值及能源效率等级》（GB</w:t>
            </w:r>
            <w:r>
              <w:rPr>
                <w:rFonts w:hint="default" w:ascii="Arial" w:hAnsi="Arial" w:eastAsia="宋体" w:cs="Arial"/>
                <w:spacing w:val="-24"/>
                <w:sz w:val="21"/>
                <w:szCs w:val="21"/>
              </w:rPr>
              <w:t xml:space="preserve"> </w:t>
            </w:r>
            <w:r>
              <w:rPr>
                <w:rFonts w:hint="default" w:ascii="Arial" w:hAnsi="Arial" w:eastAsia="宋体" w:cs="Arial"/>
                <w:spacing w:val="-4"/>
                <w:sz w:val="21"/>
                <w:szCs w:val="21"/>
              </w:rPr>
              <w:t>21454）</w:t>
            </w:r>
          </w:p>
        </w:tc>
      </w:tr>
      <w:tr w14:paraId="292FD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3" w:type="dxa"/>
            <w:vMerge w:val="continue"/>
            <w:tcBorders>
              <w:top w:val="nil"/>
              <w:bottom w:val="nil"/>
            </w:tcBorders>
            <w:vAlign w:val="top"/>
          </w:tcPr>
          <w:p w14:paraId="1DB28F9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bottom w:val="nil"/>
            </w:tcBorders>
            <w:vAlign w:val="top"/>
          </w:tcPr>
          <w:p w14:paraId="34C6D3B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Merge w:val="continue"/>
            <w:tcBorders>
              <w:top w:val="nil"/>
            </w:tcBorders>
            <w:vAlign w:val="top"/>
          </w:tcPr>
          <w:p w14:paraId="36405C0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678" w:type="dxa"/>
            <w:vAlign w:val="top"/>
          </w:tcPr>
          <w:p w14:paraId="7B02811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6C0C62A">
            <w:pPr>
              <w:pStyle w:val="257"/>
              <w:keepNext w:val="0"/>
              <w:keepLines w:val="0"/>
              <w:pageBreakBefore w:val="0"/>
              <w:widowControl w:val="0"/>
              <w:kinsoku/>
              <w:wordWrap/>
              <w:overflowPunct/>
              <w:topLinePunct w:val="0"/>
              <w:autoSpaceDE/>
              <w:autoSpaceDN/>
              <w:bidi w:val="0"/>
              <w:adjustRightInd/>
              <w:spacing w:before="62" w:line="288" w:lineRule="auto"/>
              <w:ind w:left="51" w:right="11" w:hanging="33"/>
              <w:textAlignment w:val="auto"/>
              <w:rPr>
                <w:rFonts w:hint="default" w:ascii="Arial" w:hAnsi="Arial" w:eastAsia="宋体" w:cs="Arial"/>
                <w:sz w:val="21"/>
                <w:szCs w:val="21"/>
              </w:rPr>
            </w:pPr>
            <w:r>
              <w:rPr>
                <w:rFonts w:hint="default" w:ascii="Arial" w:hAnsi="Arial" w:eastAsia="宋体" w:cs="Arial"/>
                <w:spacing w:val="44"/>
                <w:sz w:val="21"/>
                <w:szCs w:val="21"/>
              </w:rPr>
              <w:t>单元式空气调节机</w:t>
            </w:r>
            <w:r>
              <w:rPr>
                <w:rFonts w:hint="default" w:ascii="Arial" w:hAnsi="Arial" w:eastAsia="宋体" w:cs="Arial"/>
                <w:spacing w:val="6"/>
                <w:sz w:val="21"/>
                <w:szCs w:val="21"/>
              </w:rPr>
              <w:t xml:space="preserve"> </w:t>
            </w:r>
            <w:r>
              <w:rPr>
                <w:rFonts w:hint="default" w:ascii="Arial" w:hAnsi="Arial" w:eastAsia="宋体" w:cs="Arial"/>
                <w:spacing w:val="2"/>
                <w:sz w:val="21"/>
                <w:szCs w:val="21"/>
              </w:rPr>
              <w:t>(制冷量&gt;14000W)</w:t>
            </w:r>
          </w:p>
        </w:tc>
        <w:tc>
          <w:tcPr>
            <w:tcW w:w="4609" w:type="dxa"/>
            <w:vAlign w:val="top"/>
          </w:tcPr>
          <w:p w14:paraId="3E6731E4">
            <w:pPr>
              <w:pStyle w:val="257"/>
              <w:keepNext w:val="0"/>
              <w:keepLines w:val="0"/>
              <w:pageBreakBefore w:val="0"/>
              <w:widowControl w:val="0"/>
              <w:kinsoku/>
              <w:wordWrap/>
              <w:overflowPunct/>
              <w:topLinePunct w:val="0"/>
              <w:autoSpaceDE/>
              <w:autoSpaceDN/>
              <w:bidi w:val="0"/>
              <w:adjustRightInd/>
              <w:spacing w:before="72" w:line="288" w:lineRule="auto"/>
              <w:ind w:left="16" w:right="11" w:firstLine="6"/>
              <w:jc w:val="both"/>
              <w:textAlignment w:val="auto"/>
              <w:rPr>
                <w:rFonts w:hint="default" w:ascii="Arial" w:hAnsi="Arial" w:eastAsia="宋体" w:cs="Arial"/>
                <w:sz w:val="21"/>
                <w:szCs w:val="21"/>
              </w:rPr>
            </w:pPr>
            <w:r>
              <w:rPr>
                <w:rFonts w:hint="default" w:ascii="Arial" w:hAnsi="Arial" w:eastAsia="宋体" w:cs="Arial"/>
                <w:spacing w:val="19"/>
                <w:sz w:val="21"/>
                <w:szCs w:val="21"/>
              </w:rPr>
              <w:t>《单元式空气调节机能效限定值</w:t>
            </w:r>
            <w:r>
              <w:rPr>
                <w:rFonts w:hint="default" w:ascii="Arial" w:hAnsi="Arial" w:eastAsia="宋体" w:cs="Arial"/>
                <w:spacing w:val="2"/>
                <w:sz w:val="21"/>
                <w:szCs w:val="21"/>
              </w:rPr>
              <w:t xml:space="preserve"> </w:t>
            </w:r>
            <w:r>
              <w:rPr>
                <w:rFonts w:hint="default" w:ascii="Arial" w:hAnsi="Arial" w:eastAsia="宋体" w:cs="Arial"/>
                <w:spacing w:val="6"/>
                <w:sz w:val="21"/>
                <w:szCs w:val="21"/>
              </w:rPr>
              <w:t>及能效等级》（</w:t>
            </w:r>
            <w:r>
              <w:rPr>
                <w:rFonts w:hint="default" w:ascii="Arial" w:hAnsi="Arial" w:eastAsia="宋体" w:cs="Arial"/>
                <w:sz w:val="21"/>
                <w:szCs w:val="21"/>
              </w:rPr>
              <w:t>GB</w:t>
            </w:r>
            <w:r>
              <w:rPr>
                <w:rFonts w:hint="default" w:ascii="Arial" w:hAnsi="Arial" w:eastAsia="宋体" w:cs="Arial"/>
                <w:spacing w:val="-13"/>
                <w:sz w:val="21"/>
                <w:szCs w:val="21"/>
              </w:rPr>
              <w:t xml:space="preserve"> </w:t>
            </w:r>
            <w:r>
              <w:rPr>
                <w:rFonts w:hint="default" w:ascii="Arial" w:hAnsi="Arial" w:eastAsia="宋体" w:cs="Arial"/>
                <w:spacing w:val="6"/>
                <w:sz w:val="21"/>
                <w:szCs w:val="21"/>
              </w:rPr>
              <w:t>19576）《风管</w:t>
            </w:r>
            <w:r>
              <w:rPr>
                <w:rFonts w:hint="default" w:ascii="Arial" w:hAnsi="Arial" w:eastAsia="宋体" w:cs="Arial"/>
                <w:sz w:val="21"/>
                <w:szCs w:val="21"/>
              </w:rPr>
              <w:t xml:space="preserve"> </w:t>
            </w:r>
            <w:r>
              <w:rPr>
                <w:rFonts w:hint="default" w:ascii="Arial" w:hAnsi="Arial" w:eastAsia="宋体" w:cs="Arial"/>
                <w:spacing w:val="19"/>
                <w:sz w:val="21"/>
                <w:szCs w:val="21"/>
              </w:rPr>
              <w:t>送风式空调机组能效限定值及能</w:t>
            </w:r>
            <w:r>
              <w:rPr>
                <w:rFonts w:hint="default" w:ascii="Arial" w:hAnsi="Arial" w:eastAsia="宋体" w:cs="Arial"/>
                <w:spacing w:val="9"/>
                <w:sz w:val="21"/>
                <w:szCs w:val="21"/>
              </w:rPr>
              <w:t xml:space="preserve"> </w:t>
            </w:r>
            <w:r>
              <w:rPr>
                <w:rFonts w:hint="default" w:ascii="Arial" w:hAnsi="Arial" w:eastAsia="宋体" w:cs="Arial"/>
                <w:spacing w:val="7"/>
                <w:sz w:val="21"/>
                <w:szCs w:val="21"/>
              </w:rPr>
              <w:t>效等级》（</w:t>
            </w:r>
            <w:r>
              <w:rPr>
                <w:rFonts w:hint="default" w:ascii="Arial" w:hAnsi="Arial" w:eastAsia="宋体" w:cs="Arial"/>
                <w:sz w:val="21"/>
                <w:szCs w:val="21"/>
              </w:rPr>
              <w:t>GB</w:t>
            </w:r>
            <w:r>
              <w:rPr>
                <w:rFonts w:hint="default" w:ascii="Arial" w:hAnsi="Arial" w:eastAsia="宋体" w:cs="Arial"/>
                <w:spacing w:val="7"/>
                <w:sz w:val="21"/>
                <w:szCs w:val="21"/>
              </w:rPr>
              <w:t xml:space="preserve"> 37479）</w:t>
            </w:r>
          </w:p>
        </w:tc>
      </w:tr>
      <w:tr w14:paraId="55E26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3" w:type="dxa"/>
            <w:vMerge w:val="continue"/>
            <w:tcBorders>
              <w:top w:val="nil"/>
              <w:bottom w:val="nil"/>
            </w:tcBorders>
            <w:vAlign w:val="top"/>
          </w:tcPr>
          <w:p w14:paraId="6D52290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bottom w:val="nil"/>
            </w:tcBorders>
            <w:vAlign w:val="top"/>
          </w:tcPr>
          <w:p w14:paraId="0A99859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Align w:val="top"/>
          </w:tcPr>
          <w:p w14:paraId="7EF887A3">
            <w:pPr>
              <w:pStyle w:val="257"/>
              <w:keepNext w:val="0"/>
              <w:keepLines w:val="0"/>
              <w:pageBreakBefore w:val="0"/>
              <w:widowControl w:val="0"/>
              <w:kinsoku/>
              <w:wordWrap/>
              <w:overflowPunct/>
              <w:topLinePunct w:val="0"/>
              <w:autoSpaceDE/>
              <w:autoSpaceDN/>
              <w:bidi w:val="0"/>
              <w:adjustRightInd/>
              <w:spacing w:before="146" w:line="288" w:lineRule="auto"/>
              <w:ind w:left="17" w:right="10" w:firstLine="1"/>
              <w:textAlignment w:val="auto"/>
              <w:rPr>
                <w:rFonts w:hint="default" w:ascii="Arial" w:hAnsi="Arial" w:eastAsia="宋体" w:cs="Arial"/>
                <w:sz w:val="21"/>
                <w:szCs w:val="21"/>
              </w:rPr>
            </w:pPr>
            <w:r>
              <w:rPr>
                <w:rFonts w:hint="default" w:ascii="Arial" w:hAnsi="Arial" w:eastAsia="宋体" w:cs="Arial"/>
                <w:spacing w:val="3"/>
                <w:sz w:val="21"/>
                <w:szCs w:val="21"/>
              </w:rPr>
              <w:t>★A02052309 专用制</w:t>
            </w:r>
            <w:r>
              <w:rPr>
                <w:rFonts w:hint="default" w:ascii="Arial" w:hAnsi="Arial" w:eastAsia="宋体" w:cs="Arial"/>
                <w:spacing w:val="12"/>
                <w:sz w:val="21"/>
                <w:szCs w:val="21"/>
              </w:rPr>
              <w:t xml:space="preserve"> </w:t>
            </w:r>
            <w:r>
              <w:rPr>
                <w:rFonts w:hint="default" w:ascii="Arial" w:hAnsi="Arial" w:eastAsia="宋体" w:cs="Arial"/>
                <w:spacing w:val="8"/>
                <w:sz w:val="21"/>
                <w:szCs w:val="21"/>
              </w:rPr>
              <w:t>冷、空调设备</w:t>
            </w:r>
          </w:p>
        </w:tc>
        <w:tc>
          <w:tcPr>
            <w:tcW w:w="1678" w:type="dxa"/>
            <w:vAlign w:val="top"/>
          </w:tcPr>
          <w:p w14:paraId="3BB04D24">
            <w:pPr>
              <w:pStyle w:val="257"/>
              <w:keepNext w:val="0"/>
              <w:keepLines w:val="0"/>
              <w:pageBreakBefore w:val="0"/>
              <w:widowControl w:val="0"/>
              <w:kinsoku/>
              <w:wordWrap/>
              <w:overflowPunct/>
              <w:topLinePunct w:val="0"/>
              <w:autoSpaceDE/>
              <w:autoSpaceDN/>
              <w:bidi w:val="0"/>
              <w:adjustRightInd/>
              <w:spacing w:before="300" w:line="288" w:lineRule="auto"/>
              <w:ind w:left="15"/>
              <w:textAlignment w:val="auto"/>
              <w:rPr>
                <w:rFonts w:hint="default" w:ascii="Arial" w:hAnsi="Arial" w:eastAsia="宋体" w:cs="Arial"/>
                <w:sz w:val="21"/>
                <w:szCs w:val="21"/>
              </w:rPr>
            </w:pPr>
            <w:r>
              <w:rPr>
                <w:rFonts w:hint="default" w:ascii="Arial" w:hAnsi="Arial" w:eastAsia="宋体" w:cs="Arial"/>
                <w:spacing w:val="7"/>
                <w:sz w:val="21"/>
                <w:szCs w:val="21"/>
              </w:rPr>
              <w:t>机房空调</w:t>
            </w:r>
          </w:p>
        </w:tc>
        <w:tc>
          <w:tcPr>
            <w:tcW w:w="4609" w:type="dxa"/>
            <w:vAlign w:val="top"/>
          </w:tcPr>
          <w:p w14:paraId="14505153">
            <w:pPr>
              <w:pStyle w:val="257"/>
              <w:keepNext w:val="0"/>
              <w:keepLines w:val="0"/>
              <w:pageBreakBefore w:val="0"/>
              <w:widowControl w:val="0"/>
              <w:kinsoku/>
              <w:wordWrap/>
              <w:overflowPunct/>
              <w:topLinePunct w:val="0"/>
              <w:autoSpaceDE/>
              <w:autoSpaceDN/>
              <w:bidi w:val="0"/>
              <w:adjustRightInd/>
              <w:spacing w:before="146" w:line="288" w:lineRule="auto"/>
              <w:ind w:left="17" w:right="11" w:firstLine="6"/>
              <w:textAlignment w:val="auto"/>
              <w:rPr>
                <w:rFonts w:hint="default" w:ascii="Arial" w:hAnsi="Arial" w:eastAsia="宋体" w:cs="Arial"/>
                <w:sz w:val="21"/>
                <w:szCs w:val="21"/>
              </w:rPr>
            </w:pPr>
            <w:r>
              <w:rPr>
                <w:rFonts w:hint="default" w:ascii="Arial" w:hAnsi="Arial" w:eastAsia="宋体" w:cs="Arial"/>
                <w:spacing w:val="19"/>
                <w:sz w:val="21"/>
                <w:szCs w:val="21"/>
              </w:rPr>
              <w:t>《单元式空气调节机能效限定值</w:t>
            </w:r>
            <w:r>
              <w:rPr>
                <w:rFonts w:hint="default" w:ascii="Arial" w:hAnsi="Arial" w:eastAsia="宋体" w:cs="Arial"/>
                <w:spacing w:val="2"/>
                <w:sz w:val="21"/>
                <w:szCs w:val="21"/>
              </w:rPr>
              <w:t xml:space="preserve"> </w:t>
            </w:r>
            <w:r>
              <w:rPr>
                <w:rFonts w:hint="default" w:ascii="Arial" w:hAnsi="Arial" w:eastAsia="宋体" w:cs="Arial"/>
                <w:spacing w:val="5"/>
                <w:sz w:val="21"/>
                <w:szCs w:val="21"/>
              </w:rPr>
              <w:t>及能效等级》（</w:t>
            </w:r>
            <w:r>
              <w:rPr>
                <w:rFonts w:hint="default" w:ascii="Arial" w:hAnsi="Arial" w:eastAsia="宋体" w:cs="Arial"/>
                <w:sz w:val="21"/>
                <w:szCs w:val="21"/>
              </w:rPr>
              <w:t>GB</w:t>
            </w:r>
            <w:r>
              <w:rPr>
                <w:rFonts w:hint="default" w:ascii="Arial" w:hAnsi="Arial" w:eastAsia="宋体" w:cs="Arial"/>
                <w:spacing w:val="39"/>
                <w:sz w:val="21"/>
                <w:szCs w:val="21"/>
              </w:rPr>
              <w:t xml:space="preserve"> </w:t>
            </w:r>
            <w:r>
              <w:rPr>
                <w:rFonts w:hint="default" w:ascii="Arial" w:hAnsi="Arial" w:eastAsia="宋体" w:cs="Arial"/>
                <w:spacing w:val="5"/>
                <w:sz w:val="21"/>
                <w:szCs w:val="21"/>
              </w:rPr>
              <w:t>19576）</w:t>
            </w:r>
          </w:p>
        </w:tc>
      </w:tr>
      <w:tr w14:paraId="5A7D0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3" w:type="dxa"/>
            <w:vMerge w:val="continue"/>
            <w:tcBorders>
              <w:top w:val="nil"/>
            </w:tcBorders>
            <w:vAlign w:val="top"/>
          </w:tcPr>
          <w:p w14:paraId="4E4FA39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tcBorders>
            <w:vAlign w:val="top"/>
          </w:tcPr>
          <w:p w14:paraId="7FF8E5A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Align w:val="top"/>
          </w:tcPr>
          <w:p w14:paraId="43BD647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0E290F5F">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C4963DD">
            <w:pPr>
              <w:pStyle w:val="257"/>
              <w:keepNext w:val="0"/>
              <w:keepLines w:val="0"/>
              <w:pageBreakBefore w:val="0"/>
              <w:widowControl w:val="0"/>
              <w:kinsoku/>
              <w:wordWrap/>
              <w:overflowPunct/>
              <w:topLinePunct w:val="0"/>
              <w:autoSpaceDE/>
              <w:autoSpaceDN/>
              <w:bidi w:val="0"/>
              <w:adjustRightInd/>
              <w:spacing w:before="62" w:line="288" w:lineRule="auto"/>
              <w:ind w:left="9"/>
              <w:textAlignment w:val="auto"/>
              <w:rPr>
                <w:rFonts w:hint="default" w:ascii="Arial" w:hAnsi="Arial" w:eastAsia="宋体" w:cs="Arial"/>
                <w:sz w:val="21"/>
                <w:szCs w:val="21"/>
              </w:rPr>
            </w:pPr>
            <w:r>
              <w:rPr>
                <w:rFonts w:hint="default" w:ascii="Arial" w:hAnsi="Arial" w:eastAsia="宋体" w:cs="Arial"/>
                <w:spacing w:val="4"/>
                <w:sz w:val="21"/>
                <w:szCs w:val="21"/>
              </w:rPr>
              <w:t>A02052399 其他制冷</w:t>
            </w:r>
          </w:p>
          <w:p w14:paraId="082E8639">
            <w:pPr>
              <w:pStyle w:val="257"/>
              <w:keepNext w:val="0"/>
              <w:keepLines w:val="0"/>
              <w:pageBreakBefore w:val="0"/>
              <w:widowControl w:val="0"/>
              <w:kinsoku/>
              <w:wordWrap/>
              <w:overflowPunct/>
              <w:topLinePunct w:val="0"/>
              <w:autoSpaceDE/>
              <w:autoSpaceDN/>
              <w:bidi w:val="0"/>
              <w:adjustRightInd/>
              <w:spacing w:before="75" w:line="288" w:lineRule="auto"/>
              <w:ind w:left="21"/>
              <w:textAlignment w:val="auto"/>
              <w:rPr>
                <w:rFonts w:hint="default" w:ascii="Arial" w:hAnsi="Arial" w:eastAsia="宋体" w:cs="Arial"/>
                <w:sz w:val="21"/>
                <w:szCs w:val="21"/>
              </w:rPr>
            </w:pPr>
            <w:r>
              <w:rPr>
                <w:rFonts w:hint="default" w:ascii="Arial" w:hAnsi="Arial" w:eastAsia="宋体" w:cs="Arial"/>
                <w:spacing w:val="5"/>
                <w:sz w:val="21"/>
                <w:szCs w:val="21"/>
              </w:rPr>
              <w:t>空调设备</w:t>
            </w:r>
          </w:p>
        </w:tc>
        <w:tc>
          <w:tcPr>
            <w:tcW w:w="1678" w:type="dxa"/>
            <w:vAlign w:val="top"/>
          </w:tcPr>
          <w:p w14:paraId="31FEB5C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4C75AA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07034F75">
            <w:pPr>
              <w:pStyle w:val="257"/>
              <w:keepNext w:val="0"/>
              <w:keepLines w:val="0"/>
              <w:pageBreakBefore w:val="0"/>
              <w:widowControl w:val="0"/>
              <w:kinsoku/>
              <w:wordWrap/>
              <w:overflowPunct/>
              <w:topLinePunct w:val="0"/>
              <w:autoSpaceDE/>
              <w:autoSpaceDN/>
              <w:bidi w:val="0"/>
              <w:adjustRightInd/>
              <w:spacing w:before="62" w:line="288" w:lineRule="auto"/>
              <w:ind w:left="18"/>
              <w:textAlignment w:val="auto"/>
              <w:rPr>
                <w:rFonts w:hint="default" w:ascii="Arial" w:hAnsi="Arial" w:eastAsia="宋体" w:cs="Arial"/>
                <w:sz w:val="21"/>
                <w:szCs w:val="21"/>
              </w:rPr>
            </w:pPr>
            <w:r>
              <w:rPr>
                <w:rFonts w:hint="default" w:ascii="Arial" w:hAnsi="Arial" w:eastAsia="宋体" w:cs="Arial"/>
                <w:spacing w:val="6"/>
                <w:sz w:val="21"/>
                <w:szCs w:val="21"/>
              </w:rPr>
              <w:t>冷却塔</w:t>
            </w:r>
          </w:p>
        </w:tc>
        <w:tc>
          <w:tcPr>
            <w:tcW w:w="4609" w:type="dxa"/>
            <w:vAlign w:val="top"/>
          </w:tcPr>
          <w:p w14:paraId="376AF64F">
            <w:pPr>
              <w:pStyle w:val="257"/>
              <w:keepNext w:val="0"/>
              <w:keepLines w:val="0"/>
              <w:pageBreakBefore w:val="0"/>
              <w:widowControl w:val="0"/>
              <w:kinsoku/>
              <w:wordWrap/>
              <w:overflowPunct/>
              <w:topLinePunct w:val="0"/>
              <w:autoSpaceDE/>
              <w:autoSpaceDN/>
              <w:bidi w:val="0"/>
              <w:adjustRightInd/>
              <w:spacing w:before="284" w:line="288" w:lineRule="auto"/>
              <w:ind w:left="23"/>
              <w:jc w:val="both"/>
              <w:textAlignment w:val="auto"/>
              <w:rPr>
                <w:rFonts w:hint="default" w:ascii="Arial" w:hAnsi="Arial" w:eastAsia="宋体" w:cs="Arial"/>
                <w:sz w:val="21"/>
                <w:szCs w:val="21"/>
              </w:rPr>
            </w:pPr>
            <w:r>
              <w:rPr>
                <w:rFonts w:hint="default" w:ascii="Arial" w:hAnsi="Arial" w:eastAsia="宋体" w:cs="Arial"/>
                <w:spacing w:val="2"/>
                <w:sz w:val="21"/>
                <w:szCs w:val="21"/>
              </w:rPr>
              <w:t>《机械通风冷却塔 第 1 部分：中</w:t>
            </w:r>
            <w:r>
              <w:rPr>
                <w:rFonts w:hint="default" w:ascii="Arial" w:hAnsi="Arial" w:eastAsia="宋体" w:cs="Arial"/>
                <w:spacing w:val="3"/>
                <w:sz w:val="21"/>
                <w:szCs w:val="21"/>
              </w:rPr>
              <w:t xml:space="preserve"> </w:t>
            </w:r>
            <w:r>
              <w:rPr>
                <w:rFonts w:hint="default" w:ascii="Arial" w:hAnsi="Arial" w:eastAsia="宋体" w:cs="Arial"/>
                <w:spacing w:val="-6"/>
                <w:sz w:val="21"/>
                <w:szCs w:val="21"/>
              </w:rPr>
              <w:t>小型开式冷却塔》（GB</w:t>
            </w:r>
            <w:r>
              <w:rPr>
                <w:rFonts w:hint="default" w:ascii="Arial" w:hAnsi="Arial" w:eastAsia="宋体" w:cs="Arial"/>
                <w:spacing w:val="-36"/>
                <w:sz w:val="21"/>
                <w:szCs w:val="21"/>
              </w:rPr>
              <w:t xml:space="preserve"> </w:t>
            </w:r>
            <w:r>
              <w:rPr>
                <w:rFonts w:hint="default" w:ascii="Arial" w:hAnsi="Arial" w:eastAsia="宋体" w:cs="Arial"/>
                <w:spacing w:val="-6"/>
                <w:sz w:val="21"/>
                <w:szCs w:val="21"/>
              </w:rPr>
              <w:t>/T</w:t>
            </w:r>
            <w:r>
              <w:rPr>
                <w:rFonts w:hint="default" w:ascii="Arial" w:hAnsi="Arial" w:eastAsia="宋体" w:cs="Arial"/>
                <w:spacing w:val="-31"/>
                <w:sz w:val="21"/>
                <w:szCs w:val="21"/>
              </w:rPr>
              <w:t xml:space="preserve"> </w:t>
            </w:r>
            <w:r>
              <w:rPr>
                <w:rFonts w:hint="default" w:ascii="Arial" w:hAnsi="Arial" w:eastAsia="宋体" w:cs="Arial"/>
                <w:spacing w:val="-6"/>
                <w:sz w:val="21"/>
                <w:szCs w:val="21"/>
              </w:rPr>
              <w:t>7190.1</w:t>
            </w:r>
            <w:r>
              <w:rPr>
                <w:rFonts w:hint="default" w:ascii="Arial" w:hAnsi="Arial" w:eastAsia="宋体" w:cs="Arial"/>
                <w:spacing w:val="-49"/>
                <w:w w:val="97"/>
                <w:sz w:val="21"/>
                <w:szCs w:val="21"/>
              </w:rPr>
              <w:t>）；</w:t>
            </w:r>
            <w:r>
              <w:rPr>
                <w:rFonts w:hint="default" w:ascii="Arial" w:hAnsi="Arial" w:eastAsia="宋体" w:cs="Arial"/>
                <w:sz w:val="21"/>
                <w:szCs w:val="21"/>
              </w:rPr>
              <w:t xml:space="preserve"> </w:t>
            </w:r>
            <w:r>
              <w:rPr>
                <w:rFonts w:hint="default" w:ascii="Arial" w:hAnsi="Arial" w:eastAsia="宋体" w:cs="Arial"/>
                <w:spacing w:val="2"/>
                <w:sz w:val="21"/>
                <w:szCs w:val="21"/>
              </w:rPr>
              <w:t>《机械通风冷却塔 第 2 部分：大</w:t>
            </w:r>
            <w:r>
              <w:rPr>
                <w:rFonts w:hint="default" w:ascii="Arial" w:hAnsi="Arial" w:eastAsia="宋体" w:cs="Arial"/>
                <w:spacing w:val="3"/>
                <w:sz w:val="21"/>
                <w:szCs w:val="21"/>
              </w:rPr>
              <w:t xml:space="preserve"> </w:t>
            </w:r>
            <w:r>
              <w:rPr>
                <w:rFonts w:hint="default" w:ascii="Arial" w:hAnsi="Arial" w:eastAsia="宋体" w:cs="Arial"/>
                <w:spacing w:val="4"/>
                <w:sz w:val="21"/>
                <w:szCs w:val="21"/>
              </w:rPr>
              <w:t>型开式冷却塔》（</w:t>
            </w:r>
            <w:r>
              <w:rPr>
                <w:rFonts w:hint="default" w:ascii="Arial" w:hAnsi="Arial" w:eastAsia="宋体" w:cs="Arial"/>
                <w:sz w:val="21"/>
                <w:szCs w:val="21"/>
              </w:rPr>
              <w:t>GB</w:t>
            </w:r>
            <w:r>
              <w:rPr>
                <w:rFonts w:hint="default" w:ascii="Arial" w:hAnsi="Arial" w:eastAsia="宋体" w:cs="Arial"/>
                <w:spacing w:val="4"/>
                <w:sz w:val="21"/>
                <w:szCs w:val="21"/>
              </w:rPr>
              <w:t xml:space="preserve"> /T 7190.2）</w:t>
            </w:r>
          </w:p>
        </w:tc>
      </w:tr>
      <w:tr w14:paraId="59B00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3" w:type="dxa"/>
            <w:vAlign w:val="top"/>
          </w:tcPr>
          <w:p w14:paraId="5E95CF61">
            <w:pPr>
              <w:pStyle w:val="257"/>
              <w:keepNext w:val="0"/>
              <w:keepLines w:val="0"/>
              <w:pageBreakBefore w:val="0"/>
              <w:widowControl w:val="0"/>
              <w:kinsoku/>
              <w:wordWrap/>
              <w:overflowPunct/>
              <w:topLinePunct w:val="0"/>
              <w:autoSpaceDE/>
              <w:autoSpaceDN/>
              <w:bidi w:val="0"/>
              <w:adjustRightInd/>
              <w:spacing w:before="272" w:line="288" w:lineRule="auto"/>
              <w:ind w:left="247"/>
              <w:textAlignment w:val="auto"/>
              <w:rPr>
                <w:rFonts w:hint="default" w:ascii="Arial" w:hAnsi="Arial" w:eastAsia="宋体" w:cs="Arial"/>
                <w:sz w:val="21"/>
                <w:szCs w:val="21"/>
              </w:rPr>
            </w:pPr>
            <w:r>
              <w:rPr>
                <w:rFonts w:hint="default" w:ascii="Arial" w:hAnsi="Arial" w:eastAsia="宋体" w:cs="Arial"/>
                <w:position w:val="1"/>
                <w:sz w:val="21"/>
                <w:szCs w:val="21"/>
              </w:rPr>
              <w:t>7</w:t>
            </w:r>
          </w:p>
        </w:tc>
        <w:tc>
          <w:tcPr>
            <w:tcW w:w="1077" w:type="dxa"/>
            <w:vAlign w:val="top"/>
          </w:tcPr>
          <w:p w14:paraId="6A682227">
            <w:pPr>
              <w:pStyle w:val="257"/>
              <w:keepNext w:val="0"/>
              <w:keepLines w:val="0"/>
              <w:pageBreakBefore w:val="0"/>
              <w:widowControl w:val="0"/>
              <w:kinsoku/>
              <w:wordWrap/>
              <w:overflowPunct/>
              <w:topLinePunct w:val="0"/>
              <w:autoSpaceDE/>
              <w:autoSpaceDN/>
              <w:bidi w:val="0"/>
              <w:adjustRightInd/>
              <w:spacing w:before="273" w:line="288" w:lineRule="auto"/>
              <w:ind w:left="9"/>
              <w:textAlignment w:val="auto"/>
              <w:rPr>
                <w:rFonts w:hint="default" w:ascii="Arial" w:hAnsi="Arial" w:eastAsia="宋体" w:cs="Arial"/>
                <w:sz w:val="21"/>
                <w:szCs w:val="21"/>
              </w:rPr>
            </w:pPr>
            <w:r>
              <w:rPr>
                <w:rFonts w:hint="default" w:ascii="Arial" w:hAnsi="Arial" w:eastAsia="宋体" w:cs="Arial"/>
                <w:spacing w:val="3"/>
                <w:sz w:val="21"/>
                <w:szCs w:val="21"/>
              </w:rPr>
              <w:t>A020601</w:t>
            </w:r>
            <w:r>
              <w:rPr>
                <w:rFonts w:hint="default" w:ascii="Arial" w:hAnsi="Arial" w:eastAsia="宋体" w:cs="Arial"/>
                <w:spacing w:val="-19"/>
                <w:sz w:val="21"/>
                <w:szCs w:val="21"/>
              </w:rPr>
              <w:t xml:space="preserve"> </w:t>
            </w:r>
            <w:r>
              <w:rPr>
                <w:rFonts w:hint="default" w:ascii="Arial" w:hAnsi="Arial" w:eastAsia="宋体" w:cs="Arial"/>
                <w:spacing w:val="3"/>
                <w:sz w:val="21"/>
                <w:szCs w:val="21"/>
              </w:rPr>
              <w:t>电机</w:t>
            </w:r>
          </w:p>
        </w:tc>
        <w:tc>
          <w:tcPr>
            <w:tcW w:w="1786" w:type="dxa"/>
            <w:vAlign w:val="top"/>
          </w:tcPr>
          <w:p w14:paraId="73D04498">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678" w:type="dxa"/>
            <w:vAlign w:val="top"/>
          </w:tcPr>
          <w:p w14:paraId="7456590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4609" w:type="dxa"/>
            <w:vAlign w:val="top"/>
          </w:tcPr>
          <w:p w14:paraId="02034A5E">
            <w:pPr>
              <w:pStyle w:val="257"/>
              <w:keepNext w:val="0"/>
              <w:keepLines w:val="0"/>
              <w:pageBreakBefore w:val="0"/>
              <w:widowControl w:val="0"/>
              <w:kinsoku/>
              <w:wordWrap/>
              <w:overflowPunct/>
              <w:topLinePunct w:val="0"/>
              <w:autoSpaceDE/>
              <w:autoSpaceDN/>
              <w:bidi w:val="0"/>
              <w:adjustRightInd/>
              <w:spacing w:before="116" w:line="288" w:lineRule="auto"/>
              <w:ind w:left="22" w:right="11"/>
              <w:textAlignment w:val="auto"/>
              <w:rPr>
                <w:rFonts w:hint="default" w:ascii="Arial" w:hAnsi="Arial" w:eastAsia="宋体" w:cs="Arial"/>
                <w:sz w:val="21"/>
                <w:szCs w:val="21"/>
              </w:rPr>
            </w:pPr>
            <w:r>
              <w:rPr>
                <w:rFonts w:hint="default" w:ascii="Arial" w:hAnsi="Arial" w:eastAsia="宋体" w:cs="Arial"/>
                <w:spacing w:val="19"/>
                <w:sz w:val="21"/>
                <w:szCs w:val="21"/>
              </w:rPr>
              <w:t>《中小型三相异步电动机能效限</w:t>
            </w:r>
            <w:r>
              <w:rPr>
                <w:rFonts w:hint="default" w:ascii="Arial" w:hAnsi="Arial" w:eastAsia="宋体" w:cs="Arial"/>
                <w:spacing w:val="2"/>
                <w:sz w:val="21"/>
                <w:szCs w:val="21"/>
              </w:rPr>
              <w:t xml:space="preserve"> </w:t>
            </w:r>
            <w:r>
              <w:rPr>
                <w:rFonts w:hint="default" w:ascii="Arial" w:hAnsi="Arial" w:eastAsia="宋体" w:cs="Arial"/>
                <w:spacing w:val="5"/>
                <w:sz w:val="21"/>
                <w:szCs w:val="21"/>
              </w:rPr>
              <w:t>定值及能效等级》（</w:t>
            </w:r>
            <w:r>
              <w:rPr>
                <w:rFonts w:hint="default" w:ascii="Arial" w:hAnsi="Arial" w:eastAsia="宋体" w:cs="Arial"/>
                <w:sz w:val="21"/>
                <w:szCs w:val="21"/>
              </w:rPr>
              <w:t>GB</w:t>
            </w:r>
            <w:r>
              <w:rPr>
                <w:rFonts w:hint="default" w:ascii="Arial" w:hAnsi="Arial" w:eastAsia="宋体" w:cs="Arial"/>
                <w:spacing w:val="42"/>
                <w:sz w:val="21"/>
                <w:szCs w:val="21"/>
              </w:rPr>
              <w:t xml:space="preserve"> </w:t>
            </w:r>
            <w:r>
              <w:rPr>
                <w:rFonts w:hint="default" w:ascii="Arial" w:hAnsi="Arial" w:eastAsia="宋体" w:cs="Arial"/>
                <w:spacing w:val="5"/>
                <w:sz w:val="21"/>
                <w:szCs w:val="21"/>
              </w:rPr>
              <w:t>18613）</w:t>
            </w:r>
          </w:p>
        </w:tc>
      </w:tr>
      <w:tr w14:paraId="7A596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3" w:type="dxa"/>
            <w:vAlign w:val="top"/>
          </w:tcPr>
          <w:p w14:paraId="43BD90CE">
            <w:pPr>
              <w:pStyle w:val="257"/>
              <w:keepNext w:val="0"/>
              <w:keepLines w:val="0"/>
              <w:pageBreakBefore w:val="0"/>
              <w:widowControl w:val="0"/>
              <w:kinsoku/>
              <w:wordWrap/>
              <w:overflowPunct/>
              <w:topLinePunct w:val="0"/>
              <w:autoSpaceDE/>
              <w:autoSpaceDN/>
              <w:bidi w:val="0"/>
              <w:adjustRightInd/>
              <w:spacing w:before="251" w:line="288" w:lineRule="auto"/>
              <w:ind w:left="243"/>
              <w:textAlignment w:val="auto"/>
              <w:rPr>
                <w:rFonts w:hint="default" w:ascii="Arial" w:hAnsi="Arial" w:eastAsia="宋体" w:cs="Arial"/>
                <w:sz w:val="21"/>
                <w:szCs w:val="21"/>
              </w:rPr>
            </w:pPr>
            <w:r>
              <w:rPr>
                <w:rFonts w:hint="default" w:ascii="Arial" w:hAnsi="Arial" w:eastAsia="宋体" w:cs="Arial"/>
                <w:position w:val="1"/>
                <w:sz w:val="21"/>
                <w:szCs w:val="21"/>
              </w:rPr>
              <w:t>8</w:t>
            </w:r>
          </w:p>
        </w:tc>
        <w:tc>
          <w:tcPr>
            <w:tcW w:w="1077" w:type="dxa"/>
            <w:vAlign w:val="top"/>
          </w:tcPr>
          <w:p w14:paraId="16699CB6">
            <w:pPr>
              <w:pStyle w:val="257"/>
              <w:keepNext w:val="0"/>
              <w:keepLines w:val="0"/>
              <w:pageBreakBefore w:val="0"/>
              <w:widowControl w:val="0"/>
              <w:kinsoku/>
              <w:wordWrap/>
              <w:overflowPunct/>
              <w:topLinePunct w:val="0"/>
              <w:autoSpaceDE/>
              <w:autoSpaceDN/>
              <w:bidi w:val="0"/>
              <w:adjustRightInd/>
              <w:spacing w:before="96" w:line="288" w:lineRule="auto"/>
              <w:ind w:left="15" w:right="8" w:hanging="6"/>
              <w:textAlignment w:val="auto"/>
              <w:rPr>
                <w:rFonts w:hint="default" w:ascii="Arial" w:hAnsi="Arial" w:eastAsia="宋体" w:cs="Arial"/>
                <w:sz w:val="21"/>
                <w:szCs w:val="21"/>
              </w:rPr>
            </w:pPr>
            <w:r>
              <w:rPr>
                <w:rFonts w:hint="default" w:ascii="Arial" w:hAnsi="Arial" w:eastAsia="宋体" w:cs="Arial"/>
                <w:spacing w:val="5"/>
                <w:sz w:val="21"/>
                <w:szCs w:val="21"/>
              </w:rPr>
              <w:t>A020602</w:t>
            </w:r>
            <w:r>
              <w:rPr>
                <w:rFonts w:hint="default" w:ascii="Arial" w:hAnsi="Arial" w:eastAsia="宋体" w:cs="Arial"/>
                <w:spacing w:val="-43"/>
                <w:sz w:val="21"/>
                <w:szCs w:val="21"/>
              </w:rPr>
              <w:t xml:space="preserve"> </w:t>
            </w:r>
            <w:r>
              <w:rPr>
                <w:rFonts w:hint="default" w:ascii="Arial" w:hAnsi="Arial" w:eastAsia="宋体" w:cs="Arial"/>
                <w:spacing w:val="5"/>
                <w:sz w:val="21"/>
                <w:szCs w:val="21"/>
              </w:rPr>
              <w:t>变压</w:t>
            </w:r>
            <w:r>
              <w:rPr>
                <w:rFonts w:hint="default" w:ascii="Arial" w:hAnsi="Arial" w:eastAsia="宋体" w:cs="Arial"/>
                <w:sz w:val="21"/>
                <w:szCs w:val="21"/>
              </w:rPr>
              <w:t xml:space="preserve"> </w:t>
            </w:r>
            <w:r>
              <w:rPr>
                <w:rFonts w:hint="default" w:ascii="Arial" w:hAnsi="Arial" w:eastAsia="宋体" w:cs="Arial"/>
                <w:spacing w:val="1"/>
                <w:sz w:val="21"/>
                <w:szCs w:val="21"/>
              </w:rPr>
              <w:t>器</w:t>
            </w:r>
          </w:p>
        </w:tc>
        <w:tc>
          <w:tcPr>
            <w:tcW w:w="1786" w:type="dxa"/>
            <w:vAlign w:val="top"/>
          </w:tcPr>
          <w:p w14:paraId="60C2819E">
            <w:pPr>
              <w:pStyle w:val="257"/>
              <w:keepNext w:val="0"/>
              <w:keepLines w:val="0"/>
              <w:pageBreakBefore w:val="0"/>
              <w:widowControl w:val="0"/>
              <w:kinsoku/>
              <w:wordWrap/>
              <w:overflowPunct/>
              <w:topLinePunct w:val="0"/>
              <w:autoSpaceDE/>
              <w:autoSpaceDN/>
              <w:bidi w:val="0"/>
              <w:adjustRightInd/>
              <w:spacing w:before="252" w:line="288" w:lineRule="auto"/>
              <w:ind w:left="15"/>
              <w:textAlignment w:val="auto"/>
              <w:rPr>
                <w:rFonts w:hint="default" w:ascii="Arial" w:hAnsi="Arial" w:eastAsia="宋体" w:cs="Arial"/>
                <w:sz w:val="21"/>
                <w:szCs w:val="21"/>
              </w:rPr>
            </w:pPr>
            <w:r>
              <w:rPr>
                <w:rFonts w:hint="default" w:ascii="Arial" w:hAnsi="Arial" w:eastAsia="宋体" w:cs="Arial"/>
                <w:spacing w:val="8"/>
                <w:sz w:val="21"/>
                <w:szCs w:val="21"/>
              </w:rPr>
              <w:t>配电变压器</w:t>
            </w:r>
          </w:p>
        </w:tc>
        <w:tc>
          <w:tcPr>
            <w:tcW w:w="1678" w:type="dxa"/>
            <w:vAlign w:val="top"/>
          </w:tcPr>
          <w:p w14:paraId="36F1C91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4609" w:type="dxa"/>
            <w:vAlign w:val="top"/>
          </w:tcPr>
          <w:p w14:paraId="2A601436">
            <w:pPr>
              <w:pStyle w:val="257"/>
              <w:keepNext w:val="0"/>
              <w:keepLines w:val="0"/>
              <w:pageBreakBefore w:val="0"/>
              <w:widowControl w:val="0"/>
              <w:kinsoku/>
              <w:wordWrap/>
              <w:overflowPunct/>
              <w:topLinePunct w:val="0"/>
              <w:autoSpaceDE/>
              <w:autoSpaceDN/>
              <w:bidi w:val="0"/>
              <w:adjustRightInd/>
              <w:spacing w:before="96" w:line="288" w:lineRule="auto"/>
              <w:ind w:left="25" w:right="11" w:hanging="2"/>
              <w:textAlignment w:val="auto"/>
              <w:rPr>
                <w:rFonts w:hint="default" w:ascii="Arial" w:hAnsi="Arial" w:eastAsia="宋体" w:cs="Arial"/>
                <w:sz w:val="21"/>
                <w:szCs w:val="21"/>
              </w:rPr>
            </w:pPr>
            <w:r>
              <w:rPr>
                <w:rFonts w:hint="default" w:ascii="Arial" w:hAnsi="Arial" w:eastAsia="宋体" w:cs="Arial"/>
                <w:spacing w:val="19"/>
                <w:sz w:val="21"/>
                <w:szCs w:val="21"/>
              </w:rPr>
              <w:t>《三相配电变压器能效限定值及</w:t>
            </w:r>
            <w:r>
              <w:rPr>
                <w:rFonts w:hint="default" w:ascii="Arial" w:hAnsi="Arial" w:eastAsia="宋体" w:cs="Arial"/>
                <w:spacing w:val="2"/>
                <w:sz w:val="21"/>
                <w:szCs w:val="21"/>
              </w:rPr>
              <w:t xml:space="preserve"> </w:t>
            </w:r>
            <w:r>
              <w:rPr>
                <w:rFonts w:hint="default" w:ascii="Arial" w:hAnsi="Arial" w:eastAsia="宋体" w:cs="Arial"/>
                <w:spacing w:val="6"/>
                <w:sz w:val="21"/>
                <w:szCs w:val="21"/>
              </w:rPr>
              <w:t>能效等级》（</w:t>
            </w:r>
            <w:r>
              <w:rPr>
                <w:rFonts w:hint="default" w:ascii="Arial" w:hAnsi="Arial" w:eastAsia="宋体" w:cs="Arial"/>
                <w:sz w:val="21"/>
                <w:szCs w:val="21"/>
              </w:rPr>
              <w:t>GB</w:t>
            </w:r>
            <w:r>
              <w:rPr>
                <w:rFonts w:hint="default" w:ascii="Arial" w:hAnsi="Arial" w:eastAsia="宋体" w:cs="Arial"/>
                <w:spacing w:val="6"/>
                <w:sz w:val="21"/>
                <w:szCs w:val="21"/>
              </w:rPr>
              <w:t xml:space="preserve"> 20052）</w:t>
            </w:r>
          </w:p>
        </w:tc>
      </w:tr>
      <w:tr w14:paraId="73FC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3" w:type="dxa"/>
            <w:vAlign w:val="top"/>
          </w:tcPr>
          <w:p w14:paraId="203491C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7D7C1423">
            <w:pPr>
              <w:pStyle w:val="257"/>
              <w:keepNext w:val="0"/>
              <w:keepLines w:val="0"/>
              <w:pageBreakBefore w:val="0"/>
              <w:widowControl w:val="0"/>
              <w:kinsoku/>
              <w:wordWrap/>
              <w:overflowPunct/>
              <w:topLinePunct w:val="0"/>
              <w:autoSpaceDE/>
              <w:autoSpaceDN/>
              <w:bidi w:val="0"/>
              <w:adjustRightInd/>
              <w:spacing w:before="62" w:line="288" w:lineRule="auto"/>
              <w:ind w:left="243"/>
              <w:textAlignment w:val="auto"/>
              <w:rPr>
                <w:rFonts w:hint="default" w:ascii="Arial" w:hAnsi="Arial" w:eastAsia="宋体" w:cs="Arial"/>
                <w:sz w:val="21"/>
                <w:szCs w:val="21"/>
              </w:rPr>
            </w:pPr>
            <w:r>
              <w:rPr>
                <w:rFonts w:hint="default" w:ascii="Arial" w:hAnsi="Arial" w:eastAsia="宋体" w:cs="Arial"/>
                <w:position w:val="1"/>
                <w:sz w:val="21"/>
                <w:szCs w:val="21"/>
              </w:rPr>
              <w:t>9</w:t>
            </w:r>
          </w:p>
        </w:tc>
        <w:tc>
          <w:tcPr>
            <w:tcW w:w="1077" w:type="dxa"/>
            <w:vAlign w:val="top"/>
          </w:tcPr>
          <w:p w14:paraId="693D96EB">
            <w:pPr>
              <w:pStyle w:val="257"/>
              <w:keepNext w:val="0"/>
              <w:keepLines w:val="0"/>
              <w:pageBreakBefore w:val="0"/>
              <w:widowControl w:val="0"/>
              <w:kinsoku/>
              <w:wordWrap/>
              <w:overflowPunct/>
              <w:topLinePunct w:val="0"/>
              <w:autoSpaceDE/>
              <w:autoSpaceDN/>
              <w:bidi w:val="0"/>
              <w:adjustRightInd/>
              <w:spacing w:before="192" w:line="288" w:lineRule="auto"/>
              <w:ind w:left="16" w:right="8" w:firstLine="2"/>
              <w:textAlignment w:val="auto"/>
              <w:rPr>
                <w:rFonts w:hint="default" w:ascii="Arial" w:hAnsi="Arial" w:eastAsia="宋体" w:cs="Arial"/>
                <w:sz w:val="21"/>
                <w:szCs w:val="21"/>
              </w:rPr>
            </w:pPr>
            <w:r>
              <w:rPr>
                <w:rFonts w:hint="default" w:ascii="Arial" w:hAnsi="Arial" w:eastAsia="宋体" w:cs="Arial"/>
                <w:spacing w:val="4"/>
                <w:sz w:val="21"/>
                <w:szCs w:val="21"/>
              </w:rPr>
              <w:t>★A020609</w:t>
            </w:r>
            <w:r>
              <w:rPr>
                <w:rFonts w:hint="default" w:ascii="Arial" w:hAnsi="Arial" w:eastAsia="宋体" w:cs="Arial"/>
                <w:spacing w:val="-43"/>
                <w:sz w:val="21"/>
                <w:szCs w:val="21"/>
              </w:rPr>
              <w:t xml:space="preserve"> </w:t>
            </w:r>
            <w:r>
              <w:rPr>
                <w:rFonts w:hint="default" w:ascii="Arial" w:hAnsi="Arial" w:eastAsia="宋体" w:cs="Arial"/>
                <w:spacing w:val="4"/>
                <w:sz w:val="21"/>
                <w:szCs w:val="21"/>
              </w:rPr>
              <w:t>镇</w:t>
            </w:r>
            <w:r>
              <w:rPr>
                <w:rFonts w:hint="default" w:ascii="Arial" w:hAnsi="Arial" w:eastAsia="宋体" w:cs="Arial"/>
                <w:sz w:val="21"/>
                <w:szCs w:val="21"/>
              </w:rPr>
              <w:t xml:space="preserve"> </w:t>
            </w:r>
            <w:r>
              <w:rPr>
                <w:rFonts w:hint="default" w:ascii="Arial" w:hAnsi="Arial" w:eastAsia="宋体" w:cs="Arial"/>
                <w:spacing w:val="4"/>
                <w:sz w:val="21"/>
                <w:szCs w:val="21"/>
              </w:rPr>
              <w:t>流器</w:t>
            </w:r>
          </w:p>
        </w:tc>
        <w:tc>
          <w:tcPr>
            <w:tcW w:w="1786" w:type="dxa"/>
            <w:vAlign w:val="top"/>
          </w:tcPr>
          <w:p w14:paraId="7BD0077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6BCBE7C">
            <w:pPr>
              <w:pStyle w:val="257"/>
              <w:keepNext w:val="0"/>
              <w:keepLines w:val="0"/>
              <w:pageBreakBefore w:val="0"/>
              <w:widowControl w:val="0"/>
              <w:kinsoku/>
              <w:wordWrap/>
              <w:overflowPunct/>
              <w:topLinePunct w:val="0"/>
              <w:autoSpaceDE/>
              <w:autoSpaceDN/>
              <w:bidi w:val="0"/>
              <w:adjustRightInd/>
              <w:spacing w:before="62" w:line="288" w:lineRule="auto"/>
              <w:ind w:left="19"/>
              <w:textAlignment w:val="auto"/>
              <w:rPr>
                <w:rFonts w:hint="default" w:ascii="Arial" w:hAnsi="Arial" w:eastAsia="宋体" w:cs="Arial"/>
                <w:sz w:val="21"/>
                <w:szCs w:val="21"/>
              </w:rPr>
            </w:pPr>
            <w:r>
              <w:rPr>
                <w:rFonts w:hint="default" w:ascii="Arial" w:hAnsi="Arial" w:eastAsia="宋体" w:cs="Arial"/>
                <w:spacing w:val="8"/>
                <w:sz w:val="21"/>
                <w:szCs w:val="21"/>
              </w:rPr>
              <w:t>管型荧光灯镇流器</w:t>
            </w:r>
          </w:p>
        </w:tc>
        <w:tc>
          <w:tcPr>
            <w:tcW w:w="1678" w:type="dxa"/>
            <w:vAlign w:val="top"/>
          </w:tcPr>
          <w:p w14:paraId="0E1F29E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4609" w:type="dxa"/>
            <w:vAlign w:val="top"/>
          </w:tcPr>
          <w:p w14:paraId="5C17DF92">
            <w:pPr>
              <w:pStyle w:val="257"/>
              <w:keepNext w:val="0"/>
              <w:keepLines w:val="0"/>
              <w:pageBreakBefore w:val="0"/>
              <w:widowControl w:val="0"/>
              <w:kinsoku/>
              <w:wordWrap/>
              <w:overflowPunct/>
              <w:topLinePunct w:val="0"/>
              <w:autoSpaceDE/>
              <w:autoSpaceDN/>
              <w:bidi w:val="0"/>
              <w:adjustRightInd/>
              <w:spacing w:before="192" w:line="288" w:lineRule="auto"/>
              <w:ind w:left="17" w:right="11" w:firstLine="6"/>
              <w:textAlignment w:val="auto"/>
              <w:rPr>
                <w:rFonts w:hint="default" w:ascii="Arial" w:hAnsi="Arial" w:eastAsia="宋体" w:cs="Arial"/>
                <w:sz w:val="21"/>
                <w:szCs w:val="21"/>
              </w:rPr>
            </w:pPr>
            <w:r>
              <w:rPr>
                <w:rFonts w:hint="default" w:ascii="Arial" w:hAnsi="Arial" w:eastAsia="宋体" w:cs="Arial"/>
                <w:spacing w:val="19"/>
                <w:sz w:val="21"/>
                <w:szCs w:val="21"/>
              </w:rPr>
              <w:t>《管形荧光灯镇流器能效限定值</w:t>
            </w:r>
            <w:r>
              <w:rPr>
                <w:rFonts w:hint="default" w:ascii="Arial" w:hAnsi="Arial" w:eastAsia="宋体" w:cs="Arial"/>
                <w:spacing w:val="2"/>
                <w:sz w:val="21"/>
                <w:szCs w:val="21"/>
              </w:rPr>
              <w:t xml:space="preserve"> </w:t>
            </w:r>
            <w:r>
              <w:rPr>
                <w:rFonts w:hint="default" w:ascii="Arial" w:hAnsi="Arial" w:eastAsia="宋体" w:cs="Arial"/>
                <w:spacing w:val="5"/>
                <w:sz w:val="21"/>
                <w:szCs w:val="21"/>
              </w:rPr>
              <w:t>及能效等级》（</w:t>
            </w:r>
            <w:r>
              <w:rPr>
                <w:rFonts w:hint="default" w:ascii="Arial" w:hAnsi="Arial" w:eastAsia="宋体" w:cs="Arial"/>
                <w:sz w:val="21"/>
                <w:szCs w:val="21"/>
              </w:rPr>
              <w:t>GB</w:t>
            </w:r>
            <w:r>
              <w:rPr>
                <w:rFonts w:hint="default" w:ascii="Arial" w:hAnsi="Arial" w:eastAsia="宋体" w:cs="Arial"/>
                <w:spacing w:val="39"/>
                <w:sz w:val="21"/>
                <w:szCs w:val="21"/>
              </w:rPr>
              <w:t xml:space="preserve"> </w:t>
            </w:r>
            <w:r>
              <w:rPr>
                <w:rFonts w:hint="default" w:ascii="Arial" w:hAnsi="Arial" w:eastAsia="宋体" w:cs="Arial"/>
                <w:spacing w:val="5"/>
                <w:sz w:val="21"/>
                <w:szCs w:val="21"/>
              </w:rPr>
              <w:t>17896）</w:t>
            </w:r>
          </w:p>
        </w:tc>
      </w:tr>
      <w:tr w14:paraId="4875D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3" w:type="dxa"/>
            <w:vMerge w:val="restart"/>
            <w:tcBorders>
              <w:bottom w:val="nil"/>
            </w:tcBorders>
            <w:vAlign w:val="top"/>
          </w:tcPr>
          <w:p w14:paraId="2FFC9C0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BC34DFB">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7F0CA2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174F75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C2AE27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0575627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5BA9C5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7E1AD9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E175F8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DF1599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47391D1">
            <w:pPr>
              <w:pStyle w:val="257"/>
              <w:keepNext w:val="0"/>
              <w:keepLines w:val="0"/>
              <w:pageBreakBefore w:val="0"/>
              <w:widowControl w:val="0"/>
              <w:kinsoku/>
              <w:wordWrap/>
              <w:overflowPunct/>
              <w:topLinePunct w:val="0"/>
              <w:autoSpaceDE/>
              <w:autoSpaceDN/>
              <w:bidi w:val="0"/>
              <w:adjustRightInd/>
              <w:spacing w:before="62" w:line="288" w:lineRule="auto"/>
              <w:ind w:left="209"/>
              <w:textAlignment w:val="auto"/>
              <w:rPr>
                <w:rFonts w:hint="default" w:ascii="Arial" w:hAnsi="Arial" w:eastAsia="宋体" w:cs="Arial"/>
                <w:sz w:val="21"/>
                <w:szCs w:val="21"/>
              </w:rPr>
            </w:pPr>
            <w:r>
              <w:rPr>
                <w:rFonts w:hint="default" w:ascii="Arial" w:hAnsi="Arial" w:eastAsia="宋体" w:cs="Arial"/>
                <w:spacing w:val="-7"/>
                <w:position w:val="1"/>
                <w:sz w:val="21"/>
                <w:szCs w:val="21"/>
              </w:rPr>
              <w:t>10</w:t>
            </w:r>
          </w:p>
        </w:tc>
        <w:tc>
          <w:tcPr>
            <w:tcW w:w="1077" w:type="dxa"/>
            <w:vMerge w:val="restart"/>
            <w:tcBorders>
              <w:bottom w:val="nil"/>
            </w:tcBorders>
            <w:vAlign w:val="top"/>
          </w:tcPr>
          <w:p w14:paraId="4E90FA5B">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51278A5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8CC9D4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79C67AE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647FD45B">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5B6277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7C82EB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051F9F2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3DF196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567805F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7D11DCB6">
            <w:pPr>
              <w:pStyle w:val="257"/>
              <w:keepNext w:val="0"/>
              <w:keepLines w:val="0"/>
              <w:pageBreakBefore w:val="0"/>
              <w:widowControl w:val="0"/>
              <w:kinsoku/>
              <w:wordWrap/>
              <w:overflowPunct/>
              <w:topLinePunct w:val="0"/>
              <w:autoSpaceDE/>
              <w:autoSpaceDN/>
              <w:bidi w:val="0"/>
              <w:adjustRightInd/>
              <w:spacing w:before="62" w:line="288" w:lineRule="auto"/>
              <w:ind w:left="16" w:right="8" w:hanging="7"/>
              <w:textAlignment w:val="auto"/>
              <w:rPr>
                <w:rFonts w:hint="default" w:ascii="Arial" w:hAnsi="Arial" w:eastAsia="宋体" w:cs="Arial"/>
                <w:sz w:val="21"/>
                <w:szCs w:val="21"/>
              </w:rPr>
            </w:pPr>
            <w:r>
              <w:rPr>
                <w:rFonts w:hint="default" w:ascii="Arial" w:hAnsi="Arial" w:eastAsia="宋体" w:cs="Arial"/>
                <w:spacing w:val="4"/>
                <w:sz w:val="21"/>
                <w:szCs w:val="21"/>
              </w:rPr>
              <w:t>A020618</w:t>
            </w:r>
            <w:r>
              <w:rPr>
                <w:rFonts w:hint="default" w:ascii="Arial" w:hAnsi="Arial" w:eastAsia="宋体" w:cs="Arial"/>
                <w:spacing w:val="-34"/>
                <w:sz w:val="21"/>
                <w:szCs w:val="21"/>
              </w:rPr>
              <w:t xml:space="preserve"> </w:t>
            </w:r>
            <w:r>
              <w:rPr>
                <w:rFonts w:hint="default" w:ascii="Arial" w:hAnsi="Arial" w:eastAsia="宋体" w:cs="Arial"/>
                <w:spacing w:val="4"/>
                <w:sz w:val="21"/>
                <w:szCs w:val="21"/>
              </w:rPr>
              <w:t>生活</w:t>
            </w:r>
            <w:r>
              <w:rPr>
                <w:rFonts w:hint="default" w:ascii="Arial" w:hAnsi="Arial" w:eastAsia="宋体" w:cs="Arial"/>
                <w:sz w:val="21"/>
                <w:szCs w:val="21"/>
              </w:rPr>
              <w:t xml:space="preserve"> </w:t>
            </w:r>
            <w:r>
              <w:rPr>
                <w:rFonts w:hint="default" w:ascii="Arial" w:hAnsi="Arial" w:eastAsia="宋体" w:cs="Arial"/>
                <w:spacing w:val="6"/>
                <w:sz w:val="21"/>
                <w:szCs w:val="21"/>
              </w:rPr>
              <w:t>用电器</w:t>
            </w:r>
          </w:p>
        </w:tc>
        <w:tc>
          <w:tcPr>
            <w:tcW w:w="1786" w:type="dxa"/>
            <w:vAlign w:val="top"/>
          </w:tcPr>
          <w:p w14:paraId="7B0373FD">
            <w:pPr>
              <w:pStyle w:val="257"/>
              <w:keepNext w:val="0"/>
              <w:keepLines w:val="0"/>
              <w:pageBreakBefore w:val="0"/>
              <w:widowControl w:val="0"/>
              <w:kinsoku/>
              <w:wordWrap/>
              <w:overflowPunct/>
              <w:topLinePunct w:val="0"/>
              <w:autoSpaceDE/>
              <w:autoSpaceDN/>
              <w:bidi w:val="0"/>
              <w:adjustRightInd/>
              <w:spacing w:before="276" w:line="288" w:lineRule="auto"/>
              <w:ind w:left="9"/>
              <w:textAlignment w:val="auto"/>
              <w:rPr>
                <w:rFonts w:hint="default" w:ascii="Arial" w:hAnsi="Arial" w:eastAsia="宋体" w:cs="Arial"/>
                <w:sz w:val="21"/>
                <w:szCs w:val="21"/>
              </w:rPr>
            </w:pPr>
            <w:r>
              <w:rPr>
                <w:rFonts w:hint="default" w:ascii="Arial" w:hAnsi="Arial" w:eastAsia="宋体" w:cs="Arial"/>
                <w:spacing w:val="3"/>
                <w:sz w:val="21"/>
                <w:szCs w:val="21"/>
              </w:rPr>
              <w:t>A0206180101</w:t>
            </w:r>
            <w:r>
              <w:rPr>
                <w:rFonts w:hint="default" w:ascii="Arial" w:hAnsi="Arial" w:eastAsia="宋体" w:cs="Arial"/>
                <w:spacing w:val="-4"/>
                <w:sz w:val="21"/>
                <w:szCs w:val="21"/>
              </w:rPr>
              <w:t xml:space="preserve"> </w:t>
            </w:r>
            <w:r>
              <w:rPr>
                <w:rFonts w:hint="default" w:ascii="Arial" w:hAnsi="Arial" w:eastAsia="宋体" w:cs="Arial"/>
                <w:spacing w:val="3"/>
                <w:sz w:val="21"/>
                <w:szCs w:val="21"/>
              </w:rPr>
              <w:t>电冰箱</w:t>
            </w:r>
          </w:p>
        </w:tc>
        <w:tc>
          <w:tcPr>
            <w:tcW w:w="1678" w:type="dxa"/>
            <w:vAlign w:val="top"/>
          </w:tcPr>
          <w:p w14:paraId="1A47534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4609" w:type="dxa"/>
            <w:vAlign w:val="top"/>
          </w:tcPr>
          <w:p w14:paraId="2016FBFD">
            <w:pPr>
              <w:pStyle w:val="257"/>
              <w:keepNext w:val="0"/>
              <w:keepLines w:val="0"/>
              <w:pageBreakBefore w:val="0"/>
              <w:widowControl w:val="0"/>
              <w:kinsoku/>
              <w:wordWrap/>
              <w:overflowPunct/>
              <w:topLinePunct w:val="0"/>
              <w:autoSpaceDE/>
              <w:autoSpaceDN/>
              <w:bidi w:val="0"/>
              <w:adjustRightInd/>
              <w:spacing w:before="119" w:line="288" w:lineRule="auto"/>
              <w:ind w:left="22" w:right="11"/>
              <w:textAlignment w:val="auto"/>
              <w:rPr>
                <w:rFonts w:hint="default" w:ascii="Arial" w:hAnsi="Arial" w:eastAsia="宋体" w:cs="Arial"/>
                <w:sz w:val="21"/>
                <w:szCs w:val="21"/>
              </w:rPr>
            </w:pPr>
            <w:r>
              <w:rPr>
                <w:rFonts w:hint="default" w:ascii="Arial" w:hAnsi="Arial" w:eastAsia="宋体" w:cs="Arial"/>
                <w:spacing w:val="19"/>
                <w:sz w:val="21"/>
                <w:szCs w:val="21"/>
              </w:rPr>
              <w:t>《家用电冰箱耗电量限定值及能</w:t>
            </w:r>
            <w:r>
              <w:rPr>
                <w:rFonts w:hint="default" w:ascii="Arial" w:hAnsi="Arial" w:eastAsia="宋体" w:cs="Arial"/>
                <w:spacing w:val="2"/>
                <w:sz w:val="21"/>
                <w:szCs w:val="21"/>
              </w:rPr>
              <w:t xml:space="preserve"> </w:t>
            </w:r>
            <w:r>
              <w:rPr>
                <w:rFonts w:hint="default" w:ascii="Arial" w:hAnsi="Arial" w:eastAsia="宋体" w:cs="Arial"/>
                <w:spacing w:val="4"/>
                <w:sz w:val="21"/>
                <w:szCs w:val="21"/>
              </w:rPr>
              <w:t>效等级》（</w:t>
            </w:r>
            <w:r>
              <w:rPr>
                <w:rFonts w:hint="default" w:ascii="Arial" w:hAnsi="Arial" w:eastAsia="宋体" w:cs="Arial"/>
                <w:sz w:val="21"/>
                <w:szCs w:val="21"/>
              </w:rPr>
              <w:t>GB</w:t>
            </w:r>
            <w:r>
              <w:rPr>
                <w:rFonts w:hint="default" w:ascii="Arial" w:hAnsi="Arial" w:eastAsia="宋体" w:cs="Arial"/>
                <w:spacing w:val="20"/>
                <w:sz w:val="21"/>
                <w:szCs w:val="21"/>
              </w:rPr>
              <w:t xml:space="preserve">  </w:t>
            </w:r>
            <w:r>
              <w:rPr>
                <w:rFonts w:hint="default" w:ascii="Arial" w:hAnsi="Arial" w:eastAsia="宋体" w:cs="Arial"/>
                <w:spacing w:val="4"/>
                <w:sz w:val="21"/>
                <w:szCs w:val="21"/>
              </w:rPr>
              <w:t>12021.2）</w:t>
            </w:r>
          </w:p>
        </w:tc>
      </w:tr>
      <w:tr w14:paraId="4C957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3" w:type="dxa"/>
            <w:vMerge w:val="continue"/>
            <w:tcBorders>
              <w:top w:val="nil"/>
              <w:bottom w:val="nil"/>
            </w:tcBorders>
            <w:vAlign w:val="top"/>
          </w:tcPr>
          <w:p w14:paraId="5272FC1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bottom w:val="nil"/>
            </w:tcBorders>
            <w:vAlign w:val="top"/>
          </w:tcPr>
          <w:p w14:paraId="5327A86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Merge w:val="restart"/>
            <w:tcBorders>
              <w:bottom w:val="nil"/>
            </w:tcBorders>
            <w:vAlign w:val="top"/>
          </w:tcPr>
          <w:p w14:paraId="46954BC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71155D9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AEF88A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73676A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4E79B14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C7692B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3B71338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9736577">
            <w:pPr>
              <w:pStyle w:val="257"/>
              <w:keepNext w:val="0"/>
              <w:keepLines w:val="0"/>
              <w:pageBreakBefore w:val="0"/>
              <w:widowControl w:val="0"/>
              <w:kinsoku/>
              <w:wordWrap/>
              <w:overflowPunct/>
              <w:topLinePunct w:val="0"/>
              <w:autoSpaceDE/>
              <w:autoSpaceDN/>
              <w:bidi w:val="0"/>
              <w:adjustRightInd/>
              <w:spacing w:before="62" w:line="288" w:lineRule="auto"/>
              <w:ind w:left="14" w:right="10" w:firstLine="3"/>
              <w:textAlignment w:val="auto"/>
              <w:rPr>
                <w:rFonts w:hint="default" w:ascii="Arial" w:hAnsi="Arial" w:eastAsia="宋体" w:cs="Arial"/>
                <w:sz w:val="21"/>
                <w:szCs w:val="21"/>
              </w:rPr>
            </w:pPr>
            <w:r>
              <w:rPr>
                <w:rFonts w:hint="default" w:ascii="Arial" w:hAnsi="Arial" w:eastAsia="宋体" w:cs="Arial"/>
                <w:spacing w:val="3"/>
                <w:sz w:val="21"/>
                <w:szCs w:val="21"/>
              </w:rPr>
              <w:t>★A0206180203 空调</w:t>
            </w:r>
            <w:r>
              <w:rPr>
                <w:rFonts w:hint="default" w:ascii="Arial" w:hAnsi="Arial" w:eastAsia="宋体" w:cs="Arial"/>
                <w:spacing w:val="9"/>
                <w:sz w:val="21"/>
                <w:szCs w:val="21"/>
              </w:rPr>
              <w:t xml:space="preserve"> </w:t>
            </w:r>
            <w:r>
              <w:rPr>
                <w:rFonts w:hint="default" w:ascii="Arial" w:hAnsi="Arial" w:eastAsia="宋体" w:cs="Arial"/>
                <w:spacing w:val="2"/>
                <w:sz w:val="21"/>
                <w:szCs w:val="21"/>
              </w:rPr>
              <w:t>机</w:t>
            </w:r>
          </w:p>
        </w:tc>
        <w:tc>
          <w:tcPr>
            <w:tcW w:w="1678" w:type="dxa"/>
            <w:vAlign w:val="top"/>
          </w:tcPr>
          <w:p w14:paraId="2B115098">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0E26B55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21AB1BA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6CB759CA">
            <w:pPr>
              <w:pStyle w:val="257"/>
              <w:keepNext w:val="0"/>
              <w:keepLines w:val="0"/>
              <w:pageBreakBefore w:val="0"/>
              <w:widowControl w:val="0"/>
              <w:kinsoku/>
              <w:wordWrap/>
              <w:overflowPunct/>
              <w:topLinePunct w:val="0"/>
              <w:autoSpaceDE/>
              <w:autoSpaceDN/>
              <w:bidi w:val="0"/>
              <w:adjustRightInd/>
              <w:spacing w:before="62" w:line="288" w:lineRule="auto"/>
              <w:ind w:left="17"/>
              <w:textAlignment w:val="auto"/>
              <w:rPr>
                <w:rFonts w:hint="default" w:ascii="Arial" w:hAnsi="Arial" w:eastAsia="宋体" w:cs="Arial"/>
                <w:sz w:val="21"/>
                <w:szCs w:val="21"/>
              </w:rPr>
            </w:pPr>
            <w:r>
              <w:rPr>
                <w:rFonts w:hint="default" w:ascii="Arial" w:hAnsi="Arial" w:eastAsia="宋体" w:cs="Arial"/>
                <w:spacing w:val="8"/>
                <w:sz w:val="21"/>
                <w:szCs w:val="21"/>
              </w:rPr>
              <w:t>房间空气调节器</w:t>
            </w:r>
          </w:p>
        </w:tc>
        <w:tc>
          <w:tcPr>
            <w:tcW w:w="4609" w:type="dxa"/>
            <w:vAlign w:val="top"/>
          </w:tcPr>
          <w:p w14:paraId="5EFC417D">
            <w:pPr>
              <w:pStyle w:val="257"/>
              <w:keepNext w:val="0"/>
              <w:keepLines w:val="0"/>
              <w:pageBreakBefore w:val="0"/>
              <w:widowControl w:val="0"/>
              <w:kinsoku/>
              <w:wordWrap/>
              <w:overflowPunct/>
              <w:topLinePunct w:val="0"/>
              <w:autoSpaceDE/>
              <w:autoSpaceDN/>
              <w:bidi w:val="0"/>
              <w:adjustRightInd/>
              <w:spacing w:before="68" w:line="288" w:lineRule="auto"/>
              <w:ind w:left="17" w:firstLine="5"/>
              <w:jc w:val="both"/>
              <w:textAlignment w:val="auto"/>
              <w:rPr>
                <w:rFonts w:hint="default" w:ascii="Arial" w:hAnsi="Arial" w:eastAsia="宋体" w:cs="Arial"/>
                <w:sz w:val="21"/>
                <w:szCs w:val="21"/>
              </w:rPr>
            </w:pPr>
            <w:r>
              <w:rPr>
                <w:rFonts w:hint="default" w:ascii="Arial" w:hAnsi="Arial" w:eastAsia="宋体" w:cs="Arial"/>
                <w:spacing w:val="14"/>
                <w:sz w:val="21"/>
                <w:szCs w:val="21"/>
              </w:rPr>
              <w:t>《转速可控型房间空气调节器能</w:t>
            </w:r>
            <w:r>
              <w:rPr>
                <w:rFonts w:hint="default" w:ascii="Arial" w:hAnsi="Arial" w:eastAsia="宋体" w:cs="Arial"/>
                <w:sz w:val="21"/>
                <w:szCs w:val="21"/>
              </w:rPr>
              <w:t xml:space="preserve">  </w:t>
            </w:r>
            <w:r>
              <w:rPr>
                <w:rFonts w:hint="default" w:ascii="Arial" w:hAnsi="Arial" w:eastAsia="宋体" w:cs="Arial"/>
                <w:spacing w:val="-9"/>
                <w:sz w:val="21"/>
                <w:szCs w:val="21"/>
              </w:rPr>
              <w:t>效</w:t>
            </w:r>
            <w:r>
              <w:rPr>
                <w:rFonts w:hint="default" w:ascii="Arial" w:hAnsi="Arial" w:eastAsia="宋体" w:cs="Arial"/>
                <w:spacing w:val="-19"/>
                <w:sz w:val="21"/>
                <w:szCs w:val="21"/>
              </w:rPr>
              <w:t xml:space="preserve"> </w:t>
            </w:r>
            <w:r>
              <w:rPr>
                <w:rFonts w:hint="default" w:ascii="Arial" w:hAnsi="Arial" w:eastAsia="宋体" w:cs="Arial"/>
                <w:spacing w:val="-9"/>
                <w:sz w:val="21"/>
                <w:szCs w:val="21"/>
              </w:rPr>
              <w:t>限</w:t>
            </w:r>
            <w:r>
              <w:rPr>
                <w:rFonts w:hint="default" w:ascii="Arial" w:hAnsi="Arial" w:eastAsia="宋体" w:cs="Arial"/>
                <w:spacing w:val="-33"/>
                <w:sz w:val="21"/>
                <w:szCs w:val="21"/>
              </w:rPr>
              <w:t xml:space="preserve"> </w:t>
            </w:r>
            <w:r>
              <w:rPr>
                <w:rFonts w:hint="default" w:ascii="Arial" w:hAnsi="Arial" w:eastAsia="宋体" w:cs="Arial"/>
                <w:spacing w:val="-9"/>
                <w:sz w:val="21"/>
                <w:szCs w:val="21"/>
              </w:rPr>
              <w:t>定</w:t>
            </w:r>
            <w:r>
              <w:rPr>
                <w:rFonts w:hint="default" w:ascii="Arial" w:hAnsi="Arial" w:eastAsia="宋体" w:cs="Arial"/>
                <w:spacing w:val="-38"/>
                <w:sz w:val="21"/>
                <w:szCs w:val="21"/>
              </w:rPr>
              <w:t xml:space="preserve"> </w:t>
            </w:r>
            <w:r>
              <w:rPr>
                <w:rFonts w:hint="default" w:ascii="Arial" w:hAnsi="Arial" w:eastAsia="宋体" w:cs="Arial"/>
                <w:spacing w:val="-9"/>
                <w:sz w:val="21"/>
                <w:szCs w:val="21"/>
              </w:rPr>
              <w:t>值</w:t>
            </w:r>
            <w:r>
              <w:rPr>
                <w:rFonts w:hint="default" w:ascii="Arial" w:hAnsi="Arial" w:eastAsia="宋体" w:cs="Arial"/>
                <w:spacing w:val="-39"/>
                <w:sz w:val="21"/>
                <w:szCs w:val="21"/>
              </w:rPr>
              <w:t xml:space="preserve"> </w:t>
            </w:r>
            <w:r>
              <w:rPr>
                <w:rFonts w:hint="default" w:ascii="Arial" w:hAnsi="Arial" w:eastAsia="宋体" w:cs="Arial"/>
                <w:spacing w:val="-9"/>
                <w:sz w:val="21"/>
                <w:szCs w:val="21"/>
              </w:rPr>
              <w:t>及</w:t>
            </w:r>
            <w:r>
              <w:rPr>
                <w:rFonts w:hint="default" w:ascii="Arial" w:hAnsi="Arial" w:eastAsia="宋体" w:cs="Arial"/>
                <w:spacing w:val="-31"/>
                <w:sz w:val="21"/>
                <w:szCs w:val="21"/>
              </w:rPr>
              <w:t xml:space="preserve"> </w:t>
            </w:r>
            <w:r>
              <w:rPr>
                <w:rFonts w:hint="default" w:ascii="Arial" w:hAnsi="Arial" w:eastAsia="宋体" w:cs="Arial"/>
                <w:spacing w:val="-9"/>
                <w:sz w:val="21"/>
                <w:szCs w:val="21"/>
              </w:rPr>
              <w:t>能</w:t>
            </w:r>
            <w:r>
              <w:rPr>
                <w:rFonts w:hint="default" w:ascii="Arial" w:hAnsi="Arial" w:eastAsia="宋体" w:cs="Arial"/>
                <w:spacing w:val="-34"/>
                <w:sz w:val="21"/>
                <w:szCs w:val="21"/>
              </w:rPr>
              <w:t xml:space="preserve"> </w:t>
            </w:r>
            <w:r>
              <w:rPr>
                <w:rFonts w:hint="default" w:ascii="Arial" w:hAnsi="Arial" w:eastAsia="宋体" w:cs="Arial"/>
                <w:spacing w:val="-9"/>
                <w:sz w:val="21"/>
                <w:szCs w:val="21"/>
              </w:rPr>
              <w:t>效</w:t>
            </w:r>
            <w:r>
              <w:rPr>
                <w:rFonts w:hint="default" w:ascii="Arial" w:hAnsi="Arial" w:eastAsia="宋体" w:cs="Arial"/>
                <w:spacing w:val="-36"/>
                <w:sz w:val="21"/>
                <w:szCs w:val="21"/>
              </w:rPr>
              <w:t xml:space="preserve"> </w:t>
            </w:r>
            <w:r>
              <w:rPr>
                <w:rFonts w:hint="default" w:ascii="Arial" w:hAnsi="Arial" w:eastAsia="宋体" w:cs="Arial"/>
                <w:spacing w:val="-9"/>
                <w:sz w:val="21"/>
                <w:szCs w:val="21"/>
              </w:rPr>
              <w:t>等</w:t>
            </w:r>
            <w:r>
              <w:rPr>
                <w:rFonts w:hint="default" w:ascii="Arial" w:hAnsi="Arial" w:eastAsia="宋体" w:cs="Arial"/>
                <w:spacing w:val="-36"/>
                <w:sz w:val="21"/>
                <w:szCs w:val="21"/>
              </w:rPr>
              <w:t xml:space="preserve"> </w:t>
            </w:r>
            <w:r>
              <w:rPr>
                <w:rFonts w:hint="default" w:ascii="Arial" w:hAnsi="Arial" w:eastAsia="宋体" w:cs="Arial"/>
                <w:spacing w:val="-9"/>
                <w:sz w:val="21"/>
                <w:szCs w:val="21"/>
              </w:rPr>
              <w:t>级</w:t>
            </w:r>
            <w:r>
              <w:rPr>
                <w:rFonts w:hint="default" w:ascii="Arial" w:hAnsi="Arial" w:eastAsia="宋体" w:cs="Arial"/>
                <w:spacing w:val="-29"/>
                <w:sz w:val="21"/>
                <w:szCs w:val="21"/>
              </w:rPr>
              <w:t xml:space="preserve"> </w:t>
            </w:r>
            <w:r>
              <w:rPr>
                <w:rFonts w:hint="default" w:ascii="Arial" w:hAnsi="Arial" w:eastAsia="宋体" w:cs="Arial"/>
                <w:spacing w:val="-9"/>
                <w:sz w:val="21"/>
                <w:szCs w:val="21"/>
              </w:rPr>
              <w:t>》</w:t>
            </w:r>
            <w:r>
              <w:rPr>
                <w:rFonts w:hint="default" w:ascii="Arial" w:hAnsi="Arial" w:eastAsia="宋体" w:cs="Arial"/>
                <w:spacing w:val="-41"/>
                <w:sz w:val="21"/>
                <w:szCs w:val="21"/>
              </w:rPr>
              <w:t xml:space="preserve"> </w:t>
            </w:r>
            <w:r>
              <w:rPr>
                <w:rFonts w:hint="default" w:ascii="Arial" w:hAnsi="Arial" w:eastAsia="宋体" w:cs="Arial"/>
                <w:spacing w:val="-9"/>
                <w:sz w:val="21"/>
                <w:szCs w:val="21"/>
              </w:rPr>
              <w:t>（ GB</w:t>
            </w:r>
            <w:r>
              <w:rPr>
                <w:rFonts w:hint="default" w:ascii="Arial" w:hAnsi="Arial" w:eastAsia="宋体" w:cs="Arial"/>
                <w:sz w:val="21"/>
                <w:szCs w:val="21"/>
              </w:rPr>
              <w:t xml:space="preserve">  21455-2013</w:t>
            </w:r>
            <w:r>
              <w:rPr>
                <w:rFonts w:hint="default" w:ascii="Arial" w:hAnsi="Arial" w:eastAsia="宋体" w:cs="Arial"/>
                <w:spacing w:val="12"/>
                <w:sz w:val="21"/>
                <w:szCs w:val="21"/>
              </w:rPr>
              <w:t>），</w:t>
            </w:r>
            <w:r>
              <w:rPr>
                <w:rFonts w:hint="default" w:ascii="Arial" w:hAnsi="Arial" w:eastAsia="宋体" w:cs="Arial"/>
                <w:sz w:val="21"/>
                <w:szCs w:val="21"/>
              </w:rPr>
              <w:t>待 2019</w:t>
            </w:r>
            <w:r>
              <w:rPr>
                <w:rFonts w:hint="default" w:ascii="Arial" w:hAnsi="Arial" w:eastAsia="宋体" w:cs="Arial"/>
                <w:spacing w:val="-15"/>
                <w:sz w:val="21"/>
                <w:szCs w:val="21"/>
              </w:rPr>
              <w:t xml:space="preserve"> </w:t>
            </w:r>
            <w:r>
              <w:rPr>
                <w:rFonts w:hint="default" w:ascii="Arial" w:hAnsi="Arial" w:eastAsia="宋体" w:cs="Arial"/>
                <w:sz w:val="21"/>
                <w:szCs w:val="21"/>
              </w:rPr>
              <w:t>年修订发  布后，按《房间空气调节器能效限</w:t>
            </w:r>
            <w:r>
              <w:rPr>
                <w:rFonts w:hint="default" w:ascii="Arial" w:hAnsi="Arial" w:eastAsia="宋体" w:cs="Arial"/>
                <w:spacing w:val="4"/>
                <w:sz w:val="21"/>
                <w:szCs w:val="21"/>
              </w:rPr>
              <w:t xml:space="preserve">  </w:t>
            </w:r>
            <w:r>
              <w:rPr>
                <w:rFonts w:hint="default" w:ascii="Arial" w:hAnsi="Arial" w:eastAsia="宋体" w:cs="Arial"/>
                <w:spacing w:val="-5"/>
                <w:sz w:val="21"/>
                <w:szCs w:val="21"/>
              </w:rPr>
              <w:t>定值及能效等级》（GB21455-2019）</w:t>
            </w:r>
            <w:r>
              <w:rPr>
                <w:rFonts w:hint="default" w:ascii="Arial" w:hAnsi="Arial" w:eastAsia="宋体" w:cs="Arial"/>
                <w:spacing w:val="15"/>
                <w:sz w:val="21"/>
                <w:szCs w:val="21"/>
              </w:rPr>
              <w:t xml:space="preserve"> </w:t>
            </w:r>
            <w:r>
              <w:rPr>
                <w:rFonts w:hint="default" w:ascii="Arial" w:hAnsi="Arial" w:eastAsia="宋体" w:cs="Arial"/>
                <w:sz w:val="21"/>
                <w:szCs w:val="21"/>
              </w:rPr>
              <w:t>实施。</w:t>
            </w:r>
          </w:p>
        </w:tc>
      </w:tr>
      <w:tr w14:paraId="79A64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3" w:type="dxa"/>
            <w:vMerge w:val="continue"/>
            <w:tcBorders>
              <w:top w:val="nil"/>
              <w:bottom w:val="nil"/>
            </w:tcBorders>
            <w:vAlign w:val="top"/>
          </w:tcPr>
          <w:p w14:paraId="1E5F1BA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bottom w:val="nil"/>
            </w:tcBorders>
            <w:vAlign w:val="top"/>
          </w:tcPr>
          <w:p w14:paraId="5CF65E0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Merge w:val="continue"/>
            <w:tcBorders>
              <w:top w:val="nil"/>
              <w:bottom w:val="nil"/>
            </w:tcBorders>
            <w:vAlign w:val="top"/>
          </w:tcPr>
          <w:p w14:paraId="67979D1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678" w:type="dxa"/>
            <w:vAlign w:val="top"/>
          </w:tcPr>
          <w:p w14:paraId="5563FE61">
            <w:pPr>
              <w:pStyle w:val="257"/>
              <w:keepNext w:val="0"/>
              <w:keepLines w:val="0"/>
              <w:pageBreakBefore w:val="0"/>
              <w:widowControl w:val="0"/>
              <w:kinsoku/>
              <w:wordWrap/>
              <w:overflowPunct/>
              <w:topLinePunct w:val="0"/>
              <w:autoSpaceDE/>
              <w:autoSpaceDN/>
              <w:bidi w:val="0"/>
              <w:adjustRightInd/>
              <w:spacing w:before="71" w:line="288" w:lineRule="auto"/>
              <w:ind w:left="15" w:right="11" w:firstLine="10"/>
              <w:jc w:val="both"/>
              <w:textAlignment w:val="auto"/>
              <w:rPr>
                <w:rFonts w:hint="default" w:ascii="Arial" w:hAnsi="Arial" w:eastAsia="宋体" w:cs="Arial"/>
                <w:sz w:val="21"/>
                <w:szCs w:val="21"/>
              </w:rPr>
            </w:pPr>
            <w:r>
              <w:rPr>
                <w:rFonts w:hint="default" w:ascii="Arial" w:hAnsi="Arial" w:eastAsia="宋体" w:cs="Arial"/>
                <w:spacing w:val="15"/>
                <w:sz w:val="21"/>
                <w:szCs w:val="21"/>
              </w:rPr>
              <w:t>多联式空调（热泵）</w:t>
            </w:r>
            <w:r>
              <w:rPr>
                <w:rFonts w:hint="default" w:ascii="Arial" w:hAnsi="Arial" w:eastAsia="宋体" w:cs="Arial"/>
                <w:spacing w:val="7"/>
                <w:sz w:val="21"/>
                <w:szCs w:val="21"/>
              </w:rPr>
              <w:t xml:space="preserve"> </w:t>
            </w:r>
            <w:r>
              <w:rPr>
                <w:rFonts w:hint="default" w:ascii="Arial" w:hAnsi="Arial" w:eastAsia="宋体" w:cs="Arial"/>
                <w:spacing w:val="-4"/>
                <w:sz w:val="21"/>
                <w:szCs w:val="21"/>
              </w:rPr>
              <w:t>机 组 （</w:t>
            </w:r>
            <w:r>
              <w:rPr>
                <w:rFonts w:hint="default" w:ascii="Arial" w:hAnsi="Arial" w:eastAsia="宋体" w:cs="Arial"/>
                <w:spacing w:val="28"/>
                <w:sz w:val="21"/>
                <w:szCs w:val="21"/>
              </w:rPr>
              <w:t xml:space="preserve"> </w:t>
            </w:r>
            <w:r>
              <w:rPr>
                <w:rFonts w:hint="default" w:ascii="Arial" w:hAnsi="Arial" w:eastAsia="宋体" w:cs="Arial"/>
                <w:spacing w:val="-4"/>
                <w:sz w:val="21"/>
                <w:szCs w:val="21"/>
              </w:rPr>
              <w:t>制 冷 量 ≤</w:t>
            </w:r>
            <w:r>
              <w:rPr>
                <w:rFonts w:hint="default" w:ascii="Arial" w:hAnsi="Arial" w:eastAsia="宋体" w:cs="Arial"/>
                <w:sz w:val="21"/>
                <w:szCs w:val="21"/>
              </w:rPr>
              <w:t xml:space="preserve"> </w:t>
            </w:r>
            <w:r>
              <w:rPr>
                <w:rFonts w:hint="default" w:ascii="Arial" w:hAnsi="Arial" w:eastAsia="宋体" w:cs="Arial"/>
                <w:spacing w:val="3"/>
                <w:sz w:val="21"/>
                <w:szCs w:val="21"/>
              </w:rPr>
              <w:t>14000W）</w:t>
            </w:r>
          </w:p>
        </w:tc>
        <w:tc>
          <w:tcPr>
            <w:tcW w:w="4609" w:type="dxa"/>
            <w:vAlign w:val="top"/>
          </w:tcPr>
          <w:p w14:paraId="4097116E">
            <w:pPr>
              <w:pStyle w:val="257"/>
              <w:keepNext w:val="0"/>
              <w:keepLines w:val="0"/>
              <w:pageBreakBefore w:val="0"/>
              <w:widowControl w:val="0"/>
              <w:kinsoku/>
              <w:wordWrap/>
              <w:overflowPunct/>
              <w:topLinePunct w:val="0"/>
              <w:autoSpaceDE/>
              <w:autoSpaceDN/>
              <w:bidi w:val="0"/>
              <w:adjustRightInd/>
              <w:spacing w:before="225" w:line="288" w:lineRule="auto"/>
              <w:ind w:left="22"/>
              <w:textAlignment w:val="auto"/>
              <w:rPr>
                <w:rFonts w:hint="default" w:ascii="Arial" w:hAnsi="Arial" w:eastAsia="宋体" w:cs="Arial"/>
                <w:sz w:val="21"/>
                <w:szCs w:val="21"/>
              </w:rPr>
            </w:pPr>
            <w:r>
              <w:rPr>
                <w:rFonts w:hint="default" w:ascii="Arial" w:hAnsi="Arial" w:eastAsia="宋体" w:cs="Arial"/>
                <w:sz w:val="21"/>
                <w:szCs w:val="21"/>
              </w:rPr>
              <w:t>《多联式空调（热泵）机组能效限</w:t>
            </w:r>
            <w:r>
              <w:rPr>
                <w:rFonts w:hint="default" w:ascii="Arial" w:hAnsi="Arial" w:eastAsia="宋体" w:cs="Arial"/>
                <w:spacing w:val="2"/>
                <w:sz w:val="21"/>
                <w:szCs w:val="21"/>
              </w:rPr>
              <w:t xml:space="preserve">  </w:t>
            </w:r>
            <w:r>
              <w:rPr>
                <w:rFonts w:hint="default" w:ascii="Arial" w:hAnsi="Arial" w:eastAsia="宋体" w:cs="Arial"/>
                <w:spacing w:val="-4"/>
                <w:sz w:val="21"/>
                <w:szCs w:val="21"/>
              </w:rPr>
              <w:t>定值及能源效率等级》（GB</w:t>
            </w:r>
            <w:r>
              <w:rPr>
                <w:rFonts w:hint="default" w:ascii="Arial" w:hAnsi="Arial" w:eastAsia="宋体" w:cs="Arial"/>
                <w:spacing w:val="-24"/>
                <w:sz w:val="21"/>
                <w:szCs w:val="21"/>
              </w:rPr>
              <w:t xml:space="preserve"> </w:t>
            </w:r>
            <w:r>
              <w:rPr>
                <w:rFonts w:hint="default" w:ascii="Arial" w:hAnsi="Arial" w:eastAsia="宋体" w:cs="Arial"/>
                <w:spacing w:val="-4"/>
                <w:sz w:val="21"/>
                <w:szCs w:val="21"/>
              </w:rPr>
              <w:t>21454）</w:t>
            </w:r>
          </w:p>
        </w:tc>
      </w:tr>
      <w:tr w14:paraId="2BABA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3" w:type="dxa"/>
            <w:vMerge w:val="continue"/>
            <w:tcBorders>
              <w:top w:val="nil"/>
              <w:bottom w:val="nil"/>
            </w:tcBorders>
            <w:vAlign w:val="top"/>
          </w:tcPr>
          <w:p w14:paraId="48AFFED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bottom w:val="nil"/>
            </w:tcBorders>
            <w:vAlign w:val="top"/>
          </w:tcPr>
          <w:p w14:paraId="10E7156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Merge w:val="continue"/>
            <w:tcBorders>
              <w:top w:val="nil"/>
            </w:tcBorders>
            <w:vAlign w:val="top"/>
          </w:tcPr>
          <w:p w14:paraId="5162852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678" w:type="dxa"/>
            <w:vAlign w:val="top"/>
          </w:tcPr>
          <w:p w14:paraId="745A02A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p w14:paraId="1C83C537">
            <w:pPr>
              <w:pStyle w:val="257"/>
              <w:keepNext w:val="0"/>
              <w:keepLines w:val="0"/>
              <w:pageBreakBefore w:val="0"/>
              <w:widowControl w:val="0"/>
              <w:kinsoku/>
              <w:wordWrap/>
              <w:overflowPunct/>
              <w:topLinePunct w:val="0"/>
              <w:autoSpaceDE/>
              <w:autoSpaceDN/>
              <w:bidi w:val="0"/>
              <w:adjustRightInd/>
              <w:spacing w:before="61" w:line="288" w:lineRule="auto"/>
              <w:ind w:left="51" w:right="11" w:hanging="33"/>
              <w:textAlignment w:val="auto"/>
              <w:rPr>
                <w:rFonts w:hint="default" w:ascii="Arial" w:hAnsi="Arial" w:eastAsia="宋体" w:cs="Arial"/>
                <w:sz w:val="21"/>
                <w:szCs w:val="21"/>
              </w:rPr>
            </w:pPr>
            <w:r>
              <w:rPr>
                <w:rFonts w:hint="default" w:ascii="Arial" w:hAnsi="Arial" w:eastAsia="宋体" w:cs="Arial"/>
                <w:spacing w:val="44"/>
                <w:sz w:val="21"/>
                <w:szCs w:val="21"/>
              </w:rPr>
              <w:t>单元式空气调节机</w:t>
            </w:r>
            <w:r>
              <w:rPr>
                <w:rFonts w:hint="default" w:ascii="Arial" w:hAnsi="Arial" w:eastAsia="宋体" w:cs="Arial"/>
                <w:spacing w:val="6"/>
                <w:sz w:val="21"/>
                <w:szCs w:val="21"/>
              </w:rPr>
              <w:t xml:space="preserve"> </w:t>
            </w:r>
            <w:r>
              <w:rPr>
                <w:rFonts w:hint="default" w:ascii="Arial" w:hAnsi="Arial" w:eastAsia="宋体" w:cs="Arial"/>
                <w:spacing w:val="3"/>
                <w:sz w:val="21"/>
                <w:szCs w:val="21"/>
              </w:rPr>
              <w:t>(制冷量≤14000W)</w:t>
            </w:r>
          </w:p>
        </w:tc>
        <w:tc>
          <w:tcPr>
            <w:tcW w:w="4609" w:type="dxa"/>
            <w:vAlign w:val="top"/>
          </w:tcPr>
          <w:p w14:paraId="05145D7A">
            <w:pPr>
              <w:pStyle w:val="257"/>
              <w:keepNext w:val="0"/>
              <w:keepLines w:val="0"/>
              <w:pageBreakBefore w:val="0"/>
              <w:widowControl w:val="0"/>
              <w:kinsoku/>
              <w:wordWrap/>
              <w:overflowPunct/>
              <w:topLinePunct w:val="0"/>
              <w:autoSpaceDE/>
              <w:autoSpaceDN/>
              <w:bidi w:val="0"/>
              <w:adjustRightInd/>
              <w:spacing w:before="72" w:line="288" w:lineRule="auto"/>
              <w:ind w:left="17" w:right="11" w:firstLine="6"/>
              <w:jc w:val="both"/>
              <w:textAlignment w:val="auto"/>
              <w:rPr>
                <w:rFonts w:hint="default" w:ascii="Arial" w:hAnsi="Arial" w:eastAsia="宋体" w:cs="Arial"/>
                <w:sz w:val="21"/>
                <w:szCs w:val="21"/>
              </w:rPr>
            </w:pPr>
            <w:r>
              <w:rPr>
                <w:rFonts w:hint="default" w:ascii="Arial" w:hAnsi="Arial" w:eastAsia="宋体" w:cs="Arial"/>
                <w:spacing w:val="19"/>
                <w:sz w:val="21"/>
                <w:szCs w:val="21"/>
              </w:rPr>
              <w:t>《单元式空气调节机能效限定值</w:t>
            </w:r>
            <w:r>
              <w:rPr>
                <w:rFonts w:hint="default" w:ascii="Arial" w:hAnsi="Arial" w:eastAsia="宋体" w:cs="Arial"/>
                <w:spacing w:val="2"/>
                <w:sz w:val="21"/>
                <w:szCs w:val="21"/>
              </w:rPr>
              <w:t xml:space="preserve"> </w:t>
            </w:r>
            <w:r>
              <w:rPr>
                <w:rFonts w:hint="default" w:ascii="Arial" w:hAnsi="Arial" w:eastAsia="宋体" w:cs="Arial"/>
                <w:spacing w:val="-5"/>
                <w:sz w:val="21"/>
                <w:szCs w:val="21"/>
              </w:rPr>
              <w:t>及能源效率等级》（GB</w:t>
            </w:r>
            <w:r>
              <w:rPr>
                <w:rFonts w:hint="default" w:ascii="Arial" w:hAnsi="Arial" w:eastAsia="宋体" w:cs="Arial"/>
                <w:spacing w:val="-13"/>
                <w:sz w:val="21"/>
                <w:szCs w:val="21"/>
              </w:rPr>
              <w:t xml:space="preserve"> </w:t>
            </w:r>
            <w:r>
              <w:rPr>
                <w:rFonts w:hint="default" w:ascii="Arial" w:hAnsi="Arial" w:eastAsia="宋体" w:cs="Arial"/>
                <w:spacing w:val="-5"/>
                <w:sz w:val="21"/>
                <w:szCs w:val="21"/>
              </w:rPr>
              <w:t>19576）《风</w:t>
            </w:r>
            <w:r>
              <w:rPr>
                <w:rFonts w:hint="default" w:ascii="Arial" w:hAnsi="Arial" w:eastAsia="宋体" w:cs="Arial"/>
                <w:sz w:val="21"/>
                <w:szCs w:val="21"/>
              </w:rPr>
              <w:t xml:space="preserve"> </w:t>
            </w:r>
            <w:r>
              <w:rPr>
                <w:rFonts w:hint="default" w:ascii="Arial" w:hAnsi="Arial" w:eastAsia="宋体" w:cs="Arial"/>
                <w:spacing w:val="19"/>
                <w:sz w:val="21"/>
                <w:szCs w:val="21"/>
              </w:rPr>
              <w:t>管送风式空调机组能效限定值及</w:t>
            </w:r>
            <w:r>
              <w:rPr>
                <w:rFonts w:hint="default" w:ascii="Arial" w:hAnsi="Arial" w:eastAsia="宋体" w:cs="Arial"/>
                <w:spacing w:val="8"/>
                <w:sz w:val="21"/>
                <w:szCs w:val="21"/>
              </w:rPr>
              <w:t xml:space="preserve"> </w:t>
            </w:r>
            <w:r>
              <w:rPr>
                <w:rFonts w:hint="default" w:ascii="Arial" w:hAnsi="Arial" w:eastAsia="宋体" w:cs="Arial"/>
                <w:spacing w:val="7"/>
                <w:sz w:val="21"/>
                <w:szCs w:val="21"/>
              </w:rPr>
              <w:t>能效等级》（</w:t>
            </w:r>
            <w:r>
              <w:rPr>
                <w:rFonts w:hint="default" w:ascii="Arial" w:hAnsi="Arial" w:eastAsia="宋体" w:cs="Arial"/>
                <w:sz w:val="21"/>
                <w:szCs w:val="21"/>
              </w:rPr>
              <w:t>GB</w:t>
            </w:r>
            <w:r>
              <w:rPr>
                <w:rFonts w:hint="default" w:ascii="Arial" w:hAnsi="Arial" w:eastAsia="宋体" w:cs="Arial"/>
                <w:spacing w:val="7"/>
                <w:sz w:val="21"/>
                <w:szCs w:val="21"/>
              </w:rPr>
              <w:t xml:space="preserve"> 37479）</w:t>
            </w:r>
          </w:p>
        </w:tc>
      </w:tr>
      <w:tr w14:paraId="793D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3" w:type="dxa"/>
            <w:vMerge w:val="continue"/>
            <w:tcBorders>
              <w:top w:val="nil"/>
            </w:tcBorders>
            <w:vAlign w:val="top"/>
          </w:tcPr>
          <w:p w14:paraId="25D9BA3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077" w:type="dxa"/>
            <w:vMerge w:val="continue"/>
            <w:tcBorders>
              <w:top w:val="nil"/>
            </w:tcBorders>
            <w:vAlign w:val="top"/>
          </w:tcPr>
          <w:p w14:paraId="7DD1EC2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1786" w:type="dxa"/>
            <w:vAlign w:val="top"/>
          </w:tcPr>
          <w:p w14:paraId="2105E109">
            <w:pPr>
              <w:pStyle w:val="257"/>
              <w:keepNext w:val="0"/>
              <w:keepLines w:val="0"/>
              <w:pageBreakBefore w:val="0"/>
              <w:widowControl w:val="0"/>
              <w:kinsoku/>
              <w:wordWrap/>
              <w:overflowPunct/>
              <w:topLinePunct w:val="0"/>
              <w:autoSpaceDE/>
              <w:autoSpaceDN/>
              <w:bidi w:val="0"/>
              <w:adjustRightInd/>
              <w:spacing w:before="230" w:line="288" w:lineRule="auto"/>
              <w:ind w:left="9"/>
              <w:textAlignment w:val="auto"/>
              <w:rPr>
                <w:rFonts w:hint="default" w:ascii="Arial" w:hAnsi="Arial" w:eastAsia="宋体" w:cs="Arial"/>
                <w:sz w:val="21"/>
                <w:szCs w:val="21"/>
              </w:rPr>
            </w:pPr>
            <w:r>
              <w:rPr>
                <w:rFonts w:hint="default" w:ascii="Arial" w:hAnsi="Arial" w:eastAsia="宋体" w:cs="Arial"/>
                <w:spacing w:val="5"/>
                <w:sz w:val="21"/>
                <w:szCs w:val="21"/>
              </w:rPr>
              <w:t>A0206180301</w:t>
            </w:r>
            <w:r>
              <w:rPr>
                <w:rFonts w:hint="default" w:ascii="Arial" w:hAnsi="Arial" w:eastAsia="宋体" w:cs="Arial"/>
                <w:spacing w:val="-33"/>
                <w:sz w:val="21"/>
                <w:szCs w:val="21"/>
              </w:rPr>
              <w:t xml:space="preserve"> </w:t>
            </w:r>
            <w:r>
              <w:rPr>
                <w:rFonts w:hint="default" w:ascii="Arial" w:hAnsi="Arial" w:eastAsia="宋体" w:cs="Arial"/>
                <w:spacing w:val="5"/>
                <w:sz w:val="21"/>
                <w:szCs w:val="21"/>
              </w:rPr>
              <w:t>洗衣机</w:t>
            </w:r>
          </w:p>
        </w:tc>
        <w:tc>
          <w:tcPr>
            <w:tcW w:w="1678" w:type="dxa"/>
            <w:vAlign w:val="top"/>
          </w:tcPr>
          <w:p w14:paraId="7A382A8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宋体" w:cs="Arial"/>
                <w:sz w:val="21"/>
                <w:szCs w:val="21"/>
              </w:rPr>
            </w:pPr>
          </w:p>
        </w:tc>
        <w:tc>
          <w:tcPr>
            <w:tcW w:w="4609" w:type="dxa"/>
            <w:vAlign w:val="top"/>
          </w:tcPr>
          <w:p w14:paraId="17E09339">
            <w:pPr>
              <w:pStyle w:val="257"/>
              <w:keepNext w:val="0"/>
              <w:keepLines w:val="0"/>
              <w:pageBreakBefore w:val="0"/>
              <w:widowControl w:val="0"/>
              <w:kinsoku/>
              <w:wordWrap/>
              <w:overflowPunct/>
              <w:topLinePunct w:val="0"/>
              <w:autoSpaceDE/>
              <w:autoSpaceDN/>
              <w:bidi w:val="0"/>
              <w:adjustRightInd/>
              <w:spacing w:before="74" w:line="288" w:lineRule="auto"/>
              <w:ind w:left="19" w:right="11" w:firstLine="3"/>
              <w:textAlignment w:val="auto"/>
              <w:rPr>
                <w:rFonts w:hint="default" w:ascii="Arial" w:hAnsi="Arial" w:eastAsia="宋体" w:cs="Arial"/>
                <w:sz w:val="21"/>
                <w:szCs w:val="21"/>
              </w:rPr>
            </w:pPr>
            <w:r>
              <w:rPr>
                <w:rFonts w:hint="default" w:ascii="Arial" w:hAnsi="Arial" w:eastAsia="宋体" w:cs="Arial"/>
                <w:spacing w:val="19"/>
                <w:sz w:val="21"/>
                <w:szCs w:val="21"/>
              </w:rPr>
              <w:t>《电动洗衣机能效水效限定值及</w:t>
            </w:r>
            <w:r>
              <w:rPr>
                <w:rFonts w:hint="default" w:ascii="Arial" w:hAnsi="Arial" w:eastAsia="宋体" w:cs="Arial"/>
                <w:spacing w:val="2"/>
                <w:sz w:val="21"/>
                <w:szCs w:val="21"/>
              </w:rPr>
              <w:t xml:space="preserve"> </w:t>
            </w:r>
            <w:r>
              <w:rPr>
                <w:rFonts w:hint="default" w:ascii="Arial" w:hAnsi="Arial" w:eastAsia="宋体" w:cs="Arial"/>
                <w:spacing w:val="4"/>
                <w:sz w:val="21"/>
                <w:szCs w:val="21"/>
              </w:rPr>
              <w:t>等级》（</w:t>
            </w:r>
            <w:r>
              <w:rPr>
                <w:rFonts w:hint="default" w:ascii="Arial" w:hAnsi="Arial" w:eastAsia="宋体" w:cs="Arial"/>
                <w:sz w:val="21"/>
                <w:szCs w:val="21"/>
              </w:rPr>
              <w:t>GB</w:t>
            </w:r>
            <w:r>
              <w:rPr>
                <w:rFonts w:hint="default" w:ascii="Arial" w:hAnsi="Arial" w:eastAsia="宋体" w:cs="Arial"/>
                <w:spacing w:val="33"/>
                <w:sz w:val="21"/>
                <w:szCs w:val="21"/>
              </w:rPr>
              <w:t xml:space="preserve"> </w:t>
            </w:r>
            <w:r>
              <w:rPr>
                <w:rFonts w:hint="default" w:ascii="Arial" w:hAnsi="Arial" w:eastAsia="宋体" w:cs="Arial"/>
                <w:spacing w:val="4"/>
                <w:sz w:val="21"/>
                <w:szCs w:val="21"/>
              </w:rPr>
              <w:t>12021.4）</w:t>
            </w:r>
          </w:p>
        </w:tc>
      </w:tr>
    </w:tbl>
    <w:p w14:paraId="44622A3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49F23B4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Arial" w:cs="Arial"/>
          <w:sz w:val="21"/>
          <w:szCs w:val="21"/>
        </w:rPr>
        <w:sectPr>
          <w:pgSz w:w="11906" w:h="16838"/>
          <w:pgMar w:top="1431" w:right="1691" w:bottom="1134" w:left="1783" w:header="850" w:footer="992" w:gutter="0"/>
          <w:pgBorders>
            <w:top w:val="none" w:sz="0" w:space="0"/>
            <w:left w:val="none" w:sz="0" w:space="0"/>
            <w:bottom w:val="none" w:sz="0" w:space="0"/>
            <w:right w:val="none" w:sz="0" w:space="0"/>
          </w:pgBorders>
          <w:cols w:space="720" w:num="1"/>
        </w:sectPr>
      </w:pPr>
    </w:p>
    <w:p w14:paraId="397E8DA5">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bl>
      <w:tblPr>
        <w:tblStyle w:val="258"/>
        <w:tblW w:w="9177" w:type="dxa"/>
        <w:tblInd w:w="-3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9"/>
        <w:gridCol w:w="1064"/>
        <w:gridCol w:w="1854"/>
        <w:gridCol w:w="1964"/>
        <w:gridCol w:w="3586"/>
      </w:tblGrid>
      <w:tr w14:paraId="19CE1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709" w:type="dxa"/>
            <w:vMerge w:val="restart"/>
            <w:tcBorders>
              <w:bottom w:val="nil"/>
            </w:tcBorders>
            <w:vAlign w:val="top"/>
          </w:tcPr>
          <w:p w14:paraId="68DF05E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restart"/>
            <w:tcBorders>
              <w:bottom w:val="nil"/>
            </w:tcBorders>
            <w:vAlign w:val="top"/>
          </w:tcPr>
          <w:p w14:paraId="232F69D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Merge w:val="restart"/>
            <w:tcBorders>
              <w:bottom w:val="nil"/>
            </w:tcBorders>
            <w:vAlign w:val="top"/>
          </w:tcPr>
          <w:p w14:paraId="5255A10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5F21F88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769077C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485A0B0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67F7C1E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1E6CC48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11F845B0">
            <w:pPr>
              <w:pStyle w:val="257"/>
              <w:keepNext w:val="0"/>
              <w:keepLines w:val="0"/>
              <w:pageBreakBefore w:val="0"/>
              <w:widowControl w:val="0"/>
              <w:kinsoku/>
              <w:wordWrap/>
              <w:overflowPunct/>
              <w:topLinePunct w:val="0"/>
              <w:autoSpaceDE/>
              <w:autoSpaceDN/>
              <w:bidi w:val="0"/>
              <w:adjustRightInd/>
              <w:spacing w:before="62" w:line="288" w:lineRule="auto"/>
              <w:ind w:left="9"/>
              <w:textAlignment w:val="auto"/>
              <w:rPr>
                <w:rFonts w:hint="default" w:ascii="Arial" w:hAnsi="Arial" w:cs="Arial"/>
                <w:sz w:val="21"/>
                <w:szCs w:val="21"/>
              </w:rPr>
            </w:pPr>
            <w:r>
              <w:rPr>
                <w:rFonts w:hint="default" w:ascii="Arial" w:hAnsi="Arial" w:cs="Arial"/>
                <w:spacing w:val="5"/>
                <w:sz w:val="21"/>
                <w:szCs w:val="21"/>
              </w:rPr>
              <w:t>A02061808</w:t>
            </w:r>
            <w:r>
              <w:rPr>
                <w:rFonts w:hint="default" w:ascii="Arial" w:hAnsi="Arial" w:cs="Arial"/>
                <w:spacing w:val="-32"/>
                <w:sz w:val="21"/>
                <w:szCs w:val="21"/>
              </w:rPr>
              <w:t xml:space="preserve"> </w:t>
            </w:r>
            <w:r>
              <w:rPr>
                <w:rFonts w:hint="default" w:ascii="Arial" w:hAnsi="Arial" w:cs="Arial"/>
                <w:spacing w:val="5"/>
                <w:sz w:val="21"/>
                <w:szCs w:val="21"/>
              </w:rPr>
              <w:t>热水器</w:t>
            </w:r>
          </w:p>
        </w:tc>
        <w:tc>
          <w:tcPr>
            <w:tcW w:w="1964" w:type="dxa"/>
            <w:vAlign w:val="top"/>
          </w:tcPr>
          <w:p w14:paraId="3DBE7627">
            <w:pPr>
              <w:pStyle w:val="257"/>
              <w:keepNext w:val="0"/>
              <w:keepLines w:val="0"/>
              <w:pageBreakBefore w:val="0"/>
              <w:widowControl w:val="0"/>
              <w:kinsoku/>
              <w:wordWrap/>
              <w:overflowPunct/>
              <w:topLinePunct w:val="0"/>
              <w:autoSpaceDE/>
              <w:autoSpaceDN/>
              <w:bidi w:val="0"/>
              <w:adjustRightInd/>
              <w:spacing w:before="275" w:line="288" w:lineRule="auto"/>
              <w:ind w:left="19"/>
              <w:textAlignment w:val="auto"/>
              <w:rPr>
                <w:rFonts w:hint="default" w:ascii="Arial" w:hAnsi="Arial" w:cs="Arial"/>
                <w:sz w:val="21"/>
                <w:szCs w:val="21"/>
              </w:rPr>
            </w:pPr>
            <w:r>
              <w:rPr>
                <w:rFonts w:hint="default" w:ascii="Arial" w:hAnsi="Arial" w:cs="Arial"/>
                <w:spacing w:val="7"/>
                <w:sz w:val="21"/>
                <w:szCs w:val="21"/>
              </w:rPr>
              <w:t>★电热水器</w:t>
            </w:r>
          </w:p>
        </w:tc>
        <w:tc>
          <w:tcPr>
            <w:tcW w:w="3586" w:type="dxa"/>
            <w:vAlign w:val="top"/>
          </w:tcPr>
          <w:p w14:paraId="40986011">
            <w:pPr>
              <w:pStyle w:val="257"/>
              <w:keepNext w:val="0"/>
              <w:keepLines w:val="0"/>
              <w:pageBreakBefore w:val="0"/>
              <w:widowControl w:val="0"/>
              <w:kinsoku/>
              <w:wordWrap/>
              <w:overflowPunct/>
              <w:topLinePunct w:val="0"/>
              <w:autoSpaceDE/>
              <w:autoSpaceDN/>
              <w:bidi w:val="0"/>
              <w:adjustRightInd/>
              <w:spacing w:before="119" w:line="288" w:lineRule="auto"/>
              <w:ind w:left="25" w:right="11" w:hanging="2"/>
              <w:textAlignment w:val="auto"/>
              <w:rPr>
                <w:rFonts w:hint="default" w:ascii="Arial" w:hAnsi="Arial" w:cs="Arial"/>
                <w:sz w:val="21"/>
                <w:szCs w:val="21"/>
              </w:rPr>
            </w:pPr>
            <w:r>
              <w:rPr>
                <w:rFonts w:hint="default" w:ascii="Arial" w:hAnsi="Arial" w:cs="Arial"/>
                <w:spacing w:val="19"/>
                <w:sz w:val="21"/>
                <w:szCs w:val="21"/>
              </w:rPr>
              <w:t>《储水式电热水器能效限定值及</w:t>
            </w:r>
            <w:r>
              <w:rPr>
                <w:rFonts w:hint="default" w:ascii="Arial" w:hAnsi="Arial" w:cs="Arial"/>
                <w:spacing w:val="2"/>
                <w:sz w:val="21"/>
                <w:szCs w:val="21"/>
              </w:rPr>
              <w:t xml:space="preserve"> </w:t>
            </w:r>
            <w:r>
              <w:rPr>
                <w:rFonts w:hint="default" w:ascii="Arial" w:hAnsi="Arial" w:cs="Arial"/>
                <w:spacing w:val="6"/>
                <w:sz w:val="21"/>
                <w:szCs w:val="21"/>
              </w:rPr>
              <w:t>能效等级》（</w:t>
            </w:r>
            <w:r>
              <w:rPr>
                <w:rFonts w:hint="default" w:ascii="Arial" w:hAnsi="Arial" w:cs="Arial"/>
                <w:sz w:val="21"/>
                <w:szCs w:val="21"/>
              </w:rPr>
              <w:t>GB</w:t>
            </w:r>
            <w:r>
              <w:rPr>
                <w:rFonts w:hint="default" w:ascii="Arial" w:hAnsi="Arial" w:cs="Arial"/>
                <w:spacing w:val="6"/>
                <w:sz w:val="21"/>
                <w:szCs w:val="21"/>
              </w:rPr>
              <w:t xml:space="preserve">  21519）</w:t>
            </w:r>
          </w:p>
        </w:tc>
      </w:tr>
      <w:tr w14:paraId="0BD14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709" w:type="dxa"/>
            <w:vMerge w:val="continue"/>
            <w:tcBorders>
              <w:top w:val="nil"/>
              <w:bottom w:val="nil"/>
            </w:tcBorders>
            <w:vAlign w:val="top"/>
          </w:tcPr>
          <w:p w14:paraId="6005965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bottom w:val="nil"/>
            </w:tcBorders>
            <w:vAlign w:val="top"/>
          </w:tcPr>
          <w:p w14:paraId="3D56B3A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Merge w:val="continue"/>
            <w:tcBorders>
              <w:top w:val="nil"/>
              <w:bottom w:val="nil"/>
            </w:tcBorders>
            <w:vAlign w:val="top"/>
          </w:tcPr>
          <w:p w14:paraId="43E781D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964" w:type="dxa"/>
            <w:vAlign w:val="top"/>
          </w:tcPr>
          <w:p w14:paraId="647A98F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70738594">
            <w:pPr>
              <w:pStyle w:val="257"/>
              <w:keepNext w:val="0"/>
              <w:keepLines w:val="0"/>
              <w:pageBreakBefore w:val="0"/>
              <w:widowControl w:val="0"/>
              <w:kinsoku/>
              <w:wordWrap/>
              <w:overflowPunct/>
              <w:topLinePunct w:val="0"/>
              <w:autoSpaceDE/>
              <w:autoSpaceDN/>
              <w:bidi w:val="0"/>
              <w:adjustRightInd/>
              <w:spacing w:before="61" w:line="288" w:lineRule="auto"/>
              <w:ind w:left="15"/>
              <w:textAlignment w:val="auto"/>
              <w:rPr>
                <w:rFonts w:hint="default" w:ascii="Arial" w:hAnsi="Arial" w:cs="Arial"/>
                <w:sz w:val="21"/>
                <w:szCs w:val="21"/>
              </w:rPr>
            </w:pPr>
            <w:r>
              <w:rPr>
                <w:rFonts w:hint="default" w:ascii="Arial" w:hAnsi="Arial" w:cs="Arial"/>
                <w:spacing w:val="8"/>
                <w:sz w:val="21"/>
                <w:szCs w:val="21"/>
              </w:rPr>
              <w:t>燃气热水器</w:t>
            </w:r>
          </w:p>
        </w:tc>
        <w:tc>
          <w:tcPr>
            <w:tcW w:w="3586" w:type="dxa"/>
            <w:vAlign w:val="top"/>
          </w:tcPr>
          <w:p w14:paraId="4A0B5633">
            <w:pPr>
              <w:pStyle w:val="257"/>
              <w:keepNext w:val="0"/>
              <w:keepLines w:val="0"/>
              <w:pageBreakBefore w:val="0"/>
              <w:widowControl w:val="0"/>
              <w:kinsoku/>
              <w:wordWrap/>
              <w:overflowPunct/>
              <w:topLinePunct w:val="0"/>
              <w:autoSpaceDE/>
              <w:autoSpaceDN/>
              <w:bidi w:val="0"/>
              <w:adjustRightInd/>
              <w:spacing w:before="68" w:line="288" w:lineRule="auto"/>
              <w:ind w:left="25" w:hanging="2"/>
              <w:jc w:val="both"/>
              <w:textAlignment w:val="auto"/>
              <w:rPr>
                <w:rFonts w:hint="default" w:ascii="Arial" w:hAnsi="Arial" w:cs="Arial"/>
                <w:sz w:val="21"/>
                <w:szCs w:val="21"/>
              </w:rPr>
            </w:pPr>
            <w:r>
              <w:rPr>
                <w:rFonts w:hint="default" w:ascii="Arial" w:hAnsi="Arial" w:cs="Arial"/>
                <w:spacing w:val="17"/>
                <w:sz w:val="21"/>
                <w:szCs w:val="21"/>
              </w:rPr>
              <w:t>《家用燃气快速热水器和燃气采</w:t>
            </w:r>
            <w:r>
              <w:rPr>
                <w:rFonts w:hint="default" w:ascii="Arial" w:hAnsi="Arial" w:cs="Arial"/>
                <w:sz w:val="21"/>
                <w:szCs w:val="21"/>
              </w:rPr>
              <w:t xml:space="preserve"> </w:t>
            </w:r>
            <w:r>
              <w:rPr>
                <w:rFonts w:hint="default" w:ascii="Arial" w:hAnsi="Arial" w:cs="Arial"/>
                <w:spacing w:val="5"/>
                <w:sz w:val="21"/>
                <w:szCs w:val="21"/>
              </w:rPr>
              <w:t>暖热水炉能效限定值及能效等级》</w:t>
            </w:r>
            <w:r>
              <w:rPr>
                <w:rFonts w:hint="default" w:ascii="Arial" w:hAnsi="Arial" w:cs="Arial"/>
                <w:spacing w:val="12"/>
                <w:sz w:val="21"/>
                <w:szCs w:val="21"/>
              </w:rPr>
              <w:t xml:space="preserve"> </w:t>
            </w:r>
            <w:r>
              <w:rPr>
                <w:rFonts w:hint="default" w:ascii="Arial" w:hAnsi="Arial" w:cs="Arial"/>
                <w:spacing w:val="1"/>
                <w:sz w:val="21"/>
                <w:szCs w:val="21"/>
              </w:rPr>
              <w:t>（</w:t>
            </w:r>
            <w:r>
              <w:rPr>
                <w:rFonts w:hint="default" w:ascii="Arial" w:hAnsi="Arial" w:cs="Arial"/>
                <w:sz w:val="21"/>
                <w:szCs w:val="21"/>
              </w:rPr>
              <w:t>GB</w:t>
            </w:r>
            <w:r>
              <w:rPr>
                <w:rFonts w:hint="default" w:ascii="Arial" w:hAnsi="Arial" w:cs="Arial"/>
                <w:spacing w:val="18"/>
                <w:sz w:val="21"/>
                <w:szCs w:val="21"/>
              </w:rPr>
              <w:t xml:space="preserve"> </w:t>
            </w:r>
            <w:r>
              <w:rPr>
                <w:rFonts w:hint="default" w:ascii="Arial" w:hAnsi="Arial" w:cs="Arial"/>
                <w:spacing w:val="1"/>
                <w:sz w:val="21"/>
                <w:szCs w:val="21"/>
              </w:rPr>
              <w:t>20665）</w:t>
            </w:r>
          </w:p>
        </w:tc>
      </w:tr>
      <w:tr w14:paraId="7C243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709" w:type="dxa"/>
            <w:vMerge w:val="continue"/>
            <w:tcBorders>
              <w:top w:val="nil"/>
              <w:bottom w:val="nil"/>
            </w:tcBorders>
            <w:vAlign w:val="top"/>
          </w:tcPr>
          <w:p w14:paraId="2B5A8A2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bottom w:val="nil"/>
            </w:tcBorders>
            <w:vAlign w:val="top"/>
          </w:tcPr>
          <w:p w14:paraId="0B3E6B5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Merge w:val="continue"/>
            <w:tcBorders>
              <w:top w:val="nil"/>
              <w:bottom w:val="nil"/>
            </w:tcBorders>
            <w:vAlign w:val="top"/>
          </w:tcPr>
          <w:p w14:paraId="31AE8D9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964" w:type="dxa"/>
            <w:vAlign w:val="top"/>
          </w:tcPr>
          <w:p w14:paraId="6FD46B1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0CA164E9">
            <w:pPr>
              <w:pStyle w:val="257"/>
              <w:keepNext w:val="0"/>
              <w:keepLines w:val="0"/>
              <w:pageBreakBefore w:val="0"/>
              <w:widowControl w:val="0"/>
              <w:kinsoku/>
              <w:wordWrap/>
              <w:overflowPunct/>
              <w:topLinePunct w:val="0"/>
              <w:autoSpaceDE/>
              <w:autoSpaceDN/>
              <w:bidi w:val="0"/>
              <w:adjustRightInd/>
              <w:spacing w:before="62" w:line="288" w:lineRule="auto"/>
              <w:ind w:left="20"/>
              <w:textAlignment w:val="auto"/>
              <w:rPr>
                <w:rFonts w:hint="default" w:ascii="Arial" w:hAnsi="Arial" w:cs="Arial"/>
                <w:sz w:val="21"/>
                <w:szCs w:val="21"/>
              </w:rPr>
            </w:pPr>
            <w:r>
              <w:rPr>
                <w:rFonts w:hint="default" w:ascii="Arial" w:hAnsi="Arial" w:cs="Arial"/>
                <w:spacing w:val="7"/>
                <w:sz w:val="21"/>
                <w:szCs w:val="21"/>
              </w:rPr>
              <w:t>热泵热水器</w:t>
            </w:r>
          </w:p>
        </w:tc>
        <w:tc>
          <w:tcPr>
            <w:tcW w:w="3586" w:type="dxa"/>
            <w:vAlign w:val="top"/>
          </w:tcPr>
          <w:p w14:paraId="73FE9B8A">
            <w:pPr>
              <w:pStyle w:val="257"/>
              <w:keepNext w:val="0"/>
              <w:keepLines w:val="0"/>
              <w:pageBreakBefore w:val="0"/>
              <w:widowControl w:val="0"/>
              <w:kinsoku/>
              <w:wordWrap/>
              <w:overflowPunct/>
              <w:topLinePunct w:val="0"/>
              <w:autoSpaceDE/>
              <w:autoSpaceDN/>
              <w:bidi w:val="0"/>
              <w:adjustRightInd/>
              <w:spacing w:before="156" w:line="288" w:lineRule="auto"/>
              <w:ind w:left="25" w:right="13" w:hanging="2"/>
              <w:textAlignment w:val="auto"/>
              <w:rPr>
                <w:rFonts w:hint="default" w:ascii="Arial" w:hAnsi="Arial" w:cs="Arial"/>
                <w:sz w:val="21"/>
                <w:szCs w:val="21"/>
              </w:rPr>
            </w:pPr>
            <w:r>
              <w:rPr>
                <w:rFonts w:hint="default" w:ascii="Arial" w:hAnsi="Arial" w:cs="Arial"/>
                <w:spacing w:val="5"/>
                <w:sz w:val="21"/>
                <w:szCs w:val="21"/>
              </w:rPr>
              <w:t>《热泵热水机（器）能效限定值及</w:t>
            </w:r>
            <w:r>
              <w:rPr>
                <w:rFonts w:hint="default" w:ascii="Arial" w:hAnsi="Arial" w:cs="Arial"/>
                <w:spacing w:val="1"/>
                <w:sz w:val="21"/>
                <w:szCs w:val="21"/>
              </w:rPr>
              <w:t xml:space="preserve"> </w:t>
            </w:r>
            <w:r>
              <w:rPr>
                <w:rFonts w:hint="default" w:ascii="Arial" w:hAnsi="Arial" w:cs="Arial"/>
                <w:spacing w:val="6"/>
                <w:sz w:val="21"/>
                <w:szCs w:val="21"/>
              </w:rPr>
              <w:t>能效等级》（</w:t>
            </w:r>
            <w:r>
              <w:rPr>
                <w:rFonts w:hint="default" w:ascii="Arial" w:hAnsi="Arial" w:cs="Arial"/>
                <w:sz w:val="21"/>
                <w:szCs w:val="21"/>
              </w:rPr>
              <w:t>GB</w:t>
            </w:r>
            <w:r>
              <w:rPr>
                <w:rFonts w:hint="default" w:ascii="Arial" w:hAnsi="Arial" w:cs="Arial"/>
                <w:spacing w:val="6"/>
                <w:sz w:val="21"/>
                <w:szCs w:val="21"/>
              </w:rPr>
              <w:t xml:space="preserve"> 29541）</w:t>
            </w:r>
          </w:p>
        </w:tc>
      </w:tr>
      <w:tr w14:paraId="3CE22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709" w:type="dxa"/>
            <w:vMerge w:val="continue"/>
            <w:tcBorders>
              <w:top w:val="nil"/>
            </w:tcBorders>
            <w:vAlign w:val="top"/>
          </w:tcPr>
          <w:p w14:paraId="748CE7B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tcBorders>
            <w:vAlign w:val="top"/>
          </w:tcPr>
          <w:p w14:paraId="2AA3A1D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Merge w:val="continue"/>
            <w:tcBorders>
              <w:top w:val="nil"/>
            </w:tcBorders>
            <w:vAlign w:val="top"/>
          </w:tcPr>
          <w:p w14:paraId="6895AE2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964" w:type="dxa"/>
            <w:vAlign w:val="top"/>
          </w:tcPr>
          <w:p w14:paraId="774FBF49">
            <w:pPr>
              <w:pStyle w:val="257"/>
              <w:keepNext w:val="0"/>
              <w:keepLines w:val="0"/>
              <w:pageBreakBefore w:val="0"/>
              <w:widowControl w:val="0"/>
              <w:kinsoku/>
              <w:wordWrap/>
              <w:overflowPunct/>
              <w:topLinePunct w:val="0"/>
              <w:autoSpaceDE/>
              <w:autoSpaceDN/>
              <w:bidi w:val="0"/>
              <w:adjustRightInd/>
              <w:spacing w:before="271" w:line="288" w:lineRule="auto"/>
              <w:ind w:left="16"/>
              <w:textAlignment w:val="auto"/>
              <w:rPr>
                <w:rFonts w:hint="default" w:ascii="Arial" w:hAnsi="Arial" w:cs="Arial"/>
                <w:sz w:val="21"/>
                <w:szCs w:val="21"/>
              </w:rPr>
            </w:pPr>
            <w:r>
              <w:rPr>
                <w:rFonts w:hint="default" w:ascii="Arial" w:hAnsi="Arial" w:cs="Arial"/>
                <w:spacing w:val="8"/>
                <w:sz w:val="21"/>
                <w:szCs w:val="21"/>
              </w:rPr>
              <w:t>太阳能热水系统</w:t>
            </w:r>
          </w:p>
        </w:tc>
        <w:tc>
          <w:tcPr>
            <w:tcW w:w="3586" w:type="dxa"/>
            <w:vAlign w:val="top"/>
          </w:tcPr>
          <w:p w14:paraId="5EDA258B">
            <w:pPr>
              <w:pStyle w:val="257"/>
              <w:keepNext w:val="0"/>
              <w:keepLines w:val="0"/>
              <w:pageBreakBefore w:val="0"/>
              <w:widowControl w:val="0"/>
              <w:kinsoku/>
              <w:wordWrap/>
              <w:overflowPunct/>
              <w:topLinePunct w:val="0"/>
              <w:autoSpaceDE/>
              <w:autoSpaceDN/>
              <w:bidi w:val="0"/>
              <w:adjustRightInd/>
              <w:spacing w:before="114" w:line="288" w:lineRule="auto"/>
              <w:ind w:left="17" w:right="11" w:firstLine="5"/>
              <w:textAlignment w:val="auto"/>
              <w:rPr>
                <w:rFonts w:hint="default" w:ascii="Arial" w:hAnsi="Arial" w:cs="Arial"/>
                <w:sz w:val="21"/>
                <w:szCs w:val="21"/>
              </w:rPr>
            </w:pPr>
            <w:r>
              <w:rPr>
                <w:rFonts w:hint="default" w:ascii="Arial" w:hAnsi="Arial" w:cs="Arial"/>
                <w:spacing w:val="19"/>
                <w:sz w:val="21"/>
                <w:szCs w:val="21"/>
              </w:rPr>
              <w:t>《家用太阳能热水系统能效限定</w:t>
            </w:r>
            <w:r>
              <w:rPr>
                <w:rFonts w:hint="default" w:ascii="Arial" w:hAnsi="Arial" w:cs="Arial"/>
                <w:spacing w:val="2"/>
                <w:sz w:val="21"/>
                <w:szCs w:val="21"/>
              </w:rPr>
              <w:t xml:space="preserve"> </w:t>
            </w:r>
            <w:r>
              <w:rPr>
                <w:rFonts w:hint="default" w:ascii="Arial" w:hAnsi="Arial" w:cs="Arial"/>
                <w:spacing w:val="7"/>
                <w:sz w:val="21"/>
                <w:szCs w:val="21"/>
              </w:rPr>
              <w:t>值及能效等级》（</w:t>
            </w:r>
            <w:r>
              <w:rPr>
                <w:rFonts w:hint="default" w:ascii="Arial" w:hAnsi="Arial" w:cs="Arial"/>
                <w:sz w:val="21"/>
                <w:szCs w:val="21"/>
              </w:rPr>
              <w:t>GB</w:t>
            </w:r>
            <w:r>
              <w:rPr>
                <w:rFonts w:hint="default" w:ascii="Arial" w:hAnsi="Arial" w:cs="Arial"/>
                <w:spacing w:val="7"/>
                <w:sz w:val="21"/>
                <w:szCs w:val="21"/>
              </w:rPr>
              <w:t xml:space="preserve"> 26969）</w:t>
            </w:r>
          </w:p>
        </w:tc>
      </w:tr>
      <w:tr w14:paraId="1B03C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709" w:type="dxa"/>
            <w:vMerge w:val="restart"/>
            <w:tcBorders>
              <w:bottom w:val="nil"/>
            </w:tcBorders>
            <w:vAlign w:val="top"/>
          </w:tcPr>
          <w:p w14:paraId="5EB53C2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74E7D8B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3925A38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64684425">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37BDCB2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1D5F833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2E1A2EBE">
            <w:pPr>
              <w:pStyle w:val="257"/>
              <w:keepNext w:val="0"/>
              <w:keepLines w:val="0"/>
              <w:pageBreakBefore w:val="0"/>
              <w:widowControl w:val="0"/>
              <w:kinsoku/>
              <w:wordWrap/>
              <w:overflowPunct/>
              <w:topLinePunct w:val="0"/>
              <w:autoSpaceDE/>
              <w:autoSpaceDN/>
              <w:bidi w:val="0"/>
              <w:adjustRightInd/>
              <w:spacing w:before="61"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11</w:t>
            </w:r>
          </w:p>
        </w:tc>
        <w:tc>
          <w:tcPr>
            <w:tcW w:w="1064" w:type="dxa"/>
            <w:vMerge w:val="restart"/>
            <w:tcBorders>
              <w:bottom w:val="nil"/>
            </w:tcBorders>
            <w:vAlign w:val="top"/>
          </w:tcPr>
          <w:p w14:paraId="56A14D05">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0BCC3AB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32242E1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711CB48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0E85407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0969A93B">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2D3F9A27">
            <w:pPr>
              <w:pStyle w:val="257"/>
              <w:keepNext w:val="0"/>
              <w:keepLines w:val="0"/>
              <w:pageBreakBefore w:val="0"/>
              <w:widowControl w:val="0"/>
              <w:kinsoku/>
              <w:wordWrap/>
              <w:overflowPunct/>
              <w:topLinePunct w:val="0"/>
              <w:autoSpaceDE/>
              <w:autoSpaceDN/>
              <w:bidi w:val="0"/>
              <w:adjustRightInd/>
              <w:spacing w:before="61" w:line="288" w:lineRule="auto"/>
              <w:ind w:left="18" w:right="8" w:hanging="9"/>
              <w:textAlignment w:val="auto"/>
              <w:rPr>
                <w:rFonts w:hint="default" w:ascii="Arial" w:hAnsi="Arial" w:cs="Arial"/>
                <w:sz w:val="21"/>
                <w:szCs w:val="21"/>
              </w:rPr>
            </w:pPr>
            <w:r>
              <w:rPr>
                <w:rFonts w:hint="default" w:ascii="Arial" w:hAnsi="Arial" w:cs="Arial"/>
                <w:spacing w:val="5"/>
                <w:sz w:val="21"/>
                <w:szCs w:val="21"/>
              </w:rPr>
              <w:t>A020619</w:t>
            </w:r>
            <w:r>
              <w:rPr>
                <w:rFonts w:hint="default" w:ascii="Arial" w:hAnsi="Arial" w:cs="Arial"/>
                <w:spacing w:val="-43"/>
                <w:sz w:val="21"/>
                <w:szCs w:val="21"/>
              </w:rPr>
              <w:t xml:space="preserve"> </w:t>
            </w:r>
            <w:r>
              <w:rPr>
                <w:rFonts w:hint="default" w:ascii="Arial" w:hAnsi="Arial" w:cs="Arial"/>
                <w:spacing w:val="5"/>
                <w:sz w:val="21"/>
                <w:szCs w:val="21"/>
              </w:rPr>
              <w:t>照明</w:t>
            </w:r>
            <w:r>
              <w:rPr>
                <w:rFonts w:hint="default" w:ascii="Arial" w:hAnsi="Arial" w:cs="Arial"/>
                <w:sz w:val="21"/>
                <w:szCs w:val="21"/>
              </w:rPr>
              <w:t xml:space="preserve"> </w:t>
            </w:r>
            <w:r>
              <w:rPr>
                <w:rFonts w:hint="default" w:ascii="Arial" w:hAnsi="Arial" w:cs="Arial"/>
                <w:spacing w:val="3"/>
                <w:sz w:val="21"/>
                <w:szCs w:val="21"/>
              </w:rPr>
              <w:t>设备</w:t>
            </w:r>
          </w:p>
        </w:tc>
        <w:tc>
          <w:tcPr>
            <w:tcW w:w="1854" w:type="dxa"/>
            <w:vAlign w:val="top"/>
          </w:tcPr>
          <w:p w14:paraId="2B28A870">
            <w:pPr>
              <w:pStyle w:val="257"/>
              <w:keepNext w:val="0"/>
              <w:keepLines w:val="0"/>
              <w:pageBreakBefore w:val="0"/>
              <w:widowControl w:val="0"/>
              <w:kinsoku/>
              <w:wordWrap/>
              <w:overflowPunct/>
              <w:topLinePunct w:val="0"/>
              <w:autoSpaceDE/>
              <w:autoSpaceDN/>
              <w:bidi w:val="0"/>
              <w:adjustRightInd/>
              <w:spacing w:before="198" w:line="288" w:lineRule="auto"/>
              <w:ind w:left="20" w:right="12" w:hanging="2"/>
              <w:textAlignment w:val="auto"/>
              <w:rPr>
                <w:rFonts w:hint="default" w:ascii="Arial" w:hAnsi="Arial" w:cs="Arial"/>
                <w:sz w:val="21"/>
                <w:szCs w:val="21"/>
              </w:rPr>
            </w:pPr>
            <w:r>
              <w:rPr>
                <w:rFonts w:hint="default" w:ascii="Arial" w:hAnsi="Arial" w:cs="Arial"/>
                <w:spacing w:val="19"/>
                <w:sz w:val="21"/>
                <w:szCs w:val="21"/>
              </w:rPr>
              <w:t>★</w:t>
            </w:r>
            <w:r>
              <w:rPr>
                <w:rFonts w:hint="default" w:ascii="Arial" w:hAnsi="Arial" w:cs="Arial"/>
                <w:spacing w:val="-59"/>
                <w:sz w:val="21"/>
                <w:szCs w:val="21"/>
              </w:rPr>
              <w:t xml:space="preserve"> </w:t>
            </w:r>
            <w:r>
              <w:rPr>
                <w:rFonts w:hint="default" w:ascii="Arial" w:hAnsi="Arial" w:cs="Arial"/>
                <w:spacing w:val="19"/>
                <w:sz w:val="21"/>
                <w:szCs w:val="21"/>
              </w:rPr>
              <w:t>普通照</w:t>
            </w:r>
            <w:r>
              <w:rPr>
                <w:rFonts w:hint="default" w:ascii="Arial" w:hAnsi="Arial" w:cs="Arial"/>
                <w:spacing w:val="-42"/>
                <w:sz w:val="21"/>
                <w:szCs w:val="21"/>
              </w:rPr>
              <w:t xml:space="preserve"> </w:t>
            </w:r>
            <w:r>
              <w:rPr>
                <w:rFonts w:hint="default" w:ascii="Arial" w:hAnsi="Arial" w:cs="Arial"/>
                <w:spacing w:val="19"/>
                <w:sz w:val="21"/>
                <w:szCs w:val="21"/>
              </w:rPr>
              <w:t>明用双端</w:t>
            </w:r>
            <w:r>
              <w:rPr>
                <w:rFonts w:hint="default" w:ascii="Arial" w:hAnsi="Arial" w:cs="Arial"/>
                <w:sz w:val="21"/>
                <w:szCs w:val="21"/>
              </w:rPr>
              <w:t xml:space="preserve"> </w:t>
            </w:r>
            <w:r>
              <w:rPr>
                <w:rFonts w:hint="default" w:ascii="Arial" w:hAnsi="Arial" w:cs="Arial"/>
                <w:spacing w:val="4"/>
                <w:sz w:val="21"/>
                <w:szCs w:val="21"/>
              </w:rPr>
              <w:t>荧光灯</w:t>
            </w:r>
          </w:p>
        </w:tc>
        <w:tc>
          <w:tcPr>
            <w:tcW w:w="1964" w:type="dxa"/>
            <w:vAlign w:val="top"/>
          </w:tcPr>
          <w:p w14:paraId="2ED8761F">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08486711">
            <w:pPr>
              <w:pStyle w:val="257"/>
              <w:keepNext w:val="0"/>
              <w:keepLines w:val="0"/>
              <w:pageBreakBefore w:val="0"/>
              <w:widowControl w:val="0"/>
              <w:kinsoku/>
              <w:wordWrap/>
              <w:overflowPunct/>
              <w:topLinePunct w:val="0"/>
              <w:autoSpaceDE/>
              <w:autoSpaceDN/>
              <w:bidi w:val="0"/>
              <w:adjustRightInd/>
              <w:spacing w:before="198" w:line="288" w:lineRule="auto"/>
              <w:ind w:left="22" w:right="11"/>
              <w:textAlignment w:val="auto"/>
              <w:rPr>
                <w:rFonts w:hint="default" w:ascii="Arial" w:hAnsi="Arial" w:cs="Arial"/>
                <w:sz w:val="21"/>
                <w:szCs w:val="21"/>
              </w:rPr>
            </w:pPr>
            <w:r>
              <w:rPr>
                <w:rFonts w:hint="default" w:ascii="Arial" w:hAnsi="Arial" w:cs="Arial"/>
                <w:spacing w:val="19"/>
                <w:sz w:val="21"/>
                <w:szCs w:val="21"/>
              </w:rPr>
              <w:t>《普通照明用双端荧光灯能效限</w:t>
            </w:r>
            <w:r>
              <w:rPr>
                <w:rFonts w:hint="default" w:ascii="Arial" w:hAnsi="Arial" w:cs="Arial"/>
                <w:spacing w:val="2"/>
                <w:sz w:val="21"/>
                <w:szCs w:val="21"/>
              </w:rPr>
              <w:t xml:space="preserve"> </w:t>
            </w:r>
            <w:r>
              <w:rPr>
                <w:rFonts w:hint="default" w:ascii="Arial" w:hAnsi="Arial" w:cs="Arial"/>
                <w:spacing w:val="5"/>
                <w:sz w:val="21"/>
                <w:szCs w:val="21"/>
              </w:rPr>
              <w:t>定值及能效等级》（</w:t>
            </w:r>
            <w:r>
              <w:rPr>
                <w:rFonts w:hint="default" w:ascii="Arial" w:hAnsi="Arial" w:cs="Arial"/>
                <w:sz w:val="21"/>
                <w:szCs w:val="21"/>
              </w:rPr>
              <w:t>GB</w:t>
            </w:r>
            <w:r>
              <w:rPr>
                <w:rFonts w:hint="default" w:ascii="Arial" w:hAnsi="Arial" w:cs="Arial"/>
                <w:spacing w:val="42"/>
                <w:sz w:val="21"/>
                <w:szCs w:val="21"/>
              </w:rPr>
              <w:t xml:space="preserve"> </w:t>
            </w:r>
            <w:r>
              <w:rPr>
                <w:rFonts w:hint="default" w:ascii="Arial" w:hAnsi="Arial" w:cs="Arial"/>
                <w:spacing w:val="5"/>
                <w:sz w:val="21"/>
                <w:szCs w:val="21"/>
              </w:rPr>
              <w:t>19043）</w:t>
            </w:r>
          </w:p>
        </w:tc>
      </w:tr>
      <w:tr w14:paraId="7BA4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709" w:type="dxa"/>
            <w:vMerge w:val="continue"/>
            <w:tcBorders>
              <w:top w:val="nil"/>
              <w:bottom w:val="nil"/>
            </w:tcBorders>
            <w:vAlign w:val="top"/>
          </w:tcPr>
          <w:p w14:paraId="78B9F2A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bottom w:val="nil"/>
            </w:tcBorders>
            <w:vAlign w:val="top"/>
          </w:tcPr>
          <w:p w14:paraId="20FF4058">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Align w:val="top"/>
          </w:tcPr>
          <w:p w14:paraId="5D6B13E4">
            <w:pPr>
              <w:pStyle w:val="257"/>
              <w:keepNext w:val="0"/>
              <w:keepLines w:val="0"/>
              <w:pageBreakBefore w:val="0"/>
              <w:widowControl w:val="0"/>
              <w:kinsoku/>
              <w:wordWrap/>
              <w:overflowPunct/>
              <w:topLinePunct w:val="0"/>
              <w:autoSpaceDE/>
              <w:autoSpaceDN/>
              <w:bidi w:val="0"/>
              <w:adjustRightInd/>
              <w:spacing w:before="156" w:line="288" w:lineRule="auto"/>
              <w:ind w:left="14" w:right="7" w:hanging="1"/>
              <w:textAlignment w:val="auto"/>
              <w:rPr>
                <w:rFonts w:hint="default" w:ascii="Arial" w:hAnsi="Arial" w:cs="Arial"/>
                <w:sz w:val="21"/>
                <w:szCs w:val="21"/>
              </w:rPr>
            </w:pPr>
            <w:r>
              <w:rPr>
                <w:rFonts w:hint="default" w:ascii="Arial" w:hAnsi="Arial" w:cs="Arial"/>
                <w:sz w:val="21"/>
                <w:szCs w:val="21"/>
              </w:rPr>
              <w:t>LED</w:t>
            </w:r>
            <w:r>
              <w:rPr>
                <w:rFonts w:hint="default" w:ascii="Arial" w:hAnsi="Arial" w:cs="Arial"/>
                <w:spacing w:val="23"/>
                <w:sz w:val="21"/>
                <w:szCs w:val="21"/>
              </w:rPr>
              <w:t xml:space="preserve"> </w:t>
            </w:r>
            <w:r>
              <w:rPr>
                <w:rFonts w:hint="default" w:ascii="Arial" w:hAnsi="Arial" w:cs="Arial"/>
                <w:spacing w:val="19"/>
                <w:sz w:val="21"/>
                <w:szCs w:val="21"/>
              </w:rPr>
              <w:t>道路/隧道照明</w:t>
            </w:r>
            <w:r>
              <w:rPr>
                <w:rFonts w:hint="default" w:ascii="Arial" w:hAnsi="Arial" w:cs="Arial"/>
                <w:sz w:val="21"/>
                <w:szCs w:val="21"/>
              </w:rPr>
              <w:t xml:space="preserve"> </w:t>
            </w:r>
            <w:r>
              <w:rPr>
                <w:rFonts w:hint="default" w:ascii="Arial" w:hAnsi="Arial" w:cs="Arial"/>
                <w:spacing w:val="5"/>
                <w:sz w:val="21"/>
                <w:szCs w:val="21"/>
              </w:rPr>
              <w:t>产品</w:t>
            </w:r>
          </w:p>
        </w:tc>
        <w:tc>
          <w:tcPr>
            <w:tcW w:w="1964" w:type="dxa"/>
            <w:vAlign w:val="top"/>
          </w:tcPr>
          <w:p w14:paraId="3CE345D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241D4861">
            <w:pPr>
              <w:pStyle w:val="257"/>
              <w:keepNext w:val="0"/>
              <w:keepLines w:val="0"/>
              <w:pageBreakBefore w:val="0"/>
              <w:widowControl w:val="0"/>
              <w:kinsoku/>
              <w:wordWrap/>
              <w:overflowPunct/>
              <w:topLinePunct w:val="0"/>
              <w:autoSpaceDE/>
              <w:autoSpaceDN/>
              <w:bidi w:val="0"/>
              <w:adjustRightInd/>
              <w:spacing w:before="156" w:line="288" w:lineRule="auto"/>
              <w:ind w:left="22"/>
              <w:textAlignment w:val="auto"/>
              <w:rPr>
                <w:rFonts w:hint="default" w:ascii="Arial" w:hAnsi="Arial" w:cs="Arial"/>
                <w:sz w:val="21"/>
                <w:szCs w:val="21"/>
              </w:rPr>
            </w:pPr>
            <w:r>
              <w:rPr>
                <w:rFonts w:hint="default" w:ascii="Arial" w:hAnsi="Arial" w:cs="Arial"/>
                <w:spacing w:val="7"/>
                <w:sz w:val="21"/>
                <w:szCs w:val="21"/>
              </w:rPr>
              <w:t xml:space="preserve">《道路和隧道照明用 </w:t>
            </w:r>
            <w:r>
              <w:rPr>
                <w:rFonts w:hint="default" w:ascii="Arial" w:hAnsi="Arial" w:cs="Arial"/>
                <w:sz w:val="21"/>
                <w:szCs w:val="21"/>
              </w:rPr>
              <w:t>LED</w:t>
            </w:r>
            <w:r>
              <w:rPr>
                <w:rFonts w:hint="default" w:ascii="Arial" w:hAnsi="Arial" w:cs="Arial"/>
                <w:spacing w:val="7"/>
                <w:sz w:val="21"/>
                <w:szCs w:val="21"/>
              </w:rPr>
              <w:t xml:space="preserve"> 灯具能</w:t>
            </w:r>
            <w:r>
              <w:rPr>
                <w:rFonts w:hint="default" w:ascii="Arial" w:hAnsi="Arial" w:cs="Arial"/>
                <w:sz w:val="21"/>
                <w:szCs w:val="21"/>
              </w:rPr>
              <w:t xml:space="preserve">  </w:t>
            </w:r>
            <w:r>
              <w:rPr>
                <w:rFonts w:hint="default" w:ascii="Arial" w:hAnsi="Arial" w:cs="Arial"/>
                <w:spacing w:val="-4"/>
                <w:sz w:val="21"/>
                <w:szCs w:val="21"/>
              </w:rPr>
              <w:t>效限定值及能效等级》（GB</w:t>
            </w:r>
            <w:r>
              <w:rPr>
                <w:rFonts w:hint="default" w:ascii="Arial" w:hAnsi="Arial" w:cs="Arial"/>
                <w:spacing w:val="-24"/>
                <w:sz w:val="21"/>
                <w:szCs w:val="21"/>
              </w:rPr>
              <w:t xml:space="preserve"> </w:t>
            </w:r>
            <w:r>
              <w:rPr>
                <w:rFonts w:hint="default" w:ascii="Arial" w:hAnsi="Arial" w:cs="Arial"/>
                <w:spacing w:val="-4"/>
                <w:sz w:val="21"/>
                <w:szCs w:val="21"/>
              </w:rPr>
              <w:t>37478）</w:t>
            </w:r>
          </w:p>
        </w:tc>
      </w:tr>
      <w:tr w14:paraId="6B5ED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709" w:type="dxa"/>
            <w:vMerge w:val="continue"/>
            <w:tcBorders>
              <w:top w:val="nil"/>
              <w:bottom w:val="nil"/>
            </w:tcBorders>
            <w:vAlign w:val="top"/>
          </w:tcPr>
          <w:p w14:paraId="038DD605">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bottom w:val="nil"/>
            </w:tcBorders>
            <w:vAlign w:val="top"/>
          </w:tcPr>
          <w:p w14:paraId="7ECD9DD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Align w:val="top"/>
          </w:tcPr>
          <w:p w14:paraId="43633CF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493C90A2">
            <w:pPr>
              <w:pStyle w:val="257"/>
              <w:keepNext w:val="0"/>
              <w:keepLines w:val="0"/>
              <w:pageBreakBefore w:val="0"/>
              <w:widowControl w:val="0"/>
              <w:kinsoku/>
              <w:wordWrap/>
              <w:overflowPunct/>
              <w:topLinePunct w:val="0"/>
              <w:autoSpaceDE/>
              <w:autoSpaceDN/>
              <w:bidi w:val="0"/>
              <w:adjustRightInd/>
              <w:spacing w:before="62" w:line="288" w:lineRule="auto"/>
              <w:ind w:left="13"/>
              <w:textAlignment w:val="auto"/>
              <w:rPr>
                <w:rFonts w:hint="default" w:ascii="Arial" w:hAnsi="Arial" w:cs="Arial"/>
                <w:sz w:val="21"/>
                <w:szCs w:val="21"/>
              </w:rPr>
            </w:pPr>
            <w:r>
              <w:rPr>
                <w:rFonts w:hint="default" w:ascii="Arial" w:hAnsi="Arial" w:cs="Arial"/>
                <w:sz w:val="21"/>
                <w:szCs w:val="21"/>
              </w:rPr>
              <w:t>LED</w:t>
            </w:r>
            <w:r>
              <w:rPr>
                <w:rFonts w:hint="default" w:ascii="Arial" w:hAnsi="Arial" w:cs="Arial"/>
                <w:spacing w:val="-32"/>
                <w:sz w:val="21"/>
                <w:szCs w:val="21"/>
              </w:rPr>
              <w:t xml:space="preserve"> </w:t>
            </w:r>
            <w:r>
              <w:rPr>
                <w:rFonts w:hint="default" w:ascii="Arial" w:hAnsi="Arial" w:cs="Arial"/>
                <w:spacing w:val="8"/>
                <w:sz w:val="21"/>
                <w:szCs w:val="21"/>
              </w:rPr>
              <w:t>筒灯</w:t>
            </w:r>
          </w:p>
        </w:tc>
        <w:tc>
          <w:tcPr>
            <w:tcW w:w="1964" w:type="dxa"/>
            <w:vAlign w:val="top"/>
          </w:tcPr>
          <w:p w14:paraId="3B0070C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41F25484">
            <w:pPr>
              <w:pStyle w:val="257"/>
              <w:keepNext w:val="0"/>
              <w:keepLines w:val="0"/>
              <w:pageBreakBefore w:val="0"/>
              <w:widowControl w:val="0"/>
              <w:kinsoku/>
              <w:wordWrap/>
              <w:overflowPunct/>
              <w:topLinePunct w:val="0"/>
              <w:autoSpaceDE/>
              <w:autoSpaceDN/>
              <w:bidi w:val="0"/>
              <w:adjustRightInd/>
              <w:spacing w:before="148" w:line="288" w:lineRule="auto"/>
              <w:ind w:left="17" w:right="13" w:firstLine="5"/>
              <w:textAlignment w:val="auto"/>
              <w:rPr>
                <w:rFonts w:hint="default" w:ascii="Arial" w:hAnsi="Arial" w:cs="Arial"/>
                <w:sz w:val="21"/>
                <w:szCs w:val="21"/>
              </w:rPr>
            </w:pPr>
            <w:r>
              <w:rPr>
                <w:rFonts w:hint="default" w:ascii="Arial" w:hAnsi="Arial" w:cs="Arial"/>
                <w:spacing w:val="12"/>
                <w:sz w:val="21"/>
                <w:szCs w:val="21"/>
              </w:rPr>
              <w:t xml:space="preserve">《室内照明用 </w:t>
            </w:r>
            <w:r>
              <w:rPr>
                <w:rFonts w:hint="default" w:ascii="Arial" w:hAnsi="Arial" w:cs="Arial"/>
                <w:sz w:val="21"/>
                <w:szCs w:val="21"/>
              </w:rPr>
              <w:t>LED</w:t>
            </w:r>
            <w:r>
              <w:rPr>
                <w:rFonts w:hint="default" w:ascii="Arial" w:hAnsi="Arial" w:cs="Arial"/>
                <w:spacing w:val="12"/>
                <w:sz w:val="21"/>
                <w:szCs w:val="21"/>
              </w:rPr>
              <w:t xml:space="preserve"> 产品能效限定</w:t>
            </w:r>
            <w:r>
              <w:rPr>
                <w:rFonts w:hint="default" w:ascii="Arial" w:hAnsi="Arial" w:cs="Arial"/>
                <w:spacing w:val="2"/>
                <w:sz w:val="21"/>
                <w:szCs w:val="21"/>
              </w:rPr>
              <w:t xml:space="preserve"> </w:t>
            </w:r>
            <w:r>
              <w:rPr>
                <w:rFonts w:hint="default" w:ascii="Arial" w:hAnsi="Arial" w:cs="Arial"/>
                <w:spacing w:val="7"/>
                <w:sz w:val="21"/>
                <w:szCs w:val="21"/>
              </w:rPr>
              <w:t>值及能效等级》（</w:t>
            </w:r>
            <w:r>
              <w:rPr>
                <w:rFonts w:hint="default" w:ascii="Arial" w:hAnsi="Arial" w:cs="Arial"/>
                <w:sz w:val="21"/>
                <w:szCs w:val="21"/>
              </w:rPr>
              <w:t>GB</w:t>
            </w:r>
            <w:r>
              <w:rPr>
                <w:rFonts w:hint="default" w:ascii="Arial" w:hAnsi="Arial" w:cs="Arial"/>
                <w:spacing w:val="7"/>
                <w:sz w:val="21"/>
                <w:szCs w:val="21"/>
              </w:rPr>
              <w:t xml:space="preserve"> 30255）</w:t>
            </w:r>
          </w:p>
        </w:tc>
      </w:tr>
      <w:tr w14:paraId="1DE4C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709" w:type="dxa"/>
            <w:vMerge w:val="continue"/>
            <w:tcBorders>
              <w:top w:val="nil"/>
            </w:tcBorders>
            <w:vAlign w:val="top"/>
          </w:tcPr>
          <w:p w14:paraId="724F1B3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tcBorders>
            <w:vAlign w:val="top"/>
          </w:tcPr>
          <w:p w14:paraId="1C182A65">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Align w:val="top"/>
          </w:tcPr>
          <w:p w14:paraId="350DC787">
            <w:pPr>
              <w:pStyle w:val="257"/>
              <w:keepNext w:val="0"/>
              <w:keepLines w:val="0"/>
              <w:pageBreakBefore w:val="0"/>
              <w:widowControl w:val="0"/>
              <w:kinsoku/>
              <w:wordWrap/>
              <w:overflowPunct/>
              <w:topLinePunct w:val="0"/>
              <w:autoSpaceDE/>
              <w:autoSpaceDN/>
              <w:bidi w:val="0"/>
              <w:adjustRightInd/>
              <w:spacing w:before="265" w:line="288" w:lineRule="auto"/>
              <w:ind w:left="47" w:right="12" w:hanging="33"/>
              <w:textAlignment w:val="auto"/>
              <w:rPr>
                <w:rFonts w:hint="default" w:ascii="Arial" w:hAnsi="Arial" w:cs="Arial"/>
                <w:sz w:val="21"/>
                <w:szCs w:val="21"/>
              </w:rPr>
            </w:pPr>
            <w:r>
              <w:rPr>
                <w:rFonts w:hint="default" w:ascii="Arial" w:hAnsi="Arial" w:cs="Arial"/>
                <w:spacing w:val="30"/>
                <w:sz w:val="21"/>
                <w:szCs w:val="21"/>
              </w:rPr>
              <w:t>普通照明用非定向</w:t>
            </w:r>
            <w:r>
              <w:rPr>
                <w:rFonts w:hint="default" w:ascii="Arial" w:hAnsi="Arial" w:cs="Arial"/>
                <w:spacing w:val="5"/>
                <w:sz w:val="21"/>
                <w:szCs w:val="21"/>
              </w:rPr>
              <w:t xml:space="preserve"> </w:t>
            </w:r>
            <w:r>
              <w:rPr>
                <w:rFonts w:hint="default" w:ascii="Arial" w:hAnsi="Arial" w:cs="Arial"/>
                <w:spacing w:val="-1"/>
                <w:sz w:val="21"/>
                <w:szCs w:val="21"/>
              </w:rPr>
              <w:t>自镇流</w:t>
            </w:r>
            <w:r>
              <w:rPr>
                <w:rFonts w:hint="default" w:ascii="Arial" w:hAnsi="Arial" w:cs="Arial"/>
                <w:spacing w:val="-33"/>
                <w:sz w:val="21"/>
                <w:szCs w:val="21"/>
              </w:rPr>
              <w:t xml:space="preserve"> </w:t>
            </w:r>
            <w:r>
              <w:rPr>
                <w:rFonts w:hint="default" w:ascii="Arial" w:hAnsi="Arial" w:cs="Arial"/>
                <w:spacing w:val="-1"/>
                <w:sz w:val="21"/>
                <w:szCs w:val="21"/>
              </w:rPr>
              <w:t>LED</w:t>
            </w:r>
            <w:r>
              <w:rPr>
                <w:rFonts w:hint="default" w:ascii="Arial" w:hAnsi="Arial" w:cs="Arial"/>
                <w:spacing w:val="-37"/>
                <w:sz w:val="21"/>
                <w:szCs w:val="21"/>
              </w:rPr>
              <w:t xml:space="preserve"> </w:t>
            </w:r>
            <w:r>
              <w:rPr>
                <w:rFonts w:hint="default" w:ascii="Arial" w:hAnsi="Arial" w:cs="Arial"/>
                <w:spacing w:val="-1"/>
                <w:sz w:val="21"/>
                <w:szCs w:val="21"/>
              </w:rPr>
              <w:t>灯</w:t>
            </w:r>
          </w:p>
        </w:tc>
        <w:tc>
          <w:tcPr>
            <w:tcW w:w="1964" w:type="dxa"/>
            <w:vAlign w:val="top"/>
          </w:tcPr>
          <w:p w14:paraId="660D977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218E746A">
            <w:pPr>
              <w:pStyle w:val="257"/>
              <w:keepNext w:val="0"/>
              <w:keepLines w:val="0"/>
              <w:pageBreakBefore w:val="0"/>
              <w:widowControl w:val="0"/>
              <w:kinsoku/>
              <w:wordWrap/>
              <w:overflowPunct/>
              <w:topLinePunct w:val="0"/>
              <w:autoSpaceDE/>
              <w:autoSpaceDN/>
              <w:bidi w:val="0"/>
              <w:adjustRightInd/>
              <w:spacing w:before="265" w:line="288" w:lineRule="auto"/>
              <w:ind w:left="17" w:right="13" w:firstLine="5"/>
              <w:textAlignment w:val="auto"/>
              <w:rPr>
                <w:rFonts w:hint="default" w:ascii="Arial" w:hAnsi="Arial" w:cs="Arial"/>
                <w:sz w:val="21"/>
                <w:szCs w:val="21"/>
              </w:rPr>
            </w:pPr>
            <w:r>
              <w:rPr>
                <w:rFonts w:hint="default" w:ascii="Arial" w:hAnsi="Arial" w:cs="Arial"/>
                <w:spacing w:val="12"/>
                <w:sz w:val="21"/>
                <w:szCs w:val="21"/>
              </w:rPr>
              <w:t xml:space="preserve">《室内照明用 </w:t>
            </w:r>
            <w:r>
              <w:rPr>
                <w:rFonts w:hint="default" w:ascii="Arial" w:hAnsi="Arial" w:cs="Arial"/>
                <w:sz w:val="21"/>
                <w:szCs w:val="21"/>
              </w:rPr>
              <w:t>LED</w:t>
            </w:r>
            <w:r>
              <w:rPr>
                <w:rFonts w:hint="default" w:ascii="Arial" w:hAnsi="Arial" w:cs="Arial"/>
                <w:spacing w:val="12"/>
                <w:sz w:val="21"/>
                <w:szCs w:val="21"/>
              </w:rPr>
              <w:t xml:space="preserve"> 产品能效限定</w:t>
            </w:r>
            <w:r>
              <w:rPr>
                <w:rFonts w:hint="default" w:ascii="Arial" w:hAnsi="Arial" w:cs="Arial"/>
                <w:spacing w:val="2"/>
                <w:sz w:val="21"/>
                <w:szCs w:val="21"/>
              </w:rPr>
              <w:t xml:space="preserve"> </w:t>
            </w:r>
            <w:r>
              <w:rPr>
                <w:rFonts w:hint="default" w:ascii="Arial" w:hAnsi="Arial" w:cs="Arial"/>
                <w:spacing w:val="7"/>
                <w:sz w:val="21"/>
                <w:szCs w:val="21"/>
              </w:rPr>
              <w:t>值及能效等级》（</w:t>
            </w:r>
            <w:r>
              <w:rPr>
                <w:rFonts w:hint="default" w:ascii="Arial" w:hAnsi="Arial" w:cs="Arial"/>
                <w:sz w:val="21"/>
                <w:szCs w:val="21"/>
              </w:rPr>
              <w:t>GB</w:t>
            </w:r>
            <w:r>
              <w:rPr>
                <w:rFonts w:hint="default" w:ascii="Arial" w:hAnsi="Arial" w:cs="Arial"/>
                <w:spacing w:val="7"/>
                <w:sz w:val="21"/>
                <w:szCs w:val="21"/>
              </w:rPr>
              <w:t xml:space="preserve"> 30255）</w:t>
            </w:r>
          </w:p>
        </w:tc>
      </w:tr>
      <w:tr w14:paraId="4C749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709" w:type="dxa"/>
            <w:vAlign w:val="top"/>
          </w:tcPr>
          <w:p w14:paraId="1A5D257B">
            <w:pPr>
              <w:pStyle w:val="257"/>
              <w:keepNext w:val="0"/>
              <w:keepLines w:val="0"/>
              <w:pageBreakBefore w:val="0"/>
              <w:widowControl w:val="0"/>
              <w:kinsoku/>
              <w:wordWrap/>
              <w:overflowPunct/>
              <w:topLinePunct w:val="0"/>
              <w:autoSpaceDE/>
              <w:autoSpaceDN/>
              <w:bidi w:val="0"/>
              <w:adjustRightInd/>
              <w:spacing w:before="301"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12</w:t>
            </w:r>
          </w:p>
        </w:tc>
        <w:tc>
          <w:tcPr>
            <w:tcW w:w="1064" w:type="dxa"/>
            <w:vAlign w:val="top"/>
          </w:tcPr>
          <w:p w14:paraId="23DC9EF0">
            <w:pPr>
              <w:pStyle w:val="257"/>
              <w:keepNext w:val="0"/>
              <w:keepLines w:val="0"/>
              <w:pageBreakBefore w:val="0"/>
              <w:widowControl w:val="0"/>
              <w:kinsoku/>
              <w:wordWrap/>
              <w:overflowPunct/>
              <w:topLinePunct w:val="0"/>
              <w:autoSpaceDE/>
              <w:autoSpaceDN/>
              <w:bidi w:val="0"/>
              <w:adjustRightInd/>
              <w:spacing w:before="145" w:line="288" w:lineRule="auto"/>
              <w:ind w:left="14" w:right="8" w:firstLine="3"/>
              <w:textAlignment w:val="auto"/>
              <w:rPr>
                <w:rFonts w:hint="default" w:ascii="Arial" w:hAnsi="Arial" w:cs="Arial"/>
                <w:sz w:val="21"/>
                <w:szCs w:val="21"/>
              </w:rPr>
            </w:pPr>
            <w:r>
              <w:rPr>
                <w:rFonts w:hint="default" w:ascii="Arial" w:hAnsi="Arial" w:cs="Arial"/>
                <w:spacing w:val="1"/>
                <w:sz w:val="21"/>
                <w:szCs w:val="21"/>
              </w:rPr>
              <w:t>★A020910</w:t>
            </w:r>
            <w:r>
              <w:rPr>
                <w:rFonts w:hint="default" w:ascii="Arial" w:hAnsi="Arial" w:cs="Arial"/>
                <w:spacing w:val="-17"/>
                <w:sz w:val="21"/>
                <w:szCs w:val="21"/>
              </w:rPr>
              <w:t xml:space="preserve"> </w:t>
            </w:r>
            <w:r>
              <w:rPr>
                <w:rFonts w:hint="default" w:ascii="Arial" w:hAnsi="Arial" w:cs="Arial"/>
                <w:spacing w:val="1"/>
                <w:sz w:val="21"/>
                <w:szCs w:val="21"/>
              </w:rPr>
              <w:t>电</w:t>
            </w:r>
            <w:r>
              <w:rPr>
                <w:rFonts w:hint="default" w:ascii="Arial" w:hAnsi="Arial" w:cs="Arial"/>
                <w:sz w:val="21"/>
                <w:szCs w:val="21"/>
              </w:rPr>
              <w:t xml:space="preserve"> </w:t>
            </w:r>
            <w:r>
              <w:rPr>
                <w:rFonts w:hint="default" w:ascii="Arial" w:hAnsi="Arial" w:cs="Arial"/>
                <w:spacing w:val="6"/>
                <w:sz w:val="21"/>
                <w:szCs w:val="21"/>
              </w:rPr>
              <w:t>视设备</w:t>
            </w:r>
          </w:p>
        </w:tc>
        <w:tc>
          <w:tcPr>
            <w:tcW w:w="1854" w:type="dxa"/>
            <w:vAlign w:val="top"/>
          </w:tcPr>
          <w:p w14:paraId="602A962D">
            <w:pPr>
              <w:pStyle w:val="257"/>
              <w:keepNext w:val="0"/>
              <w:keepLines w:val="0"/>
              <w:pageBreakBefore w:val="0"/>
              <w:widowControl w:val="0"/>
              <w:kinsoku/>
              <w:wordWrap/>
              <w:overflowPunct/>
              <w:topLinePunct w:val="0"/>
              <w:autoSpaceDE/>
              <w:autoSpaceDN/>
              <w:bidi w:val="0"/>
              <w:adjustRightInd/>
              <w:spacing w:before="145" w:line="288" w:lineRule="auto"/>
              <w:ind w:left="18" w:right="10" w:hanging="9"/>
              <w:textAlignment w:val="auto"/>
              <w:rPr>
                <w:rFonts w:hint="default" w:ascii="Arial" w:hAnsi="Arial" w:cs="Arial"/>
                <w:sz w:val="21"/>
                <w:szCs w:val="21"/>
              </w:rPr>
            </w:pPr>
            <w:r>
              <w:rPr>
                <w:rFonts w:hint="default" w:ascii="Arial" w:hAnsi="Arial" w:cs="Arial"/>
                <w:spacing w:val="4"/>
                <w:sz w:val="21"/>
                <w:szCs w:val="21"/>
              </w:rPr>
              <w:t>A02091001 普通电视</w:t>
            </w:r>
            <w:r>
              <w:rPr>
                <w:rFonts w:hint="default" w:ascii="Arial" w:hAnsi="Arial" w:cs="Arial"/>
                <w:spacing w:val="7"/>
                <w:sz w:val="21"/>
                <w:szCs w:val="21"/>
              </w:rPr>
              <w:t xml:space="preserve"> </w:t>
            </w:r>
            <w:r>
              <w:rPr>
                <w:rFonts w:hint="default" w:ascii="Arial" w:hAnsi="Arial" w:cs="Arial"/>
                <w:spacing w:val="6"/>
                <w:sz w:val="21"/>
                <w:szCs w:val="21"/>
              </w:rPr>
              <w:t>设备（电视机）</w:t>
            </w:r>
          </w:p>
        </w:tc>
        <w:tc>
          <w:tcPr>
            <w:tcW w:w="1964" w:type="dxa"/>
            <w:vAlign w:val="top"/>
          </w:tcPr>
          <w:p w14:paraId="687D4C5B">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6D852FF4">
            <w:pPr>
              <w:pStyle w:val="257"/>
              <w:keepNext w:val="0"/>
              <w:keepLines w:val="0"/>
              <w:pageBreakBefore w:val="0"/>
              <w:widowControl w:val="0"/>
              <w:kinsoku/>
              <w:wordWrap/>
              <w:overflowPunct/>
              <w:topLinePunct w:val="0"/>
              <w:autoSpaceDE/>
              <w:autoSpaceDN/>
              <w:bidi w:val="0"/>
              <w:adjustRightInd/>
              <w:spacing w:before="146" w:line="288" w:lineRule="auto"/>
              <w:ind w:left="21" w:right="11" w:firstLine="2"/>
              <w:textAlignment w:val="auto"/>
              <w:rPr>
                <w:rFonts w:hint="default" w:ascii="Arial" w:hAnsi="Arial" w:cs="Arial"/>
                <w:sz w:val="21"/>
                <w:szCs w:val="21"/>
              </w:rPr>
            </w:pPr>
            <w:r>
              <w:rPr>
                <w:rFonts w:hint="default" w:ascii="Arial" w:hAnsi="Arial" w:cs="Arial"/>
                <w:spacing w:val="19"/>
                <w:sz w:val="21"/>
                <w:szCs w:val="21"/>
              </w:rPr>
              <w:t>《平板电视能效限定值及能效等</w:t>
            </w:r>
            <w:r>
              <w:rPr>
                <w:rFonts w:hint="default" w:ascii="Arial" w:hAnsi="Arial" w:cs="Arial"/>
                <w:spacing w:val="2"/>
                <w:sz w:val="21"/>
                <w:szCs w:val="21"/>
              </w:rPr>
              <w:t xml:space="preserve"> </w:t>
            </w:r>
            <w:r>
              <w:rPr>
                <w:rFonts w:hint="default" w:ascii="Arial" w:hAnsi="Arial" w:cs="Arial"/>
                <w:spacing w:val="4"/>
                <w:sz w:val="21"/>
                <w:szCs w:val="21"/>
              </w:rPr>
              <w:t>级》（</w:t>
            </w:r>
            <w:r>
              <w:rPr>
                <w:rFonts w:hint="default" w:ascii="Arial" w:hAnsi="Arial" w:cs="Arial"/>
                <w:sz w:val="21"/>
                <w:szCs w:val="21"/>
              </w:rPr>
              <w:t>GB</w:t>
            </w:r>
            <w:r>
              <w:rPr>
                <w:rFonts w:hint="default" w:ascii="Arial" w:hAnsi="Arial" w:cs="Arial"/>
                <w:spacing w:val="23"/>
                <w:sz w:val="21"/>
                <w:szCs w:val="21"/>
              </w:rPr>
              <w:t xml:space="preserve"> </w:t>
            </w:r>
            <w:r>
              <w:rPr>
                <w:rFonts w:hint="default" w:ascii="Arial" w:hAnsi="Arial" w:cs="Arial"/>
                <w:spacing w:val="4"/>
                <w:sz w:val="21"/>
                <w:szCs w:val="21"/>
              </w:rPr>
              <w:t>24850）</w:t>
            </w:r>
          </w:p>
        </w:tc>
      </w:tr>
      <w:tr w14:paraId="17B47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709" w:type="dxa"/>
            <w:vAlign w:val="top"/>
          </w:tcPr>
          <w:p w14:paraId="0B7C1DC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4937BAC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35A6CC6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48B9F6FC">
            <w:pPr>
              <w:pStyle w:val="257"/>
              <w:keepNext w:val="0"/>
              <w:keepLines w:val="0"/>
              <w:pageBreakBefore w:val="0"/>
              <w:widowControl w:val="0"/>
              <w:kinsoku/>
              <w:wordWrap/>
              <w:overflowPunct/>
              <w:topLinePunct w:val="0"/>
              <w:autoSpaceDE/>
              <w:autoSpaceDN/>
              <w:bidi w:val="0"/>
              <w:adjustRightInd/>
              <w:spacing w:before="62"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13</w:t>
            </w:r>
          </w:p>
        </w:tc>
        <w:tc>
          <w:tcPr>
            <w:tcW w:w="1064" w:type="dxa"/>
            <w:vAlign w:val="top"/>
          </w:tcPr>
          <w:p w14:paraId="6A2C27E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1B1074DF">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162AA68E">
            <w:pPr>
              <w:pStyle w:val="257"/>
              <w:keepNext w:val="0"/>
              <w:keepLines w:val="0"/>
              <w:pageBreakBefore w:val="0"/>
              <w:widowControl w:val="0"/>
              <w:kinsoku/>
              <w:wordWrap/>
              <w:overflowPunct/>
              <w:topLinePunct w:val="0"/>
              <w:autoSpaceDE/>
              <w:autoSpaceDN/>
              <w:bidi w:val="0"/>
              <w:adjustRightInd/>
              <w:spacing w:before="62" w:line="288" w:lineRule="auto"/>
              <w:ind w:left="16" w:right="8" w:firstLine="2"/>
              <w:textAlignment w:val="auto"/>
              <w:rPr>
                <w:rFonts w:hint="default" w:ascii="Arial" w:hAnsi="Arial" w:cs="Arial"/>
                <w:sz w:val="21"/>
                <w:szCs w:val="21"/>
              </w:rPr>
            </w:pPr>
            <w:r>
              <w:rPr>
                <w:rFonts w:hint="default" w:ascii="Arial" w:hAnsi="Arial" w:cs="Arial"/>
                <w:spacing w:val="4"/>
                <w:sz w:val="21"/>
                <w:szCs w:val="21"/>
              </w:rPr>
              <w:t>★A020911</w:t>
            </w:r>
            <w:r>
              <w:rPr>
                <w:rFonts w:hint="default" w:ascii="Arial" w:hAnsi="Arial" w:cs="Arial"/>
                <w:spacing w:val="-44"/>
                <w:sz w:val="21"/>
                <w:szCs w:val="21"/>
              </w:rPr>
              <w:t xml:space="preserve"> </w:t>
            </w:r>
            <w:r>
              <w:rPr>
                <w:rFonts w:hint="default" w:ascii="Arial" w:hAnsi="Arial" w:cs="Arial"/>
                <w:spacing w:val="4"/>
                <w:sz w:val="21"/>
                <w:szCs w:val="21"/>
              </w:rPr>
              <w:t>视</w:t>
            </w:r>
            <w:r>
              <w:rPr>
                <w:rFonts w:hint="default" w:ascii="Arial" w:hAnsi="Arial" w:cs="Arial"/>
                <w:sz w:val="21"/>
                <w:szCs w:val="21"/>
              </w:rPr>
              <w:t xml:space="preserve"> </w:t>
            </w:r>
            <w:r>
              <w:rPr>
                <w:rFonts w:hint="default" w:ascii="Arial" w:hAnsi="Arial" w:cs="Arial"/>
                <w:spacing w:val="6"/>
                <w:sz w:val="21"/>
                <w:szCs w:val="21"/>
              </w:rPr>
              <w:t>频设备</w:t>
            </w:r>
          </w:p>
        </w:tc>
        <w:tc>
          <w:tcPr>
            <w:tcW w:w="1854" w:type="dxa"/>
            <w:vAlign w:val="top"/>
          </w:tcPr>
          <w:p w14:paraId="40E984F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0E87A60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5E79B368">
            <w:pPr>
              <w:pStyle w:val="257"/>
              <w:keepNext w:val="0"/>
              <w:keepLines w:val="0"/>
              <w:pageBreakBefore w:val="0"/>
              <w:widowControl w:val="0"/>
              <w:kinsoku/>
              <w:wordWrap/>
              <w:overflowPunct/>
              <w:topLinePunct w:val="0"/>
              <w:autoSpaceDE/>
              <w:autoSpaceDN/>
              <w:bidi w:val="0"/>
              <w:adjustRightInd/>
              <w:spacing w:before="62" w:line="288" w:lineRule="auto"/>
              <w:ind w:left="18" w:right="10" w:hanging="9"/>
              <w:textAlignment w:val="auto"/>
              <w:rPr>
                <w:rFonts w:hint="default" w:ascii="Arial" w:hAnsi="Arial" w:cs="Arial"/>
                <w:sz w:val="21"/>
                <w:szCs w:val="21"/>
              </w:rPr>
            </w:pPr>
            <w:r>
              <w:rPr>
                <w:rFonts w:hint="default" w:ascii="Arial" w:hAnsi="Arial" w:cs="Arial"/>
                <w:spacing w:val="4"/>
                <w:sz w:val="21"/>
                <w:szCs w:val="21"/>
              </w:rPr>
              <w:t>A02091107 视频监控</w:t>
            </w:r>
            <w:r>
              <w:rPr>
                <w:rFonts w:hint="default" w:ascii="Arial" w:hAnsi="Arial" w:cs="Arial"/>
                <w:spacing w:val="7"/>
                <w:sz w:val="21"/>
                <w:szCs w:val="21"/>
              </w:rPr>
              <w:t xml:space="preserve"> </w:t>
            </w:r>
            <w:r>
              <w:rPr>
                <w:rFonts w:hint="default" w:ascii="Arial" w:hAnsi="Arial" w:cs="Arial"/>
                <w:spacing w:val="3"/>
                <w:sz w:val="21"/>
                <w:szCs w:val="21"/>
              </w:rPr>
              <w:t>设备</w:t>
            </w:r>
          </w:p>
        </w:tc>
        <w:tc>
          <w:tcPr>
            <w:tcW w:w="1964" w:type="dxa"/>
            <w:vAlign w:val="top"/>
          </w:tcPr>
          <w:p w14:paraId="7E98134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6FB4263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6B6291C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144E9D4D">
            <w:pPr>
              <w:pStyle w:val="257"/>
              <w:keepNext w:val="0"/>
              <w:keepLines w:val="0"/>
              <w:pageBreakBefore w:val="0"/>
              <w:widowControl w:val="0"/>
              <w:kinsoku/>
              <w:wordWrap/>
              <w:overflowPunct/>
              <w:topLinePunct w:val="0"/>
              <w:autoSpaceDE/>
              <w:autoSpaceDN/>
              <w:bidi w:val="0"/>
              <w:adjustRightInd/>
              <w:spacing w:before="62" w:line="288" w:lineRule="auto"/>
              <w:ind w:left="17"/>
              <w:textAlignment w:val="auto"/>
              <w:rPr>
                <w:rFonts w:hint="default" w:ascii="Arial" w:hAnsi="Arial" w:cs="Arial"/>
                <w:sz w:val="21"/>
                <w:szCs w:val="21"/>
              </w:rPr>
            </w:pPr>
            <w:r>
              <w:rPr>
                <w:rFonts w:hint="default" w:ascii="Arial" w:hAnsi="Arial" w:cs="Arial"/>
                <w:spacing w:val="6"/>
                <w:sz w:val="21"/>
                <w:szCs w:val="21"/>
              </w:rPr>
              <w:t>监视器</w:t>
            </w:r>
          </w:p>
        </w:tc>
        <w:tc>
          <w:tcPr>
            <w:tcW w:w="3586" w:type="dxa"/>
            <w:vAlign w:val="top"/>
          </w:tcPr>
          <w:p w14:paraId="29162634">
            <w:pPr>
              <w:pStyle w:val="257"/>
              <w:keepNext w:val="0"/>
              <w:keepLines w:val="0"/>
              <w:pageBreakBefore w:val="0"/>
              <w:widowControl w:val="0"/>
              <w:kinsoku/>
              <w:wordWrap/>
              <w:overflowPunct/>
              <w:topLinePunct w:val="0"/>
              <w:autoSpaceDE/>
              <w:autoSpaceDN/>
              <w:bidi w:val="0"/>
              <w:adjustRightInd/>
              <w:spacing w:before="93" w:line="288" w:lineRule="auto"/>
              <w:ind w:left="17" w:right="11" w:firstLine="23"/>
              <w:textAlignment w:val="auto"/>
              <w:rPr>
                <w:rFonts w:hint="default" w:ascii="Arial" w:hAnsi="Arial" w:cs="Arial"/>
                <w:sz w:val="21"/>
                <w:szCs w:val="21"/>
              </w:rPr>
            </w:pPr>
            <w:r>
              <w:rPr>
                <w:rFonts w:hint="default" w:ascii="Arial" w:hAnsi="Arial" w:cs="Arial"/>
                <w:spacing w:val="18"/>
                <w:sz w:val="21"/>
                <w:szCs w:val="21"/>
              </w:rPr>
              <w:t>以射频信号为主要信号输入的监</w:t>
            </w:r>
            <w:r>
              <w:rPr>
                <w:rFonts w:hint="default" w:ascii="Arial" w:hAnsi="Arial" w:cs="Arial"/>
                <w:sz w:val="21"/>
                <w:szCs w:val="21"/>
              </w:rPr>
              <w:t xml:space="preserve"> </w:t>
            </w:r>
            <w:r>
              <w:rPr>
                <w:rFonts w:hint="default" w:ascii="Arial" w:hAnsi="Arial" w:cs="Arial"/>
                <w:spacing w:val="5"/>
                <w:sz w:val="21"/>
                <w:szCs w:val="21"/>
              </w:rPr>
              <w:t>视器应符合《平板电视能效限定值</w:t>
            </w:r>
            <w:r>
              <w:rPr>
                <w:rFonts w:hint="default" w:ascii="Arial" w:hAnsi="Arial" w:cs="Arial"/>
                <w:spacing w:val="7"/>
                <w:sz w:val="21"/>
                <w:szCs w:val="21"/>
              </w:rPr>
              <w:t xml:space="preserve"> </w:t>
            </w:r>
            <w:r>
              <w:rPr>
                <w:rFonts w:hint="default" w:ascii="Arial" w:hAnsi="Arial" w:cs="Arial"/>
                <w:spacing w:val="8"/>
                <w:sz w:val="21"/>
                <w:szCs w:val="21"/>
              </w:rPr>
              <w:t>及能效等级》（</w:t>
            </w:r>
            <w:r>
              <w:rPr>
                <w:rFonts w:hint="default" w:ascii="Arial" w:hAnsi="Arial" w:cs="Arial"/>
                <w:sz w:val="21"/>
                <w:szCs w:val="21"/>
              </w:rPr>
              <w:t>GB</w:t>
            </w:r>
            <w:r>
              <w:rPr>
                <w:rFonts w:hint="default" w:ascii="Arial" w:hAnsi="Arial" w:cs="Arial"/>
                <w:spacing w:val="8"/>
                <w:sz w:val="21"/>
                <w:szCs w:val="21"/>
              </w:rPr>
              <w:t xml:space="preserve"> 24850</w:t>
            </w:r>
            <w:r>
              <w:rPr>
                <w:rFonts w:hint="default" w:ascii="Arial" w:hAnsi="Arial" w:cs="Arial"/>
                <w:sz w:val="21"/>
                <w:szCs w:val="21"/>
              </w:rPr>
              <w:t>），</w:t>
            </w:r>
          </w:p>
          <w:p w14:paraId="78C3DB6A">
            <w:pPr>
              <w:pStyle w:val="257"/>
              <w:keepNext w:val="0"/>
              <w:keepLines w:val="0"/>
              <w:pageBreakBefore w:val="0"/>
              <w:widowControl w:val="0"/>
              <w:kinsoku/>
              <w:wordWrap/>
              <w:overflowPunct/>
              <w:topLinePunct w:val="0"/>
              <w:autoSpaceDE/>
              <w:autoSpaceDN/>
              <w:bidi w:val="0"/>
              <w:adjustRightInd/>
              <w:spacing w:before="1" w:line="288" w:lineRule="auto"/>
              <w:ind w:left="17" w:right="11" w:firstLine="23"/>
              <w:textAlignment w:val="auto"/>
              <w:rPr>
                <w:rFonts w:hint="default" w:ascii="Arial" w:hAnsi="Arial" w:cs="Arial"/>
                <w:sz w:val="21"/>
                <w:szCs w:val="21"/>
              </w:rPr>
            </w:pPr>
            <w:r>
              <w:rPr>
                <w:rFonts w:hint="default" w:ascii="Arial" w:hAnsi="Arial" w:cs="Arial"/>
                <w:spacing w:val="18"/>
                <w:sz w:val="21"/>
                <w:szCs w:val="21"/>
              </w:rPr>
              <w:t>以数字信号为主要信号输入的监</w:t>
            </w:r>
            <w:r>
              <w:rPr>
                <w:rFonts w:hint="default" w:ascii="Arial" w:hAnsi="Arial" w:cs="Arial"/>
                <w:sz w:val="21"/>
                <w:szCs w:val="21"/>
              </w:rPr>
              <w:t xml:space="preserve"> </w:t>
            </w:r>
            <w:r>
              <w:rPr>
                <w:rFonts w:hint="default" w:ascii="Arial" w:hAnsi="Arial" w:cs="Arial"/>
                <w:spacing w:val="5"/>
                <w:sz w:val="21"/>
                <w:szCs w:val="21"/>
              </w:rPr>
              <w:t>视器应符合《计算机显示器能效限</w:t>
            </w:r>
            <w:r>
              <w:rPr>
                <w:rFonts w:hint="default" w:ascii="Arial" w:hAnsi="Arial" w:cs="Arial"/>
                <w:spacing w:val="7"/>
                <w:sz w:val="21"/>
                <w:szCs w:val="21"/>
              </w:rPr>
              <w:t xml:space="preserve"> 定值及能效等级》（</w:t>
            </w:r>
            <w:r>
              <w:rPr>
                <w:rFonts w:hint="default" w:ascii="Arial" w:hAnsi="Arial" w:cs="Arial"/>
                <w:sz w:val="21"/>
                <w:szCs w:val="21"/>
              </w:rPr>
              <w:t>GB</w:t>
            </w:r>
            <w:r>
              <w:rPr>
                <w:rFonts w:hint="default" w:ascii="Arial" w:hAnsi="Arial" w:cs="Arial"/>
                <w:spacing w:val="7"/>
                <w:sz w:val="21"/>
                <w:szCs w:val="21"/>
              </w:rPr>
              <w:t xml:space="preserve"> 21520）</w:t>
            </w:r>
          </w:p>
        </w:tc>
      </w:tr>
      <w:tr w14:paraId="43CAF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709" w:type="dxa"/>
            <w:vAlign w:val="top"/>
          </w:tcPr>
          <w:p w14:paraId="1A735296">
            <w:pPr>
              <w:pStyle w:val="257"/>
              <w:keepNext w:val="0"/>
              <w:keepLines w:val="0"/>
              <w:pageBreakBefore w:val="0"/>
              <w:widowControl w:val="0"/>
              <w:kinsoku/>
              <w:wordWrap/>
              <w:overflowPunct/>
              <w:topLinePunct w:val="0"/>
              <w:autoSpaceDE/>
              <w:autoSpaceDN/>
              <w:bidi w:val="0"/>
              <w:adjustRightInd/>
              <w:spacing w:before="298"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14</w:t>
            </w:r>
          </w:p>
        </w:tc>
        <w:tc>
          <w:tcPr>
            <w:tcW w:w="1064" w:type="dxa"/>
            <w:vAlign w:val="top"/>
          </w:tcPr>
          <w:p w14:paraId="0BA5D3DF">
            <w:pPr>
              <w:pStyle w:val="257"/>
              <w:keepNext w:val="0"/>
              <w:keepLines w:val="0"/>
              <w:pageBreakBefore w:val="0"/>
              <w:widowControl w:val="0"/>
              <w:kinsoku/>
              <w:wordWrap/>
              <w:overflowPunct/>
              <w:topLinePunct w:val="0"/>
              <w:autoSpaceDE/>
              <w:autoSpaceDN/>
              <w:bidi w:val="0"/>
              <w:adjustRightInd/>
              <w:spacing w:before="142" w:line="288" w:lineRule="auto"/>
              <w:ind w:left="15" w:right="8" w:hanging="6"/>
              <w:textAlignment w:val="auto"/>
              <w:rPr>
                <w:rFonts w:hint="default" w:ascii="Arial" w:hAnsi="Arial" w:cs="Arial"/>
                <w:sz w:val="21"/>
                <w:szCs w:val="21"/>
              </w:rPr>
            </w:pPr>
            <w:r>
              <w:rPr>
                <w:rFonts w:hint="default" w:ascii="Arial" w:hAnsi="Arial" w:cs="Arial"/>
                <w:spacing w:val="5"/>
                <w:sz w:val="21"/>
                <w:szCs w:val="21"/>
              </w:rPr>
              <w:t>A031210</w:t>
            </w:r>
            <w:r>
              <w:rPr>
                <w:rFonts w:hint="default" w:ascii="Arial" w:hAnsi="Arial" w:cs="Arial"/>
                <w:spacing w:val="-43"/>
                <w:sz w:val="21"/>
                <w:szCs w:val="21"/>
              </w:rPr>
              <w:t xml:space="preserve"> </w:t>
            </w:r>
            <w:r>
              <w:rPr>
                <w:rFonts w:hint="default" w:ascii="Arial" w:hAnsi="Arial" w:cs="Arial"/>
                <w:spacing w:val="5"/>
                <w:sz w:val="21"/>
                <w:szCs w:val="21"/>
              </w:rPr>
              <w:t>饮食</w:t>
            </w:r>
            <w:r>
              <w:rPr>
                <w:rFonts w:hint="default" w:ascii="Arial" w:hAnsi="Arial" w:cs="Arial"/>
                <w:sz w:val="21"/>
                <w:szCs w:val="21"/>
              </w:rPr>
              <w:t xml:space="preserve"> </w:t>
            </w:r>
            <w:r>
              <w:rPr>
                <w:rFonts w:hint="default" w:ascii="Arial" w:hAnsi="Arial" w:cs="Arial"/>
                <w:spacing w:val="7"/>
                <w:sz w:val="21"/>
                <w:szCs w:val="21"/>
              </w:rPr>
              <w:t>炊事机械</w:t>
            </w:r>
          </w:p>
        </w:tc>
        <w:tc>
          <w:tcPr>
            <w:tcW w:w="1854" w:type="dxa"/>
            <w:vAlign w:val="top"/>
          </w:tcPr>
          <w:p w14:paraId="78B39F26">
            <w:pPr>
              <w:pStyle w:val="257"/>
              <w:keepNext w:val="0"/>
              <w:keepLines w:val="0"/>
              <w:pageBreakBefore w:val="0"/>
              <w:widowControl w:val="0"/>
              <w:kinsoku/>
              <w:wordWrap/>
              <w:overflowPunct/>
              <w:topLinePunct w:val="0"/>
              <w:autoSpaceDE/>
              <w:autoSpaceDN/>
              <w:bidi w:val="0"/>
              <w:adjustRightInd/>
              <w:spacing w:before="297" w:line="288" w:lineRule="auto"/>
              <w:ind w:left="19"/>
              <w:textAlignment w:val="auto"/>
              <w:rPr>
                <w:rFonts w:hint="default" w:ascii="Arial" w:hAnsi="Arial" w:cs="Arial"/>
                <w:sz w:val="21"/>
                <w:szCs w:val="21"/>
              </w:rPr>
            </w:pPr>
            <w:r>
              <w:rPr>
                <w:rFonts w:hint="default" w:ascii="Arial" w:hAnsi="Arial" w:cs="Arial"/>
                <w:spacing w:val="7"/>
                <w:sz w:val="21"/>
                <w:szCs w:val="21"/>
              </w:rPr>
              <w:t>商用燃气灶具</w:t>
            </w:r>
          </w:p>
        </w:tc>
        <w:tc>
          <w:tcPr>
            <w:tcW w:w="1964" w:type="dxa"/>
            <w:vAlign w:val="top"/>
          </w:tcPr>
          <w:p w14:paraId="39261D5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0A69EBF9">
            <w:pPr>
              <w:pStyle w:val="257"/>
              <w:keepNext w:val="0"/>
              <w:keepLines w:val="0"/>
              <w:pageBreakBefore w:val="0"/>
              <w:widowControl w:val="0"/>
              <w:kinsoku/>
              <w:wordWrap/>
              <w:overflowPunct/>
              <w:topLinePunct w:val="0"/>
              <w:autoSpaceDE/>
              <w:autoSpaceDN/>
              <w:bidi w:val="0"/>
              <w:adjustRightInd/>
              <w:spacing w:before="142" w:line="288" w:lineRule="auto"/>
              <w:ind w:left="22" w:right="11"/>
              <w:textAlignment w:val="auto"/>
              <w:rPr>
                <w:rFonts w:hint="default" w:ascii="Arial" w:hAnsi="Arial" w:cs="Arial"/>
                <w:sz w:val="21"/>
                <w:szCs w:val="21"/>
              </w:rPr>
            </w:pPr>
            <w:r>
              <w:rPr>
                <w:rFonts w:hint="default" w:ascii="Arial" w:hAnsi="Arial" w:cs="Arial"/>
                <w:spacing w:val="19"/>
                <w:sz w:val="21"/>
                <w:szCs w:val="21"/>
              </w:rPr>
              <w:t>《商用燃气灶具能效限定值及能</w:t>
            </w:r>
            <w:r>
              <w:rPr>
                <w:rFonts w:hint="default" w:ascii="Arial" w:hAnsi="Arial" w:cs="Arial"/>
                <w:spacing w:val="2"/>
                <w:sz w:val="21"/>
                <w:szCs w:val="21"/>
              </w:rPr>
              <w:t xml:space="preserve"> </w:t>
            </w:r>
            <w:r>
              <w:rPr>
                <w:rFonts w:hint="default" w:ascii="Arial" w:hAnsi="Arial" w:cs="Arial"/>
                <w:spacing w:val="6"/>
                <w:sz w:val="21"/>
                <w:szCs w:val="21"/>
              </w:rPr>
              <w:t>效等级》（</w:t>
            </w:r>
            <w:r>
              <w:rPr>
                <w:rFonts w:hint="default" w:ascii="Arial" w:hAnsi="Arial" w:cs="Arial"/>
                <w:sz w:val="21"/>
                <w:szCs w:val="21"/>
              </w:rPr>
              <w:t>GB</w:t>
            </w:r>
            <w:r>
              <w:rPr>
                <w:rFonts w:hint="default" w:ascii="Arial" w:hAnsi="Arial" w:cs="Arial"/>
                <w:spacing w:val="6"/>
                <w:sz w:val="21"/>
                <w:szCs w:val="21"/>
              </w:rPr>
              <w:t xml:space="preserve"> 30531）</w:t>
            </w:r>
          </w:p>
        </w:tc>
      </w:tr>
      <w:tr w14:paraId="1F4A8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709" w:type="dxa"/>
            <w:vMerge w:val="restart"/>
            <w:tcBorders>
              <w:bottom w:val="nil"/>
            </w:tcBorders>
            <w:vAlign w:val="top"/>
          </w:tcPr>
          <w:p w14:paraId="379A88BA">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415710B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1DF74F2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73A08F9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6679BED7">
            <w:pPr>
              <w:pStyle w:val="257"/>
              <w:keepNext w:val="0"/>
              <w:keepLines w:val="0"/>
              <w:pageBreakBefore w:val="0"/>
              <w:widowControl w:val="0"/>
              <w:kinsoku/>
              <w:wordWrap/>
              <w:overflowPunct/>
              <w:topLinePunct w:val="0"/>
              <w:autoSpaceDE/>
              <w:autoSpaceDN/>
              <w:bidi w:val="0"/>
              <w:adjustRightInd/>
              <w:spacing w:before="62"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15</w:t>
            </w:r>
          </w:p>
        </w:tc>
        <w:tc>
          <w:tcPr>
            <w:tcW w:w="1064" w:type="dxa"/>
            <w:vMerge w:val="restart"/>
            <w:tcBorders>
              <w:bottom w:val="nil"/>
            </w:tcBorders>
            <w:vAlign w:val="top"/>
          </w:tcPr>
          <w:p w14:paraId="3C83F98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33D15EF4">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556E7C5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2C86B078">
            <w:pPr>
              <w:pStyle w:val="257"/>
              <w:keepNext w:val="0"/>
              <w:keepLines w:val="0"/>
              <w:pageBreakBefore w:val="0"/>
              <w:widowControl w:val="0"/>
              <w:kinsoku/>
              <w:wordWrap/>
              <w:overflowPunct/>
              <w:topLinePunct w:val="0"/>
              <w:autoSpaceDE/>
              <w:autoSpaceDN/>
              <w:bidi w:val="0"/>
              <w:adjustRightInd/>
              <w:spacing w:before="62" w:line="288" w:lineRule="auto"/>
              <w:ind w:left="15" w:right="8" w:firstLine="3"/>
              <w:textAlignment w:val="auto"/>
              <w:rPr>
                <w:rFonts w:hint="default" w:ascii="Arial" w:hAnsi="Arial" w:cs="Arial"/>
                <w:sz w:val="21"/>
                <w:szCs w:val="21"/>
              </w:rPr>
            </w:pPr>
            <w:r>
              <w:rPr>
                <w:rFonts w:hint="default" w:ascii="Arial" w:hAnsi="Arial" w:cs="Arial"/>
                <w:spacing w:val="3"/>
                <w:sz w:val="21"/>
                <w:szCs w:val="21"/>
              </w:rPr>
              <w:t>★A060805</w:t>
            </w:r>
            <w:r>
              <w:rPr>
                <w:rFonts w:hint="default" w:ascii="Arial" w:hAnsi="Arial" w:cs="Arial"/>
                <w:spacing w:val="-35"/>
                <w:sz w:val="21"/>
                <w:szCs w:val="21"/>
              </w:rPr>
              <w:t xml:space="preserve"> </w:t>
            </w:r>
            <w:r>
              <w:rPr>
                <w:rFonts w:hint="default" w:ascii="Arial" w:hAnsi="Arial" w:cs="Arial"/>
                <w:spacing w:val="3"/>
                <w:sz w:val="21"/>
                <w:szCs w:val="21"/>
              </w:rPr>
              <w:t>便</w:t>
            </w:r>
            <w:r>
              <w:rPr>
                <w:rFonts w:hint="default" w:ascii="Arial" w:hAnsi="Arial" w:cs="Arial"/>
                <w:sz w:val="21"/>
                <w:szCs w:val="21"/>
              </w:rPr>
              <w:t xml:space="preserve"> </w:t>
            </w:r>
            <w:r>
              <w:rPr>
                <w:rFonts w:hint="default" w:ascii="Arial" w:hAnsi="Arial" w:cs="Arial"/>
                <w:spacing w:val="1"/>
                <w:sz w:val="21"/>
                <w:szCs w:val="21"/>
              </w:rPr>
              <w:t>器</w:t>
            </w:r>
          </w:p>
        </w:tc>
        <w:tc>
          <w:tcPr>
            <w:tcW w:w="1854" w:type="dxa"/>
            <w:vAlign w:val="top"/>
          </w:tcPr>
          <w:p w14:paraId="69264CC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75C4A866">
            <w:pPr>
              <w:pStyle w:val="257"/>
              <w:keepNext w:val="0"/>
              <w:keepLines w:val="0"/>
              <w:pageBreakBefore w:val="0"/>
              <w:widowControl w:val="0"/>
              <w:kinsoku/>
              <w:wordWrap/>
              <w:overflowPunct/>
              <w:topLinePunct w:val="0"/>
              <w:autoSpaceDE/>
              <w:autoSpaceDN/>
              <w:bidi w:val="0"/>
              <w:adjustRightInd/>
              <w:spacing w:before="62" w:line="288" w:lineRule="auto"/>
              <w:ind w:left="16"/>
              <w:textAlignment w:val="auto"/>
              <w:rPr>
                <w:rFonts w:hint="default" w:ascii="Arial" w:hAnsi="Arial" w:cs="Arial"/>
                <w:sz w:val="21"/>
                <w:szCs w:val="21"/>
              </w:rPr>
            </w:pPr>
            <w:r>
              <w:rPr>
                <w:rFonts w:hint="default" w:ascii="Arial" w:hAnsi="Arial" w:cs="Arial"/>
                <w:spacing w:val="6"/>
                <w:sz w:val="21"/>
                <w:szCs w:val="21"/>
              </w:rPr>
              <w:t>坐便器</w:t>
            </w:r>
          </w:p>
        </w:tc>
        <w:tc>
          <w:tcPr>
            <w:tcW w:w="1964" w:type="dxa"/>
            <w:vAlign w:val="top"/>
          </w:tcPr>
          <w:p w14:paraId="06D6FE26">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550503C2">
            <w:pPr>
              <w:pStyle w:val="257"/>
              <w:keepNext w:val="0"/>
              <w:keepLines w:val="0"/>
              <w:pageBreakBefore w:val="0"/>
              <w:widowControl w:val="0"/>
              <w:kinsoku/>
              <w:wordWrap/>
              <w:overflowPunct/>
              <w:topLinePunct w:val="0"/>
              <w:autoSpaceDE/>
              <w:autoSpaceDN/>
              <w:bidi w:val="0"/>
              <w:adjustRightInd/>
              <w:spacing w:before="189" w:line="288" w:lineRule="auto"/>
              <w:ind w:left="27" w:hanging="4"/>
              <w:textAlignment w:val="auto"/>
              <w:rPr>
                <w:rFonts w:hint="default" w:ascii="Arial" w:hAnsi="Arial" w:cs="Arial"/>
                <w:sz w:val="21"/>
                <w:szCs w:val="21"/>
              </w:rPr>
            </w:pPr>
            <w:r>
              <w:rPr>
                <w:rFonts w:hint="default" w:ascii="Arial" w:hAnsi="Arial" w:cs="Arial"/>
                <w:spacing w:val="6"/>
                <w:sz w:val="21"/>
                <w:szCs w:val="21"/>
              </w:rPr>
              <w:t>《坐便器水效限定值及水效等级》</w:t>
            </w:r>
            <w:r>
              <w:rPr>
                <w:rFonts w:hint="default" w:ascii="Arial" w:hAnsi="Arial" w:cs="Arial"/>
                <w:sz w:val="21"/>
                <w:szCs w:val="21"/>
              </w:rPr>
              <w:t xml:space="preserve"> </w:t>
            </w:r>
            <w:r>
              <w:rPr>
                <w:rFonts w:hint="default" w:ascii="Arial" w:hAnsi="Arial" w:cs="Arial"/>
                <w:spacing w:val="1"/>
                <w:sz w:val="21"/>
                <w:szCs w:val="21"/>
              </w:rPr>
              <w:t>（</w:t>
            </w:r>
            <w:r>
              <w:rPr>
                <w:rFonts w:hint="default" w:ascii="Arial" w:hAnsi="Arial" w:cs="Arial"/>
                <w:sz w:val="21"/>
                <w:szCs w:val="21"/>
              </w:rPr>
              <w:t>GB</w:t>
            </w:r>
            <w:r>
              <w:rPr>
                <w:rFonts w:hint="default" w:ascii="Arial" w:hAnsi="Arial" w:cs="Arial"/>
                <w:spacing w:val="15"/>
                <w:sz w:val="21"/>
                <w:szCs w:val="21"/>
              </w:rPr>
              <w:t xml:space="preserve"> </w:t>
            </w:r>
            <w:r>
              <w:rPr>
                <w:rFonts w:hint="default" w:ascii="Arial" w:hAnsi="Arial" w:cs="Arial"/>
                <w:spacing w:val="1"/>
                <w:sz w:val="21"/>
                <w:szCs w:val="21"/>
              </w:rPr>
              <w:t>25502）</w:t>
            </w:r>
          </w:p>
        </w:tc>
      </w:tr>
      <w:tr w14:paraId="6FC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709" w:type="dxa"/>
            <w:vMerge w:val="continue"/>
            <w:tcBorders>
              <w:top w:val="nil"/>
              <w:bottom w:val="nil"/>
            </w:tcBorders>
            <w:vAlign w:val="top"/>
          </w:tcPr>
          <w:p w14:paraId="0774E33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bottom w:val="nil"/>
            </w:tcBorders>
            <w:vAlign w:val="top"/>
          </w:tcPr>
          <w:p w14:paraId="47573F4F">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Align w:val="top"/>
          </w:tcPr>
          <w:p w14:paraId="27ADEF01">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002A8B1C">
            <w:pPr>
              <w:pStyle w:val="257"/>
              <w:keepNext w:val="0"/>
              <w:keepLines w:val="0"/>
              <w:pageBreakBefore w:val="0"/>
              <w:widowControl w:val="0"/>
              <w:kinsoku/>
              <w:wordWrap/>
              <w:overflowPunct/>
              <w:topLinePunct w:val="0"/>
              <w:autoSpaceDE/>
              <w:autoSpaceDN/>
              <w:bidi w:val="0"/>
              <w:adjustRightInd/>
              <w:spacing w:before="62" w:line="288" w:lineRule="auto"/>
              <w:ind w:left="14"/>
              <w:textAlignment w:val="auto"/>
              <w:rPr>
                <w:rFonts w:hint="default" w:ascii="Arial" w:hAnsi="Arial" w:cs="Arial"/>
                <w:sz w:val="21"/>
                <w:szCs w:val="21"/>
              </w:rPr>
            </w:pPr>
            <w:r>
              <w:rPr>
                <w:rFonts w:hint="default" w:ascii="Arial" w:hAnsi="Arial" w:cs="Arial"/>
                <w:spacing w:val="6"/>
                <w:sz w:val="21"/>
                <w:szCs w:val="21"/>
              </w:rPr>
              <w:t>蹲便器</w:t>
            </w:r>
          </w:p>
        </w:tc>
        <w:tc>
          <w:tcPr>
            <w:tcW w:w="1964" w:type="dxa"/>
            <w:vAlign w:val="top"/>
          </w:tcPr>
          <w:p w14:paraId="155CD21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33F60332">
            <w:pPr>
              <w:pStyle w:val="257"/>
              <w:keepNext w:val="0"/>
              <w:keepLines w:val="0"/>
              <w:pageBreakBefore w:val="0"/>
              <w:widowControl w:val="0"/>
              <w:kinsoku/>
              <w:wordWrap/>
              <w:overflowPunct/>
              <w:topLinePunct w:val="0"/>
              <w:autoSpaceDE/>
              <w:autoSpaceDN/>
              <w:bidi w:val="0"/>
              <w:adjustRightInd/>
              <w:spacing w:before="191" w:line="288" w:lineRule="auto"/>
              <w:ind w:left="22" w:right="11"/>
              <w:textAlignment w:val="auto"/>
              <w:rPr>
                <w:rFonts w:hint="default" w:ascii="Arial" w:hAnsi="Arial" w:cs="Arial"/>
                <w:sz w:val="21"/>
                <w:szCs w:val="21"/>
              </w:rPr>
            </w:pPr>
            <w:r>
              <w:rPr>
                <w:rFonts w:hint="default" w:ascii="Arial" w:hAnsi="Arial" w:cs="Arial"/>
                <w:spacing w:val="19"/>
                <w:sz w:val="21"/>
                <w:szCs w:val="21"/>
              </w:rPr>
              <w:t>《蹲便器用水效率限定值及用水</w:t>
            </w:r>
            <w:r>
              <w:rPr>
                <w:rFonts w:hint="default" w:ascii="Arial" w:hAnsi="Arial" w:cs="Arial"/>
                <w:spacing w:val="2"/>
                <w:sz w:val="21"/>
                <w:szCs w:val="21"/>
              </w:rPr>
              <w:t xml:space="preserve"> </w:t>
            </w:r>
            <w:r>
              <w:rPr>
                <w:rFonts w:hint="default" w:ascii="Arial" w:hAnsi="Arial" w:cs="Arial"/>
                <w:spacing w:val="6"/>
                <w:sz w:val="21"/>
                <w:szCs w:val="21"/>
              </w:rPr>
              <w:t>效率等级》（</w:t>
            </w:r>
            <w:r>
              <w:rPr>
                <w:rFonts w:hint="default" w:ascii="Arial" w:hAnsi="Arial" w:cs="Arial"/>
                <w:sz w:val="21"/>
                <w:szCs w:val="21"/>
              </w:rPr>
              <w:t>GB</w:t>
            </w:r>
            <w:r>
              <w:rPr>
                <w:rFonts w:hint="default" w:ascii="Arial" w:hAnsi="Arial" w:cs="Arial"/>
                <w:spacing w:val="6"/>
                <w:sz w:val="21"/>
                <w:szCs w:val="21"/>
              </w:rPr>
              <w:t xml:space="preserve"> 30717）</w:t>
            </w:r>
          </w:p>
        </w:tc>
      </w:tr>
      <w:tr w14:paraId="01E4D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709" w:type="dxa"/>
            <w:vMerge w:val="continue"/>
            <w:tcBorders>
              <w:top w:val="nil"/>
            </w:tcBorders>
            <w:vAlign w:val="top"/>
          </w:tcPr>
          <w:p w14:paraId="1DECC5AB">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064" w:type="dxa"/>
            <w:vMerge w:val="continue"/>
            <w:tcBorders>
              <w:top w:val="nil"/>
            </w:tcBorders>
            <w:vAlign w:val="top"/>
          </w:tcPr>
          <w:p w14:paraId="0B15BC4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854" w:type="dxa"/>
            <w:vAlign w:val="top"/>
          </w:tcPr>
          <w:p w14:paraId="0C655CC8">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2EADDFBF">
            <w:pPr>
              <w:pStyle w:val="257"/>
              <w:keepNext w:val="0"/>
              <w:keepLines w:val="0"/>
              <w:pageBreakBefore w:val="0"/>
              <w:widowControl w:val="0"/>
              <w:kinsoku/>
              <w:wordWrap/>
              <w:overflowPunct/>
              <w:topLinePunct w:val="0"/>
              <w:autoSpaceDE/>
              <w:autoSpaceDN/>
              <w:bidi w:val="0"/>
              <w:adjustRightInd/>
              <w:spacing w:before="61" w:line="288" w:lineRule="auto"/>
              <w:ind w:left="20"/>
              <w:textAlignment w:val="auto"/>
              <w:rPr>
                <w:rFonts w:hint="default" w:ascii="Arial" w:hAnsi="Arial" w:cs="Arial"/>
                <w:sz w:val="21"/>
                <w:szCs w:val="21"/>
              </w:rPr>
            </w:pPr>
            <w:r>
              <w:rPr>
                <w:rFonts w:hint="default" w:ascii="Arial" w:hAnsi="Arial" w:cs="Arial"/>
                <w:spacing w:val="4"/>
                <w:sz w:val="21"/>
                <w:szCs w:val="21"/>
              </w:rPr>
              <w:t>小便器</w:t>
            </w:r>
          </w:p>
        </w:tc>
        <w:tc>
          <w:tcPr>
            <w:tcW w:w="1964" w:type="dxa"/>
            <w:vAlign w:val="top"/>
          </w:tcPr>
          <w:p w14:paraId="026836EF">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3586" w:type="dxa"/>
            <w:vAlign w:val="top"/>
          </w:tcPr>
          <w:p w14:paraId="75C671BE">
            <w:pPr>
              <w:pStyle w:val="257"/>
              <w:keepNext w:val="0"/>
              <w:keepLines w:val="0"/>
              <w:pageBreakBefore w:val="0"/>
              <w:widowControl w:val="0"/>
              <w:kinsoku/>
              <w:wordWrap/>
              <w:overflowPunct/>
              <w:topLinePunct w:val="0"/>
              <w:autoSpaceDE/>
              <w:autoSpaceDN/>
              <w:bidi w:val="0"/>
              <w:adjustRightInd/>
              <w:spacing w:before="192" w:line="288" w:lineRule="auto"/>
              <w:ind w:left="22" w:right="11"/>
              <w:textAlignment w:val="auto"/>
              <w:rPr>
                <w:rFonts w:hint="default" w:ascii="Arial" w:hAnsi="Arial" w:cs="Arial"/>
                <w:sz w:val="21"/>
                <w:szCs w:val="21"/>
              </w:rPr>
            </w:pPr>
            <w:r>
              <w:rPr>
                <w:rFonts w:hint="default" w:ascii="Arial" w:hAnsi="Arial" w:cs="Arial"/>
                <w:spacing w:val="19"/>
                <w:sz w:val="21"/>
                <w:szCs w:val="21"/>
              </w:rPr>
              <w:t>《小便器用水效率限定值及用水</w:t>
            </w:r>
            <w:r>
              <w:rPr>
                <w:rFonts w:hint="default" w:ascii="Arial" w:hAnsi="Arial" w:cs="Arial"/>
                <w:spacing w:val="2"/>
                <w:sz w:val="21"/>
                <w:szCs w:val="21"/>
              </w:rPr>
              <w:t xml:space="preserve"> </w:t>
            </w:r>
            <w:r>
              <w:rPr>
                <w:rFonts w:hint="default" w:ascii="Arial" w:hAnsi="Arial" w:cs="Arial"/>
                <w:spacing w:val="6"/>
                <w:sz w:val="21"/>
                <w:szCs w:val="21"/>
              </w:rPr>
              <w:t>效率等级》（</w:t>
            </w:r>
            <w:r>
              <w:rPr>
                <w:rFonts w:hint="default" w:ascii="Arial" w:hAnsi="Arial" w:cs="Arial"/>
                <w:sz w:val="21"/>
                <w:szCs w:val="21"/>
              </w:rPr>
              <w:t>GB</w:t>
            </w:r>
            <w:r>
              <w:rPr>
                <w:rFonts w:hint="default" w:ascii="Arial" w:hAnsi="Arial" w:cs="Arial"/>
                <w:spacing w:val="6"/>
                <w:sz w:val="21"/>
                <w:szCs w:val="21"/>
              </w:rPr>
              <w:t xml:space="preserve"> 28377）</w:t>
            </w:r>
          </w:p>
        </w:tc>
      </w:tr>
    </w:tbl>
    <w:p w14:paraId="08876F0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rPr>
      </w:pPr>
    </w:p>
    <w:p w14:paraId="638FF41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eastAsia="Arial" w:cs="Arial"/>
          <w:sz w:val="21"/>
          <w:szCs w:val="21"/>
        </w:rPr>
        <w:sectPr>
          <w:pgSz w:w="11906" w:h="16838"/>
          <w:pgMar w:top="1431" w:right="1691" w:bottom="1134" w:left="1783" w:header="850" w:footer="992" w:gutter="0"/>
          <w:pgBorders>
            <w:top w:val="none" w:sz="0" w:space="0"/>
            <w:left w:val="none" w:sz="0" w:space="0"/>
            <w:bottom w:val="none" w:sz="0" w:space="0"/>
            <w:right w:val="none" w:sz="0" w:space="0"/>
          </w:pgBorders>
          <w:cols w:space="720" w:num="1"/>
        </w:sectPr>
      </w:pPr>
    </w:p>
    <w:p w14:paraId="65F2A7F9">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
        </w:rPr>
      </w:pPr>
    </w:p>
    <w:tbl>
      <w:tblPr>
        <w:tblStyle w:val="258"/>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701D4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vAlign w:val="top"/>
          </w:tcPr>
          <w:p w14:paraId="2F24B47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530FAF58">
            <w:pPr>
              <w:pStyle w:val="257"/>
              <w:keepNext w:val="0"/>
              <w:keepLines w:val="0"/>
              <w:pageBreakBefore w:val="0"/>
              <w:widowControl w:val="0"/>
              <w:kinsoku/>
              <w:wordWrap/>
              <w:overflowPunct/>
              <w:topLinePunct w:val="0"/>
              <w:autoSpaceDE/>
              <w:autoSpaceDN/>
              <w:bidi w:val="0"/>
              <w:adjustRightInd/>
              <w:spacing w:before="61"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16</w:t>
            </w:r>
          </w:p>
        </w:tc>
        <w:tc>
          <w:tcPr>
            <w:tcW w:w="1166" w:type="dxa"/>
            <w:vAlign w:val="top"/>
          </w:tcPr>
          <w:p w14:paraId="2A464D7B">
            <w:pPr>
              <w:pStyle w:val="257"/>
              <w:keepNext w:val="0"/>
              <w:keepLines w:val="0"/>
              <w:pageBreakBefore w:val="0"/>
              <w:widowControl w:val="0"/>
              <w:kinsoku/>
              <w:wordWrap/>
              <w:overflowPunct/>
              <w:topLinePunct w:val="0"/>
              <w:autoSpaceDE/>
              <w:autoSpaceDN/>
              <w:bidi w:val="0"/>
              <w:adjustRightInd/>
              <w:spacing w:before="220" w:line="288" w:lineRule="auto"/>
              <w:ind w:left="22" w:right="8" w:hanging="4"/>
              <w:textAlignment w:val="auto"/>
              <w:rPr>
                <w:rFonts w:hint="default" w:ascii="Arial" w:hAnsi="Arial" w:cs="Arial"/>
                <w:sz w:val="21"/>
                <w:szCs w:val="21"/>
              </w:rPr>
            </w:pPr>
            <w:r>
              <w:rPr>
                <w:rFonts w:hint="default" w:ascii="Arial" w:hAnsi="Arial" w:cs="Arial"/>
                <w:spacing w:val="3"/>
                <w:sz w:val="21"/>
                <w:szCs w:val="21"/>
              </w:rPr>
              <w:t>★A060806</w:t>
            </w:r>
            <w:r>
              <w:rPr>
                <w:rFonts w:hint="default" w:ascii="Arial" w:hAnsi="Arial" w:cs="Arial"/>
                <w:spacing w:val="-35"/>
                <w:sz w:val="21"/>
                <w:szCs w:val="21"/>
              </w:rPr>
              <w:t xml:space="preserve"> </w:t>
            </w:r>
            <w:r>
              <w:rPr>
                <w:rFonts w:hint="default" w:ascii="Arial" w:hAnsi="Arial" w:cs="Arial"/>
                <w:spacing w:val="3"/>
                <w:sz w:val="21"/>
                <w:szCs w:val="21"/>
              </w:rPr>
              <w:t>水</w:t>
            </w:r>
            <w:r>
              <w:rPr>
                <w:rFonts w:hint="default" w:ascii="Arial" w:hAnsi="Arial" w:cs="Arial"/>
                <w:sz w:val="21"/>
                <w:szCs w:val="21"/>
              </w:rPr>
              <w:t xml:space="preserve"> 嘴</w:t>
            </w:r>
          </w:p>
        </w:tc>
        <w:tc>
          <w:tcPr>
            <w:tcW w:w="1799" w:type="dxa"/>
            <w:vAlign w:val="top"/>
          </w:tcPr>
          <w:p w14:paraId="7CE072FE">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914" w:type="dxa"/>
            <w:vAlign w:val="top"/>
          </w:tcPr>
          <w:p w14:paraId="7A575F13">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2969" w:type="dxa"/>
            <w:vAlign w:val="top"/>
          </w:tcPr>
          <w:p w14:paraId="3BFC4085">
            <w:pPr>
              <w:pStyle w:val="257"/>
              <w:keepNext w:val="0"/>
              <w:keepLines w:val="0"/>
              <w:pageBreakBefore w:val="0"/>
              <w:widowControl w:val="0"/>
              <w:kinsoku/>
              <w:wordWrap/>
              <w:overflowPunct/>
              <w:topLinePunct w:val="0"/>
              <w:autoSpaceDE/>
              <w:autoSpaceDN/>
              <w:bidi w:val="0"/>
              <w:adjustRightInd/>
              <w:spacing w:before="220" w:line="288" w:lineRule="auto"/>
              <w:ind w:left="19" w:right="11" w:firstLine="3"/>
              <w:textAlignment w:val="auto"/>
              <w:rPr>
                <w:rFonts w:hint="default" w:ascii="Arial" w:hAnsi="Arial" w:cs="Arial"/>
                <w:sz w:val="21"/>
                <w:szCs w:val="21"/>
              </w:rPr>
            </w:pPr>
            <w:r>
              <w:rPr>
                <w:rFonts w:hint="default" w:ascii="Arial" w:hAnsi="Arial" w:cs="Arial"/>
                <w:spacing w:val="19"/>
                <w:sz w:val="21"/>
                <w:szCs w:val="21"/>
              </w:rPr>
              <w:t>《水嘴用水效率限定值及用水效</w:t>
            </w:r>
            <w:r>
              <w:rPr>
                <w:rFonts w:hint="default" w:ascii="Arial" w:hAnsi="Arial" w:cs="Arial"/>
                <w:spacing w:val="2"/>
                <w:sz w:val="21"/>
                <w:szCs w:val="21"/>
              </w:rPr>
              <w:t xml:space="preserve"> </w:t>
            </w:r>
            <w:r>
              <w:rPr>
                <w:rFonts w:hint="default" w:ascii="Arial" w:hAnsi="Arial" w:cs="Arial"/>
                <w:spacing w:val="6"/>
                <w:sz w:val="21"/>
                <w:szCs w:val="21"/>
              </w:rPr>
              <w:t>率等级》（</w:t>
            </w:r>
            <w:r>
              <w:rPr>
                <w:rFonts w:hint="default" w:ascii="Arial" w:hAnsi="Arial" w:cs="Arial"/>
                <w:sz w:val="21"/>
                <w:szCs w:val="21"/>
              </w:rPr>
              <w:t>GB</w:t>
            </w:r>
            <w:r>
              <w:rPr>
                <w:rFonts w:hint="default" w:ascii="Arial" w:hAnsi="Arial" w:cs="Arial"/>
                <w:spacing w:val="6"/>
                <w:sz w:val="21"/>
                <w:szCs w:val="21"/>
              </w:rPr>
              <w:t xml:space="preserve"> 25501）</w:t>
            </w:r>
          </w:p>
        </w:tc>
      </w:tr>
      <w:tr w14:paraId="0E678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vAlign w:val="top"/>
          </w:tcPr>
          <w:p w14:paraId="1E1F548C">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7D2FA1D8">
            <w:pPr>
              <w:pStyle w:val="257"/>
              <w:keepNext w:val="0"/>
              <w:keepLines w:val="0"/>
              <w:pageBreakBefore w:val="0"/>
              <w:widowControl w:val="0"/>
              <w:kinsoku/>
              <w:wordWrap/>
              <w:overflowPunct/>
              <w:topLinePunct w:val="0"/>
              <w:autoSpaceDE/>
              <w:autoSpaceDN/>
              <w:bidi w:val="0"/>
              <w:adjustRightInd/>
              <w:spacing w:before="62"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17</w:t>
            </w:r>
          </w:p>
        </w:tc>
        <w:tc>
          <w:tcPr>
            <w:tcW w:w="1166" w:type="dxa"/>
            <w:vAlign w:val="top"/>
          </w:tcPr>
          <w:p w14:paraId="54053D7A">
            <w:pPr>
              <w:pStyle w:val="257"/>
              <w:keepNext w:val="0"/>
              <w:keepLines w:val="0"/>
              <w:pageBreakBefore w:val="0"/>
              <w:widowControl w:val="0"/>
              <w:kinsoku/>
              <w:wordWrap/>
              <w:overflowPunct/>
              <w:topLinePunct w:val="0"/>
              <w:autoSpaceDE/>
              <w:autoSpaceDN/>
              <w:bidi w:val="0"/>
              <w:adjustRightInd/>
              <w:spacing w:before="176" w:line="288" w:lineRule="auto"/>
              <w:ind w:left="15" w:right="8" w:hanging="6"/>
              <w:textAlignment w:val="auto"/>
              <w:rPr>
                <w:rFonts w:hint="default" w:ascii="Arial" w:hAnsi="Arial" w:cs="Arial"/>
                <w:sz w:val="21"/>
                <w:szCs w:val="21"/>
              </w:rPr>
            </w:pPr>
            <w:r>
              <w:rPr>
                <w:rFonts w:hint="default" w:ascii="Arial" w:hAnsi="Arial" w:cs="Arial"/>
                <w:spacing w:val="5"/>
                <w:sz w:val="21"/>
                <w:szCs w:val="21"/>
              </w:rPr>
              <w:t>A060807</w:t>
            </w:r>
            <w:r>
              <w:rPr>
                <w:rFonts w:hint="default" w:ascii="Arial" w:hAnsi="Arial" w:cs="Arial"/>
                <w:spacing w:val="-43"/>
                <w:sz w:val="21"/>
                <w:szCs w:val="21"/>
              </w:rPr>
              <w:t xml:space="preserve"> </w:t>
            </w:r>
            <w:r>
              <w:rPr>
                <w:rFonts w:hint="default" w:ascii="Arial" w:hAnsi="Arial" w:cs="Arial"/>
                <w:spacing w:val="5"/>
                <w:sz w:val="21"/>
                <w:szCs w:val="21"/>
              </w:rPr>
              <w:t>便器</w:t>
            </w:r>
            <w:r>
              <w:rPr>
                <w:rFonts w:hint="default" w:ascii="Arial" w:hAnsi="Arial" w:cs="Arial"/>
                <w:sz w:val="21"/>
                <w:szCs w:val="21"/>
              </w:rPr>
              <w:t xml:space="preserve"> </w:t>
            </w:r>
            <w:r>
              <w:rPr>
                <w:rFonts w:hint="default" w:ascii="Arial" w:hAnsi="Arial" w:cs="Arial"/>
                <w:spacing w:val="6"/>
                <w:sz w:val="21"/>
                <w:szCs w:val="21"/>
              </w:rPr>
              <w:t>冲洗阀</w:t>
            </w:r>
          </w:p>
        </w:tc>
        <w:tc>
          <w:tcPr>
            <w:tcW w:w="1799" w:type="dxa"/>
            <w:vAlign w:val="top"/>
          </w:tcPr>
          <w:p w14:paraId="186AD53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914" w:type="dxa"/>
            <w:vAlign w:val="top"/>
          </w:tcPr>
          <w:p w14:paraId="7C785CB7">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2969" w:type="dxa"/>
            <w:vAlign w:val="top"/>
          </w:tcPr>
          <w:p w14:paraId="1FA131D8">
            <w:pPr>
              <w:pStyle w:val="257"/>
              <w:keepNext w:val="0"/>
              <w:keepLines w:val="0"/>
              <w:pageBreakBefore w:val="0"/>
              <w:widowControl w:val="0"/>
              <w:kinsoku/>
              <w:wordWrap/>
              <w:overflowPunct/>
              <w:topLinePunct w:val="0"/>
              <w:autoSpaceDE/>
              <w:autoSpaceDN/>
              <w:bidi w:val="0"/>
              <w:adjustRightInd/>
              <w:spacing w:before="177" w:line="288" w:lineRule="auto"/>
              <w:ind w:left="19" w:right="11" w:firstLine="3"/>
              <w:textAlignment w:val="auto"/>
              <w:rPr>
                <w:rFonts w:hint="default" w:ascii="Arial" w:hAnsi="Arial" w:cs="Arial"/>
                <w:sz w:val="21"/>
                <w:szCs w:val="21"/>
              </w:rPr>
            </w:pPr>
            <w:r>
              <w:rPr>
                <w:rFonts w:hint="default" w:ascii="Arial" w:hAnsi="Arial" w:cs="Arial"/>
                <w:spacing w:val="19"/>
                <w:sz w:val="21"/>
                <w:szCs w:val="21"/>
              </w:rPr>
              <w:t>《便器冲洗阀用水效率限定值及</w:t>
            </w:r>
            <w:r>
              <w:rPr>
                <w:rFonts w:hint="default" w:ascii="Arial" w:hAnsi="Arial" w:cs="Arial"/>
                <w:spacing w:val="2"/>
                <w:sz w:val="21"/>
                <w:szCs w:val="21"/>
              </w:rPr>
              <w:t xml:space="preserve"> </w:t>
            </w:r>
            <w:r>
              <w:rPr>
                <w:rFonts w:hint="default" w:ascii="Arial" w:hAnsi="Arial" w:cs="Arial"/>
                <w:spacing w:val="7"/>
                <w:sz w:val="21"/>
                <w:szCs w:val="21"/>
              </w:rPr>
              <w:t>用水效率等级》（</w:t>
            </w:r>
            <w:r>
              <w:rPr>
                <w:rFonts w:hint="default" w:ascii="Arial" w:hAnsi="Arial" w:cs="Arial"/>
                <w:sz w:val="21"/>
                <w:szCs w:val="21"/>
              </w:rPr>
              <w:t>GB</w:t>
            </w:r>
            <w:r>
              <w:rPr>
                <w:rFonts w:hint="default" w:ascii="Arial" w:hAnsi="Arial" w:cs="Arial"/>
                <w:spacing w:val="7"/>
                <w:sz w:val="21"/>
                <w:szCs w:val="21"/>
              </w:rPr>
              <w:t xml:space="preserve"> 28379）</w:t>
            </w:r>
          </w:p>
        </w:tc>
      </w:tr>
      <w:tr w14:paraId="25733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vAlign w:val="top"/>
          </w:tcPr>
          <w:p w14:paraId="5E9BF0E2">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p w14:paraId="6C20F59C">
            <w:pPr>
              <w:pStyle w:val="257"/>
              <w:keepNext w:val="0"/>
              <w:keepLines w:val="0"/>
              <w:pageBreakBefore w:val="0"/>
              <w:widowControl w:val="0"/>
              <w:kinsoku/>
              <w:wordWrap/>
              <w:overflowPunct/>
              <w:topLinePunct w:val="0"/>
              <w:autoSpaceDE/>
              <w:autoSpaceDN/>
              <w:bidi w:val="0"/>
              <w:adjustRightInd/>
              <w:spacing w:before="62" w:line="288" w:lineRule="auto"/>
              <w:ind w:left="209"/>
              <w:textAlignment w:val="auto"/>
              <w:rPr>
                <w:rFonts w:hint="default" w:ascii="Arial" w:hAnsi="Arial" w:cs="Arial"/>
                <w:sz w:val="21"/>
                <w:szCs w:val="21"/>
              </w:rPr>
            </w:pPr>
            <w:r>
              <w:rPr>
                <w:rFonts w:hint="default" w:ascii="Arial" w:hAnsi="Arial" w:cs="Arial"/>
                <w:spacing w:val="-7"/>
                <w:position w:val="1"/>
                <w:sz w:val="21"/>
                <w:szCs w:val="21"/>
              </w:rPr>
              <w:t>18</w:t>
            </w:r>
          </w:p>
        </w:tc>
        <w:tc>
          <w:tcPr>
            <w:tcW w:w="1166" w:type="dxa"/>
            <w:vAlign w:val="top"/>
          </w:tcPr>
          <w:p w14:paraId="6479A66C">
            <w:pPr>
              <w:pStyle w:val="257"/>
              <w:keepNext w:val="0"/>
              <w:keepLines w:val="0"/>
              <w:pageBreakBefore w:val="0"/>
              <w:widowControl w:val="0"/>
              <w:kinsoku/>
              <w:wordWrap/>
              <w:overflowPunct/>
              <w:topLinePunct w:val="0"/>
              <w:autoSpaceDE/>
              <w:autoSpaceDN/>
              <w:bidi w:val="0"/>
              <w:adjustRightInd/>
              <w:spacing w:before="196" w:line="288" w:lineRule="auto"/>
              <w:ind w:left="15" w:right="8" w:hanging="6"/>
              <w:textAlignment w:val="auto"/>
              <w:rPr>
                <w:rFonts w:hint="default" w:ascii="Arial" w:hAnsi="Arial" w:cs="Arial"/>
                <w:sz w:val="21"/>
                <w:szCs w:val="21"/>
              </w:rPr>
            </w:pPr>
            <w:r>
              <w:rPr>
                <w:rFonts w:hint="default" w:ascii="Arial" w:hAnsi="Arial" w:cs="Arial"/>
                <w:spacing w:val="4"/>
                <w:sz w:val="21"/>
                <w:szCs w:val="21"/>
              </w:rPr>
              <w:t>A060810</w:t>
            </w:r>
            <w:r>
              <w:rPr>
                <w:rFonts w:hint="default" w:ascii="Arial" w:hAnsi="Arial" w:cs="Arial"/>
                <w:spacing w:val="-34"/>
                <w:sz w:val="21"/>
                <w:szCs w:val="21"/>
              </w:rPr>
              <w:t xml:space="preserve"> </w:t>
            </w:r>
            <w:r>
              <w:rPr>
                <w:rFonts w:hint="default" w:ascii="Arial" w:hAnsi="Arial" w:cs="Arial"/>
                <w:spacing w:val="4"/>
                <w:sz w:val="21"/>
                <w:szCs w:val="21"/>
              </w:rPr>
              <w:t>淋浴</w:t>
            </w:r>
            <w:r>
              <w:rPr>
                <w:rFonts w:hint="default" w:ascii="Arial" w:hAnsi="Arial" w:cs="Arial"/>
                <w:sz w:val="21"/>
                <w:szCs w:val="21"/>
              </w:rPr>
              <w:t xml:space="preserve"> </w:t>
            </w:r>
            <w:r>
              <w:rPr>
                <w:rFonts w:hint="default" w:ascii="Arial" w:hAnsi="Arial" w:cs="Arial"/>
                <w:spacing w:val="1"/>
                <w:sz w:val="21"/>
                <w:szCs w:val="21"/>
              </w:rPr>
              <w:t>器</w:t>
            </w:r>
          </w:p>
        </w:tc>
        <w:tc>
          <w:tcPr>
            <w:tcW w:w="1799" w:type="dxa"/>
            <w:vAlign w:val="top"/>
          </w:tcPr>
          <w:p w14:paraId="15A8BA2D">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1914" w:type="dxa"/>
            <w:vAlign w:val="top"/>
          </w:tcPr>
          <w:p w14:paraId="1A84F050">
            <w:pPr>
              <w:keepNext w:val="0"/>
              <w:keepLines w:val="0"/>
              <w:pageBreakBefore w:val="0"/>
              <w:widowControl w:val="0"/>
              <w:kinsoku/>
              <w:wordWrap/>
              <w:overflowPunct/>
              <w:topLinePunct w:val="0"/>
              <w:autoSpaceDE/>
              <w:autoSpaceDN/>
              <w:bidi w:val="0"/>
              <w:adjustRightInd/>
              <w:spacing w:line="288" w:lineRule="auto"/>
              <w:textAlignment w:val="auto"/>
              <w:rPr>
                <w:rFonts w:hint="default" w:ascii="Arial" w:hAnsi="Arial" w:cs="Arial"/>
                <w:sz w:val="21"/>
                <w:szCs w:val="21"/>
              </w:rPr>
            </w:pPr>
          </w:p>
        </w:tc>
        <w:tc>
          <w:tcPr>
            <w:tcW w:w="2969" w:type="dxa"/>
            <w:vAlign w:val="top"/>
          </w:tcPr>
          <w:p w14:paraId="763D7EC2">
            <w:pPr>
              <w:pStyle w:val="257"/>
              <w:keepNext w:val="0"/>
              <w:keepLines w:val="0"/>
              <w:pageBreakBefore w:val="0"/>
              <w:widowControl w:val="0"/>
              <w:kinsoku/>
              <w:wordWrap/>
              <w:overflowPunct/>
              <w:topLinePunct w:val="0"/>
              <w:autoSpaceDE/>
              <w:autoSpaceDN/>
              <w:bidi w:val="0"/>
              <w:adjustRightInd/>
              <w:spacing w:before="197" w:line="288" w:lineRule="auto"/>
              <w:ind w:left="22" w:right="11"/>
              <w:textAlignment w:val="auto"/>
              <w:rPr>
                <w:rFonts w:hint="default" w:ascii="Arial" w:hAnsi="Arial" w:cs="Arial"/>
                <w:sz w:val="21"/>
                <w:szCs w:val="21"/>
              </w:rPr>
            </w:pPr>
            <w:r>
              <w:rPr>
                <w:rFonts w:hint="default" w:ascii="Arial" w:hAnsi="Arial" w:cs="Arial"/>
                <w:spacing w:val="19"/>
                <w:sz w:val="21"/>
                <w:szCs w:val="21"/>
              </w:rPr>
              <w:t>《淋浴器用水效率限定值及用水</w:t>
            </w:r>
            <w:r>
              <w:rPr>
                <w:rFonts w:hint="default" w:ascii="Arial" w:hAnsi="Arial" w:cs="Arial"/>
                <w:spacing w:val="2"/>
                <w:sz w:val="21"/>
                <w:szCs w:val="21"/>
              </w:rPr>
              <w:t xml:space="preserve"> </w:t>
            </w:r>
            <w:r>
              <w:rPr>
                <w:rFonts w:hint="default" w:ascii="Arial" w:hAnsi="Arial" w:cs="Arial"/>
                <w:spacing w:val="6"/>
                <w:sz w:val="21"/>
                <w:szCs w:val="21"/>
              </w:rPr>
              <w:t>效率等级》（</w:t>
            </w:r>
            <w:r>
              <w:rPr>
                <w:rFonts w:hint="default" w:ascii="Arial" w:hAnsi="Arial" w:cs="Arial"/>
                <w:sz w:val="21"/>
                <w:szCs w:val="21"/>
              </w:rPr>
              <w:t>GB</w:t>
            </w:r>
            <w:r>
              <w:rPr>
                <w:rFonts w:hint="default" w:ascii="Arial" w:hAnsi="Arial" w:cs="Arial"/>
                <w:spacing w:val="6"/>
                <w:sz w:val="21"/>
                <w:szCs w:val="21"/>
              </w:rPr>
              <w:t xml:space="preserve"> 28378）</w:t>
            </w:r>
          </w:p>
        </w:tc>
      </w:tr>
    </w:tbl>
    <w:p w14:paraId="514CDACB">
      <w:pPr>
        <w:keepNext w:val="0"/>
        <w:keepLines w:val="0"/>
        <w:pageBreakBefore w:val="0"/>
        <w:widowControl w:val="0"/>
        <w:kinsoku/>
        <w:wordWrap/>
        <w:overflowPunct/>
        <w:topLinePunct w:val="0"/>
        <w:autoSpaceDE/>
        <w:autoSpaceDN/>
        <w:bidi w:val="0"/>
        <w:adjustRightInd/>
        <w:spacing w:after="120" w:line="288" w:lineRule="auto"/>
        <w:textAlignment w:val="auto"/>
        <w:rPr>
          <w:rFonts w:hint="eastAsia" w:ascii="宋体" w:hAnsi="宋体" w:eastAsia="宋体"/>
          <w:szCs w:val="21"/>
          <w:lang w:eastAsia="zh-CN"/>
        </w:rPr>
      </w:pPr>
      <w:r>
        <w:rPr>
          <w:rFonts w:hint="eastAsia" w:ascii="宋体" w:hAnsi="宋体"/>
          <w:spacing w:val="-3"/>
          <w:szCs w:val="21"/>
        </w:rPr>
        <w:t>注：1.节能产品认证应依据相关国家标准的最新版本</w:t>
      </w:r>
      <w:r>
        <w:rPr>
          <w:rFonts w:hint="eastAsia" w:ascii="宋体" w:hAnsi="宋体"/>
          <w:spacing w:val="-3"/>
          <w:szCs w:val="21"/>
          <w:lang w:eastAsia="zh-CN"/>
        </w:rPr>
        <w:t>。</w:t>
      </w:r>
    </w:p>
    <w:p w14:paraId="40F4FE58">
      <w:pPr>
        <w:pStyle w:val="30"/>
        <w:keepNext w:val="0"/>
        <w:keepLines w:val="0"/>
        <w:pageBreakBefore w:val="0"/>
        <w:widowControl w:val="0"/>
        <w:kinsoku/>
        <w:wordWrap/>
        <w:overflowPunct/>
        <w:topLinePunct w:val="0"/>
        <w:autoSpaceDE/>
        <w:autoSpaceDN/>
        <w:bidi w:val="0"/>
        <w:adjustRightInd/>
        <w:snapToGrid w:val="0"/>
        <w:spacing w:before="120" w:after="120" w:line="288" w:lineRule="auto"/>
        <w:jc w:val="both"/>
        <w:textAlignment w:val="auto"/>
        <w:outlineLvl w:val="0"/>
        <w:rPr>
          <w:rFonts w:hint="eastAsia" w:ascii="宋体" w:hAnsi="宋体"/>
          <w:szCs w:val="21"/>
        </w:rPr>
      </w:pPr>
      <w:bookmarkStart w:id="96" w:name="_Toc16048"/>
      <w:r>
        <w:rPr>
          <w:rFonts w:hint="eastAsia" w:ascii="宋体" w:hAnsi="宋体"/>
          <w:szCs w:val="21"/>
        </w:rPr>
        <w:t>2.以“★”标注的为政府强制采购产品。</w:t>
      </w:r>
      <w:bookmarkEnd w:id="96"/>
    </w:p>
    <w:p w14:paraId="13383190">
      <w:pPr>
        <w:spacing w:line="528" w:lineRule="exact"/>
        <w:ind w:firstLine="210" w:firstLineChars="100"/>
        <w:jc w:val="center"/>
        <w:rPr>
          <w:rFonts w:hint="eastAsia" w:ascii="Times New Roman" w:hAnsi="Times New Roman" w:eastAsia="宋体" w:cs="Times New Roman"/>
          <w:sz w:val="28"/>
          <w:szCs w:val="28"/>
        </w:rPr>
      </w:pPr>
      <w:r>
        <w:rPr>
          <w:rFonts w:hint="eastAsia" w:ascii="宋体" w:hAnsi="宋体"/>
          <w:szCs w:val="21"/>
        </w:rPr>
        <w:br w:type="page"/>
      </w:r>
      <w:r>
        <w:rPr>
          <w:rFonts w:hint="eastAsia" w:ascii="Times New Roman" w:hAnsi="Times New Roman" w:eastAsia="宋体" w:cs="Times New Roman"/>
          <w:sz w:val="28"/>
          <w:szCs w:val="28"/>
        </w:rPr>
        <w:t>环境标志产品政府采购品目清单</w:t>
      </w:r>
    </w:p>
    <w:p w14:paraId="4AADD56D">
      <w:pPr>
        <w:rPr>
          <w:rFonts w:hint="eastAsia" w:ascii="宋体" w:hAnsi="宋体"/>
          <w:szCs w:val="21"/>
        </w:rPr>
      </w:pPr>
    </w:p>
    <w:tbl>
      <w:tblPr>
        <w:tblStyle w:val="258"/>
        <w:tblW w:w="94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2404"/>
      </w:tblGrid>
      <w:tr w14:paraId="7148F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Borders>
              <w:top w:val="single" w:color="auto" w:sz="4" w:space="0"/>
              <w:left w:val="single" w:color="auto" w:sz="4" w:space="0"/>
              <w:bottom w:val="single" w:color="auto" w:sz="4" w:space="0"/>
              <w:right w:val="single" w:color="auto" w:sz="4" w:space="0"/>
            </w:tcBorders>
            <w:vAlign w:val="top"/>
          </w:tcPr>
          <w:p w14:paraId="0FAF02D6">
            <w:pPr>
              <w:pStyle w:val="257"/>
              <w:spacing w:before="70" w:line="223" w:lineRule="auto"/>
              <w:ind w:left="129"/>
              <w:rPr>
                <w:rFonts w:hint="default" w:ascii="Arial" w:hAnsi="Arial" w:eastAsia="宋体" w:cs="Arial"/>
                <w:sz w:val="21"/>
                <w:szCs w:val="21"/>
              </w:rPr>
            </w:pPr>
            <w:r>
              <w:rPr>
                <w:rFonts w:hint="default" w:ascii="Arial" w:hAnsi="Arial" w:eastAsia="宋体" w:cs="Arial"/>
                <w:b/>
                <w:bCs/>
                <w:spacing w:val="-12"/>
                <w:sz w:val="21"/>
                <w:szCs w:val="21"/>
              </w:rPr>
              <w:t>品目</w:t>
            </w:r>
          </w:p>
          <w:p w14:paraId="141F03ED">
            <w:pPr>
              <w:pStyle w:val="257"/>
              <w:spacing w:before="91" w:line="222" w:lineRule="auto"/>
              <w:ind w:left="114"/>
              <w:rPr>
                <w:rFonts w:hint="default" w:ascii="Arial" w:hAnsi="Arial" w:eastAsia="宋体" w:cs="Arial"/>
                <w:sz w:val="21"/>
                <w:szCs w:val="21"/>
              </w:rPr>
            </w:pPr>
            <w:r>
              <w:rPr>
                <w:rFonts w:hint="default" w:ascii="Arial" w:hAnsi="Arial" w:eastAsia="宋体" w:cs="Arial"/>
                <w:b/>
                <w:bCs/>
                <w:spacing w:val="-4"/>
                <w:sz w:val="21"/>
                <w:szCs w:val="21"/>
              </w:rPr>
              <w:t>序号</w:t>
            </w:r>
          </w:p>
        </w:tc>
        <w:tc>
          <w:tcPr>
            <w:tcW w:w="6462" w:type="dxa"/>
            <w:gridSpan w:val="3"/>
            <w:tcBorders>
              <w:top w:val="single" w:color="auto" w:sz="4" w:space="0"/>
              <w:left w:val="single" w:color="auto" w:sz="4" w:space="0"/>
              <w:bottom w:val="single" w:color="auto" w:sz="4" w:space="0"/>
              <w:right w:val="single" w:color="auto" w:sz="4" w:space="0"/>
            </w:tcBorders>
            <w:vAlign w:val="top"/>
          </w:tcPr>
          <w:p w14:paraId="4900C852">
            <w:pPr>
              <w:pStyle w:val="257"/>
              <w:spacing w:before="224" w:line="222" w:lineRule="auto"/>
              <w:ind w:left="3054"/>
              <w:rPr>
                <w:rFonts w:hint="default" w:ascii="Arial" w:hAnsi="Arial" w:eastAsia="宋体" w:cs="Arial"/>
                <w:sz w:val="21"/>
                <w:szCs w:val="21"/>
              </w:rPr>
            </w:pPr>
            <w:r>
              <w:rPr>
                <w:rFonts w:hint="default" w:ascii="Arial" w:hAnsi="Arial" w:eastAsia="宋体" w:cs="Arial"/>
                <w:b/>
                <w:bCs/>
                <w:spacing w:val="-6"/>
                <w:sz w:val="21"/>
                <w:szCs w:val="21"/>
              </w:rPr>
              <w:t>名称</w:t>
            </w:r>
          </w:p>
        </w:tc>
        <w:tc>
          <w:tcPr>
            <w:tcW w:w="2404" w:type="dxa"/>
            <w:tcBorders>
              <w:top w:val="single" w:color="auto" w:sz="4" w:space="0"/>
              <w:left w:val="single" w:color="auto" w:sz="4" w:space="0"/>
              <w:bottom w:val="single" w:color="auto" w:sz="4" w:space="0"/>
              <w:right w:val="single" w:color="auto" w:sz="4" w:space="0"/>
            </w:tcBorders>
            <w:vAlign w:val="top"/>
          </w:tcPr>
          <w:p w14:paraId="4AACD77E">
            <w:pPr>
              <w:pStyle w:val="257"/>
              <w:spacing w:before="224" w:line="219" w:lineRule="auto"/>
              <w:ind w:left="1325"/>
              <w:rPr>
                <w:rFonts w:hint="default" w:ascii="Arial" w:hAnsi="Arial" w:eastAsia="宋体" w:cs="Arial"/>
                <w:sz w:val="21"/>
                <w:szCs w:val="21"/>
              </w:rPr>
            </w:pPr>
            <w:r>
              <w:rPr>
                <w:rFonts w:hint="default" w:ascii="Arial" w:hAnsi="Arial" w:eastAsia="宋体" w:cs="Arial"/>
                <w:b/>
                <w:bCs/>
                <w:spacing w:val="-4"/>
                <w:sz w:val="21"/>
                <w:szCs w:val="21"/>
              </w:rPr>
              <w:t>依据的标准</w:t>
            </w:r>
          </w:p>
        </w:tc>
      </w:tr>
      <w:tr w14:paraId="10F11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1583F73B">
            <w:pPr>
              <w:pStyle w:val="257"/>
              <w:spacing w:before="66" w:line="242" w:lineRule="auto"/>
              <w:ind w:left="128"/>
              <w:rPr>
                <w:rFonts w:hint="default" w:ascii="Arial" w:hAnsi="Arial" w:eastAsia="宋体" w:cs="Arial"/>
                <w:sz w:val="21"/>
                <w:szCs w:val="21"/>
              </w:rPr>
            </w:pPr>
            <w:r>
              <w:rPr>
                <w:rFonts w:hint="default" w:ascii="Arial" w:hAnsi="Arial" w:eastAsia="宋体" w:cs="Arial"/>
                <w:sz w:val="21"/>
                <w:szCs w:val="21"/>
              </w:rPr>
              <w:t>1</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71078CD">
            <w:pPr>
              <w:pStyle w:val="257"/>
              <w:spacing w:before="65" w:line="323" w:lineRule="auto"/>
              <w:ind w:left="110" w:right="108" w:hanging="8"/>
              <w:rPr>
                <w:rFonts w:hint="default" w:ascii="Arial" w:hAnsi="Arial" w:eastAsia="宋体" w:cs="Arial"/>
                <w:sz w:val="21"/>
                <w:szCs w:val="21"/>
              </w:rPr>
            </w:pPr>
            <w:r>
              <w:rPr>
                <w:rFonts w:hint="default" w:ascii="Arial" w:hAnsi="Arial" w:eastAsia="宋体" w:cs="Arial"/>
                <w:spacing w:val="3"/>
                <w:sz w:val="21"/>
                <w:szCs w:val="21"/>
              </w:rPr>
              <w:t>A020101</w:t>
            </w:r>
            <w:r>
              <w:rPr>
                <w:rFonts w:hint="default" w:ascii="Arial" w:hAnsi="Arial" w:eastAsia="宋体" w:cs="Arial"/>
                <w:spacing w:val="34"/>
                <w:sz w:val="21"/>
                <w:szCs w:val="21"/>
              </w:rPr>
              <w:t xml:space="preserve"> </w:t>
            </w:r>
            <w:r>
              <w:rPr>
                <w:rFonts w:hint="default" w:ascii="Arial" w:hAnsi="Arial" w:eastAsia="宋体" w:cs="Arial"/>
                <w:spacing w:val="3"/>
                <w:sz w:val="21"/>
                <w:szCs w:val="21"/>
              </w:rPr>
              <w:t>计算机</w:t>
            </w:r>
            <w:r>
              <w:rPr>
                <w:rFonts w:hint="default" w:ascii="Arial" w:hAnsi="Arial" w:eastAsia="宋体" w:cs="Arial"/>
                <w:sz w:val="21"/>
                <w:szCs w:val="21"/>
              </w:rPr>
              <w:t xml:space="preserve"> </w:t>
            </w:r>
            <w:r>
              <w:rPr>
                <w:rFonts w:hint="default" w:ascii="Arial" w:hAnsi="Arial" w:eastAsia="宋体" w:cs="Arial"/>
                <w:spacing w:val="-3"/>
                <w:sz w:val="21"/>
                <w:szCs w:val="21"/>
              </w:rPr>
              <w:t>设备</w:t>
            </w:r>
          </w:p>
        </w:tc>
        <w:tc>
          <w:tcPr>
            <w:tcW w:w="2672" w:type="dxa"/>
            <w:tcBorders>
              <w:top w:val="single" w:color="auto" w:sz="4" w:space="0"/>
              <w:left w:val="single" w:color="auto" w:sz="4" w:space="0"/>
              <w:bottom w:val="single" w:color="auto" w:sz="4" w:space="0"/>
              <w:right w:val="single" w:color="auto" w:sz="4" w:space="0"/>
            </w:tcBorders>
            <w:vAlign w:val="top"/>
          </w:tcPr>
          <w:p w14:paraId="0F33466F">
            <w:pPr>
              <w:pStyle w:val="257"/>
              <w:spacing w:before="66" w:line="220" w:lineRule="auto"/>
              <w:ind w:left="103"/>
              <w:rPr>
                <w:rFonts w:hint="default" w:ascii="Arial" w:hAnsi="Arial" w:eastAsia="宋体" w:cs="Arial"/>
                <w:sz w:val="21"/>
                <w:szCs w:val="21"/>
              </w:rPr>
            </w:pPr>
            <w:r>
              <w:rPr>
                <w:rFonts w:hint="default" w:ascii="Arial" w:hAnsi="Arial" w:eastAsia="宋体" w:cs="Arial"/>
                <w:spacing w:val="-1"/>
                <w:sz w:val="21"/>
                <w:szCs w:val="21"/>
              </w:rPr>
              <w:t>A02010103</w:t>
            </w:r>
            <w:r>
              <w:rPr>
                <w:rFonts w:hint="default" w:ascii="Arial" w:hAnsi="Arial" w:eastAsia="宋体" w:cs="Arial"/>
                <w:spacing w:val="-32"/>
                <w:sz w:val="21"/>
                <w:szCs w:val="21"/>
              </w:rPr>
              <w:t xml:space="preserve"> </w:t>
            </w:r>
            <w:r>
              <w:rPr>
                <w:rFonts w:hint="default" w:ascii="Arial" w:hAnsi="Arial" w:eastAsia="宋体" w:cs="Arial"/>
                <w:spacing w:val="-1"/>
                <w:sz w:val="21"/>
                <w:szCs w:val="21"/>
              </w:rPr>
              <w:t>服务器</w:t>
            </w:r>
          </w:p>
        </w:tc>
        <w:tc>
          <w:tcPr>
            <w:tcW w:w="2248" w:type="dxa"/>
            <w:tcBorders>
              <w:top w:val="single" w:color="auto" w:sz="4" w:space="0"/>
              <w:left w:val="single" w:color="auto" w:sz="4" w:space="0"/>
              <w:bottom w:val="single" w:color="auto" w:sz="4" w:space="0"/>
              <w:right w:val="single" w:color="auto" w:sz="4" w:space="0"/>
            </w:tcBorders>
            <w:vAlign w:val="top"/>
          </w:tcPr>
          <w:p w14:paraId="2A755ED7">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21022B4E">
            <w:pPr>
              <w:pStyle w:val="257"/>
              <w:spacing w:before="66" w:line="219" w:lineRule="auto"/>
              <w:ind w:left="109"/>
              <w:rPr>
                <w:rFonts w:hint="default" w:ascii="Arial" w:hAnsi="Arial" w:eastAsia="宋体" w:cs="Arial"/>
                <w:sz w:val="21"/>
                <w:szCs w:val="21"/>
              </w:rPr>
            </w:pPr>
            <w:r>
              <w:rPr>
                <w:rFonts w:hint="default" w:ascii="Arial" w:hAnsi="Arial" w:eastAsia="宋体" w:cs="Arial"/>
                <w:spacing w:val="-2"/>
                <w:sz w:val="21"/>
                <w:szCs w:val="21"/>
              </w:rPr>
              <w:t>HJ2507</w:t>
            </w:r>
            <w:r>
              <w:rPr>
                <w:rFonts w:hint="default" w:ascii="Arial" w:hAnsi="Arial" w:eastAsia="宋体" w:cs="Arial"/>
                <w:spacing w:val="-20"/>
                <w:sz w:val="21"/>
                <w:szCs w:val="21"/>
              </w:rPr>
              <w:t xml:space="preserve"> </w:t>
            </w:r>
            <w:r>
              <w:rPr>
                <w:rFonts w:hint="default" w:ascii="Arial" w:hAnsi="Arial" w:eastAsia="宋体" w:cs="Arial"/>
                <w:spacing w:val="-2"/>
                <w:sz w:val="21"/>
                <w:szCs w:val="21"/>
              </w:rPr>
              <w:t>网络服务器</w:t>
            </w:r>
          </w:p>
        </w:tc>
      </w:tr>
      <w:tr w14:paraId="6627B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7E18E1B">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2A27DE12">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6BC65539">
            <w:pPr>
              <w:pStyle w:val="257"/>
              <w:spacing w:before="65" w:line="219" w:lineRule="auto"/>
              <w:ind w:left="103"/>
              <w:rPr>
                <w:rFonts w:hint="default" w:ascii="Arial" w:hAnsi="Arial" w:eastAsia="宋体" w:cs="Arial"/>
                <w:sz w:val="21"/>
                <w:szCs w:val="21"/>
              </w:rPr>
            </w:pPr>
            <w:r>
              <w:rPr>
                <w:rFonts w:hint="default" w:ascii="Arial" w:hAnsi="Arial" w:eastAsia="宋体" w:cs="Arial"/>
                <w:spacing w:val="-2"/>
                <w:sz w:val="21"/>
                <w:szCs w:val="21"/>
              </w:rPr>
              <w:t>A02010104</w:t>
            </w:r>
            <w:r>
              <w:rPr>
                <w:rFonts w:hint="default" w:ascii="Arial" w:hAnsi="Arial" w:eastAsia="宋体" w:cs="Arial"/>
                <w:spacing w:val="-14"/>
                <w:sz w:val="21"/>
                <w:szCs w:val="21"/>
              </w:rPr>
              <w:t xml:space="preserve"> </w:t>
            </w:r>
            <w:r>
              <w:rPr>
                <w:rFonts w:hint="default" w:ascii="Arial" w:hAnsi="Arial" w:eastAsia="宋体" w:cs="Arial"/>
                <w:spacing w:val="-2"/>
                <w:sz w:val="21"/>
                <w:szCs w:val="21"/>
              </w:rPr>
              <w:t>台式计算机</w:t>
            </w:r>
          </w:p>
        </w:tc>
        <w:tc>
          <w:tcPr>
            <w:tcW w:w="2248" w:type="dxa"/>
            <w:tcBorders>
              <w:top w:val="single" w:color="auto" w:sz="4" w:space="0"/>
              <w:left w:val="single" w:color="auto" w:sz="4" w:space="0"/>
              <w:bottom w:val="single" w:color="auto" w:sz="4" w:space="0"/>
              <w:right w:val="single" w:color="auto" w:sz="4" w:space="0"/>
            </w:tcBorders>
            <w:vAlign w:val="top"/>
          </w:tcPr>
          <w:p w14:paraId="057A59D6">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67E13A12">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29F73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CC2B9AB">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835A11A">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2586937D">
            <w:pPr>
              <w:pStyle w:val="257"/>
              <w:spacing w:before="64" w:line="219" w:lineRule="auto"/>
              <w:ind w:left="103"/>
              <w:rPr>
                <w:rFonts w:hint="default" w:ascii="Arial" w:hAnsi="Arial" w:eastAsia="宋体" w:cs="Arial"/>
                <w:sz w:val="21"/>
                <w:szCs w:val="21"/>
              </w:rPr>
            </w:pPr>
            <w:r>
              <w:rPr>
                <w:rFonts w:hint="default" w:ascii="Arial" w:hAnsi="Arial" w:eastAsia="宋体" w:cs="Arial"/>
                <w:spacing w:val="-1"/>
                <w:sz w:val="21"/>
                <w:szCs w:val="21"/>
              </w:rPr>
              <w:t>A02010105</w:t>
            </w:r>
            <w:r>
              <w:rPr>
                <w:rFonts w:hint="default" w:ascii="Arial" w:hAnsi="Arial" w:eastAsia="宋体" w:cs="Arial"/>
                <w:spacing w:val="-30"/>
                <w:sz w:val="21"/>
                <w:szCs w:val="21"/>
              </w:rPr>
              <w:t xml:space="preserve"> </w:t>
            </w:r>
            <w:r>
              <w:rPr>
                <w:rFonts w:hint="default" w:ascii="Arial" w:hAnsi="Arial" w:eastAsia="宋体" w:cs="Arial"/>
                <w:spacing w:val="-1"/>
                <w:sz w:val="21"/>
                <w:szCs w:val="21"/>
              </w:rPr>
              <w:t>便携式计算机</w:t>
            </w:r>
          </w:p>
        </w:tc>
        <w:tc>
          <w:tcPr>
            <w:tcW w:w="2248" w:type="dxa"/>
            <w:tcBorders>
              <w:top w:val="single" w:color="auto" w:sz="4" w:space="0"/>
              <w:left w:val="single" w:color="auto" w:sz="4" w:space="0"/>
              <w:bottom w:val="single" w:color="auto" w:sz="4" w:space="0"/>
              <w:right w:val="single" w:color="auto" w:sz="4" w:space="0"/>
            </w:tcBorders>
            <w:vAlign w:val="top"/>
          </w:tcPr>
          <w:p w14:paraId="07AAF5EB">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69CFD470">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00AE1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5CD2D516">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87B538D">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07A3820E">
            <w:pPr>
              <w:pStyle w:val="257"/>
              <w:spacing w:before="64" w:line="219" w:lineRule="auto"/>
              <w:ind w:left="103"/>
              <w:rPr>
                <w:rFonts w:hint="default" w:ascii="Arial" w:hAnsi="Arial" w:eastAsia="宋体" w:cs="Arial"/>
                <w:sz w:val="21"/>
                <w:szCs w:val="21"/>
              </w:rPr>
            </w:pPr>
            <w:r>
              <w:rPr>
                <w:rFonts w:hint="default" w:ascii="Arial" w:hAnsi="Arial" w:eastAsia="宋体" w:cs="Arial"/>
                <w:spacing w:val="-1"/>
                <w:sz w:val="21"/>
                <w:szCs w:val="21"/>
              </w:rPr>
              <w:t>A02010107</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平板式微型计算机</w:t>
            </w:r>
          </w:p>
        </w:tc>
        <w:tc>
          <w:tcPr>
            <w:tcW w:w="2248" w:type="dxa"/>
            <w:tcBorders>
              <w:top w:val="single" w:color="auto" w:sz="4" w:space="0"/>
              <w:left w:val="single" w:color="auto" w:sz="4" w:space="0"/>
              <w:bottom w:val="single" w:color="auto" w:sz="4" w:space="0"/>
              <w:right w:val="single" w:color="auto" w:sz="4" w:space="0"/>
            </w:tcBorders>
            <w:vAlign w:val="top"/>
          </w:tcPr>
          <w:p w14:paraId="1B748563">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747EECB8">
            <w:pPr>
              <w:pStyle w:val="257"/>
              <w:spacing w:before="63"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3A7CA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7E04A968">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28AA29B5">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672A73F4">
            <w:pPr>
              <w:pStyle w:val="257"/>
              <w:spacing w:before="65" w:line="219" w:lineRule="auto"/>
              <w:ind w:left="103"/>
              <w:rPr>
                <w:rFonts w:hint="default" w:ascii="Arial" w:hAnsi="Arial" w:eastAsia="宋体" w:cs="Arial"/>
                <w:sz w:val="21"/>
                <w:szCs w:val="21"/>
              </w:rPr>
            </w:pPr>
            <w:r>
              <w:rPr>
                <w:rFonts w:hint="default" w:ascii="Arial" w:hAnsi="Arial" w:eastAsia="宋体" w:cs="Arial"/>
                <w:spacing w:val="-2"/>
                <w:sz w:val="21"/>
                <w:szCs w:val="21"/>
              </w:rPr>
              <w:t>A02010108</w:t>
            </w:r>
            <w:r>
              <w:rPr>
                <w:rFonts w:hint="default" w:ascii="Arial" w:hAnsi="Arial" w:eastAsia="宋体" w:cs="Arial"/>
                <w:spacing w:val="32"/>
                <w:sz w:val="21"/>
                <w:szCs w:val="21"/>
              </w:rPr>
              <w:t xml:space="preserve"> </w:t>
            </w:r>
            <w:r>
              <w:rPr>
                <w:rFonts w:hint="default" w:ascii="Arial" w:hAnsi="Arial" w:eastAsia="宋体" w:cs="Arial"/>
                <w:spacing w:val="-2"/>
                <w:sz w:val="21"/>
                <w:szCs w:val="21"/>
              </w:rPr>
              <w:t>网络计算机</w:t>
            </w:r>
          </w:p>
        </w:tc>
        <w:tc>
          <w:tcPr>
            <w:tcW w:w="2248" w:type="dxa"/>
            <w:tcBorders>
              <w:top w:val="single" w:color="auto" w:sz="4" w:space="0"/>
              <w:left w:val="single" w:color="auto" w:sz="4" w:space="0"/>
              <w:bottom w:val="single" w:color="auto" w:sz="4" w:space="0"/>
              <w:right w:val="single" w:color="auto" w:sz="4" w:space="0"/>
            </w:tcBorders>
            <w:vAlign w:val="top"/>
          </w:tcPr>
          <w:p w14:paraId="652D58F5">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56260D36">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375FF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3E6D6D3">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3E82BE0D">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1336E76F">
            <w:pPr>
              <w:pStyle w:val="257"/>
              <w:spacing w:before="64" w:line="219" w:lineRule="auto"/>
              <w:ind w:left="103"/>
              <w:rPr>
                <w:rFonts w:hint="default" w:ascii="Arial" w:hAnsi="Arial" w:eastAsia="宋体" w:cs="Arial"/>
                <w:sz w:val="21"/>
                <w:szCs w:val="21"/>
              </w:rPr>
            </w:pPr>
            <w:r>
              <w:rPr>
                <w:rFonts w:hint="default" w:ascii="Arial" w:hAnsi="Arial" w:eastAsia="宋体" w:cs="Arial"/>
                <w:sz w:val="21"/>
                <w:szCs w:val="21"/>
              </w:rPr>
              <w:t>A02010109 计算机工作站</w:t>
            </w:r>
          </w:p>
        </w:tc>
        <w:tc>
          <w:tcPr>
            <w:tcW w:w="2248" w:type="dxa"/>
            <w:tcBorders>
              <w:top w:val="single" w:color="auto" w:sz="4" w:space="0"/>
              <w:left w:val="single" w:color="auto" w:sz="4" w:space="0"/>
              <w:bottom w:val="single" w:color="auto" w:sz="4" w:space="0"/>
              <w:right w:val="single" w:color="auto" w:sz="4" w:space="0"/>
            </w:tcBorders>
            <w:vAlign w:val="top"/>
          </w:tcPr>
          <w:p w14:paraId="34C7AF7D">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58008142">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01BDF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532E45BE">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14F57387">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47CA96C1">
            <w:pPr>
              <w:pStyle w:val="257"/>
              <w:spacing w:before="64" w:line="219" w:lineRule="auto"/>
              <w:ind w:left="103"/>
              <w:rPr>
                <w:rFonts w:hint="default" w:ascii="Arial" w:hAnsi="Arial" w:eastAsia="宋体" w:cs="Arial"/>
                <w:sz w:val="21"/>
                <w:szCs w:val="21"/>
              </w:rPr>
            </w:pPr>
            <w:r>
              <w:rPr>
                <w:rFonts w:hint="default" w:ascii="Arial" w:hAnsi="Arial" w:eastAsia="宋体" w:cs="Arial"/>
                <w:spacing w:val="-1"/>
                <w:sz w:val="21"/>
                <w:szCs w:val="21"/>
              </w:rPr>
              <w:t>A02010199</w:t>
            </w:r>
            <w:r>
              <w:rPr>
                <w:rFonts w:hint="default" w:ascii="Arial" w:hAnsi="Arial" w:eastAsia="宋体" w:cs="Arial"/>
                <w:spacing w:val="-29"/>
                <w:sz w:val="21"/>
                <w:szCs w:val="21"/>
              </w:rPr>
              <w:t xml:space="preserve"> </w:t>
            </w:r>
            <w:r>
              <w:rPr>
                <w:rFonts w:hint="default" w:ascii="Arial" w:hAnsi="Arial" w:eastAsia="宋体" w:cs="Arial"/>
                <w:spacing w:val="-1"/>
                <w:sz w:val="21"/>
                <w:szCs w:val="21"/>
              </w:rPr>
              <w:t>其他计算机设备</w:t>
            </w:r>
          </w:p>
        </w:tc>
        <w:tc>
          <w:tcPr>
            <w:tcW w:w="2248" w:type="dxa"/>
            <w:tcBorders>
              <w:top w:val="single" w:color="auto" w:sz="4" w:space="0"/>
              <w:left w:val="single" w:color="auto" w:sz="4" w:space="0"/>
              <w:bottom w:val="single" w:color="auto" w:sz="4" w:space="0"/>
              <w:right w:val="single" w:color="auto" w:sz="4" w:space="0"/>
            </w:tcBorders>
            <w:vAlign w:val="top"/>
          </w:tcPr>
          <w:p w14:paraId="74F29028">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774281FE">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1A8EF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41746529">
            <w:pPr>
              <w:pStyle w:val="257"/>
              <w:spacing w:before="64" w:line="242" w:lineRule="auto"/>
              <w:ind w:left="116"/>
              <w:rPr>
                <w:rFonts w:hint="default" w:ascii="Arial" w:hAnsi="Arial" w:eastAsia="宋体" w:cs="Arial"/>
                <w:sz w:val="21"/>
                <w:szCs w:val="21"/>
              </w:rPr>
            </w:pPr>
            <w:r>
              <w:rPr>
                <w:rFonts w:hint="default" w:ascii="Arial" w:hAnsi="Arial" w:eastAsia="宋体" w:cs="Arial"/>
                <w:sz w:val="21"/>
                <w:szCs w:val="21"/>
              </w:rPr>
              <w:t>2</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2B88E24D">
            <w:pPr>
              <w:pStyle w:val="257"/>
              <w:spacing w:before="64" w:line="323" w:lineRule="auto"/>
              <w:ind w:left="123" w:right="108" w:hanging="21"/>
              <w:rPr>
                <w:rFonts w:hint="default" w:ascii="Arial" w:hAnsi="Arial" w:eastAsia="宋体" w:cs="Arial"/>
                <w:sz w:val="21"/>
                <w:szCs w:val="21"/>
              </w:rPr>
            </w:pPr>
            <w:r>
              <w:rPr>
                <w:rFonts w:hint="default" w:ascii="Arial" w:hAnsi="Arial" w:eastAsia="宋体" w:cs="Arial"/>
                <w:spacing w:val="3"/>
                <w:sz w:val="21"/>
                <w:szCs w:val="21"/>
              </w:rPr>
              <w:t>A020106</w:t>
            </w:r>
            <w:r>
              <w:rPr>
                <w:rFonts w:hint="default" w:ascii="Arial" w:hAnsi="Arial" w:eastAsia="宋体" w:cs="Arial"/>
                <w:spacing w:val="34"/>
                <w:sz w:val="21"/>
                <w:szCs w:val="21"/>
              </w:rPr>
              <w:t xml:space="preserve"> </w:t>
            </w:r>
            <w:r>
              <w:rPr>
                <w:rFonts w:hint="default" w:ascii="Arial" w:hAnsi="Arial" w:eastAsia="宋体" w:cs="Arial"/>
                <w:spacing w:val="3"/>
                <w:sz w:val="21"/>
                <w:szCs w:val="21"/>
              </w:rPr>
              <w:t>输入输</w:t>
            </w:r>
            <w:r>
              <w:rPr>
                <w:rFonts w:hint="default" w:ascii="Arial" w:hAnsi="Arial" w:eastAsia="宋体" w:cs="Arial"/>
                <w:sz w:val="21"/>
                <w:szCs w:val="21"/>
              </w:rPr>
              <w:t xml:space="preserve"> </w:t>
            </w:r>
            <w:r>
              <w:rPr>
                <w:rFonts w:hint="default" w:ascii="Arial" w:hAnsi="Arial" w:eastAsia="宋体" w:cs="Arial"/>
                <w:spacing w:val="-5"/>
                <w:sz w:val="21"/>
                <w:szCs w:val="21"/>
              </w:rPr>
              <w:t>出设备</w:t>
            </w:r>
          </w:p>
        </w:tc>
        <w:tc>
          <w:tcPr>
            <w:tcW w:w="2672" w:type="dxa"/>
            <w:vMerge w:val="restart"/>
            <w:tcBorders>
              <w:top w:val="single" w:color="auto" w:sz="4" w:space="0"/>
              <w:left w:val="single" w:color="auto" w:sz="4" w:space="0"/>
              <w:bottom w:val="single" w:color="auto" w:sz="4" w:space="0"/>
              <w:right w:val="single" w:color="auto" w:sz="4" w:space="0"/>
            </w:tcBorders>
            <w:vAlign w:val="top"/>
          </w:tcPr>
          <w:p w14:paraId="3888E4E5">
            <w:pPr>
              <w:pStyle w:val="257"/>
              <w:spacing w:before="64" w:line="220" w:lineRule="auto"/>
              <w:ind w:left="103"/>
              <w:rPr>
                <w:rFonts w:hint="default" w:ascii="Arial" w:hAnsi="Arial" w:eastAsia="宋体" w:cs="Arial"/>
                <w:sz w:val="21"/>
                <w:szCs w:val="21"/>
              </w:rPr>
            </w:pPr>
            <w:r>
              <w:rPr>
                <w:rFonts w:hint="default" w:ascii="Arial" w:hAnsi="Arial" w:eastAsia="宋体" w:cs="Arial"/>
                <w:spacing w:val="-1"/>
                <w:sz w:val="21"/>
                <w:szCs w:val="21"/>
              </w:rPr>
              <w:t>A02010601</w:t>
            </w:r>
            <w:r>
              <w:rPr>
                <w:rFonts w:hint="default" w:ascii="Arial" w:hAnsi="Arial" w:eastAsia="宋体" w:cs="Arial"/>
                <w:spacing w:val="-31"/>
                <w:sz w:val="21"/>
                <w:szCs w:val="21"/>
              </w:rPr>
              <w:t xml:space="preserve"> </w:t>
            </w:r>
            <w:r>
              <w:rPr>
                <w:rFonts w:hint="default" w:ascii="Arial" w:hAnsi="Arial" w:eastAsia="宋体" w:cs="Arial"/>
                <w:spacing w:val="-1"/>
                <w:sz w:val="21"/>
                <w:szCs w:val="21"/>
              </w:rPr>
              <w:t>打印设备</w:t>
            </w:r>
          </w:p>
        </w:tc>
        <w:tc>
          <w:tcPr>
            <w:tcW w:w="2248" w:type="dxa"/>
            <w:tcBorders>
              <w:top w:val="single" w:color="auto" w:sz="4" w:space="0"/>
              <w:left w:val="single" w:color="auto" w:sz="4" w:space="0"/>
              <w:bottom w:val="single" w:color="auto" w:sz="4" w:space="0"/>
              <w:right w:val="single" w:color="auto" w:sz="4" w:space="0"/>
            </w:tcBorders>
            <w:vAlign w:val="top"/>
          </w:tcPr>
          <w:p w14:paraId="79B7E31D">
            <w:pPr>
              <w:pStyle w:val="257"/>
              <w:spacing w:before="65" w:line="219" w:lineRule="auto"/>
              <w:ind w:left="105"/>
              <w:rPr>
                <w:rFonts w:hint="default" w:ascii="Arial" w:hAnsi="Arial" w:eastAsia="宋体" w:cs="Arial"/>
                <w:sz w:val="21"/>
                <w:szCs w:val="21"/>
              </w:rPr>
            </w:pPr>
            <w:r>
              <w:rPr>
                <w:rFonts w:hint="default" w:ascii="Arial" w:hAnsi="Arial" w:eastAsia="宋体" w:cs="Arial"/>
                <w:sz w:val="21"/>
                <w:szCs w:val="21"/>
              </w:rPr>
              <w:t>A0201060101 喷墨打印机</w:t>
            </w:r>
          </w:p>
        </w:tc>
        <w:tc>
          <w:tcPr>
            <w:tcW w:w="2404" w:type="dxa"/>
            <w:tcBorders>
              <w:top w:val="single" w:color="auto" w:sz="4" w:space="0"/>
              <w:left w:val="single" w:color="auto" w:sz="4" w:space="0"/>
              <w:bottom w:val="single" w:color="auto" w:sz="4" w:space="0"/>
              <w:right w:val="single" w:color="auto" w:sz="4" w:space="0"/>
            </w:tcBorders>
            <w:vAlign w:val="top"/>
          </w:tcPr>
          <w:p w14:paraId="0C380A52">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HJ2512</w:t>
            </w:r>
            <w:r>
              <w:rPr>
                <w:rFonts w:hint="default" w:ascii="Arial" w:hAnsi="Arial" w:eastAsia="宋体" w:cs="Arial"/>
                <w:spacing w:val="-29"/>
                <w:sz w:val="21"/>
                <w:szCs w:val="21"/>
              </w:rPr>
              <w:t xml:space="preserve"> </w:t>
            </w:r>
            <w:r>
              <w:rPr>
                <w:rFonts w:hint="default" w:ascii="Arial" w:hAnsi="Arial" w:eastAsia="宋体" w:cs="Arial"/>
                <w:spacing w:val="-1"/>
                <w:sz w:val="21"/>
                <w:szCs w:val="21"/>
              </w:rPr>
              <w:t>打印机、传真机及多功能一体机</w:t>
            </w:r>
          </w:p>
        </w:tc>
      </w:tr>
      <w:tr w14:paraId="794DE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061AA105">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3E214BEB">
            <w:pPr>
              <w:rPr>
                <w:rFonts w:hint="default" w:ascii="Arial" w:hAnsi="Arial" w:eastAsia="宋体" w:cs="Arial"/>
                <w:sz w:val="21"/>
                <w:szCs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53CF0BA8">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342A6BC1">
            <w:pPr>
              <w:pStyle w:val="257"/>
              <w:spacing w:before="64" w:line="219" w:lineRule="auto"/>
              <w:ind w:left="105"/>
              <w:rPr>
                <w:rFonts w:hint="default" w:ascii="Arial" w:hAnsi="Arial" w:eastAsia="宋体" w:cs="Arial"/>
                <w:sz w:val="21"/>
                <w:szCs w:val="21"/>
              </w:rPr>
            </w:pPr>
            <w:r>
              <w:rPr>
                <w:rFonts w:hint="default" w:ascii="Arial" w:hAnsi="Arial" w:eastAsia="宋体" w:cs="Arial"/>
                <w:sz w:val="21"/>
                <w:szCs w:val="21"/>
              </w:rPr>
              <w:t>A0201060102 激光打印机</w:t>
            </w:r>
          </w:p>
        </w:tc>
        <w:tc>
          <w:tcPr>
            <w:tcW w:w="2404" w:type="dxa"/>
            <w:tcBorders>
              <w:top w:val="single" w:color="auto" w:sz="4" w:space="0"/>
              <w:left w:val="single" w:color="auto" w:sz="4" w:space="0"/>
              <w:bottom w:val="single" w:color="auto" w:sz="4" w:space="0"/>
              <w:right w:val="single" w:color="auto" w:sz="4" w:space="0"/>
            </w:tcBorders>
            <w:vAlign w:val="top"/>
          </w:tcPr>
          <w:p w14:paraId="492DADB3">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HJ2512</w:t>
            </w:r>
            <w:r>
              <w:rPr>
                <w:rFonts w:hint="default" w:ascii="Arial" w:hAnsi="Arial" w:eastAsia="宋体" w:cs="Arial"/>
                <w:spacing w:val="-29"/>
                <w:sz w:val="21"/>
                <w:szCs w:val="21"/>
              </w:rPr>
              <w:t xml:space="preserve"> </w:t>
            </w:r>
            <w:r>
              <w:rPr>
                <w:rFonts w:hint="default" w:ascii="Arial" w:hAnsi="Arial" w:eastAsia="宋体" w:cs="Arial"/>
                <w:spacing w:val="-1"/>
                <w:sz w:val="21"/>
                <w:szCs w:val="21"/>
              </w:rPr>
              <w:t>打印机、传真机及多功能一体机</w:t>
            </w:r>
          </w:p>
        </w:tc>
      </w:tr>
      <w:tr w14:paraId="2EF80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2A00ED6">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03961196">
            <w:pPr>
              <w:rPr>
                <w:rFonts w:hint="default" w:ascii="Arial" w:hAnsi="Arial" w:eastAsia="宋体" w:cs="Arial"/>
                <w:sz w:val="21"/>
                <w:szCs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51F68492">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40A34612">
            <w:pPr>
              <w:pStyle w:val="257"/>
              <w:spacing w:before="64" w:line="219" w:lineRule="auto"/>
              <w:ind w:left="105"/>
              <w:rPr>
                <w:rFonts w:hint="default" w:ascii="Arial" w:hAnsi="Arial" w:eastAsia="宋体" w:cs="Arial"/>
                <w:sz w:val="21"/>
                <w:szCs w:val="21"/>
              </w:rPr>
            </w:pPr>
            <w:r>
              <w:rPr>
                <w:rFonts w:hint="default" w:ascii="Arial" w:hAnsi="Arial" w:eastAsia="宋体" w:cs="Arial"/>
                <w:sz w:val="21"/>
                <w:szCs w:val="21"/>
              </w:rPr>
              <w:t>A0201060103 热式打印机</w:t>
            </w:r>
          </w:p>
        </w:tc>
        <w:tc>
          <w:tcPr>
            <w:tcW w:w="2404" w:type="dxa"/>
            <w:tcBorders>
              <w:top w:val="single" w:color="auto" w:sz="4" w:space="0"/>
              <w:left w:val="single" w:color="auto" w:sz="4" w:space="0"/>
              <w:bottom w:val="single" w:color="auto" w:sz="4" w:space="0"/>
              <w:right w:val="single" w:color="auto" w:sz="4" w:space="0"/>
            </w:tcBorders>
            <w:vAlign w:val="top"/>
          </w:tcPr>
          <w:p w14:paraId="75B59CAF">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HJ2512</w:t>
            </w:r>
            <w:r>
              <w:rPr>
                <w:rFonts w:hint="default" w:ascii="Arial" w:hAnsi="Arial" w:eastAsia="宋体" w:cs="Arial"/>
                <w:spacing w:val="-29"/>
                <w:sz w:val="21"/>
                <w:szCs w:val="21"/>
              </w:rPr>
              <w:t xml:space="preserve"> </w:t>
            </w:r>
            <w:r>
              <w:rPr>
                <w:rFonts w:hint="default" w:ascii="Arial" w:hAnsi="Arial" w:eastAsia="宋体" w:cs="Arial"/>
                <w:spacing w:val="-1"/>
                <w:sz w:val="21"/>
                <w:szCs w:val="21"/>
              </w:rPr>
              <w:t>打印机、传真机及多功能一体机</w:t>
            </w:r>
          </w:p>
        </w:tc>
      </w:tr>
      <w:tr w14:paraId="3F97A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493F545F">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153A9C97">
            <w:pPr>
              <w:rPr>
                <w:rFonts w:hint="default" w:ascii="Arial" w:hAnsi="Arial" w:eastAsia="宋体" w:cs="Arial"/>
                <w:sz w:val="21"/>
                <w:szCs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6E66013F">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6139EF36">
            <w:pPr>
              <w:pStyle w:val="257"/>
              <w:spacing w:before="65" w:line="219" w:lineRule="auto"/>
              <w:ind w:left="105"/>
              <w:rPr>
                <w:rFonts w:hint="default" w:ascii="Arial" w:hAnsi="Arial" w:eastAsia="宋体" w:cs="Arial"/>
                <w:sz w:val="21"/>
                <w:szCs w:val="21"/>
              </w:rPr>
            </w:pPr>
            <w:r>
              <w:rPr>
                <w:rFonts w:hint="default" w:ascii="Arial" w:hAnsi="Arial" w:eastAsia="宋体" w:cs="Arial"/>
                <w:sz w:val="21"/>
                <w:szCs w:val="21"/>
              </w:rPr>
              <w:t>A0201060104 针式打印机</w:t>
            </w:r>
          </w:p>
        </w:tc>
        <w:tc>
          <w:tcPr>
            <w:tcW w:w="2404" w:type="dxa"/>
            <w:tcBorders>
              <w:top w:val="single" w:color="auto" w:sz="4" w:space="0"/>
              <w:left w:val="single" w:color="auto" w:sz="4" w:space="0"/>
              <w:bottom w:val="single" w:color="auto" w:sz="4" w:space="0"/>
              <w:right w:val="single" w:color="auto" w:sz="4" w:space="0"/>
            </w:tcBorders>
            <w:vAlign w:val="top"/>
          </w:tcPr>
          <w:p w14:paraId="0E43265F">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HJ2512</w:t>
            </w:r>
            <w:r>
              <w:rPr>
                <w:rFonts w:hint="default" w:ascii="Arial" w:hAnsi="Arial" w:eastAsia="宋体" w:cs="Arial"/>
                <w:spacing w:val="-29"/>
                <w:sz w:val="21"/>
                <w:szCs w:val="21"/>
              </w:rPr>
              <w:t xml:space="preserve"> </w:t>
            </w:r>
            <w:r>
              <w:rPr>
                <w:rFonts w:hint="default" w:ascii="Arial" w:hAnsi="Arial" w:eastAsia="宋体" w:cs="Arial"/>
                <w:spacing w:val="-1"/>
                <w:sz w:val="21"/>
                <w:szCs w:val="21"/>
              </w:rPr>
              <w:t>打印机、传真机及多功能一体机</w:t>
            </w:r>
          </w:p>
        </w:tc>
      </w:tr>
      <w:tr w14:paraId="18564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196689D3">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026152ED">
            <w:pPr>
              <w:rPr>
                <w:rFonts w:hint="default" w:ascii="Arial" w:hAnsi="Arial" w:eastAsia="宋体" w:cs="Arial"/>
                <w:sz w:val="21"/>
                <w:szCs w:val="21"/>
              </w:rPr>
            </w:pPr>
          </w:p>
        </w:tc>
        <w:tc>
          <w:tcPr>
            <w:tcW w:w="2672" w:type="dxa"/>
            <w:vMerge w:val="restart"/>
            <w:tcBorders>
              <w:top w:val="single" w:color="auto" w:sz="4" w:space="0"/>
              <w:left w:val="single" w:color="auto" w:sz="4" w:space="0"/>
              <w:bottom w:val="single" w:color="auto" w:sz="4" w:space="0"/>
              <w:right w:val="single" w:color="auto" w:sz="4" w:space="0"/>
            </w:tcBorders>
            <w:vAlign w:val="top"/>
          </w:tcPr>
          <w:p w14:paraId="2BE9A888">
            <w:pPr>
              <w:pStyle w:val="257"/>
              <w:spacing w:before="64" w:line="222" w:lineRule="auto"/>
              <w:ind w:left="103"/>
              <w:rPr>
                <w:rFonts w:hint="default" w:ascii="Arial" w:hAnsi="Arial" w:eastAsia="宋体" w:cs="Arial"/>
                <w:sz w:val="21"/>
                <w:szCs w:val="21"/>
              </w:rPr>
            </w:pPr>
            <w:r>
              <w:rPr>
                <w:rFonts w:hint="default" w:ascii="Arial" w:hAnsi="Arial" w:eastAsia="宋体" w:cs="Arial"/>
                <w:sz w:val="21"/>
                <w:szCs w:val="21"/>
              </w:rPr>
              <w:t>A02010604 显示设备</w:t>
            </w:r>
          </w:p>
        </w:tc>
        <w:tc>
          <w:tcPr>
            <w:tcW w:w="2248" w:type="dxa"/>
            <w:tcBorders>
              <w:top w:val="single" w:color="auto" w:sz="4" w:space="0"/>
              <w:left w:val="single" w:color="auto" w:sz="4" w:space="0"/>
              <w:bottom w:val="single" w:color="auto" w:sz="4" w:space="0"/>
              <w:right w:val="single" w:color="auto" w:sz="4" w:space="0"/>
            </w:tcBorders>
            <w:vAlign w:val="top"/>
          </w:tcPr>
          <w:p w14:paraId="56C53EEC">
            <w:pPr>
              <w:pStyle w:val="257"/>
              <w:spacing w:before="64" w:line="221" w:lineRule="auto"/>
              <w:ind w:left="105"/>
              <w:rPr>
                <w:rFonts w:hint="default" w:ascii="Arial" w:hAnsi="Arial" w:eastAsia="宋体" w:cs="Arial"/>
                <w:sz w:val="21"/>
                <w:szCs w:val="21"/>
              </w:rPr>
            </w:pPr>
            <w:r>
              <w:rPr>
                <w:rFonts w:hint="default" w:ascii="Arial" w:hAnsi="Arial" w:eastAsia="宋体" w:cs="Arial"/>
                <w:sz w:val="21"/>
                <w:szCs w:val="21"/>
              </w:rPr>
              <w:t>A0201060401 液晶显示器</w:t>
            </w:r>
          </w:p>
        </w:tc>
        <w:tc>
          <w:tcPr>
            <w:tcW w:w="2404" w:type="dxa"/>
            <w:tcBorders>
              <w:top w:val="single" w:color="auto" w:sz="4" w:space="0"/>
              <w:left w:val="single" w:color="auto" w:sz="4" w:space="0"/>
              <w:bottom w:val="single" w:color="auto" w:sz="4" w:space="0"/>
              <w:right w:val="single" w:color="auto" w:sz="4" w:space="0"/>
            </w:tcBorders>
            <w:vAlign w:val="top"/>
          </w:tcPr>
          <w:p w14:paraId="6E7A0CFC">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5B486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0F2EB8AF">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3C6D1D1D">
            <w:pPr>
              <w:rPr>
                <w:rFonts w:hint="default" w:ascii="Arial" w:hAnsi="Arial" w:eastAsia="宋体" w:cs="Arial"/>
                <w:sz w:val="21"/>
                <w:szCs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15C930B2">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13E3C0AE">
            <w:pPr>
              <w:pStyle w:val="257"/>
              <w:spacing w:before="64" w:line="221" w:lineRule="auto"/>
              <w:ind w:left="105"/>
              <w:rPr>
                <w:rFonts w:hint="default" w:ascii="Arial" w:hAnsi="Arial" w:eastAsia="宋体" w:cs="Arial"/>
                <w:sz w:val="21"/>
                <w:szCs w:val="21"/>
              </w:rPr>
            </w:pPr>
            <w:r>
              <w:rPr>
                <w:rFonts w:hint="default" w:ascii="Arial" w:hAnsi="Arial" w:eastAsia="宋体" w:cs="Arial"/>
                <w:sz w:val="21"/>
                <w:szCs w:val="21"/>
              </w:rPr>
              <w:t>A0201060499 其他显示器</w:t>
            </w:r>
          </w:p>
        </w:tc>
        <w:tc>
          <w:tcPr>
            <w:tcW w:w="2404" w:type="dxa"/>
            <w:tcBorders>
              <w:top w:val="single" w:color="auto" w:sz="4" w:space="0"/>
              <w:left w:val="single" w:color="auto" w:sz="4" w:space="0"/>
              <w:bottom w:val="single" w:color="auto" w:sz="4" w:space="0"/>
              <w:right w:val="single" w:color="auto" w:sz="4" w:space="0"/>
            </w:tcBorders>
            <w:vAlign w:val="top"/>
          </w:tcPr>
          <w:p w14:paraId="1912BFA5">
            <w:pPr>
              <w:pStyle w:val="257"/>
              <w:spacing w:before="63" w:line="219" w:lineRule="auto"/>
              <w:ind w:left="109"/>
              <w:rPr>
                <w:rFonts w:hint="default" w:ascii="Arial" w:hAnsi="Arial" w:eastAsia="宋体" w:cs="Arial"/>
                <w:sz w:val="21"/>
                <w:szCs w:val="21"/>
              </w:rPr>
            </w:pPr>
            <w:r>
              <w:rPr>
                <w:rFonts w:hint="default" w:ascii="Arial" w:hAnsi="Arial" w:eastAsia="宋体" w:cs="Arial"/>
                <w:spacing w:val="-1"/>
                <w:sz w:val="21"/>
                <w:szCs w:val="21"/>
              </w:rPr>
              <w:t>HJ2536</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微型计算机、显示器</w:t>
            </w:r>
          </w:p>
        </w:tc>
      </w:tr>
      <w:tr w14:paraId="490F1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7C489C00">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4B5CC7B6">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5402E358">
            <w:pPr>
              <w:pStyle w:val="257"/>
              <w:spacing w:before="64" w:line="220" w:lineRule="auto"/>
              <w:ind w:left="103"/>
              <w:rPr>
                <w:rFonts w:hint="default" w:ascii="Arial" w:hAnsi="Arial" w:eastAsia="宋体" w:cs="Arial"/>
                <w:sz w:val="21"/>
                <w:szCs w:val="21"/>
              </w:rPr>
            </w:pPr>
            <w:r>
              <w:rPr>
                <w:rFonts w:hint="default" w:ascii="Arial" w:hAnsi="Arial" w:eastAsia="宋体" w:cs="Arial"/>
                <w:spacing w:val="-2"/>
                <w:sz w:val="21"/>
                <w:szCs w:val="21"/>
              </w:rPr>
              <w:t>A02010609</w:t>
            </w:r>
            <w:r>
              <w:rPr>
                <w:rFonts w:hint="default" w:ascii="Arial" w:hAnsi="Arial" w:eastAsia="宋体" w:cs="Arial"/>
                <w:spacing w:val="-9"/>
                <w:sz w:val="21"/>
                <w:szCs w:val="21"/>
              </w:rPr>
              <w:t xml:space="preserve"> </w:t>
            </w:r>
            <w:r>
              <w:rPr>
                <w:rFonts w:hint="default" w:ascii="Arial" w:hAnsi="Arial" w:eastAsia="宋体" w:cs="Arial"/>
                <w:spacing w:val="-2"/>
                <w:sz w:val="21"/>
                <w:szCs w:val="21"/>
              </w:rPr>
              <w:t>图形图像输入设备</w:t>
            </w:r>
          </w:p>
        </w:tc>
        <w:tc>
          <w:tcPr>
            <w:tcW w:w="2248" w:type="dxa"/>
            <w:tcBorders>
              <w:top w:val="single" w:color="auto" w:sz="4" w:space="0"/>
              <w:left w:val="single" w:color="auto" w:sz="4" w:space="0"/>
              <w:bottom w:val="single" w:color="auto" w:sz="4" w:space="0"/>
              <w:right w:val="single" w:color="auto" w:sz="4" w:space="0"/>
            </w:tcBorders>
            <w:vAlign w:val="top"/>
          </w:tcPr>
          <w:p w14:paraId="248DC2C8">
            <w:pPr>
              <w:pStyle w:val="257"/>
              <w:spacing w:before="64" w:line="220" w:lineRule="auto"/>
              <w:ind w:left="105"/>
              <w:rPr>
                <w:rFonts w:hint="default" w:ascii="Arial" w:hAnsi="Arial" w:eastAsia="宋体" w:cs="Arial"/>
                <w:sz w:val="21"/>
                <w:szCs w:val="21"/>
              </w:rPr>
            </w:pPr>
            <w:r>
              <w:rPr>
                <w:rFonts w:hint="default" w:ascii="Arial" w:hAnsi="Arial" w:eastAsia="宋体" w:cs="Arial"/>
                <w:sz w:val="21"/>
                <w:szCs w:val="21"/>
              </w:rPr>
              <w:t>A0201060901 扫描仪</w:t>
            </w:r>
          </w:p>
        </w:tc>
        <w:tc>
          <w:tcPr>
            <w:tcW w:w="2404" w:type="dxa"/>
            <w:tcBorders>
              <w:top w:val="single" w:color="auto" w:sz="4" w:space="0"/>
              <w:left w:val="single" w:color="auto" w:sz="4" w:space="0"/>
              <w:bottom w:val="single" w:color="auto" w:sz="4" w:space="0"/>
              <w:right w:val="single" w:color="auto" w:sz="4" w:space="0"/>
            </w:tcBorders>
            <w:vAlign w:val="top"/>
          </w:tcPr>
          <w:p w14:paraId="5359BA85">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HJ2517</w:t>
            </w:r>
            <w:r>
              <w:rPr>
                <w:rFonts w:hint="default" w:ascii="Arial" w:hAnsi="Arial" w:eastAsia="宋体" w:cs="Arial"/>
                <w:spacing w:val="-34"/>
                <w:sz w:val="21"/>
                <w:szCs w:val="21"/>
              </w:rPr>
              <w:t xml:space="preserve"> </w:t>
            </w:r>
            <w:r>
              <w:rPr>
                <w:rFonts w:hint="default" w:ascii="Arial" w:hAnsi="Arial" w:eastAsia="宋体" w:cs="Arial"/>
                <w:spacing w:val="-1"/>
                <w:sz w:val="21"/>
                <w:szCs w:val="21"/>
              </w:rPr>
              <w:t>扫描仪</w:t>
            </w:r>
          </w:p>
        </w:tc>
      </w:tr>
      <w:tr w14:paraId="0D764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Borders>
              <w:top w:val="single" w:color="auto" w:sz="4" w:space="0"/>
              <w:left w:val="single" w:color="auto" w:sz="4" w:space="0"/>
              <w:bottom w:val="single" w:color="auto" w:sz="4" w:space="0"/>
              <w:right w:val="single" w:color="auto" w:sz="4" w:space="0"/>
            </w:tcBorders>
            <w:vAlign w:val="top"/>
          </w:tcPr>
          <w:p w14:paraId="174B4DA0">
            <w:pPr>
              <w:pStyle w:val="257"/>
              <w:spacing w:before="64"/>
              <w:ind w:left="118"/>
              <w:rPr>
                <w:rFonts w:hint="default" w:ascii="Arial" w:hAnsi="Arial" w:eastAsia="宋体" w:cs="Arial"/>
                <w:sz w:val="21"/>
                <w:szCs w:val="21"/>
              </w:rPr>
            </w:pPr>
            <w:r>
              <w:rPr>
                <w:rFonts w:hint="default" w:ascii="Arial" w:hAnsi="Arial" w:eastAsia="宋体" w:cs="Arial"/>
                <w:sz w:val="21"/>
                <w:szCs w:val="21"/>
              </w:rPr>
              <w:t>3</w:t>
            </w:r>
          </w:p>
        </w:tc>
        <w:tc>
          <w:tcPr>
            <w:tcW w:w="1542" w:type="dxa"/>
            <w:tcBorders>
              <w:top w:val="single" w:color="auto" w:sz="4" w:space="0"/>
              <w:left w:val="single" w:color="auto" w:sz="4" w:space="0"/>
              <w:bottom w:val="single" w:color="auto" w:sz="4" w:space="0"/>
              <w:right w:val="single" w:color="auto" w:sz="4" w:space="0"/>
            </w:tcBorders>
            <w:vAlign w:val="top"/>
          </w:tcPr>
          <w:p w14:paraId="093DC6B6">
            <w:pPr>
              <w:pStyle w:val="257"/>
              <w:spacing w:before="64" w:line="220" w:lineRule="auto"/>
              <w:ind w:left="102"/>
              <w:rPr>
                <w:rFonts w:hint="default" w:ascii="Arial" w:hAnsi="Arial" w:eastAsia="宋体" w:cs="Arial"/>
                <w:sz w:val="21"/>
                <w:szCs w:val="21"/>
              </w:rPr>
            </w:pPr>
            <w:r>
              <w:rPr>
                <w:rFonts w:hint="default" w:ascii="Arial" w:hAnsi="Arial" w:eastAsia="宋体" w:cs="Arial"/>
                <w:spacing w:val="-1"/>
                <w:sz w:val="21"/>
                <w:szCs w:val="21"/>
              </w:rPr>
              <w:t>A020202</w:t>
            </w:r>
            <w:r>
              <w:rPr>
                <w:rFonts w:hint="default" w:ascii="Arial" w:hAnsi="Arial" w:eastAsia="宋体" w:cs="Arial"/>
                <w:spacing w:val="-33"/>
                <w:sz w:val="21"/>
                <w:szCs w:val="21"/>
              </w:rPr>
              <w:t xml:space="preserve"> </w:t>
            </w:r>
            <w:r>
              <w:rPr>
                <w:rFonts w:hint="default" w:ascii="Arial" w:hAnsi="Arial" w:eastAsia="宋体" w:cs="Arial"/>
                <w:spacing w:val="-1"/>
                <w:sz w:val="21"/>
                <w:szCs w:val="21"/>
              </w:rPr>
              <w:t>投影仪</w:t>
            </w:r>
          </w:p>
        </w:tc>
        <w:tc>
          <w:tcPr>
            <w:tcW w:w="2672" w:type="dxa"/>
            <w:tcBorders>
              <w:top w:val="single" w:color="auto" w:sz="4" w:space="0"/>
              <w:left w:val="single" w:color="auto" w:sz="4" w:space="0"/>
              <w:bottom w:val="single" w:color="auto" w:sz="4" w:space="0"/>
              <w:right w:val="single" w:color="auto" w:sz="4" w:space="0"/>
            </w:tcBorders>
            <w:vAlign w:val="top"/>
          </w:tcPr>
          <w:p w14:paraId="47E6A5AF">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77787557">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68D4D474">
            <w:pPr>
              <w:pStyle w:val="257"/>
              <w:spacing w:before="64" w:line="219" w:lineRule="auto"/>
              <w:ind w:left="109"/>
              <w:rPr>
                <w:rFonts w:hint="default" w:ascii="Arial" w:hAnsi="Arial" w:eastAsia="宋体" w:cs="Arial"/>
                <w:sz w:val="21"/>
                <w:szCs w:val="21"/>
              </w:rPr>
            </w:pPr>
            <w:r>
              <w:rPr>
                <w:rFonts w:hint="default" w:ascii="Arial" w:hAnsi="Arial" w:eastAsia="宋体" w:cs="Arial"/>
                <w:spacing w:val="-1"/>
                <w:sz w:val="21"/>
                <w:szCs w:val="21"/>
              </w:rPr>
              <w:t>HJ2516</w:t>
            </w:r>
            <w:r>
              <w:rPr>
                <w:rFonts w:hint="default" w:ascii="Arial" w:hAnsi="Arial" w:eastAsia="宋体" w:cs="Arial"/>
                <w:spacing w:val="-34"/>
                <w:sz w:val="21"/>
                <w:szCs w:val="21"/>
              </w:rPr>
              <w:t xml:space="preserve"> </w:t>
            </w:r>
            <w:r>
              <w:rPr>
                <w:rFonts w:hint="default" w:ascii="Arial" w:hAnsi="Arial" w:eastAsia="宋体" w:cs="Arial"/>
                <w:spacing w:val="-1"/>
                <w:sz w:val="21"/>
                <w:szCs w:val="21"/>
              </w:rPr>
              <w:t>投影仪</w:t>
            </w:r>
          </w:p>
        </w:tc>
      </w:tr>
      <w:tr w14:paraId="5D238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top w:val="single" w:color="auto" w:sz="4" w:space="0"/>
              <w:left w:val="single" w:color="auto" w:sz="4" w:space="0"/>
              <w:bottom w:val="single" w:color="auto" w:sz="4" w:space="0"/>
              <w:right w:val="single" w:color="auto" w:sz="4" w:space="0"/>
            </w:tcBorders>
            <w:vAlign w:val="top"/>
          </w:tcPr>
          <w:p w14:paraId="04E1DC29">
            <w:pPr>
              <w:pStyle w:val="257"/>
              <w:spacing w:before="64" w:line="242" w:lineRule="auto"/>
              <w:ind w:left="114"/>
              <w:rPr>
                <w:rFonts w:hint="default" w:ascii="Arial" w:hAnsi="Arial" w:eastAsia="宋体" w:cs="Arial"/>
                <w:sz w:val="21"/>
                <w:szCs w:val="21"/>
              </w:rPr>
            </w:pPr>
            <w:r>
              <w:rPr>
                <w:rFonts w:hint="default" w:ascii="Arial" w:hAnsi="Arial" w:eastAsia="宋体" w:cs="Arial"/>
                <w:sz w:val="21"/>
                <w:szCs w:val="21"/>
              </w:rPr>
              <w:t>4</w:t>
            </w:r>
          </w:p>
        </w:tc>
        <w:tc>
          <w:tcPr>
            <w:tcW w:w="1542" w:type="dxa"/>
            <w:tcBorders>
              <w:top w:val="single" w:color="auto" w:sz="4" w:space="0"/>
              <w:left w:val="single" w:color="auto" w:sz="4" w:space="0"/>
              <w:bottom w:val="single" w:color="auto" w:sz="4" w:space="0"/>
              <w:right w:val="single" w:color="auto" w:sz="4" w:space="0"/>
            </w:tcBorders>
            <w:vAlign w:val="top"/>
          </w:tcPr>
          <w:p w14:paraId="646BDCAC">
            <w:pPr>
              <w:pStyle w:val="257"/>
              <w:spacing w:before="64" w:line="219" w:lineRule="auto"/>
              <w:ind w:left="102"/>
              <w:rPr>
                <w:rFonts w:hint="default" w:ascii="Arial" w:hAnsi="Arial" w:eastAsia="宋体" w:cs="Arial"/>
                <w:sz w:val="21"/>
                <w:szCs w:val="21"/>
              </w:rPr>
            </w:pPr>
            <w:r>
              <w:rPr>
                <w:rFonts w:hint="default" w:ascii="Arial" w:hAnsi="Arial" w:eastAsia="宋体" w:cs="Arial"/>
                <w:spacing w:val="-1"/>
                <w:sz w:val="21"/>
                <w:szCs w:val="21"/>
              </w:rPr>
              <w:t>A020201</w:t>
            </w:r>
            <w:r>
              <w:rPr>
                <w:rFonts w:hint="default" w:ascii="Arial" w:hAnsi="Arial" w:eastAsia="宋体" w:cs="Arial"/>
                <w:spacing w:val="-32"/>
                <w:sz w:val="21"/>
                <w:szCs w:val="21"/>
              </w:rPr>
              <w:t xml:space="preserve"> </w:t>
            </w:r>
            <w:r>
              <w:rPr>
                <w:rFonts w:hint="default" w:ascii="Arial" w:hAnsi="Arial" w:eastAsia="宋体" w:cs="Arial"/>
                <w:spacing w:val="-1"/>
                <w:sz w:val="21"/>
                <w:szCs w:val="21"/>
              </w:rPr>
              <w:t>复印机</w:t>
            </w:r>
          </w:p>
        </w:tc>
        <w:tc>
          <w:tcPr>
            <w:tcW w:w="2672" w:type="dxa"/>
            <w:tcBorders>
              <w:top w:val="single" w:color="auto" w:sz="4" w:space="0"/>
              <w:left w:val="single" w:color="auto" w:sz="4" w:space="0"/>
              <w:bottom w:val="single" w:color="auto" w:sz="4" w:space="0"/>
              <w:right w:val="single" w:color="auto" w:sz="4" w:space="0"/>
            </w:tcBorders>
            <w:vAlign w:val="top"/>
          </w:tcPr>
          <w:p w14:paraId="2CCBF178">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519F0800">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09C4AC9C">
            <w:pPr>
              <w:pStyle w:val="257"/>
              <w:spacing w:before="64" w:line="219" w:lineRule="auto"/>
              <w:ind w:left="109"/>
              <w:rPr>
                <w:rFonts w:hint="default" w:ascii="Arial" w:hAnsi="Arial" w:eastAsia="宋体" w:cs="Arial"/>
                <w:sz w:val="21"/>
                <w:szCs w:val="21"/>
              </w:rPr>
            </w:pPr>
            <w:r>
              <w:rPr>
                <w:rFonts w:hint="default" w:ascii="Arial" w:hAnsi="Arial" w:eastAsia="宋体" w:cs="Arial"/>
                <w:sz w:val="21"/>
                <w:szCs w:val="21"/>
              </w:rPr>
              <w:t>HJ424 数字式复印（包括多功能）设备</w:t>
            </w:r>
          </w:p>
        </w:tc>
      </w:tr>
      <w:tr w14:paraId="02A6A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left w:val="single" w:color="auto" w:sz="4" w:space="0"/>
              <w:bottom w:val="single" w:color="auto" w:sz="4" w:space="0"/>
              <w:right w:val="single" w:color="auto" w:sz="4" w:space="0"/>
            </w:tcBorders>
            <w:vAlign w:val="top"/>
          </w:tcPr>
          <w:p w14:paraId="593DF631">
            <w:pPr>
              <w:pStyle w:val="257"/>
              <w:spacing w:before="65"/>
              <w:ind w:left="118"/>
              <w:rPr>
                <w:rFonts w:hint="default" w:ascii="Arial" w:hAnsi="Arial" w:eastAsia="宋体" w:cs="Arial"/>
                <w:sz w:val="21"/>
                <w:szCs w:val="21"/>
              </w:rPr>
            </w:pPr>
            <w:r>
              <w:rPr>
                <w:rFonts w:hint="default" w:ascii="Arial" w:hAnsi="Arial" w:eastAsia="宋体" w:cs="Arial"/>
                <w:sz w:val="21"/>
                <w:szCs w:val="21"/>
              </w:rPr>
              <w:t>5</w:t>
            </w:r>
          </w:p>
        </w:tc>
        <w:tc>
          <w:tcPr>
            <w:tcW w:w="1542" w:type="dxa"/>
            <w:tcBorders>
              <w:top w:val="single" w:color="auto" w:sz="4" w:space="0"/>
              <w:left w:val="single" w:color="auto" w:sz="4" w:space="0"/>
              <w:bottom w:val="single" w:color="auto" w:sz="4" w:space="0"/>
              <w:right w:val="single" w:color="auto" w:sz="4" w:space="0"/>
            </w:tcBorders>
            <w:vAlign w:val="top"/>
          </w:tcPr>
          <w:p w14:paraId="6AA7F443">
            <w:pPr>
              <w:pStyle w:val="257"/>
              <w:spacing w:before="64" w:line="284" w:lineRule="auto"/>
              <w:ind w:left="110" w:right="108" w:hanging="8"/>
              <w:rPr>
                <w:rFonts w:hint="default" w:ascii="Arial" w:hAnsi="Arial" w:eastAsia="宋体" w:cs="Arial"/>
                <w:sz w:val="21"/>
                <w:szCs w:val="21"/>
              </w:rPr>
            </w:pPr>
            <w:r>
              <w:rPr>
                <w:rFonts w:hint="default" w:ascii="Arial" w:hAnsi="Arial" w:eastAsia="宋体" w:cs="Arial"/>
                <w:spacing w:val="2"/>
                <w:sz w:val="21"/>
                <w:szCs w:val="21"/>
              </w:rPr>
              <w:t>A020204</w:t>
            </w:r>
            <w:r>
              <w:rPr>
                <w:rFonts w:hint="default" w:ascii="Arial" w:hAnsi="Arial" w:eastAsia="宋体" w:cs="Arial"/>
                <w:spacing w:val="44"/>
                <w:sz w:val="21"/>
                <w:szCs w:val="21"/>
              </w:rPr>
              <w:t xml:space="preserve"> </w:t>
            </w:r>
            <w:r>
              <w:rPr>
                <w:rFonts w:hint="default" w:ascii="Arial" w:hAnsi="Arial" w:eastAsia="宋体" w:cs="Arial"/>
                <w:spacing w:val="2"/>
                <w:sz w:val="21"/>
                <w:szCs w:val="21"/>
              </w:rPr>
              <w:t>多功能</w:t>
            </w:r>
            <w:r>
              <w:rPr>
                <w:rFonts w:hint="default" w:ascii="Arial" w:hAnsi="Arial" w:eastAsia="宋体" w:cs="Arial"/>
                <w:sz w:val="21"/>
                <w:szCs w:val="21"/>
              </w:rPr>
              <w:t xml:space="preserve"> </w:t>
            </w:r>
            <w:r>
              <w:rPr>
                <w:rFonts w:hint="default" w:ascii="Arial" w:hAnsi="Arial" w:eastAsia="宋体" w:cs="Arial"/>
                <w:spacing w:val="-4"/>
                <w:sz w:val="21"/>
                <w:szCs w:val="21"/>
              </w:rPr>
              <w:t>一体机</w:t>
            </w:r>
          </w:p>
        </w:tc>
        <w:tc>
          <w:tcPr>
            <w:tcW w:w="2672" w:type="dxa"/>
            <w:tcBorders>
              <w:top w:val="single" w:color="auto" w:sz="4" w:space="0"/>
              <w:left w:val="single" w:color="auto" w:sz="4" w:space="0"/>
              <w:bottom w:val="single" w:color="auto" w:sz="4" w:space="0"/>
              <w:right w:val="single" w:color="auto" w:sz="4" w:space="0"/>
            </w:tcBorders>
            <w:vAlign w:val="top"/>
          </w:tcPr>
          <w:p w14:paraId="62E7C00D">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529157F6">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3B112540">
            <w:pPr>
              <w:pStyle w:val="257"/>
              <w:spacing w:before="64" w:line="219" w:lineRule="auto"/>
              <w:ind w:left="109"/>
              <w:rPr>
                <w:rFonts w:hint="default" w:ascii="Arial" w:hAnsi="Arial" w:eastAsia="宋体" w:cs="Arial"/>
                <w:sz w:val="21"/>
                <w:szCs w:val="21"/>
              </w:rPr>
            </w:pPr>
            <w:r>
              <w:rPr>
                <w:rFonts w:hint="default" w:ascii="Arial" w:hAnsi="Arial" w:eastAsia="宋体" w:cs="Arial"/>
                <w:sz w:val="21"/>
                <w:szCs w:val="21"/>
              </w:rPr>
              <w:t>HJ424 数字式复印（包括多功能）设备</w:t>
            </w:r>
          </w:p>
        </w:tc>
      </w:tr>
      <w:tr w14:paraId="17566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left w:val="single" w:color="auto" w:sz="4" w:space="0"/>
              <w:bottom w:val="single" w:color="auto" w:sz="4" w:space="0"/>
              <w:right w:val="single" w:color="auto" w:sz="4" w:space="0"/>
            </w:tcBorders>
            <w:vAlign w:val="top"/>
          </w:tcPr>
          <w:p w14:paraId="78E6A396">
            <w:pPr>
              <w:pStyle w:val="257"/>
              <w:spacing w:before="65"/>
              <w:ind w:left="116"/>
              <w:rPr>
                <w:rFonts w:hint="default" w:ascii="Arial" w:hAnsi="Arial" w:eastAsia="宋体" w:cs="Arial"/>
                <w:sz w:val="21"/>
                <w:szCs w:val="21"/>
              </w:rPr>
            </w:pPr>
            <w:r>
              <w:rPr>
                <w:rFonts w:hint="default" w:ascii="Arial" w:hAnsi="Arial" w:eastAsia="宋体" w:cs="Arial"/>
                <w:sz w:val="21"/>
                <w:szCs w:val="21"/>
              </w:rPr>
              <w:t>6</w:t>
            </w:r>
          </w:p>
        </w:tc>
        <w:tc>
          <w:tcPr>
            <w:tcW w:w="1542" w:type="dxa"/>
            <w:tcBorders>
              <w:top w:val="single" w:color="auto" w:sz="4" w:space="0"/>
              <w:left w:val="single" w:color="auto" w:sz="4" w:space="0"/>
              <w:bottom w:val="single" w:color="auto" w:sz="4" w:space="0"/>
              <w:right w:val="single" w:color="auto" w:sz="4" w:space="0"/>
            </w:tcBorders>
            <w:vAlign w:val="top"/>
          </w:tcPr>
          <w:p w14:paraId="224197F9">
            <w:pPr>
              <w:pStyle w:val="257"/>
              <w:spacing w:before="66" w:line="283" w:lineRule="auto"/>
              <w:ind w:left="109" w:right="108" w:hanging="7"/>
              <w:rPr>
                <w:rFonts w:hint="default" w:ascii="Arial" w:hAnsi="Arial" w:eastAsia="宋体" w:cs="Arial"/>
                <w:sz w:val="21"/>
                <w:szCs w:val="21"/>
              </w:rPr>
            </w:pPr>
            <w:r>
              <w:rPr>
                <w:rFonts w:hint="default" w:ascii="Arial" w:hAnsi="Arial" w:eastAsia="宋体" w:cs="Arial"/>
                <w:spacing w:val="-1"/>
                <w:sz w:val="21"/>
                <w:szCs w:val="21"/>
              </w:rPr>
              <w:t>A020210</w:t>
            </w:r>
            <w:r>
              <w:rPr>
                <w:rFonts w:hint="default" w:ascii="Arial" w:hAnsi="Arial" w:eastAsia="宋体" w:cs="Arial"/>
                <w:spacing w:val="32"/>
                <w:sz w:val="21"/>
                <w:szCs w:val="21"/>
              </w:rPr>
              <w:t xml:space="preserve"> </w:t>
            </w:r>
            <w:r>
              <w:rPr>
                <w:rFonts w:hint="default" w:ascii="Arial" w:hAnsi="Arial" w:eastAsia="宋体" w:cs="Arial"/>
                <w:spacing w:val="-1"/>
                <w:sz w:val="21"/>
                <w:szCs w:val="21"/>
              </w:rPr>
              <w:t>文</w:t>
            </w:r>
            <w:r>
              <w:rPr>
                <w:rFonts w:hint="default" w:ascii="Arial" w:hAnsi="Arial" w:eastAsia="宋体" w:cs="Arial"/>
                <w:spacing w:val="-48"/>
                <w:sz w:val="21"/>
                <w:szCs w:val="21"/>
              </w:rPr>
              <w:t xml:space="preserve"> </w:t>
            </w:r>
            <w:r>
              <w:rPr>
                <w:rFonts w:hint="default" w:ascii="Arial" w:hAnsi="Arial" w:eastAsia="宋体" w:cs="Arial"/>
                <w:spacing w:val="-1"/>
                <w:sz w:val="21"/>
                <w:szCs w:val="21"/>
              </w:rPr>
              <w:t>印设</w:t>
            </w:r>
            <w:r>
              <w:rPr>
                <w:rFonts w:hint="default" w:ascii="Arial" w:hAnsi="Arial" w:eastAsia="宋体" w:cs="Arial"/>
                <w:sz w:val="21"/>
                <w:szCs w:val="21"/>
              </w:rPr>
              <w:t xml:space="preserve"> 备</w:t>
            </w:r>
          </w:p>
        </w:tc>
        <w:tc>
          <w:tcPr>
            <w:tcW w:w="2672" w:type="dxa"/>
            <w:tcBorders>
              <w:top w:val="single" w:color="auto" w:sz="4" w:space="0"/>
              <w:left w:val="single" w:color="auto" w:sz="4" w:space="0"/>
              <w:bottom w:val="single" w:color="auto" w:sz="4" w:space="0"/>
              <w:right w:val="single" w:color="auto" w:sz="4" w:space="0"/>
            </w:tcBorders>
            <w:vAlign w:val="top"/>
          </w:tcPr>
          <w:p w14:paraId="15811672">
            <w:pPr>
              <w:pStyle w:val="257"/>
              <w:spacing w:before="65" w:line="219" w:lineRule="auto"/>
              <w:ind w:left="103"/>
              <w:rPr>
                <w:rFonts w:hint="default" w:ascii="Arial" w:hAnsi="Arial" w:eastAsia="宋体" w:cs="Arial"/>
                <w:sz w:val="21"/>
                <w:szCs w:val="21"/>
              </w:rPr>
            </w:pPr>
            <w:r>
              <w:rPr>
                <w:rFonts w:hint="default" w:ascii="Arial" w:hAnsi="Arial" w:eastAsia="宋体" w:cs="Arial"/>
                <w:sz w:val="21"/>
                <w:szCs w:val="21"/>
              </w:rPr>
              <w:t>A02021001 速印机</w:t>
            </w:r>
          </w:p>
        </w:tc>
        <w:tc>
          <w:tcPr>
            <w:tcW w:w="2248" w:type="dxa"/>
            <w:tcBorders>
              <w:top w:val="single" w:color="auto" w:sz="4" w:space="0"/>
              <w:left w:val="single" w:color="auto" w:sz="4" w:space="0"/>
              <w:bottom w:val="single" w:color="auto" w:sz="4" w:space="0"/>
              <w:right w:val="single" w:color="auto" w:sz="4" w:space="0"/>
            </w:tcBorders>
            <w:vAlign w:val="top"/>
          </w:tcPr>
          <w:p w14:paraId="704445D9">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7A0D4053">
            <w:pPr>
              <w:pStyle w:val="257"/>
              <w:spacing w:before="65" w:line="219" w:lineRule="auto"/>
              <w:ind w:left="109"/>
              <w:rPr>
                <w:rFonts w:hint="default" w:ascii="Arial" w:hAnsi="Arial" w:eastAsia="宋体" w:cs="Arial"/>
                <w:sz w:val="21"/>
                <w:szCs w:val="21"/>
              </w:rPr>
            </w:pPr>
            <w:r>
              <w:rPr>
                <w:rFonts w:hint="default" w:ascii="Arial" w:hAnsi="Arial" w:eastAsia="宋体" w:cs="Arial"/>
                <w:spacing w:val="-1"/>
                <w:sz w:val="21"/>
                <w:szCs w:val="21"/>
              </w:rPr>
              <w:t>HJ472 数字式一体化速印机</w:t>
            </w:r>
          </w:p>
        </w:tc>
      </w:tr>
      <w:tr w14:paraId="17686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583" w:type="dxa"/>
            <w:tcBorders>
              <w:top w:val="single" w:color="auto" w:sz="4" w:space="0"/>
              <w:left w:val="single" w:color="auto" w:sz="4" w:space="0"/>
              <w:bottom w:val="single" w:color="auto" w:sz="4" w:space="0"/>
              <w:right w:val="single" w:color="auto" w:sz="4" w:space="0"/>
            </w:tcBorders>
            <w:vAlign w:val="top"/>
          </w:tcPr>
          <w:p w14:paraId="324220DC">
            <w:pPr>
              <w:pStyle w:val="257"/>
              <w:spacing w:before="66"/>
              <w:ind w:left="119"/>
              <w:rPr>
                <w:rFonts w:hint="default" w:ascii="Arial" w:hAnsi="Arial" w:eastAsia="宋体" w:cs="Arial"/>
                <w:sz w:val="21"/>
                <w:szCs w:val="21"/>
              </w:rPr>
            </w:pPr>
            <w:r>
              <w:rPr>
                <w:rFonts w:hint="default" w:ascii="Arial" w:hAnsi="Arial" w:eastAsia="宋体" w:cs="Arial"/>
                <w:sz w:val="21"/>
                <w:szCs w:val="21"/>
              </w:rPr>
              <w:t>7</w:t>
            </w:r>
          </w:p>
        </w:tc>
        <w:tc>
          <w:tcPr>
            <w:tcW w:w="1542" w:type="dxa"/>
            <w:tcBorders>
              <w:top w:val="single" w:color="auto" w:sz="4" w:space="0"/>
              <w:left w:val="single" w:color="auto" w:sz="4" w:space="0"/>
              <w:bottom w:val="single" w:color="auto" w:sz="4" w:space="0"/>
              <w:right w:val="single" w:color="auto" w:sz="4" w:space="0"/>
            </w:tcBorders>
            <w:vAlign w:val="top"/>
          </w:tcPr>
          <w:p w14:paraId="7FF68FD9">
            <w:pPr>
              <w:pStyle w:val="257"/>
              <w:spacing w:before="67" w:line="301" w:lineRule="auto"/>
              <w:ind w:left="109" w:right="32" w:hanging="7"/>
              <w:rPr>
                <w:rFonts w:hint="default" w:ascii="Arial" w:hAnsi="Arial" w:eastAsia="宋体" w:cs="Arial"/>
                <w:sz w:val="21"/>
                <w:szCs w:val="21"/>
              </w:rPr>
            </w:pPr>
            <w:r>
              <w:rPr>
                <w:rFonts w:hint="default" w:ascii="Arial" w:hAnsi="Arial" w:eastAsia="宋体" w:cs="Arial"/>
                <w:spacing w:val="3"/>
                <w:sz w:val="21"/>
                <w:szCs w:val="21"/>
              </w:rPr>
              <w:t>A020301</w:t>
            </w:r>
            <w:r>
              <w:rPr>
                <w:rFonts w:hint="default" w:ascii="Arial" w:hAnsi="Arial" w:eastAsia="宋体" w:cs="Arial"/>
                <w:spacing w:val="34"/>
                <w:sz w:val="21"/>
                <w:szCs w:val="21"/>
              </w:rPr>
              <w:t xml:space="preserve"> </w:t>
            </w:r>
            <w:r>
              <w:rPr>
                <w:rFonts w:hint="default" w:ascii="Arial" w:hAnsi="Arial" w:eastAsia="宋体" w:cs="Arial"/>
                <w:spacing w:val="3"/>
                <w:sz w:val="21"/>
                <w:szCs w:val="21"/>
              </w:rPr>
              <w:t>载货汽</w:t>
            </w:r>
            <w:r>
              <w:rPr>
                <w:rFonts w:hint="default" w:ascii="Arial" w:hAnsi="Arial" w:eastAsia="宋体" w:cs="Arial"/>
                <w:sz w:val="21"/>
                <w:szCs w:val="21"/>
              </w:rPr>
              <w:t xml:space="preserve">  </w:t>
            </w:r>
            <w:r>
              <w:rPr>
                <w:rFonts w:hint="default" w:ascii="Arial" w:hAnsi="Arial" w:eastAsia="宋体" w:cs="Arial"/>
                <w:spacing w:val="-6"/>
                <w:sz w:val="21"/>
                <w:szCs w:val="21"/>
              </w:rPr>
              <w:t>车（含自卸汽车）</w:t>
            </w:r>
          </w:p>
        </w:tc>
        <w:tc>
          <w:tcPr>
            <w:tcW w:w="2672" w:type="dxa"/>
            <w:tcBorders>
              <w:top w:val="single" w:color="auto" w:sz="4" w:space="0"/>
              <w:left w:val="single" w:color="auto" w:sz="4" w:space="0"/>
              <w:bottom w:val="single" w:color="auto" w:sz="4" w:space="0"/>
              <w:right w:val="single" w:color="auto" w:sz="4" w:space="0"/>
            </w:tcBorders>
            <w:vAlign w:val="top"/>
          </w:tcPr>
          <w:p w14:paraId="32E2E777">
            <w:pPr>
              <w:rPr>
                <w:rFonts w:hint="default" w:ascii="Arial" w:hAnsi="Arial" w:eastAsia="宋体" w:cs="Arial"/>
                <w:sz w:val="21"/>
                <w:szCs w:val="21"/>
              </w:rPr>
            </w:pPr>
          </w:p>
        </w:tc>
        <w:tc>
          <w:tcPr>
            <w:tcW w:w="2248" w:type="dxa"/>
            <w:tcBorders>
              <w:top w:val="single" w:color="auto" w:sz="4" w:space="0"/>
              <w:left w:val="single" w:color="auto" w:sz="4" w:space="0"/>
              <w:bottom w:val="single" w:color="auto" w:sz="4" w:space="0"/>
              <w:right w:val="single" w:color="auto" w:sz="4" w:space="0"/>
            </w:tcBorders>
            <w:vAlign w:val="top"/>
          </w:tcPr>
          <w:p w14:paraId="180782C2">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612A7A2C">
            <w:pPr>
              <w:pStyle w:val="257"/>
              <w:spacing w:before="65" w:line="219" w:lineRule="auto"/>
              <w:ind w:left="109"/>
              <w:rPr>
                <w:rFonts w:hint="default" w:ascii="Arial" w:hAnsi="Arial" w:eastAsia="宋体" w:cs="Arial"/>
                <w:sz w:val="21"/>
                <w:szCs w:val="21"/>
              </w:rPr>
            </w:pPr>
            <w:r>
              <w:rPr>
                <w:rFonts w:hint="default" w:ascii="Arial" w:hAnsi="Arial" w:eastAsia="宋体" w:cs="Arial"/>
                <w:spacing w:val="-1"/>
                <w:sz w:val="21"/>
                <w:szCs w:val="21"/>
              </w:rPr>
              <w:t>HJ2532</w:t>
            </w:r>
            <w:r>
              <w:rPr>
                <w:rFonts w:hint="default" w:ascii="Arial" w:hAnsi="Arial" w:eastAsia="宋体" w:cs="Arial"/>
                <w:spacing w:val="-35"/>
                <w:sz w:val="21"/>
                <w:szCs w:val="21"/>
              </w:rPr>
              <w:t xml:space="preserve"> </w:t>
            </w:r>
            <w:r>
              <w:rPr>
                <w:rFonts w:hint="default" w:ascii="Arial" w:hAnsi="Arial" w:eastAsia="宋体" w:cs="Arial"/>
                <w:spacing w:val="-1"/>
                <w:sz w:val="21"/>
                <w:szCs w:val="21"/>
              </w:rPr>
              <w:t>轻型汽车</w:t>
            </w:r>
          </w:p>
        </w:tc>
      </w:tr>
      <w:tr w14:paraId="6F196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22CD03D4">
            <w:pPr>
              <w:pStyle w:val="257"/>
              <w:spacing w:before="67"/>
              <w:ind w:left="115"/>
              <w:rPr>
                <w:rFonts w:hint="default" w:ascii="Arial" w:hAnsi="Arial" w:eastAsia="宋体" w:cs="Arial"/>
                <w:sz w:val="21"/>
                <w:szCs w:val="21"/>
              </w:rPr>
            </w:pPr>
            <w:r>
              <w:rPr>
                <w:rFonts w:hint="default" w:ascii="Arial" w:hAnsi="Arial" w:eastAsia="宋体" w:cs="Arial"/>
                <w:sz w:val="21"/>
                <w:szCs w:val="21"/>
              </w:rPr>
              <w:t>8</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1C6A4D7">
            <w:pPr>
              <w:pStyle w:val="257"/>
              <w:spacing w:before="66" w:line="322" w:lineRule="auto"/>
              <w:ind w:left="112" w:right="108" w:hanging="10"/>
              <w:rPr>
                <w:rFonts w:hint="default" w:ascii="Arial" w:hAnsi="Arial" w:eastAsia="宋体" w:cs="Arial"/>
                <w:sz w:val="21"/>
                <w:szCs w:val="21"/>
              </w:rPr>
            </w:pPr>
            <w:r>
              <w:rPr>
                <w:rFonts w:hint="default" w:ascii="Arial" w:hAnsi="Arial" w:eastAsia="宋体" w:cs="Arial"/>
                <w:spacing w:val="3"/>
                <w:sz w:val="21"/>
                <w:szCs w:val="21"/>
              </w:rPr>
              <w:t>A020305</w:t>
            </w:r>
            <w:r>
              <w:rPr>
                <w:rFonts w:hint="default" w:ascii="Arial" w:hAnsi="Arial" w:eastAsia="宋体" w:cs="Arial"/>
                <w:spacing w:val="34"/>
                <w:sz w:val="21"/>
                <w:szCs w:val="21"/>
              </w:rPr>
              <w:t xml:space="preserve"> </w:t>
            </w:r>
            <w:r>
              <w:rPr>
                <w:rFonts w:hint="default" w:ascii="Arial" w:hAnsi="Arial" w:eastAsia="宋体" w:cs="Arial"/>
                <w:spacing w:val="3"/>
                <w:sz w:val="21"/>
                <w:szCs w:val="21"/>
              </w:rPr>
              <w:t>乘用车</w:t>
            </w:r>
            <w:r>
              <w:rPr>
                <w:rFonts w:hint="default" w:ascii="Arial" w:hAnsi="Arial" w:eastAsia="宋体" w:cs="Arial"/>
                <w:sz w:val="21"/>
                <w:szCs w:val="21"/>
              </w:rPr>
              <w:t xml:space="preserve"> </w:t>
            </w:r>
            <w:r>
              <w:rPr>
                <w:rFonts w:hint="default" w:ascii="Arial" w:hAnsi="Arial" w:eastAsia="宋体" w:cs="Arial"/>
                <w:spacing w:val="-3"/>
                <w:sz w:val="21"/>
                <w:szCs w:val="21"/>
              </w:rPr>
              <w:t>（轿车）</w:t>
            </w:r>
          </w:p>
        </w:tc>
        <w:tc>
          <w:tcPr>
            <w:tcW w:w="2672" w:type="dxa"/>
            <w:tcBorders>
              <w:top w:val="single" w:color="auto" w:sz="4" w:space="0"/>
              <w:left w:val="single" w:color="auto" w:sz="4" w:space="0"/>
              <w:bottom w:val="single" w:color="auto" w:sz="4" w:space="0"/>
              <w:right w:val="single" w:color="auto" w:sz="4" w:space="0"/>
            </w:tcBorders>
            <w:vAlign w:val="top"/>
          </w:tcPr>
          <w:p w14:paraId="1C131087">
            <w:pPr>
              <w:pStyle w:val="257"/>
              <w:spacing w:before="66" w:line="220" w:lineRule="auto"/>
              <w:ind w:left="103"/>
              <w:rPr>
                <w:rFonts w:hint="default" w:ascii="Arial" w:hAnsi="Arial" w:eastAsia="宋体" w:cs="Arial"/>
                <w:sz w:val="21"/>
                <w:szCs w:val="21"/>
              </w:rPr>
            </w:pPr>
            <w:r>
              <w:rPr>
                <w:rFonts w:hint="default" w:ascii="Arial" w:hAnsi="Arial" w:eastAsia="宋体" w:cs="Arial"/>
                <w:sz w:val="21"/>
                <w:szCs w:val="21"/>
              </w:rPr>
              <w:t>A02030501 轿车</w:t>
            </w:r>
          </w:p>
        </w:tc>
        <w:tc>
          <w:tcPr>
            <w:tcW w:w="2248" w:type="dxa"/>
            <w:tcBorders>
              <w:top w:val="single" w:color="auto" w:sz="4" w:space="0"/>
              <w:left w:val="single" w:color="auto" w:sz="4" w:space="0"/>
              <w:bottom w:val="single" w:color="auto" w:sz="4" w:space="0"/>
              <w:right w:val="single" w:color="auto" w:sz="4" w:space="0"/>
            </w:tcBorders>
            <w:vAlign w:val="top"/>
          </w:tcPr>
          <w:p w14:paraId="2AFF20BC">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218E7781">
            <w:pPr>
              <w:pStyle w:val="257"/>
              <w:spacing w:before="66" w:line="219" w:lineRule="auto"/>
              <w:ind w:left="109"/>
              <w:rPr>
                <w:rFonts w:hint="default" w:ascii="Arial" w:hAnsi="Arial" w:eastAsia="宋体" w:cs="Arial"/>
                <w:sz w:val="21"/>
                <w:szCs w:val="21"/>
              </w:rPr>
            </w:pPr>
            <w:r>
              <w:rPr>
                <w:rFonts w:hint="default" w:ascii="Arial" w:hAnsi="Arial" w:eastAsia="宋体" w:cs="Arial"/>
                <w:spacing w:val="-1"/>
                <w:sz w:val="21"/>
                <w:szCs w:val="21"/>
              </w:rPr>
              <w:t>HJ2532</w:t>
            </w:r>
            <w:r>
              <w:rPr>
                <w:rFonts w:hint="default" w:ascii="Arial" w:hAnsi="Arial" w:eastAsia="宋体" w:cs="Arial"/>
                <w:spacing w:val="-35"/>
                <w:sz w:val="21"/>
                <w:szCs w:val="21"/>
              </w:rPr>
              <w:t xml:space="preserve"> </w:t>
            </w:r>
            <w:r>
              <w:rPr>
                <w:rFonts w:hint="default" w:ascii="Arial" w:hAnsi="Arial" w:eastAsia="宋体" w:cs="Arial"/>
                <w:spacing w:val="-1"/>
                <w:sz w:val="21"/>
                <w:szCs w:val="21"/>
              </w:rPr>
              <w:t>轻型汽车</w:t>
            </w:r>
          </w:p>
        </w:tc>
      </w:tr>
      <w:tr w14:paraId="5972F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10F9F322">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413D969B">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3A041302">
            <w:pPr>
              <w:pStyle w:val="257"/>
              <w:spacing w:before="66" w:line="220" w:lineRule="auto"/>
              <w:ind w:left="103"/>
              <w:rPr>
                <w:rFonts w:hint="default" w:ascii="Arial" w:hAnsi="Arial" w:eastAsia="宋体" w:cs="Arial"/>
                <w:sz w:val="21"/>
                <w:szCs w:val="21"/>
              </w:rPr>
            </w:pPr>
            <w:r>
              <w:rPr>
                <w:rFonts w:hint="default" w:ascii="Arial" w:hAnsi="Arial" w:eastAsia="宋体" w:cs="Arial"/>
                <w:spacing w:val="-1"/>
                <w:sz w:val="21"/>
                <w:szCs w:val="21"/>
              </w:rPr>
              <w:t>A02030599</w:t>
            </w:r>
            <w:r>
              <w:rPr>
                <w:rFonts w:hint="default" w:ascii="Arial" w:hAnsi="Arial" w:eastAsia="宋体" w:cs="Arial"/>
                <w:spacing w:val="-28"/>
                <w:sz w:val="21"/>
                <w:szCs w:val="21"/>
              </w:rPr>
              <w:t xml:space="preserve"> </w:t>
            </w:r>
            <w:r>
              <w:rPr>
                <w:rFonts w:hint="default" w:ascii="Arial" w:hAnsi="Arial" w:eastAsia="宋体" w:cs="Arial"/>
                <w:spacing w:val="-1"/>
                <w:sz w:val="21"/>
                <w:szCs w:val="21"/>
              </w:rPr>
              <w:t>其他乘用车（轿车）</w:t>
            </w:r>
          </w:p>
        </w:tc>
        <w:tc>
          <w:tcPr>
            <w:tcW w:w="2248" w:type="dxa"/>
            <w:tcBorders>
              <w:top w:val="single" w:color="auto" w:sz="4" w:space="0"/>
              <w:left w:val="single" w:color="auto" w:sz="4" w:space="0"/>
              <w:bottom w:val="single" w:color="auto" w:sz="4" w:space="0"/>
              <w:right w:val="single" w:color="auto" w:sz="4" w:space="0"/>
            </w:tcBorders>
            <w:vAlign w:val="top"/>
          </w:tcPr>
          <w:p w14:paraId="33318B3D">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4EF66A1A">
            <w:pPr>
              <w:pStyle w:val="257"/>
              <w:spacing w:before="66" w:line="219" w:lineRule="auto"/>
              <w:ind w:left="109"/>
              <w:rPr>
                <w:rFonts w:hint="default" w:ascii="Arial" w:hAnsi="Arial" w:eastAsia="宋体" w:cs="Arial"/>
                <w:sz w:val="21"/>
                <w:szCs w:val="21"/>
              </w:rPr>
            </w:pPr>
            <w:r>
              <w:rPr>
                <w:rFonts w:hint="default" w:ascii="Arial" w:hAnsi="Arial" w:eastAsia="宋体" w:cs="Arial"/>
                <w:spacing w:val="-1"/>
                <w:sz w:val="21"/>
                <w:szCs w:val="21"/>
              </w:rPr>
              <w:t>HJ2532</w:t>
            </w:r>
            <w:r>
              <w:rPr>
                <w:rFonts w:hint="default" w:ascii="Arial" w:hAnsi="Arial" w:eastAsia="宋体" w:cs="Arial"/>
                <w:spacing w:val="-35"/>
                <w:sz w:val="21"/>
                <w:szCs w:val="21"/>
              </w:rPr>
              <w:t xml:space="preserve"> </w:t>
            </w:r>
            <w:r>
              <w:rPr>
                <w:rFonts w:hint="default" w:ascii="Arial" w:hAnsi="Arial" w:eastAsia="宋体" w:cs="Arial"/>
                <w:spacing w:val="-1"/>
                <w:sz w:val="21"/>
                <w:szCs w:val="21"/>
              </w:rPr>
              <w:t>轻型汽车</w:t>
            </w:r>
          </w:p>
        </w:tc>
      </w:tr>
      <w:tr w14:paraId="70481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Borders>
              <w:top w:val="single" w:color="auto" w:sz="4" w:space="0"/>
              <w:left w:val="single" w:color="auto" w:sz="4" w:space="0"/>
              <w:bottom w:val="single" w:color="auto" w:sz="4" w:space="0"/>
              <w:right w:val="single" w:color="auto" w:sz="4" w:space="0"/>
            </w:tcBorders>
            <w:vAlign w:val="top"/>
          </w:tcPr>
          <w:p w14:paraId="587FF261">
            <w:pPr>
              <w:pStyle w:val="257"/>
              <w:spacing w:before="66"/>
              <w:ind w:left="115"/>
              <w:rPr>
                <w:rFonts w:hint="default" w:ascii="Arial" w:hAnsi="Arial" w:eastAsia="宋体" w:cs="Arial"/>
                <w:sz w:val="21"/>
                <w:szCs w:val="21"/>
              </w:rPr>
            </w:pPr>
            <w:r>
              <w:rPr>
                <w:rFonts w:hint="default" w:ascii="Arial" w:hAnsi="Arial" w:eastAsia="宋体" w:cs="Arial"/>
                <w:sz w:val="21"/>
                <w:szCs w:val="21"/>
              </w:rPr>
              <w:t>9</w:t>
            </w:r>
          </w:p>
        </w:tc>
        <w:tc>
          <w:tcPr>
            <w:tcW w:w="1542" w:type="dxa"/>
            <w:tcBorders>
              <w:top w:val="single" w:color="auto" w:sz="4" w:space="0"/>
              <w:left w:val="single" w:color="auto" w:sz="4" w:space="0"/>
              <w:bottom w:val="single" w:color="auto" w:sz="4" w:space="0"/>
              <w:right w:val="single" w:color="auto" w:sz="4" w:space="0"/>
            </w:tcBorders>
            <w:vAlign w:val="top"/>
          </w:tcPr>
          <w:p w14:paraId="4C7E3C82">
            <w:pPr>
              <w:pStyle w:val="257"/>
              <w:spacing w:before="66" w:line="220" w:lineRule="auto"/>
              <w:ind w:left="102"/>
              <w:rPr>
                <w:rFonts w:hint="default" w:ascii="Arial" w:hAnsi="Arial" w:eastAsia="宋体" w:cs="Arial"/>
                <w:sz w:val="21"/>
                <w:szCs w:val="21"/>
              </w:rPr>
            </w:pPr>
            <w:r>
              <w:rPr>
                <w:rFonts w:hint="default" w:ascii="Arial" w:hAnsi="Arial" w:eastAsia="宋体" w:cs="Arial"/>
                <w:spacing w:val="-1"/>
                <w:sz w:val="21"/>
                <w:szCs w:val="21"/>
              </w:rPr>
              <w:t>A020306</w:t>
            </w:r>
            <w:r>
              <w:rPr>
                <w:rFonts w:hint="default" w:ascii="Arial" w:hAnsi="Arial" w:eastAsia="宋体" w:cs="Arial"/>
                <w:spacing w:val="-33"/>
                <w:sz w:val="21"/>
                <w:szCs w:val="21"/>
              </w:rPr>
              <w:t xml:space="preserve"> </w:t>
            </w:r>
            <w:r>
              <w:rPr>
                <w:rFonts w:hint="default" w:ascii="Arial" w:hAnsi="Arial" w:eastAsia="宋体" w:cs="Arial"/>
                <w:spacing w:val="-1"/>
                <w:sz w:val="21"/>
                <w:szCs w:val="21"/>
              </w:rPr>
              <w:t>客车</w:t>
            </w:r>
          </w:p>
        </w:tc>
        <w:tc>
          <w:tcPr>
            <w:tcW w:w="2672" w:type="dxa"/>
            <w:tcBorders>
              <w:top w:val="single" w:color="auto" w:sz="4" w:space="0"/>
              <w:left w:val="single" w:color="auto" w:sz="4" w:space="0"/>
              <w:bottom w:val="single" w:color="auto" w:sz="4" w:space="0"/>
              <w:right w:val="single" w:color="auto" w:sz="4" w:space="0"/>
            </w:tcBorders>
            <w:vAlign w:val="top"/>
          </w:tcPr>
          <w:p w14:paraId="2FD6A6AB">
            <w:pPr>
              <w:pStyle w:val="257"/>
              <w:spacing w:before="66" w:line="220" w:lineRule="auto"/>
              <w:ind w:left="103"/>
              <w:rPr>
                <w:rFonts w:hint="default" w:ascii="Arial" w:hAnsi="Arial" w:eastAsia="宋体" w:cs="Arial"/>
                <w:sz w:val="21"/>
                <w:szCs w:val="21"/>
              </w:rPr>
            </w:pPr>
            <w:r>
              <w:rPr>
                <w:rFonts w:hint="default" w:ascii="Arial" w:hAnsi="Arial" w:eastAsia="宋体" w:cs="Arial"/>
                <w:spacing w:val="-1"/>
                <w:sz w:val="21"/>
                <w:szCs w:val="21"/>
              </w:rPr>
              <w:t>A02030601</w:t>
            </w:r>
            <w:r>
              <w:rPr>
                <w:rFonts w:hint="default" w:ascii="Arial" w:hAnsi="Arial" w:eastAsia="宋体" w:cs="Arial"/>
                <w:spacing w:val="-30"/>
                <w:sz w:val="21"/>
                <w:szCs w:val="21"/>
              </w:rPr>
              <w:t xml:space="preserve"> </w:t>
            </w:r>
            <w:r>
              <w:rPr>
                <w:rFonts w:hint="default" w:ascii="Arial" w:hAnsi="Arial" w:eastAsia="宋体" w:cs="Arial"/>
                <w:spacing w:val="-1"/>
                <w:sz w:val="21"/>
                <w:szCs w:val="21"/>
              </w:rPr>
              <w:t>小型客车</w:t>
            </w:r>
          </w:p>
        </w:tc>
        <w:tc>
          <w:tcPr>
            <w:tcW w:w="2248" w:type="dxa"/>
            <w:tcBorders>
              <w:top w:val="single" w:color="auto" w:sz="4" w:space="0"/>
              <w:left w:val="single" w:color="auto" w:sz="4" w:space="0"/>
              <w:bottom w:val="single" w:color="auto" w:sz="4" w:space="0"/>
              <w:right w:val="single" w:color="auto" w:sz="4" w:space="0"/>
            </w:tcBorders>
            <w:vAlign w:val="top"/>
          </w:tcPr>
          <w:p w14:paraId="7DE58688">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03FBE764">
            <w:pPr>
              <w:pStyle w:val="257"/>
              <w:spacing w:before="66" w:line="219" w:lineRule="auto"/>
              <w:ind w:left="109"/>
              <w:rPr>
                <w:rFonts w:hint="default" w:ascii="Arial" w:hAnsi="Arial" w:eastAsia="宋体" w:cs="Arial"/>
                <w:sz w:val="21"/>
                <w:szCs w:val="21"/>
              </w:rPr>
            </w:pPr>
            <w:r>
              <w:rPr>
                <w:rFonts w:hint="default" w:ascii="Arial" w:hAnsi="Arial" w:eastAsia="宋体" w:cs="Arial"/>
                <w:spacing w:val="-1"/>
                <w:sz w:val="21"/>
                <w:szCs w:val="21"/>
              </w:rPr>
              <w:t>HJ2532</w:t>
            </w:r>
            <w:r>
              <w:rPr>
                <w:rFonts w:hint="default" w:ascii="Arial" w:hAnsi="Arial" w:eastAsia="宋体" w:cs="Arial"/>
                <w:spacing w:val="-35"/>
                <w:sz w:val="21"/>
                <w:szCs w:val="21"/>
              </w:rPr>
              <w:t xml:space="preserve"> </w:t>
            </w:r>
            <w:r>
              <w:rPr>
                <w:rFonts w:hint="default" w:ascii="Arial" w:hAnsi="Arial" w:eastAsia="宋体" w:cs="Arial"/>
                <w:spacing w:val="-1"/>
                <w:sz w:val="21"/>
                <w:szCs w:val="21"/>
              </w:rPr>
              <w:t>轻型汽车</w:t>
            </w:r>
          </w:p>
        </w:tc>
      </w:tr>
      <w:tr w14:paraId="0FEA3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left w:val="single" w:color="auto" w:sz="4" w:space="0"/>
              <w:bottom w:val="single" w:color="auto" w:sz="4" w:space="0"/>
              <w:right w:val="single" w:color="auto" w:sz="4" w:space="0"/>
            </w:tcBorders>
            <w:vAlign w:val="top"/>
          </w:tcPr>
          <w:p w14:paraId="2068AC49">
            <w:pPr>
              <w:pStyle w:val="257"/>
              <w:spacing w:before="67"/>
              <w:ind w:left="128"/>
              <w:rPr>
                <w:rFonts w:hint="default" w:ascii="Arial" w:hAnsi="Arial" w:eastAsia="宋体" w:cs="Arial"/>
                <w:sz w:val="21"/>
                <w:szCs w:val="21"/>
              </w:rPr>
            </w:pPr>
            <w:r>
              <w:rPr>
                <w:rFonts w:hint="default" w:ascii="Arial" w:hAnsi="Arial" w:eastAsia="宋体" w:cs="Arial"/>
                <w:spacing w:val="-10"/>
                <w:sz w:val="21"/>
                <w:szCs w:val="21"/>
              </w:rPr>
              <w:t>10</w:t>
            </w:r>
          </w:p>
        </w:tc>
        <w:tc>
          <w:tcPr>
            <w:tcW w:w="1542" w:type="dxa"/>
            <w:tcBorders>
              <w:top w:val="single" w:color="auto" w:sz="4" w:space="0"/>
              <w:left w:val="single" w:color="auto" w:sz="4" w:space="0"/>
              <w:bottom w:val="single" w:color="auto" w:sz="4" w:space="0"/>
              <w:right w:val="single" w:color="auto" w:sz="4" w:space="0"/>
            </w:tcBorders>
            <w:vAlign w:val="top"/>
          </w:tcPr>
          <w:p w14:paraId="3D36BFA1">
            <w:pPr>
              <w:pStyle w:val="257"/>
              <w:spacing w:before="66" w:line="283" w:lineRule="auto"/>
              <w:ind w:left="106" w:right="108" w:hanging="4"/>
              <w:rPr>
                <w:rFonts w:hint="default" w:ascii="Arial" w:hAnsi="Arial" w:eastAsia="宋体" w:cs="Arial"/>
                <w:sz w:val="21"/>
                <w:szCs w:val="21"/>
              </w:rPr>
            </w:pPr>
            <w:r>
              <w:rPr>
                <w:rFonts w:hint="default" w:ascii="Arial" w:hAnsi="Arial" w:eastAsia="宋体" w:cs="Arial"/>
                <w:spacing w:val="3"/>
                <w:sz w:val="21"/>
                <w:szCs w:val="21"/>
              </w:rPr>
              <w:t>A020307</w:t>
            </w:r>
            <w:r>
              <w:rPr>
                <w:rFonts w:hint="default" w:ascii="Arial" w:hAnsi="Arial" w:eastAsia="宋体" w:cs="Arial"/>
                <w:spacing w:val="34"/>
                <w:sz w:val="21"/>
                <w:szCs w:val="21"/>
              </w:rPr>
              <w:t xml:space="preserve"> </w:t>
            </w:r>
            <w:r>
              <w:rPr>
                <w:rFonts w:hint="default" w:ascii="Arial" w:hAnsi="Arial" w:eastAsia="宋体" w:cs="Arial"/>
                <w:spacing w:val="3"/>
                <w:sz w:val="21"/>
                <w:szCs w:val="21"/>
              </w:rPr>
              <w:t>专用车</w:t>
            </w:r>
            <w:r>
              <w:rPr>
                <w:rFonts w:hint="default" w:ascii="Arial" w:hAnsi="Arial" w:eastAsia="宋体" w:cs="Arial"/>
                <w:sz w:val="21"/>
                <w:szCs w:val="21"/>
              </w:rPr>
              <w:t xml:space="preserve"> 辆</w:t>
            </w:r>
          </w:p>
        </w:tc>
        <w:tc>
          <w:tcPr>
            <w:tcW w:w="2672" w:type="dxa"/>
            <w:tcBorders>
              <w:top w:val="single" w:color="auto" w:sz="4" w:space="0"/>
              <w:left w:val="single" w:color="auto" w:sz="4" w:space="0"/>
              <w:bottom w:val="single" w:color="auto" w:sz="4" w:space="0"/>
              <w:right w:val="single" w:color="auto" w:sz="4" w:space="0"/>
            </w:tcBorders>
            <w:vAlign w:val="top"/>
          </w:tcPr>
          <w:p w14:paraId="2B73F5B6">
            <w:pPr>
              <w:pStyle w:val="257"/>
              <w:spacing w:before="66" w:line="220" w:lineRule="auto"/>
              <w:ind w:left="103"/>
              <w:rPr>
                <w:rFonts w:hint="default" w:ascii="Arial" w:hAnsi="Arial" w:eastAsia="宋体" w:cs="Arial"/>
                <w:sz w:val="21"/>
                <w:szCs w:val="21"/>
              </w:rPr>
            </w:pPr>
            <w:r>
              <w:rPr>
                <w:rFonts w:hint="default" w:ascii="Arial" w:hAnsi="Arial" w:eastAsia="宋体" w:cs="Arial"/>
                <w:spacing w:val="-1"/>
                <w:sz w:val="21"/>
                <w:szCs w:val="21"/>
              </w:rPr>
              <w:t>A02030799</w:t>
            </w:r>
            <w:r>
              <w:rPr>
                <w:rFonts w:hint="default" w:ascii="Arial" w:hAnsi="Arial" w:eastAsia="宋体" w:cs="Arial"/>
                <w:spacing w:val="-30"/>
                <w:sz w:val="21"/>
                <w:szCs w:val="21"/>
              </w:rPr>
              <w:t xml:space="preserve"> </w:t>
            </w:r>
            <w:r>
              <w:rPr>
                <w:rFonts w:hint="default" w:ascii="Arial" w:hAnsi="Arial" w:eastAsia="宋体" w:cs="Arial"/>
                <w:spacing w:val="-1"/>
                <w:sz w:val="21"/>
                <w:szCs w:val="21"/>
              </w:rPr>
              <w:t>其他专用汽车</w:t>
            </w:r>
          </w:p>
        </w:tc>
        <w:tc>
          <w:tcPr>
            <w:tcW w:w="2248" w:type="dxa"/>
            <w:tcBorders>
              <w:top w:val="single" w:color="auto" w:sz="4" w:space="0"/>
              <w:left w:val="single" w:color="auto" w:sz="4" w:space="0"/>
              <w:bottom w:val="single" w:color="auto" w:sz="4" w:space="0"/>
              <w:right w:val="single" w:color="auto" w:sz="4" w:space="0"/>
            </w:tcBorders>
            <w:vAlign w:val="top"/>
          </w:tcPr>
          <w:p w14:paraId="3F4C7A2E">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5BAF2E39">
            <w:pPr>
              <w:pStyle w:val="257"/>
              <w:spacing w:before="66" w:line="219" w:lineRule="auto"/>
              <w:ind w:left="109"/>
              <w:rPr>
                <w:rFonts w:hint="default" w:ascii="Arial" w:hAnsi="Arial" w:eastAsia="宋体" w:cs="Arial"/>
                <w:sz w:val="21"/>
                <w:szCs w:val="21"/>
              </w:rPr>
            </w:pPr>
            <w:r>
              <w:rPr>
                <w:rFonts w:hint="default" w:ascii="Arial" w:hAnsi="Arial" w:eastAsia="宋体" w:cs="Arial"/>
                <w:spacing w:val="-1"/>
                <w:sz w:val="21"/>
                <w:szCs w:val="21"/>
              </w:rPr>
              <w:t>HJ2532</w:t>
            </w:r>
            <w:r>
              <w:rPr>
                <w:rFonts w:hint="default" w:ascii="Arial" w:hAnsi="Arial" w:eastAsia="宋体" w:cs="Arial"/>
                <w:spacing w:val="-35"/>
                <w:sz w:val="21"/>
                <w:szCs w:val="21"/>
              </w:rPr>
              <w:t xml:space="preserve"> </w:t>
            </w:r>
            <w:r>
              <w:rPr>
                <w:rFonts w:hint="default" w:ascii="Arial" w:hAnsi="Arial" w:eastAsia="宋体" w:cs="Arial"/>
                <w:spacing w:val="-1"/>
                <w:sz w:val="21"/>
                <w:szCs w:val="21"/>
              </w:rPr>
              <w:t>轻型汽车</w:t>
            </w:r>
          </w:p>
        </w:tc>
      </w:tr>
      <w:tr w14:paraId="03CB4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1E81AA5F">
            <w:pPr>
              <w:pStyle w:val="257"/>
              <w:spacing w:before="69" w:line="242" w:lineRule="auto"/>
              <w:ind w:left="128"/>
              <w:rPr>
                <w:rFonts w:hint="default" w:ascii="Arial" w:hAnsi="Arial" w:eastAsia="宋体" w:cs="Arial"/>
                <w:sz w:val="21"/>
                <w:szCs w:val="21"/>
              </w:rPr>
            </w:pPr>
            <w:r>
              <w:rPr>
                <w:rFonts w:hint="default" w:ascii="Arial" w:hAnsi="Arial" w:eastAsia="宋体" w:cs="Arial"/>
                <w:spacing w:val="-10"/>
                <w:sz w:val="21"/>
                <w:szCs w:val="21"/>
              </w:rPr>
              <w:t>11</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B4E53E3">
            <w:pPr>
              <w:pStyle w:val="257"/>
              <w:spacing w:before="69" w:line="323" w:lineRule="auto"/>
              <w:ind w:left="109" w:right="108" w:hanging="7"/>
              <w:rPr>
                <w:rFonts w:hint="default" w:ascii="Arial" w:hAnsi="Arial" w:eastAsia="宋体" w:cs="Arial"/>
                <w:sz w:val="21"/>
                <w:szCs w:val="21"/>
              </w:rPr>
            </w:pPr>
            <w:r>
              <w:rPr>
                <w:rFonts w:hint="default" w:ascii="Arial" w:hAnsi="Arial" w:eastAsia="宋体" w:cs="Arial"/>
                <w:spacing w:val="3"/>
                <w:sz w:val="21"/>
                <w:szCs w:val="21"/>
              </w:rPr>
              <w:t>A020523</w:t>
            </w:r>
            <w:r>
              <w:rPr>
                <w:rFonts w:hint="default" w:ascii="Arial" w:hAnsi="Arial" w:eastAsia="宋体" w:cs="Arial"/>
                <w:spacing w:val="34"/>
                <w:sz w:val="21"/>
                <w:szCs w:val="21"/>
              </w:rPr>
              <w:t xml:space="preserve"> </w:t>
            </w:r>
            <w:r>
              <w:rPr>
                <w:rFonts w:hint="default" w:ascii="Arial" w:hAnsi="Arial" w:eastAsia="宋体" w:cs="Arial"/>
                <w:spacing w:val="3"/>
                <w:sz w:val="21"/>
                <w:szCs w:val="21"/>
              </w:rPr>
              <w:t>制冷空</w:t>
            </w:r>
            <w:r>
              <w:rPr>
                <w:rFonts w:hint="default" w:ascii="Arial" w:hAnsi="Arial" w:eastAsia="宋体" w:cs="Arial"/>
                <w:sz w:val="21"/>
                <w:szCs w:val="21"/>
              </w:rPr>
              <w:t xml:space="preserve"> </w:t>
            </w:r>
            <w:r>
              <w:rPr>
                <w:rFonts w:hint="default" w:ascii="Arial" w:hAnsi="Arial" w:eastAsia="宋体" w:cs="Arial"/>
                <w:spacing w:val="-2"/>
                <w:sz w:val="21"/>
                <w:szCs w:val="21"/>
              </w:rPr>
              <w:t>调设备</w:t>
            </w:r>
          </w:p>
        </w:tc>
        <w:tc>
          <w:tcPr>
            <w:tcW w:w="2672" w:type="dxa"/>
            <w:tcBorders>
              <w:top w:val="single" w:color="auto" w:sz="4" w:space="0"/>
              <w:left w:val="single" w:color="auto" w:sz="4" w:space="0"/>
              <w:bottom w:val="single" w:color="auto" w:sz="4" w:space="0"/>
              <w:right w:val="single" w:color="auto" w:sz="4" w:space="0"/>
            </w:tcBorders>
            <w:vAlign w:val="top"/>
          </w:tcPr>
          <w:p w14:paraId="75034FAA">
            <w:pPr>
              <w:pStyle w:val="257"/>
              <w:spacing w:before="70" w:line="219" w:lineRule="auto"/>
              <w:ind w:left="103"/>
              <w:rPr>
                <w:rFonts w:hint="default" w:ascii="Arial" w:hAnsi="Arial" w:eastAsia="宋体" w:cs="Arial"/>
                <w:sz w:val="21"/>
                <w:szCs w:val="21"/>
              </w:rPr>
            </w:pPr>
            <w:r>
              <w:rPr>
                <w:rFonts w:hint="default" w:ascii="Arial" w:hAnsi="Arial" w:eastAsia="宋体" w:cs="Arial"/>
                <w:sz w:val="21"/>
                <w:szCs w:val="21"/>
              </w:rPr>
              <w:t>A02052301 制冷压缩机</w:t>
            </w:r>
          </w:p>
        </w:tc>
        <w:tc>
          <w:tcPr>
            <w:tcW w:w="2248" w:type="dxa"/>
            <w:tcBorders>
              <w:top w:val="single" w:color="auto" w:sz="4" w:space="0"/>
              <w:left w:val="single" w:color="auto" w:sz="4" w:space="0"/>
              <w:bottom w:val="single" w:color="auto" w:sz="4" w:space="0"/>
              <w:right w:val="single" w:color="auto" w:sz="4" w:space="0"/>
            </w:tcBorders>
            <w:vAlign w:val="top"/>
          </w:tcPr>
          <w:p w14:paraId="42B3E425">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7C5E54B3">
            <w:pPr>
              <w:pStyle w:val="257"/>
              <w:spacing w:before="69" w:line="219" w:lineRule="auto"/>
              <w:ind w:left="109"/>
              <w:rPr>
                <w:rFonts w:hint="default" w:ascii="Arial" w:hAnsi="Arial" w:eastAsia="宋体" w:cs="Arial"/>
                <w:sz w:val="21"/>
                <w:szCs w:val="21"/>
              </w:rPr>
            </w:pPr>
            <w:r>
              <w:rPr>
                <w:rFonts w:hint="default" w:ascii="Arial" w:hAnsi="Arial" w:eastAsia="宋体" w:cs="Arial"/>
                <w:spacing w:val="-1"/>
                <w:sz w:val="21"/>
                <w:szCs w:val="21"/>
              </w:rPr>
              <w:t>HJ2531</w:t>
            </w:r>
            <w:r>
              <w:rPr>
                <w:rFonts w:hint="default" w:ascii="Arial" w:hAnsi="Arial" w:eastAsia="宋体" w:cs="Arial"/>
                <w:spacing w:val="-32"/>
                <w:sz w:val="21"/>
                <w:szCs w:val="21"/>
              </w:rPr>
              <w:t xml:space="preserve"> </w:t>
            </w:r>
            <w:r>
              <w:rPr>
                <w:rFonts w:hint="default" w:ascii="Arial" w:hAnsi="Arial" w:eastAsia="宋体" w:cs="Arial"/>
                <w:spacing w:val="-1"/>
                <w:sz w:val="21"/>
                <w:szCs w:val="21"/>
              </w:rPr>
              <w:t>工商用制冷设备</w:t>
            </w:r>
          </w:p>
        </w:tc>
      </w:tr>
      <w:tr w14:paraId="1D2BC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6098646A">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11C3850">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24D0D540">
            <w:pPr>
              <w:pStyle w:val="257"/>
              <w:spacing w:before="67" w:line="219" w:lineRule="auto"/>
              <w:ind w:left="103"/>
              <w:rPr>
                <w:rFonts w:hint="default" w:ascii="Arial" w:hAnsi="Arial" w:eastAsia="宋体" w:cs="Arial"/>
                <w:sz w:val="21"/>
                <w:szCs w:val="21"/>
              </w:rPr>
            </w:pPr>
            <w:r>
              <w:rPr>
                <w:rFonts w:hint="default" w:ascii="Arial" w:hAnsi="Arial" w:eastAsia="宋体" w:cs="Arial"/>
                <w:sz w:val="21"/>
                <w:szCs w:val="21"/>
              </w:rPr>
              <w:t>A02052305 空调机组</w:t>
            </w:r>
          </w:p>
        </w:tc>
        <w:tc>
          <w:tcPr>
            <w:tcW w:w="2248" w:type="dxa"/>
            <w:tcBorders>
              <w:top w:val="single" w:color="auto" w:sz="4" w:space="0"/>
              <w:left w:val="single" w:color="auto" w:sz="4" w:space="0"/>
              <w:bottom w:val="single" w:color="auto" w:sz="4" w:space="0"/>
              <w:right w:val="single" w:color="auto" w:sz="4" w:space="0"/>
            </w:tcBorders>
            <w:vAlign w:val="top"/>
          </w:tcPr>
          <w:p w14:paraId="207988E8">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27D8CB60">
            <w:pPr>
              <w:pStyle w:val="257"/>
              <w:spacing w:before="67" w:line="219" w:lineRule="auto"/>
              <w:ind w:left="109"/>
              <w:rPr>
                <w:rFonts w:hint="default" w:ascii="Arial" w:hAnsi="Arial" w:eastAsia="宋体" w:cs="Arial"/>
                <w:sz w:val="21"/>
                <w:szCs w:val="21"/>
              </w:rPr>
            </w:pPr>
            <w:r>
              <w:rPr>
                <w:rFonts w:hint="default" w:ascii="Arial" w:hAnsi="Arial" w:eastAsia="宋体" w:cs="Arial"/>
                <w:spacing w:val="-1"/>
                <w:sz w:val="21"/>
                <w:szCs w:val="21"/>
              </w:rPr>
              <w:t>HJ2531</w:t>
            </w:r>
            <w:r>
              <w:rPr>
                <w:rFonts w:hint="default" w:ascii="Arial" w:hAnsi="Arial" w:eastAsia="宋体" w:cs="Arial"/>
                <w:spacing w:val="-32"/>
                <w:sz w:val="21"/>
                <w:szCs w:val="21"/>
              </w:rPr>
              <w:t xml:space="preserve"> </w:t>
            </w:r>
            <w:r>
              <w:rPr>
                <w:rFonts w:hint="default" w:ascii="Arial" w:hAnsi="Arial" w:eastAsia="宋体" w:cs="Arial"/>
                <w:spacing w:val="-1"/>
                <w:sz w:val="21"/>
                <w:szCs w:val="21"/>
              </w:rPr>
              <w:t>工商用制冷设备</w:t>
            </w:r>
          </w:p>
        </w:tc>
      </w:tr>
      <w:tr w14:paraId="041E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099D8D18">
            <w:pPr>
              <w:rPr>
                <w:rFonts w:hint="default" w:ascii="Arial" w:hAnsi="Arial" w:eastAsia="宋体" w:cs="Arial"/>
                <w:sz w:val="21"/>
                <w:szCs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86BEE88">
            <w:pPr>
              <w:rPr>
                <w:rFonts w:hint="default" w:ascii="Arial" w:hAnsi="Arial" w:eastAsia="宋体" w:cs="Arial"/>
                <w:sz w:val="21"/>
                <w:szCs w:val="21"/>
              </w:rPr>
            </w:pPr>
          </w:p>
        </w:tc>
        <w:tc>
          <w:tcPr>
            <w:tcW w:w="2672" w:type="dxa"/>
            <w:tcBorders>
              <w:top w:val="single" w:color="auto" w:sz="4" w:space="0"/>
              <w:left w:val="single" w:color="auto" w:sz="4" w:space="0"/>
              <w:bottom w:val="single" w:color="auto" w:sz="4" w:space="0"/>
              <w:right w:val="single" w:color="auto" w:sz="4" w:space="0"/>
            </w:tcBorders>
            <w:vAlign w:val="top"/>
          </w:tcPr>
          <w:p w14:paraId="41A23B9E">
            <w:pPr>
              <w:pStyle w:val="257"/>
              <w:spacing w:before="67" w:line="221" w:lineRule="auto"/>
              <w:ind w:left="103"/>
              <w:rPr>
                <w:rFonts w:hint="default" w:ascii="Arial" w:hAnsi="Arial" w:eastAsia="宋体" w:cs="Arial"/>
                <w:sz w:val="21"/>
                <w:szCs w:val="21"/>
              </w:rPr>
            </w:pPr>
            <w:r>
              <w:rPr>
                <w:rFonts w:hint="default" w:ascii="Arial" w:hAnsi="Arial" w:eastAsia="宋体" w:cs="Arial"/>
                <w:spacing w:val="-2"/>
                <w:sz w:val="21"/>
                <w:szCs w:val="21"/>
              </w:rPr>
              <w:t>A02052309</w:t>
            </w:r>
            <w:r>
              <w:rPr>
                <w:rFonts w:hint="default" w:ascii="Arial" w:hAnsi="Arial" w:eastAsia="宋体" w:cs="Arial"/>
                <w:spacing w:val="-27"/>
                <w:sz w:val="21"/>
                <w:szCs w:val="21"/>
              </w:rPr>
              <w:t xml:space="preserve"> </w:t>
            </w:r>
            <w:r>
              <w:rPr>
                <w:rFonts w:hint="default" w:ascii="Arial" w:hAnsi="Arial" w:eastAsia="宋体" w:cs="Arial"/>
                <w:spacing w:val="-2"/>
                <w:sz w:val="21"/>
                <w:szCs w:val="21"/>
              </w:rPr>
              <w:t>专用制冷、空调设备</w:t>
            </w:r>
          </w:p>
        </w:tc>
        <w:tc>
          <w:tcPr>
            <w:tcW w:w="2248" w:type="dxa"/>
            <w:tcBorders>
              <w:top w:val="single" w:color="auto" w:sz="4" w:space="0"/>
              <w:left w:val="single" w:color="auto" w:sz="4" w:space="0"/>
              <w:bottom w:val="single" w:color="auto" w:sz="4" w:space="0"/>
              <w:right w:val="single" w:color="auto" w:sz="4" w:space="0"/>
            </w:tcBorders>
            <w:vAlign w:val="top"/>
          </w:tcPr>
          <w:p w14:paraId="22EBF57D">
            <w:pPr>
              <w:rPr>
                <w:rFonts w:hint="default" w:ascii="Arial" w:hAnsi="Arial" w:eastAsia="宋体" w:cs="Arial"/>
                <w:sz w:val="21"/>
                <w:szCs w:val="21"/>
              </w:rPr>
            </w:pPr>
          </w:p>
        </w:tc>
        <w:tc>
          <w:tcPr>
            <w:tcW w:w="2404" w:type="dxa"/>
            <w:tcBorders>
              <w:top w:val="single" w:color="auto" w:sz="4" w:space="0"/>
              <w:left w:val="single" w:color="auto" w:sz="4" w:space="0"/>
              <w:bottom w:val="single" w:color="auto" w:sz="4" w:space="0"/>
              <w:right w:val="single" w:color="auto" w:sz="4" w:space="0"/>
            </w:tcBorders>
            <w:vAlign w:val="top"/>
          </w:tcPr>
          <w:p w14:paraId="3F91AEA3">
            <w:pPr>
              <w:pStyle w:val="257"/>
              <w:spacing w:before="67" w:line="219" w:lineRule="auto"/>
              <w:ind w:left="109"/>
              <w:rPr>
                <w:rFonts w:hint="default" w:ascii="Arial" w:hAnsi="Arial" w:eastAsia="宋体" w:cs="Arial"/>
                <w:sz w:val="21"/>
                <w:szCs w:val="21"/>
              </w:rPr>
            </w:pPr>
            <w:r>
              <w:rPr>
                <w:rFonts w:hint="default" w:ascii="Arial" w:hAnsi="Arial" w:eastAsia="宋体" w:cs="Arial"/>
                <w:spacing w:val="-1"/>
                <w:sz w:val="21"/>
                <w:szCs w:val="21"/>
              </w:rPr>
              <w:t>HJ2531</w:t>
            </w:r>
            <w:r>
              <w:rPr>
                <w:rFonts w:hint="default" w:ascii="Arial" w:hAnsi="Arial" w:eastAsia="宋体" w:cs="Arial"/>
                <w:spacing w:val="-32"/>
                <w:sz w:val="21"/>
                <w:szCs w:val="21"/>
              </w:rPr>
              <w:t xml:space="preserve"> </w:t>
            </w:r>
            <w:r>
              <w:rPr>
                <w:rFonts w:hint="default" w:ascii="Arial" w:hAnsi="Arial" w:eastAsia="宋体" w:cs="Arial"/>
                <w:spacing w:val="-1"/>
                <w:sz w:val="21"/>
                <w:szCs w:val="21"/>
              </w:rPr>
              <w:t>工商用制冷设备</w:t>
            </w:r>
          </w:p>
        </w:tc>
      </w:tr>
      <w:tr w14:paraId="54DBF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08DC120C">
            <w:pPr>
              <w:pStyle w:val="257"/>
              <w:spacing w:before="68" w:line="242" w:lineRule="auto"/>
              <w:ind w:left="128"/>
              <w:rPr>
                <w:rFonts w:hint="default" w:ascii="Arial" w:hAnsi="Arial" w:eastAsia="宋体" w:cs="Arial"/>
                <w:sz w:val="21"/>
                <w:szCs w:val="21"/>
              </w:rPr>
            </w:pPr>
            <w:r>
              <w:rPr>
                <w:rFonts w:hint="default" w:ascii="Arial" w:hAnsi="Arial" w:eastAsia="宋体" w:cs="Arial"/>
                <w:spacing w:val="-10"/>
                <w:sz w:val="21"/>
                <w:szCs w:val="21"/>
              </w:rPr>
              <w:t>12</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005BB3DC">
            <w:pPr>
              <w:pStyle w:val="257"/>
              <w:spacing w:before="69" w:line="324" w:lineRule="auto"/>
              <w:ind w:left="128" w:right="108" w:hanging="26"/>
              <w:rPr>
                <w:rFonts w:hint="default" w:ascii="Arial" w:hAnsi="Arial" w:eastAsia="宋体" w:cs="Arial"/>
                <w:sz w:val="21"/>
                <w:szCs w:val="21"/>
              </w:rPr>
            </w:pPr>
            <w:r>
              <w:rPr>
                <w:rFonts w:hint="default" w:ascii="Arial" w:hAnsi="Arial" w:eastAsia="宋体" w:cs="Arial"/>
                <w:spacing w:val="3"/>
                <w:sz w:val="21"/>
                <w:szCs w:val="21"/>
              </w:rPr>
              <w:t>A020618</w:t>
            </w:r>
            <w:r>
              <w:rPr>
                <w:rFonts w:hint="default" w:ascii="Arial" w:hAnsi="Arial" w:eastAsia="宋体" w:cs="Arial"/>
                <w:spacing w:val="34"/>
                <w:sz w:val="21"/>
                <w:szCs w:val="21"/>
              </w:rPr>
              <w:t xml:space="preserve"> </w:t>
            </w:r>
            <w:r>
              <w:rPr>
                <w:rFonts w:hint="default" w:ascii="Arial" w:hAnsi="Arial" w:eastAsia="宋体" w:cs="Arial"/>
                <w:spacing w:val="3"/>
                <w:sz w:val="21"/>
                <w:szCs w:val="21"/>
              </w:rPr>
              <w:t>生活用</w:t>
            </w:r>
            <w:r>
              <w:rPr>
                <w:rFonts w:hint="default" w:ascii="Arial" w:hAnsi="Arial" w:eastAsia="宋体" w:cs="Arial"/>
                <w:sz w:val="21"/>
                <w:szCs w:val="21"/>
              </w:rPr>
              <w:t xml:space="preserve"> </w:t>
            </w:r>
            <w:r>
              <w:rPr>
                <w:rFonts w:hint="default" w:ascii="Arial" w:hAnsi="Arial" w:eastAsia="宋体" w:cs="Arial"/>
                <w:spacing w:val="-8"/>
                <w:sz w:val="21"/>
                <w:szCs w:val="21"/>
              </w:rPr>
              <w:t>电器</w:t>
            </w:r>
          </w:p>
        </w:tc>
        <w:tc>
          <w:tcPr>
            <w:tcW w:w="2672" w:type="dxa"/>
            <w:tcBorders>
              <w:top w:val="single" w:color="auto" w:sz="4" w:space="0"/>
              <w:left w:val="single" w:color="auto" w:sz="4" w:space="0"/>
              <w:bottom w:val="single" w:color="auto" w:sz="4" w:space="0"/>
              <w:right w:val="single" w:color="auto" w:sz="4" w:space="0"/>
            </w:tcBorders>
            <w:vAlign w:val="top"/>
          </w:tcPr>
          <w:p w14:paraId="18F01712">
            <w:pPr>
              <w:pStyle w:val="257"/>
              <w:spacing w:before="68" w:line="221" w:lineRule="auto"/>
              <w:ind w:left="103"/>
              <w:rPr>
                <w:rFonts w:hint="default" w:ascii="Arial" w:hAnsi="Arial" w:eastAsia="宋体" w:cs="Arial"/>
                <w:sz w:val="21"/>
                <w:szCs w:val="21"/>
              </w:rPr>
            </w:pPr>
            <w:r>
              <w:rPr>
                <w:rFonts w:hint="default" w:ascii="Arial" w:hAnsi="Arial" w:eastAsia="宋体" w:cs="Arial"/>
                <w:spacing w:val="-1"/>
                <w:sz w:val="21"/>
                <w:szCs w:val="21"/>
              </w:rPr>
              <w:t>A02061802</w:t>
            </w:r>
            <w:r>
              <w:rPr>
                <w:rFonts w:hint="default" w:ascii="Arial" w:hAnsi="Arial" w:eastAsia="宋体" w:cs="Arial"/>
                <w:spacing w:val="-29"/>
                <w:sz w:val="21"/>
                <w:szCs w:val="21"/>
              </w:rPr>
              <w:t xml:space="preserve"> </w:t>
            </w:r>
            <w:r>
              <w:rPr>
                <w:rFonts w:hint="default" w:ascii="Arial" w:hAnsi="Arial" w:eastAsia="宋体" w:cs="Arial"/>
                <w:spacing w:val="-1"/>
                <w:sz w:val="21"/>
                <w:szCs w:val="21"/>
              </w:rPr>
              <w:t>空气调节电器</w:t>
            </w:r>
          </w:p>
        </w:tc>
        <w:tc>
          <w:tcPr>
            <w:tcW w:w="2248" w:type="dxa"/>
            <w:tcBorders>
              <w:top w:val="single" w:color="auto" w:sz="4" w:space="0"/>
              <w:left w:val="single" w:color="auto" w:sz="4" w:space="0"/>
              <w:bottom w:val="single" w:color="auto" w:sz="4" w:space="0"/>
              <w:right w:val="single" w:color="auto" w:sz="4" w:space="0"/>
            </w:tcBorders>
            <w:vAlign w:val="top"/>
          </w:tcPr>
          <w:p w14:paraId="2104163D">
            <w:pPr>
              <w:pStyle w:val="257"/>
              <w:spacing w:before="68" w:line="219" w:lineRule="auto"/>
              <w:ind w:left="105"/>
              <w:rPr>
                <w:rFonts w:hint="default" w:ascii="Arial" w:hAnsi="Arial" w:eastAsia="宋体" w:cs="Arial"/>
                <w:sz w:val="21"/>
                <w:szCs w:val="21"/>
              </w:rPr>
            </w:pPr>
            <w:r>
              <w:rPr>
                <w:rFonts w:hint="default" w:ascii="Arial" w:hAnsi="Arial" w:eastAsia="宋体" w:cs="Arial"/>
                <w:spacing w:val="-1"/>
                <w:sz w:val="21"/>
                <w:szCs w:val="21"/>
              </w:rPr>
              <w:t>A0206180203</w:t>
            </w:r>
            <w:r>
              <w:rPr>
                <w:rFonts w:hint="default" w:ascii="Arial" w:hAnsi="Arial" w:eastAsia="宋体" w:cs="Arial"/>
                <w:spacing w:val="-28"/>
                <w:sz w:val="21"/>
                <w:szCs w:val="21"/>
              </w:rPr>
              <w:t xml:space="preserve"> </w:t>
            </w:r>
            <w:r>
              <w:rPr>
                <w:rFonts w:hint="default" w:ascii="Arial" w:hAnsi="Arial" w:eastAsia="宋体" w:cs="Arial"/>
                <w:spacing w:val="-1"/>
                <w:sz w:val="21"/>
                <w:szCs w:val="21"/>
              </w:rPr>
              <w:t>空调机</w:t>
            </w:r>
          </w:p>
        </w:tc>
        <w:tc>
          <w:tcPr>
            <w:tcW w:w="2404" w:type="dxa"/>
            <w:tcBorders>
              <w:top w:val="single" w:color="auto" w:sz="4" w:space="0"/>
              <w:left w:val="single" w:color="auto" w:sz="4" w:space="0"/>
              <w:bottom w:val="single" w:color="auto" w:sz="4" w:space="0"/>
              <w:right w:val="single" w:color="auto" w:sz="4" w:space="0"/>
            </w:tcBorders>
            <w:vAlign w:val="top"/>
          </w:tcPr>
          <w:p w14:paraId="4A4B3FCF">
            <w:pPr>
              <w:pStyle w:val="257"/>
              <w:spacing w:before="68" w:line="219" w:lineRule="auto"/>
              <w:ind w:left="109"/>
              <w:rPr>
                <w:rFonts w:hint="default" w:ascii="Arial" w:hAnsi="Arial" w:eastAsia="宋体" w:cs="Arial"/>
                <w:sz w:val="21"/>
                <w:szCs w:val="21"/>
              </w:rPr>
            </w:pPr>
            <w:r>
              <w:rPr>
                <w:rFonts w:hint="default" w:ascii="Arial" w:hAnsi="Arial" w:eastAsia="宋体" w:cs="Arial"/>
                <w:spacing w:val="-1"/>
                <w:sz w:val="21"/>
                <w:szCs w:val="21"/>
              </w:rPr>
              <w:t>HJ2535</w:t>
            </w:r>
            <w:r>
              <w:rPr>
                <w:rFonts w:hint="default" w:ascii="Arial" w:hAnsi="Arial" w:eastAsia="宋体" w:cs="Arial"/>
                <w:spacing w:val="-32"/>
                <w:sz w:val="21"/>
                <w:szCs w:val="21"/>
              </w:rPr>
              <w:t xml:space="preserve"> </w:t>
            </w:r>
            <w:r>
              <w:rPr>
                <w:rFonts w:hint="default" w:ascii="Arial" w:hAnsi="Arial" w:eastAsia="宋体" w:cs="Arial"/>
                <w:spacing w:val="-1"/>
                <w:sz w:val="21"/>
                <w:szCs w:val="21"/>
              </w:rPr>
              <w:t>房间空气调节器</w:t>
            </w:r>
          </w:p>
        </w:tc>
      </w:tr>
      <w:tr w14:paraId="7AB9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83" w:type="dxa"/>
            <w:vMerge w:val="continue"/>
            <w:tcBorders>
              <w:top w:val="single" w:color="auto" w:sz="4" w:space="0"/>
              <w:left w:val="single" w:color="auto" w:sz="4" w:space="0"/>
            </w:tcBorders>
            <w:vAlign w:val="top"/>
          </w:tcPr>
          <w:p w14:paraId="103064E2">
            <w:pPr>
              <w:rPr>
                <w:rFonts w:hint="default" w:ascii="Arial" w:hAnsi="Arial" w:eastAsia="宋体" w:cs="Arial"/>
                <w:sz w:val="21"/>
                <w:szCs w:val="21"/>
              </w:rPr>
            </w:pPr>
          </w:p>
        </w:tc>
        <w:tc>
          <w:tcPr>
            <w:tcW w:w="1542" w:type="dxa"/>
            <w:vMerge w:val="continue"/>
            <w:tcBorders>
              <w:top w:val="single" w:color="auto" w:sz="4" w:space="0"/>
            </w:tcBorders>
            <w:vAlign w:val="top"/>
          </w:tcPr>
          <w:p w14:paraId="063BF49C">
            <w:pPr>
              <w:rPr>
                <w:rFonts w:hint="default" w:ascii="Arial" w:hAnsi="Arial" w:eastAsia="宋体" w:cs="Arial"/>
                <w:sz w:val="21"/>
                <w:szCs w:val="21"/>
              </w:rPr>
            </w:pPr>
          </w:p>
        </w:tc>
        <w:tc>
          <w:tcPr>
            <w:tcW w:w="2672" w:type="dxa"/>
            <w:tcBorders>
              <w:top w:val="single" w:color="auto" w:sz="4" w:space="0"/>
            </w:tcBorders>
            <w:vAlign w:val="top"/>
          </w:tcPr>
          <w:p w14:paraId="4AB223C5">
            <w:pPr>
              <w:pStyle w:val="257"/>
              <w:spacing w:before="68" w:line="220" w:lineRule="auto"/>
              <w:ind w:left="103"/>
              <w:rPr>
                <w:rFonts w:hint="default" w:ascii="Arial" w:hAnsi="Arial" w:eastAsia="宋体" w:cs="Arial"/>
                <w:sz w:val="21"/>
                <w:szCs w:val="21"/>
              </w:rPr>
            </w:pPr>
            <w:r>
              <w:rPr>
                <w:rFonts w:hint="default" w:ascii="Arial" w:hAnsi="Arial" w:eastAsia="宋体" w:cs="Arial"/>
                <w:spacing w:val="-1"/>
                <w:sz w:val="21"/>
                <w:szCs w:val="21"/>
              </w:rPr>
              <w:t>A02061808</w:t>
            </w:r>
            <w:r>
              <w:rPr>
                <w:rFonts w:hint="default" w:ascii="Arial" w:hAnsi="Arial" w:eastAsia="宋体" w:cs="Arial"/>
                <w:spacing w:val="-31"/>
                <w:sz w:val="21"/>
                <w:szCs w:val="21"/>
              </w:rPr>
              <w:t xml:space="preserve"> </w:t>
            </w:r>
            <w:r>
              <w:rPr>
                <w:rFonts w:hint="default" w:ascii="Arial" w:hAnsi="Arial" w:eastAsia="宋体" w:cs="Arial"/>
                <w:spacing w:val="-1"/>
                <w:sz w:val="21"/>
                <w:szCs w:val="21"/>
              </w:rPr>
              <w:t>热水器</w:t>
            </w:r>
          </w:p>
        </w:tc>
        <w:tc>
          <w:tcPr>
            <w:tcW w:w="2248" w:type="dxa"/>
            <w:tcBorders>
              <w:top w:val="single" w:color="auto" w:sz="4" w:space="0"/>
            </w:tcBorders>
            <w:vAlign w:val="top"/>
          </w:tcPr>
          <w:p w14:paraId="0E02BDFE">
            <w:pPr>
              <w:rPr>
                <w:rFonts w:hint="default" w:ascii="Arial" w:hAnsi="Arial" w:eastAsia="宋体" w:cs="Arial"/>
                <w:sz w:val="21"/>
                <w:szCs w:val="21"/>
              </w:rPr>
            </w:pPr>
          </w:p>
        </w:tc>
        <w:tc>
          <w:tcPr>
            <w:tcW w:w="2404" w:type="dxa"/>
            <w:tcBorders>
              <w:top w:val="single" w:color="auto" w:sz="4" w:space="0"/>
            </w:tcBorders>
            <w:vAlign w:val="top"/>
          </w:tcPr>
          <w:p w14:paraId="7BDA8F06">
            <w:pPr>
              <w:pStyle w:val="257"/>
              <w:spacing w:before="67" w:line="219" w:lineRule="auto"/>
              <w:ind w:left="109"/>
              <w:rPr>
                <w:rFonts w:hint="default" w:ascii="Arial" w:hAnsi="Arial" w:eastAsia="宋体" w:cs="Arial"/>
                <w:sz w:val="21"/>
                <w:szCs w:val="21"/>
              </w:rPr>
            </w:pPr>
            <w:r>
              <w:rPr>
                <w:rFonts w:hint="default" w:ascii="Arial" w:hAnsi="Arial" w:eastAsia="宋体" w:cs="Arial"/>
                <w:spacing w:val="-1"/>
                <w:sz w:val="21"/>
                <w:szCs w:val="21"/>
              </w:rPr>
              <w:t>HJ/T362</w:t>
            </w:r>
            <w:r>
              <w:rPr>
                <w:rFonts w:hint="default" w:ascii="Arial" w:hAnsi="Arial" w:eastAsia="宋体" w:cs="Arial"/>
                <w:spacing w:val="-33"/>
                <w:sz w:val="21"/>
                <w:szCs w:val="21"/>
              </w:rPr>
              <w:t xml:space="preserve"> </w:t>
            </w:r>
            <w:r>
              <w:rPr>
                <w:rFonts w:hint="default" w:ascii="Arial" w:hAnsi="Arial" w:eastAsia="宋体" w:cs="Arial"/>
                <w:spacing w:val="-1"/>
                <w:sz w:val="21"/>
                <w:szCs w:val="21"/>
              </w:rPr>
              <w:t>太阳能集热器</w:t>
            </w:r>
          </w:p>
        </w:tc>
      </w:tr>
    </w:tbl>
    <w:p w14:paraId="1EEBC845">
      <w:pPr>
        <w:spacing w:line="91" w:lineRule="auto"/>
        <w:rPr>
          <w:rFonts w:ascii="Arial"/>
          <w:sz w:val="2"/>
        </w:rPr>
      </w:pPr>
    </w:p>
    <w:tbl>
      <w:tblPr>
        <w:tblStyle w:val="258"/>
        <w:tblW w:w="94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2392"/>
      </w:tblGrid>
      <w:tr w14:paraId="2A3CB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0B49EE33">
            <w:pPr>
              <w:pStyle w:val="257"/>
              <w:spacing w:before="68"/>
              <w:ind w:left="128"/>
            </w:pPr>
            <w:r>
              <w:rPr>
                <w:spacing w:val="-10"/>
              </w:rPr>
              <w:t>13</w:t>
            </w:r>
          </w:p>
        </w:tc>
        <w:tc>
          <w:tcPr>
            <w:tcW w:w="1542" w:type="dxa"/>
            <w:vAlign w:val="top"/>
          </w:tcPr>
          <w:p w14:paraId="6E43FC51">
            <w:pPr>
              <w:pStyle w:val="257"/>
              <w:spacing w:before="69" w:line="284" w:lineRule="auto"/>
              <w:ind w:left="109" w:right="108" w:hanging="7"/>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vAlign w:val="top"/>
          </w:tcPr>
          <w:p w14:paraId="2D34DCC8">
            <w:pPr>
              <w:pStyle w:val="257"/>
              <w:spacing w:before="68" w:line="220" w:lineRule="auto"/>
              <w:ind w:left="103"/>
            </w:pPr>
            <w:r>
              <w:rPr>
                <w:spacing w:val="-1"/>
              </w:rPr>
              <w:t>A02061908</w:t>
            </w:r>
            <w:r>
              <w:rPr>
                <w:spacing w:val="-29"/>
              </w:rPr>
              <w:t xml:space="preserve"> </w:t>
            </w:r>
            <w:r>
              <w:rPr>
                <w:spacing w:val="-1"/>
              </w:rPr>
              <w:t>室内照明灯具</w:t>
            </w:r>
          </w:p>
        </w:tc>
        <w:tc>
          <w:tcPr>
            <w:tcW w:w="2248" w:type="dxa"/>
            <w:vAlign w:val="top"/>
          </w:tcPr>
          <w:p w14:paraId="074F9CEF">
            <w:pPr>
              <w:rPr>
                <w:rFonts w:ascii="Arial"/>
                <w:sz w:val="21"/>
              </w:rPr>
            </w:pPr>
          </w:p>
        </w:tc>
        <w:tc>
          <w:tcPr>
            <w:tcW w:w="2392" w:type="dxa"/>
            <w:vAlign w:val="top"/>
          </w:tcPr>
          <w:p w14:paraId="6A0E61DF">
            <w:pPr>
              <w:pStyle w:val="257"/>
              <w:spacing w:before="67" w:line="219" w:lineRule="auto"/>
              <w:ind w:left="109"/>
            </w:pPr>
            <w:r>
              <w:rPr>
                <w:spacing w:val="-1"/>
              </w:rPr>
              <w:t>HJ2518</w:t>
            </w:r>
            <w:r>
              <w:rPr>
                <w:spacing w:val="-35"/>
              </w:rPr>
              <w:t xml:space="preserve"> </w:t>
            </w:r>
            <w:r>
              <w:rPr>
                <w:spacing w:val="-1"/>
              </w:rPr>
              <w:t>照明光源</w:t>
            </w:r>
          </w:p>
        </w:tc>
      </w:tr>
      <w:tr w14:paraId="2DBCC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0745A86B">
            <w:pPr>
              <w:pStyle w:val="257"/>
              <w:spacing w:before="63" w:line="242" w:lineRule="auto"/>
              <w:ind w:left="128"/>
            </w:pPr>
            <w:r>
              <w:rPr>
                <w:spacing w:val="-10"/>
              </w:rPr>
              <w:t>14</w:t>
            </w:r>
          </w:p>
        </w:tc>
        <w:tc>
          <w:tcPr>
            <w:tcW w:w="1542" w:type="dxa"/>
            <w:vAlign w:val="top"/>
          </w:tcPr>
          <w:p w14:paraId="2CFBB27D">
            <w:pPr>
              <w:pStyle w:val="257"/>
              <w:spacing w:before="64" w:line="296" w:lineRule="auto"/>
              <w:ind w:left="109" w:right="106" w:hanging="7"/>
              <w:jc w:val="both"/>
            </w:pPr>
            <w:r>
              <w:rPr>
                <w:spacing w:val="3"/>
              </w:rPr>
              <w:t>A020810</w:t>
            </w:r>
            <w:r>
              <w:rPr>
                <w:spacing w:val="34"/>
              </w:rPr>
              <w:t xml:space="preserve"> </w:t>
            </w:r>
            <w:r>
              <w:rPr>
                <w:spacing w:val="3"/>
              </w:rPr>
              <w:t>传真及</w:t>
            </w:r>
            <w:r>
              <w:t xml:space="preserve"> </w:t>
            </w:r>
            <w:r>
              <w:rPr>
                <w:spacing w:val="8"/>
              </w:rPr>
              <w:t>数据数字通信设</w:t>
            </w:r>
            <w:r>
              <w:rPr>
                <w:spacing w:val="4"/>
              </w:rPr>
              <w:t xml:space="preserve"> </w:t>
            </w:r>
            <w:r>
              <w:t>备</w:t>
            </w:r>
          </w:p>
        </w:tc>
        <w:tc>
          <w:tcPr>
            <w:tcW w:w="2672" w:type="dxa"/>
            <w:vAlign w:val="top"/>
          </w:tcPr>
          <w:p w14:paraId="61B4E0B1">
            <w:pPr>
              <w:pStyle w:val="257"/>
              <w:spacing w:before="64" w:line="219" w:lineRule="auto"/>
              <w:ind w:left="103"/>
            </w:pPr>
            <w:r>
              <w:rPr>
                <w:spacing w:val="-1"/>
              </w:rPr>
              <w:t>A02081001</w:t>
            </w:r>
            <w:r>
              <w:rPr>
                <w:spacing w:val="-30"/>
              </w:rPr>
              <w:t xml:space="preserve"> </w:t>
            </w:r>
            <w:r>
              <w:rPr>
                <w:spacing w:val="-1"/>
              </w:rPr>
              <w:t>传真通信设备</w:t>
            </w:r>
          </w:p>
        </w:tc>
        <w:tc>
          <w:tcPr>
            <w:tcW w:w="2248" w:type="dxa"/>
            <w:vAlign w:val="top"/>
          </w:tcPr>
          <w:p w14:paraId="7DA17ACF">
            <w:pPr>
              <w:rPr>
                <w:rFonts w:ascii="Arial"/>
                <w:sz w:val="21"/>
              </w:rPr>
            </w:pPr>
          </w:p>
        </w:tc>
        <w:tc>
          <w:tcPr>
            <w:tcW w:w="2392" w:type="dxa"/>
            <w:vAlign w:val="top"/>
          </w:tcPr>
          <w:p w14:paraId="157BEBC2">
            <w:pPr>
              <w:pStyle w:val="257"/>
              <w:spacing w:before="63" w:line="219" w:lineRule="auto"/>
              <w:ind w:left="109"/>
            </w:pPr>
            <w:r>
              <w:rPr>
                <w:spacing w:val="-1"/>
              </w:rPr>
              <w:t>HJ2512</w:t>
            </w:r>
            <w:r>
              <w:rPr>
                <w:spacing w:val="-29"/>
              </w:rPr>
              <w:t xml:space="preserve"> </w:t>
            </w:r>
            <w:r>
              <w:rPr>
                <w:spacing w:val="-1"/>
              </w:rPr>
              <w:t>打印机、传真机及多功能一体机</w:t>
            </w:r>
          </w:p>
        </w:tc>
      </w:tr>
      <w:tr w14:paraId="5BD73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10EF02D">
            <w:pPr>
              <w:pStyle w:val="257"/>
              <w:spacing w:before="64"/>
              <w:ind w:left="128"/>
            </w:pPr>
            <w:r>
              <w:rPr>
                <w:spacing w:val="-10"/>
              </w:rPr>
              <w:t>15</w:t>
            </w:r>
          </w:p>
        </w:tc>
        <w:tc>
          <w:tcPr>
            <w:tcW w:w="1542" w:type="dxa"/>
            <w:vMerge w:val="restart"/>
            <w:tcBorders>
              <w:bottom w:val="nil"/>
            </w:tcBorders>
            <w:vAlign w:val="top"/>
          </w:tcPr>
          <w:p w14:paraId="26E8370D">
            <w:pPr>
              <w:pStyle w:val="257"/>
              <w:spacing w:before="64" w:line="323" w:lineRule="auto"/>
              <w:ind w:left="109" w:right="108" w:hanging="7"/>
            </w:pPr>
            <w:r>
              <w:rPr>
                <w:spacing w:val="1"/>
              </w:rPr>
              <w:t>A020910</w:t>
            </w:r>
            <w:r>
              <w:rPr>
                <w:spacing w:val="54"/>
              </w:rPr>
              <w:t xml:space="preserve"> </w:t>
            </w:r>
            <w:r>
              <w:rPr>
                <w:spacing w:val="1"/>
              </w:rPr>
              <w:t>电视设</w:t>
            </w:r>
            <w:r>
              <w:t xml:space="preserve"> 备</w:t>
            </w:r>
          </w:p>
        </w:tc>
        <w:tc>
          <w:tcPr>
            <w:tcW w:w="2672" w:type="dxa"/>
            <w:vAlign w:val="top"/>
          </w:tcPr>
          <w:p w14:paraId="631B3CB1">
            <w:pPr>
              <w:pStyle w:val="257"/>
              <w:spacing w:before="64" w:line="284" w:lineRule="auto"/>
              <w:ind w:left="107" w:right="107" w:hanging="4"/>
            </w:pPr>
            <w:r>
              <w:rPr>
                <w:spacing w:val="-2"/>
              </w:rPr>
              <w:t>A02091001</w:t>
            </w:r>
            <w:r>
              <w:rPr>
                <w:spacing w:val="-29"/>
              </w:rPr>
              <w:t xml:space="preserve"> </w:t>
            </w:r>
            <w:r>
              <w:rPr>
                <w:spacing w:val="-2"/>
              </w:rPr>
              <w:t>普通电视设备（电视</w:t>
            </w:r>
            <w:r>
              <w:t xml:space="preserve"> </w:t>
            </w:r>
            <w:r>
              <w:rPr>
                <w:spacing w:val="-4"/>
              </w:rPr>
              <w:t>机）</w:t>
            </w:r>
          </w:p>
        </w:tc>
        <w:tc>
          <w:tcPr>
            <w:tcW w:w="2248" w:type="dxa"/>
            <w:vAlign w:val="top"/>
          </w:tcPr>
          <w:p w14:paraId="20AA4966">
            <w:pPr>
              <w:rPr>
                <w:rFonts w:ascii="Arial"/>
                <w:sz w:val="21"/>
              </w:rPr>
            </w:pPr>
          </w:p>
        </w:tc>
        <w:tc>
          <w:tcPr>
            <w:tcW w:w="2392" w:type="dxa"/>
            <w:vAlign w:val="top"/>
          </w:tcPr>
          <w:p w14:paraId="1D43B566">
            <w:pPr>
              <w:pStyle w:val="257"/>
              <w:spacing w:before="64" w:line="219" w:lineRule="auto"/>
              <w:ind w:left="109"/>
            </w:pPr>
            <w:r>
              <w:rPr>
                <w:spacing w:val="-1"/>
              </w:rPr>
              <w:t>HJ2506</w:t>
            </w:r>
            <w:r>
              <w:rPr>
                <w:spacing w:val="-31"/>
              </w:rPr>
              <w:t xml:space="preserve"> </w:t>
            </w:r>
            <w:r>
              <w:rPr>
                <w:spacing w:val="-1"/>
              </w:rPr>
              <w:t>彩色电视广播接收机</w:t>
            </w:r>
          </w:p>
        </w:tc>
      </w:tr>
      <w:tr w14:paraId="15C36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4643E191">
            <w:pPr>
              <w:rPr>
                <w:rFonts w:ascii="Arial"/>
                <w:sz w:val="21"/>
              </w:rPr>
            </w:pPr>
          </w:p>
        </w:tc>
        <w:tc>
          <w:tcPr>
            <w:tcW w:w="1542" w:type="dxa"/>
            <w:vMerge w:val="continue"/>
            <w:tcBorders>
              <w:top w:val="nil"/>
            </w:tcBorders>
            <w:vAlign w:val="top"/>
          </w:tcPr>
          <w:p w14:paraId="4E36F452">
            <w:pPr>
              <w:rPr>
                <w:rFonts w:ascii="Arial"/>
                <w:sz w:val="21"/>
              </w:rPr>
            </w:pPr>
          </w:p>
        </w:tc>
        <w:tc>
          <w:tcPr>
            <w:tcW w:w="2672" w:type="dxa"/>
            <w:vAlign w:val="top"/>
          </w:tcPr>
          <w:p w14:paraId="192CDB2C">
            <w:pPr>
              <w:pStyle w:val="257"/>
              <w:spacing w:before="67" w:line="284" w:lineRule="auto"/>
              <w:ind w:left="111" w:right="107" w:hanging="8"/>
            </w:pPr>
            <w:r>
              <w:rPr>
                <w:spacing w:val="6"/>
              </w:rPr>
              <w:t>A02091003 特殊功能应用电视</w:t>
            </w:r>
            <w:r>
              <w:rPr>
                <w:spacing w:val="7"/>
              </w:rPr>
              <w:t xml:space="preserve"> </w:t>
            </w:r>
            <w:r>
              <w:rPr>
                <w:spacing w:val="-3"/>
              </w:rPr>
              <w:t>设备</w:t>
            </w:r>
          </w:p>
        </w:tc>
        <w:tc>
          <w:tcPr>
            <w:tcW w:w="2248" w:type="dxa"/>
            <w:vAlign w:val="top"/>
          </w:tcPr>
          <w:p w14:paraId="1810E7D8">
            <w:pPr>
              <w:rPr>
                <w:rFonts w:ascii="Arial"/>
                <w:sz w:val="21"/>
              </w:rPr>
            </w:pPr>
          </w:p>
        </w:tc>
        <w:tc>
          <w:tcPr>
            <w:tcW w:w="2392" w:type="dxa"/>
            <w:vAlign w:val="top"/>
          </w:tcPr>
          <w:p w14:paraId="40354154">
            <w:pPr>
              <w:pStyle w:val="257"/>
              <w:spacing w:before="67" w:line="219" w:lineRule="auto"/>
              <w:ind w:left="109"/>
            </w:pPr>
            <w:r>
              <w:rPr>
                <w:spacing w:val="-1"/>
              </w:rPr>
              <w:t>HJ2506</w:t>
            </w:r>
            <w:r>
              <w:rPr>
                <w:spacing w:val="-31"/>
              </w:rPr>
              <w:t xml:space="preserve"> </w:t>
            </w:r>
            <w:r>
              <w:rPr>
                <w:spacing w:val="-1"/>
              </w:rPr>
              <w:t>彩色电视广播接收机</w:t>
            </w:r>
          </w:p>
        </w:tc>
      </w:tr>
      <w:tr w14:paraId="2ADF6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restart"/>
            <w:tcBorders>
              <w:bottom w:val="nil"/>
            </w:tcBorders>
            <w:vAlign w:val="top"/>
          </w:tcPr>
          <w:p w14:paraId="7DC6975A">
            <w:pPr>
              <w:pStyle w:val="257"/>
              <w:spacing w:before="65"/>
              <w:ind w:left="128"/>
            </w:pPr>
            <w:r>
              <w:rPr>
                <w:spacing w:val="-10"/>
              </w:rPr>
              <w:t>16</w:t>
            </w:r>
          </w:p>
        </w:tc>
        <w:tc>
          <w:tcPr>
            <w:tcW w:w="1542" w:type="dxa"/>
            <w:vMerge w:val="restart"/>
            <w:tcBorders>
              <w:bottom w:val="nil"/>
            </w:tcBorders>
            <w:vAlign w:val="top"/>
          </w:tcPr>
          <w:p w14:paraId="5FEF690E">
            <w:pPr>
              <w:pStyle w:val="257"/>
              <w:spacing w:before="65" w:line="220" w:lineRule="auto"/>
              <w:ind w:left="193"/>
            </w:pPr>
            <w:r>
              <w:rPr>
                <w:spacing w:val="-1"/>
              </w:rPr>
              <w:t>A0601</w:t>
            </w:r>
            <w:r>
              <w:rPr>
                <w:spacing w:val="-36"/>
              </w:rPr>
              <w:t xml:space="preserve"> </w:t>
            </w:r>
            <w:r>
              <w:rPr>
                <w:spacing w:val="-1"/>
              </w:rPr>
              <w:t>床类</w:t>
            </w:r>
          </w:p>
        </w:tc>
        <w:tc>
          <w:tcPr>
            <w:tcW w:w="2672" w:type="dxa"/>
            <w:vAlign w:val="top"/>
          </w:tcPr>
          <w:p w14:paraId="1E642A8B">
            <w:pPr>
              <w:pStyle w:val="257"/>
              <w:spacing w:before="65" w:line="220" w:lineRule="auto"/>
              <w:ind w:left="103"/>
            </w:pPr>
            <w:r>
              <w:rPr>
                <w:spacing w:val="-1"/>
              </w:rPr>
              <w:t>A060101</w:t>
            </w:r>
            <w:r>
              <w:rPr>
                <w:spacing w:val="-34"/>
              </w:rPr>
              <w:t xml:space="preserve"> </w:t>
            </w:r>
            <w:r>
              <w:rPr>
                <w:spacing w:val="-1"/>
              </w:rPr>
              <w:t>钢木床类</w:t>
            </w:r>
          </w:p>
        </w:tc>
        <w:tc>
          <w:tcPr>
            <w:tcW w:w="2248" w:type="dxa"/>
            <w:vAlign w:val="top"/>
          </w:tcPr>
          <w:p w14:paraId="46156D67">
            <w:pPr>
              <w:rPr>
                <w:rFonts w:ascii="Arial"/>
                <w:sz w:val="21"/>
              </w:rPr>
            </w:pPr>
          </w:p>
        </w:tc>
        <w:tc>
          <w:tcPr>
            <w:tcW w:w="2392" w:type="dxa"/>
            <w:vAlign w:val="top"/>
          </w:tcPr>
          <w:p w14:paraId="653439C0">
            <w:pPr>
              <w:pStyle w:val="257"/>
              <w:spacing w:before="64"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8538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83" w:type="dxa"/>
            <w:vMerge w:val="continue"/>
            <w:tcBorders>
              <w:top w:val="nil"/>
              <w:bottom w:val="nil"/>
            </w:tcBorders>
            <w:vAlign w:val="top"/>
          </w:tcPr>
          <w:p w14:paraId="196591F5">
            <w:pPr>
              <w:rPr>
                <w:rFonts w:ascii="Arial"/>
                <w:sz w:val="21"/>
              </w:rPr>
            </w:pPr>
          </w:p>
        </w:tc>
        <w:tc>
          <w:tcPr>
            <w:tcW w:w="1542" w:type="dxa"/>
            <w:vMerge w:val="continue"/>
            <w:tcBorders>
              <w:top w:val="nil"/>
              <w:bottom w:val="nil"/>
            </w:tcBorders>
            <w:vAlign w:val="top"/>
          </w:tcPr>
          <w:p w14:paraId="7F4A9CF9">
            <w:pPr>
              <w:rPr>
                <w:rFonts w:ascii="Arial"/>
                <w:sz w:val="21"/>
              </w:rPr>
            </w:pPr>
          </w:p>
        </w:tc>
        <w:tc>
          <w:tcPr>
            <w:tcW w:w="2672" w:type="dxa"/>
            <w:vAlign w:val="top"/>
          </w:tcPr>
          <w:p w14:paraId="3C53E63A">
            <w:pPr>
              <w:pStyle w:val="257"/>
              <w:spacing w:before="65" w:line="220" w:lineRule="auto"/>
              <w:ind w:left="103"/>
            </w:pPr>
            <w:r>
              <w:rPr>
                <w:spacing w:val="-1"/>
              </w:rPr>
              <w:t>A060104</w:t>
            </w:r>
            <w:r>
              <w:rPr>
                <w:spacing w:val="-33"/>
              </w:rPr>
              <w:t xml:space="preserve"> </w:t>
            </w:r>
            <w:r>
              <w:rPr>
                <w:spacing w:val="-1"/>
              </w:rPr>
              <w:t>木制床类</w:t>
            </w:r>
          </w:p>
        </w:tc>
        <w:tc>
          <w:tcPr>
            <w:tcW w:w="2248" w:type="dxa"/>
            <w:vAlign w:val="top"/>
          </w:tcPr>
          <w:p w14:paraId="53FC7E23">
            <w:pPr>
              <w:rPr>
                <w:rFonts w:ascii="Arial"/>
                <w:sz w:val="21"/>
              </w:rPr>
            </w:pPr>
          </w:p>
        </w:tc>
        <w:tc>
          <w:tcPr>
            <w:tcW w:w="2392" w:type="dxa"/>
            <w:vAlign w:val="top"/>
          </w:tcPr>
          <w:p w14:paraId="52649647">
            <w:pPr>
              <w:pStyle w:val="257"/>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45376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C97FAC">
            <w:pPr>
              <w:rPr>
                <w:rFonts w:ascii="Arial"/>
                <w:sz w:val="21"/>
              </w:rPr>
            </w:pPr>
          </w:p>
        </w:tc>
        <w:tc>
          <w:tcPr>
            <w:tcW w:w="1542" w:type="dxa"/>
            <w:vMerge w:val="continue"/>
            <w:tcBorders>
              <w:top w:val="nil"/>
            </w:tcBorders>
            <w:vAlign w:val="top"/>
          </w:tcPr>
          <w:p w14:paraId="4C47414E">
            <w:pPr>
              <w:rPr>
                <w:rFonts w:ascii="Arial"/>
                <w:sz w:val="21"/>
              </w:rPr>
            </w:pPr>
          </w:p>
        </w:tc>
        <w:tc>
          <w:tcPr>
            <w:tcW w:w="2672" w:type="dxa"/>
            <w:vAlign w:val="top"/>
          </w:tcPr>
          <w:p w14:paraId="2D9D08FB">
            <w:pPr>
              <w:pStyle w:val="257"/>
              <w:spacing w:before="65" w:line="220" w:lineRule="auto"/>
              <w:ind w:left="103"/>
            </w:pPr>
            <w:r>
              <w:rPr>
                <w:spacing w:val="-1"/>
              </w:rPr>
              <w:t>A060199</w:t>
            </w:r>
            <w:r>
              <w:rPr>
                <w:spacing w:val="-33"/>
              </w:rPr>
              <w:t xml:space="preserve"> </w:t>
            </w:r>
            <w:r>
              <w:rPr>
                <w:spacing w:val="-1"/>
              </w:rPr>
              <w:t>其他床类</w:t>
            </w:r>
          </w:p>
        </w:tc>
        <w:tc>
          <w:tcPr>
            <w:tcW w:w="2248" w:type="dxa"/>
            <w:vAlign w:val="top"/>
          </w:tcPr>
          <w:p w14:paraId="26DA5D59">
            <w:pPr>
              <w:rPr>
                <w:rFonts w:ascii="Arial"/>
                <w:sz w:val="21"/>
              </w:rPr>
            </w:pPr>
          </w:p>
        </w:tc>
        <w:tc>
          <w:tcPr>
            <w:tcW w:w="2392" w:type="dxa"/>
            <w:vAlign w:val="top"/>
          </w:tcPr>
          <w:p w14:paraId="4B52C3C6">
            <w:pPr>
              <w:pStyle w:val="257"/>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2B773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0FF68E8">
            <w:pPr>
              <w:pStyle w:val="257"/>
              <w:spacing w:before="66"/>
              <w:ind w:left="128"/>
            </w:pPr>
            <w:r>
              <w:rPr>
                <w:spacing w:val="-10"/>
              </w:rPr>
              <w:t>17</w:t>
            </w:r>
          </w:p>
        </w:tc>
        <w:tc>
          <w:tcPr>
            <w:tcW w:w="1542" w:type="dxa"/>
            <w:vMerge w:val="restart"/>
            <w:tcBorders>
              <w:bottom w:val="nil"/>
            </w:tcBorders>
            <w:vAlign w:val="top"/>
          </w:tcPr>
          <w:p w14:paraId="46AB660E">
            <w:pPr>
              <w:pStyle w:val="257"/>
              <w:spacing w:before="65" w:line="220" w:lineRule="auto"/>
              <w:ind w:left="102"/>
            </w:pPr>
            <w:r>
              <w:rPr>
                <w:spacing w:val="-2"/>
              </w:rPr>
              <w:t>A0602</w:t>
            </w:r>
            <w:r>
              <w:rPr>
                <w:spacing w:val="-22"/>
              </w:rPr>
              <w:t xml:space="preserve"> </w:t>
            </w:r>
            <w:r>
              <w:rPr>
                <w:spacing w:val="-2"/>
              </w:rPr>
              <w:t>台、桌类</w:t>
            </w:r>
          </w:p>
        </w:tc>
        <w:tc>
          <w:tcPr>
            <w:tcW w:w="2672" w:type="dxa"/>
            <w:vAlign w:val="top"/>
          </w:tcPr>
          <w:p w14:paraId="0E8D4756">
            <w:pPr>
              <w:pStyle w:val="257"/>
              <w:spacing w:before="65" w:line="220" w:lineRule="auto"/>
              <w:ind w:left="103"/>
            </w:pPr>
            <w:r>
              <w:rPr>
                <w:spacing w:val="-1"/>
              </w:rPr>
              <w:t>A060201</w:t>
            </w:r>
            <w:r>
              <w:rPr>
                <w:spacing w:val="-29"/>
              </w:rPr>
              <w:t xml:space="preserve"> </w:t>
            </w:r>
            <w:r>
              <w:rPr>
                <w:spacing w:val="-1"/>
              </w:rPr>
              <w:t>钢木台、桌类</w:t>
            </w:r>
          </w:p>
        </w:tc>
        <w:tc>
          <w:tcPr>
            <w:tcW w:w="2248" w:type="dxa"/>
            <w:vAlign w:val="top"/>
          </w:tcPr>
          <w:p w14:paraId="50B7C193">
            <w:pPr>
              <w:rPr>
                <w:rFonts w:ascii="Arial"/>
                <w:sz w:val="21"/>
              </w:rPr>
            </w:pPr>
          </w:p>
        </w:tc>
        <w:tc>
          <w:tcPr>
            <w:tcW w:w="2392" w:type="dxa"/>
            <w:vAlign w:val="top"/>
          </w:tcPr>
          <w:p w14:paraId="0D667D18">
            <w:pPr>
              <w:pStyle w:val="257"/>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31B56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6DD718B9">
            <w:pPr>
              <w:rPr>
                <w:rFonts w:ascii="Arial"/>
                <w:sz w:val="21"/>
              </w:rPr>
            </w:pPr>
          </w:p>
        </w:tc>
        <w:tc>
          <w:tcPr>
            <w:tcW w:w="1542" w:type="dxa"/>
            <w:vMerge w:val="continue"/>
            <w:tcBorders>
              <w:top w:val="nil"/>
              <w:bottom w:val="nil"/>
            </w:tcBorders>
            <w:vAlign w:val="top"/>
          </w:tcPr>
          <w:p w14:paraId="386792F2">
            <w:pPr>
              <w:rPr>
                <w:rFonts w:ascii="Arial"/>
                <w:sz w:val="21"/>
              </w:rPr>
            </w:pPr>
          </w:p>
        </w:tc>
        <w:tc>
          <w:tcPr>
            <w:tcW w:w="2672" w:type="dxa"/>
            <w:vAlign w:val="top"/>
          </w:tcPr>
          <w:p w14:paraId="04D01AD8">
            <w:pPr>
              <w:pStyle w:val="257"/>
              <w:spacing w:before="65" w:line="220" w:lineRule="auto"/>
              <w:ind w:left="103"/>
            </w:pPr>
            <w:r>
              <w:rPr>
                <w:spacing w:val="-1"/>
              </w:rPr>
              <w:t>A060205</w:t>
            </w:r>
            <w:r>
              <w:rPr>
                <w:spacing w:val="-29"/>
              </w:rPr>
              <w:t xml:space="preserve"> </w:t>
            </w:r>
            <w:r>
              <w:rPr>
                <w:spacing w:val="-1"/>
              </w:rPr>
              <w:t>木制台、桌类</w:t>
            </w:r>
          </w:p>
        </w:tc>
        <w:tc>
          <w:tcPr>
            <w:tcW w:w="2248" w:type="dxa"/>
            <w:vAlign w:val="top"/>
          </w:tcPr>
          <w:p w14:paraId="09D44818">
            <w:pPr>
              <w:rPr>
                <w:rFonts w:ascii="Arial"/>
                <w:sz w:val="21"/>
              </w:rPr>
            </w:pPr>
          </w:p>
        </w:tc>
        <w:tc>
          <w:tcPr>
            <w:tcW w:w="2392" w:type="dxa"/>
            <w:vAlign w:val="top"/>
          </w:tcPr>
          <w:p w14:paraId="63EF0849">
            <w:pPr>
              <w:pStyle w:val="257"/>
              <w:spacing w:before="65"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572D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12D3AC2">
            <w:pPr>
              <w:rPr>
                <w:rFonts w:ascii="Arial"/>
                <w:sz w:val="21"/>
              </w:rPr>
            </w:pPr>
          </w:p>
        </w:tc>
        <w:tc>
          <w:tcPr>
            <w:tcW w:w="1542" w:type="dxa"/>
            <w:vMerge w:val="continue"/>
            <w:tcBorders>
              <w:top w:val="nil"/>
            </w:tcBorders>
            <w:vAlign w:val="top"/>
          </w:tcPr>
          <w:p w14:paraId="71A5ADDB">
            <w:pPr>
              <w:rPr>
                <w:rFonts w:ascii="Arial"/>
                <w:sz w:val="21"/>
              </w:rPr>
            </w:pPr>
          </w:p>
        </w:tc>
        <w:tc>
          <w:tcPr>
            <w:tcW w:w="2672" w:type="dxa"/>
            <w:vAlign w:val="top"/>
          </w:tcPr>
          <w:p w14:paraId="2F744242">
            <w:pPr>
              <w:pStyle w:val="257"/>
              <w:spacing w:before="66" w:line="220" w:lineRule="auto"/>
              <w:ind w:left="103"/>
            </w:pPr>
            <w:r>
              <w:rPr>
                <w:spacing w:val="-1"/>
              </w:rPr>
              <w:t>A060299</w:t>
            </w:r>
            <w:r>
              <w:rPr>
                <w:spacing w:val="-29"/>
              </w:rPr>
              <w:t xml:space="preserve"> </w:t>
            </w:r>
            <w:r>
              <w:rPr>
                <w:spacing w:val="-1"/>
              </w:rPr>
              <w:t>其他台、桌类</w:t>
            </w:r>
          </w:p>
        </w:tc>
        <w:tc>
          <w:tcPr>
            <w:tcW w:w="2248" w:type="dxa"/>
            <w:vAlign w:val="top"/>
          </w:tcPr>
          <w:p w14:paraId="514F29F5">
            <w:pPr>
              <w:rPr>
                <w:rFonts w:ascii="Arial"/>
                <w:sz w:val="21"/>
              </w:rPr>
            </w:pPr>
          </w:p>
        </w:tc>
        <w:tc>
          <w:tcPr>
            <w:tcW w:w="2392" w:type="dxa"/>
            <w:vAlign w:val="top"/>
          </w:tcPr>
          <w:p w14:paraId="7BBDF894">
            <w:pPr>
              <w:pStyle w:val="257"/>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6F35C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5FEF03B">
            <w:pPr>
              <w:pStyle w:val="257"/>
              <w:spacing w:before="67"/>
              <w:ind w:left="128"/>
            </w:pPr>
            <w:r>
              <w:rPr>
                <w:spacing w:val="-10"/>
              </w:rPr>
              <w:t>18</w:t>
            </w:r>
          </w:p>
        </w:tc>
        <w:tc>
          <w:tcPr>
            <w:tcW w:w="1542" w:type="dxa"/>
            <w:vMerge w:val="restart"/>
            <w:tcBorders>
              <w:bottom w:val="nil"/>
            </w:tcBorders>
            <w:vAlign w:val="top"/>
          </w:tcPr>
          <w:p w14:paraId="6F4AA3DB">
            <w:pPr>
              <w:pStyle w:val="257"/>
              <w:spacing w:before="66" w:line="220" w:lineRule="auto"/>
              <w:ind w:left="102"/>
            </w:pPr>
            <w:r>
              <w:rPr>
                <w:spacing w:val="-1"/>
              </w:rPr>
              <w:t>A0603</w:t>
            </w:r>
            <w:r>
              <w:rPr>
                <w:spacing w:val="-36"/>
              </w:rPr>
              <w:t xml:space="preserve"> </w:t>
            </w:r>
            <w:r>
              <w:rPr>
                <w:spacing w:val="-1"/>
              </w:rPr>
              <w:t>椅凳类</w:t>
            </w:r>
          </w:p>
        </w:tc>
        <w:tc>
          <w:tcPr>
            <w:tcW w:w="2672" w:type="dxa"/>
            <w:vAlign w:val="top"/>
          </w:tcPr>
          <w:p w14:paraId="448DD27A">
            <w:pPr>
              <w:pStyle w:val="257"/>
              <w:spacing w:before="66" w:line="220" w:lineRule="auto"/>
              <w:ind w:left="103"/>
            </w:pPr>
            <w:r>
              <w:rPr>
                <w:spacing w:val="-1"/>
              </w:rPr>
              <w:t>A060301</w:t>
            </w:r>
            <w:r>
              <w:rPr>
                <w:spacing w:val="-46"/>
              </w:rPr>
              <w:t xml:space="preserve"> </w:t>
            </w:r>
            <w:r>
              <w:rPr>
                <w:spacing w:val="-1"/>
              </w:rPr>
              <w:t>金属骨架为主的椅凳类</w:t>
            </w:r>
          </w:p>
        </w:tc>
        <w:tc>
          <w:tcPr>
            <w:tcW w:w="2248" w:type="dxa"/>
            <w:vAlign w:val="top"/>
          </w:tcPr>
          <w:p w14:paraId="35146366">
            <w:pPr>
              <w:rPr>
                <w:rFonts w:ascii="Arial"/>
                <w:sz w:val="21"/>
              </w:rPr>
            </w:pPr>
          </w:p>
        </w:tc>
        <w:tc>
          <w:tcPr>
            <w:tcW w:w="2392" w:type="dxa"/>
            <w:vAlign w:val="top"/>
          </w:tcPr>
          <w:p w14:paraId="656C7958">
            <w:pPr>
              <w:pStyle w:val="257"/>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AB33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37CF7095">
            <w:pPr>
              <w:rPr>
                <w:rFonts w:ascii="Arial"/>
                <w:sz w:val="21"/>
              </w:rPr>
            </w:pPr>
          </w:p>
        </w:tc>
        <w:tc>
          <w:tcPr>
            <w:tcW w:w="1542" w:type="dxa"/>
            <w:vMerge w:val="continue"/>
            <w:tcBorders>
              <w:top w:val="nil"/>
              <w:bottom w:val="nil"/>
            </w:tcBorders>
            <w:vAlign w:val="top"/>
          </w:tcPr>
          <w:p w14:paraId="28DE269E">
            <w:pPr>
              <w:rPr>
                <w:rFonts w:ascii="Arial"/>
                <w:sz w:val="21"/>
              </w:rPr>
            </w:pPr>
          </w:p>
        </w:tc>
        <w:tc>
          <w:tcPr>
            <w:tcW w:w="2672" w:type="dxa"/>
            <w:vAlign w:val="top"/>
          </w:tcPr>
          <w:p w14:paraId="0279AA59">
            <w:pPr>
              <w:pStyle w:val="257"/>
              <w:spacing w:before="66" w:line="220" w:lineRule="auto"/>
              <w:ind w:left="103"/>
            </w:pPr>
            <w:r>
              <w:rPr>
                <w:spacing w:val="-1"/>
              </w:rPr>
              <w:t>A060302</w:t>
            </w:r>
            <w:r>
              <w:rPr>
                <w:spacing w:val="-29"/>
              </w:rPr>
              <w:t xml:space="preserve"> </w:t>
            </w:r>
            <w:r>
              <w:rPr>
                <w:spacing w:val="-1"/>
              </w:rPr>
              <w:t>木骨架为主的椅凳类</w:t>
            </w:r>
          </w:p>
        </w:tc>
        <w:tc>
          <w:tcPr>
            <w:tcW w:w="2248" w:type="dxa"/>
            <w:vAlign w:val="top"/>
          </w:tcPr>
          <w:p w14:paraId="4EEED532">
            <w:pPr>
              <w:rPr>
                <w:rFonts w:ascii="Arial"/>
                <w:sz w:val="21"/>
              </w:rPr>
            </w:pPr>
          </w:p>
        </w:tc>
        <w:tc>
          <w:tcPr>
            <w:tcW w:w="2392" w:type="dxa"/>
            <w:vAlign w:val="top"/>
          </w:tcPr>
          <w:p w14:paraId="6E78AC05">
            <w:pPr>
              <w:pStyle w:val="257"/>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903D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02A76264">
            <w:pPr>
              <w:rPr>
                <w:rFonts w:ascii="Arial"/>
                <w:sz w:val="21"/>
              </w:rPr>
            </w:pPr>
          </w:p>
        </w:tc>
        <w:tc>
          <w:tcPr>
            <w:tcW w:w="1542" w:type="dxa"/>
            <w:vMerge w:val="continue"/>
            <w:tcBorders>
              <w:top w:val="nil"/>
            </w:tcBorders>
            <w:vAlign w:val="top"/>
          </w:tcPr>
          <w:p w14:paraId="2004F5D5">
            <w:pPr>
              <w:rPr>
                <w:rFonts w:ascii="Arial"/>
                <w:sz w:val="21"/>
              </w:rPr>
            </w:pPr>
          </w:p>
        </w:tc>
        <w:tc>
          <w:tcPr>
            <w:tcW w:w="2672" w:type="dxa"/>
            <w:vAlign w:val="top"/>
          </w:tcPr>
          <w:p w14:paraId="0E8D949F">
            <w:pPr>
              <w:pStyle w:val="257"/>
              <w:spacing w:before="67" w:line="220" w:lineRule="auto"/>
              <w:ind w:left="103"/>
            </w:pPr>
            <w:r>
              <w:rPr>
                <w:spacing w:val="-1"/>
              </w:rPr>
              <w:t>A060399</w:t>
            </w:r>
            <w:r>
              <w:rPr>
                <w:spacing w:val="-33"/>
              </w:rPr>
              <w:t xml:space="preserve"> </w:t>
            </w:r>
            <w:r>
              <w:rPr>
                <w:spacing w:val="-1"/>
              </w:rPr>
              <w:t>其他椅凳类</w:t>
            </w:r>
          </w:p>
        </w:tc>
        <w:tc>
          <w:tcPr>
            <w:tcW w:w="2248" w:type="dxa"/>
            <w:vAlign w:val="top"/>
          </w:tcPr>
          <w:p w14:paraId="24CEDEBE">
            <w:pPr>
              <w:rPr>
                <w:rFonts w:ascii="Arial"/>
                <w:sz w:val="21"/>
              </w:rPr>
            </w:pPr>
          </w:p>
        </w:tc>
        <w:tc>
          <w:tcPr>
            <w:tcW w:w="2392" w:type="dxa"/>
            <w:vAlign w:val="top"/>
          </w:tcPr>
          <w:p w14:paraId="1841F1AE">
            <w:pPr>
              <w:pStyle w:val="257"/>
              <w:spacing w:before="66"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7AF9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4A551B1F">
            <w:pPr>
              <w:pStyle w:val="257"/>
              <w:spacing w:before="67"/>
              <w:ind w:left="128"/>
            </w:pPr>
            <w:r>
              <w:rPr>
                <w:spacing w:val="-10"/>
              </w:rPr>
              <w:t>19</w:t>
            </w:r>
          </w:p>
        </w:tc>
        <w:tc>
          <w:tcPr>
            <w:tcW w:w="1542" w:type="dxa"/>
            <w:vAlign w:val="top"/>
          </w:tcPr>
          <w:p w14:paraId="02A3D41F">
            <w:pPr>
              <w:pStyle w:val="257"/>
              <w:spacing w:before="67" w:line="220" w:lineRule="auto"/>
              <w:ind w:left="102"/>
            </w:pPr>
            <w:r>
              <w:rPr>
                <w:spacing w:val="-1"/>
              </w:rPr>
              <w:t>A0604</w:t>
            </w:r>
            <w:r>
              <w:rPr>
                <w:spacing w:val="-35"/>
              </w:rPr>
              <w:t xml:space="preserve"> </w:t>
            </w:r>
            <w:r>
              <w:rPr>
                <w:spacing w:val="-1"/>
              </w:rPr>
              <w:t>沙发类</w:t>
            </w:r>
          </w:p>
        </w:tc>
        <w:tc>
          <w:tcPr>
            <w:tcW w:w="2672" w:type="dxa"/>
            <w:vAlign w:val="top"/>
          </w:tcPr>
          <w:p w14:paraId="46D25991">
            <w:pPr>
              <w:pStyle w:val="257"/>
              <w:spacing w:before="67" w:line="220" w:lineRule="auto"/>
              <w:ind w:left="103"/>
            </w:pPr>
            <w:r>
              <w:rPr>
                <w:spacing w:val="-1"/>
              </w:rPr>
              <w:t>A060499</w:t>
            </w:r>
            <w:r>
              <w:rPr>
                <w:spacing w:val="-33"/>
              </w:rPr>
              <w:t xml:space="preserve"> </w:t>
            </w:r>
            <w:r>
              <w:rPr>
                <w:spacing w:val="-1"/>
              </w:rPr>
              <w:t>其他沙发类</w:t>
            </w:r>
          </w:p>
        </w:tc>
        <w:tc>
          <w:tcPr>
            <w:tcW w:w="2248" w:type="dxa"/>
            <w:vAlign w:val="top"/>
          </w:tcPr>
          <w:p w14:paraId="431A2D2C">
            <w:pPr>
              <w:rPr>
                <w:rFonts w:ascii="Arial"/>
                <w:sz w:val="21"/>
              </w:rPr>
            </w:pPr>
          </w:p>
        </w:tc>
        <w:tc>
          <w:tcPr>
            <w:tcW w:w="2392" w:type="dxa"/>
            <w:vAlign w:val="top"/>
          </w:tcPr>
          <w:p w14:paraId="78253D8C">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087F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A0D9E9B">
            <w:pPr>
              <w:pStyle w:val="257"/>
              <w:spacing w:before="67"/>
              <w:ind w:left="116"/>
            </w:pPr>
            <w:r>
              <w:rPr>
                <w:spacing w:val="-4"/>
              </w:rPr>
              <w:t>20</w:t>
            </w:r>
          </w:p>
        </w:tc>
        <w:tc>
          <w:tcPr>
            <w:tcW w:w="1542" w:type="dxa"/>
            <w:vMerge w:val="restart"/>
            <w:tcBorders>
              <w:bottom w:val="nil"/>
            </w:tcBorders>
            <w:vAlign w:val="top"/>
          </w:tcPr>
          <w:p w14:paraId="1A2C27BF">
            <w:pPr>
              <w:pStyle w:val="257"/>
              <w:spacing w:before="67" w:line="220" w:lineRule="auto"/>
              <w:ind w:left="193"/>
            </w:pPr>
            <w:r>
              <w:rPr>
                <w:spacing w:val="-1"/>
              </w:rPr>
              <w:t>A0605</w:t>
            </w:r>
            <w:r>
              <w:rPr>
                <w:spacing w:val="-36"/>
              </w:rPr>
              <w:t xml:space="preserve"> </w:t>
            </w:r>
            <w:r>
              <w:rPr>
                <w:spacing w:val="-1"/>
              </w:rPr>
              <w:t>柜类</w:t>
            </w:r>
          </w:p>
        </w:tc>
        <w:tc>
          <w:tcPr>
            <w:tcW w:w="2672" w:type="dxa"/>
            <w:vAlign w:val="top"/>
          </w:tcPr>
          <w:p w14:paraId="079653E6">
            <w:pPr>
              <w:pStyle w:val="257"/>
              <w:spacing w:before="67" w:line="220" w:lineRule="auto"/>
              <w:ind w:left="103"/>
            </w:pPr>
            <w:r>
              <w:rPr>
                <w:spacing w:val="-1"/>
              </w:rPr>
              <w:t>A060501</w:t>
            </w:r>
            <w:r>
              <w:rPr>
                <w:spacing w:val="-33"/>
              </w:rPr>
              <w:t xml:space="preserve"> </w:t>
            </w:r>
            <w:r>
              <w:rPr>
                <w:spacing w:val="-1"/>
              </w:rPr>
              <w:t>木质柜类</w:t>
            </w:r>
          </w:p>
        </w:tc>
        <w:tc>
          <w:tcPr>
            <w:tcW w:w="2248" w:type="dxa"/>
            <w:vAlign w:val="top"/>
          </w:tcPr>
          <w:p w14:paraId="2C52F27B">
            <w:pPr>
              <w:rPr>
                <w:rFonts w:ascii="Arial"/>
                <w:sz w:val="21"/>
              </w:rPr>
            </w:pPr>
          </w:p>
        </w:tc>
        <w:tc>
          <w:tcPr>
            <w:tcW w:w="2392" w:type="dxa"/>
            <w:vAlign w:val="top"/>
          </w:tcPr>
          <w:p w14:paraId="0879F0B3">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D3D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57EAEF2C">
            <w:pPr>
              <w:rPr>
                <w:rFonts w:ascii="Arial"/>
                <w:sz w:val="21"/>
              </w:rPr>
            </w:pPr>
          </w:p>
        </w:tc>
        <w:tc>
          <w:tcPr>
            <w:tcW w:w="1542" w:type="dxa"/>
            <w:vMerge w:val="continue"/>
            <w:tcBorders>
              <w:top w:val="nil"/>
              <w:bottom w:val="nil"/>
            </w:tcBorders>
            <w:vAlign w:val="top"/>
          </w:tcPr>
          <w:p w14:paraId="76C15929">
            <w:pPr>
              <w:rPr>
                <w:rFonts w:ascii="Arial"/>
                <w:sz w:val="21"/>
              </w:rPr>
            </w:pPr>
          </w:p>
        </w:tc>
        <w:tc>
          <w:tcPr>
            <w:tcW w:w="2672" w:type="dxa"/>
            <w:vAlign w:val="top"/>
          </w:tcPr>
          <w:p w14:paraId="560F5189">
            <w:pPr>
              <w:pStyle w:val="257"/>
              <w:spacing w:before="67" w:line="220" w:lineRule="auto"/>
              <w:ind w:left="103"/>
            </w:pPr>
            <w:r>
              <w:rPr>
                <w:spacing w:val="-1"/>
              </w:rPr>
              <w:t>A060503</w:t>
            </w:r>
            <w:r>
              <w:rPr>
                <w:spacing w:val="-32"/>
              </w:rPr>
              <w:t xml:space="preserve"> </w:t>
            </w:r>
            <w:r>
              <w:rPr>
                <w:spacing w:val="-1"/>
              </w:rPr>
              <w:t>金属质柜类</w:t>
            </w:r>
          </w:p>
        </w:tc>
        <w:tc>
          <w:tcPr>
            <w:tcW w:w="2248" w:type="dxa"/>
            <w:vAlign w:val="top"/>
          </w:tcPr>
          <w:p w14:paraId="148476BE">
            <w:pPr>
              <w:rPr>
                <w:rFonts w:ascii="Arial"/>
                <w:sz w:val="21"/>
              </w:rPr>
            </w:pPr>
          </w:p>
        </w:tc>
        <w:tc>
          <w:tcPr>
            <w:tcW w:w="2392" w:type="dxa"/>
            <w:vAlign w:val="top"/>
          </w:tcPr>
          <w:p w14:paraId="4E6C8272">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CD4D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8727A63">
            <w:pPr>
              <w:rPr>
                <w:rFonts w:ascii="Arial"/>
                <w:sz w:val="21"/>
              </w:rPr>
            </w:pPr>
          </w:p>
        </w:tc>
        <w:tc>
          <w:tcPr>
            <w:tcW w:w="1542" w:type="dxa"/>
            <w:vMerge w:val="continue"/>
            <w:tcBorders>
              <w:top w:val="nil"/>
            </w:tcBorders>
            <w:vAlign w:val="top"/>
          </w:tcPr>
          <w:p w14:paraId="51A81438">
            <w:pPr>
              <w:rPr>
                <w:rFonts w:ascii="Arial"/>
                <w:sz w:val="21"/>
              </w:rPr>
            </w:pPr>
          </w:p>
        </w:tc>
        <w:tc>
          <w:tcPr>
            <w:tcW w:w="2672" w:type="dxa"/>
            <w:vAlign w:val="top"/>
          </w:tcPr>
          <w:p w14:paraId="2F3C16A4">
            <w:pPr>
              <w:pStyle w:val="257"/>
              <w:spacing w:before="67" w:line="220" w:lineRule="auto"/>
              <w:ind w:left="103"/>
            </w:pPr>
            <w:r>
              <w:rPr>
                <w:spacing w:val="-1"/>
              </w:rPr>
              <w:t>A060599</w:t>
            </w:r>
            <w:r>
              <w:rPr>
                <w:spacing w:val="-33"/>
              </w:rPr>
              <w:t xml:space="preserve"> </w:t>
            </w:r>
            <w:r>
              <w:rPr>
                <w:spacing w:val="-1"/>
              </w:rPr>
              <w:t>其他柜类</w:t>
            </w:r>
          </w:p>
        </w:tc>
        <w:tc>
          <w:tcPr>
            <w:tcW w:w="2248" w:type="dxa"/>
            <w:vAlign w:val="top"/>
          </w:tcPr>
          <w:p w14:paraId="6C660BD2">
            <w:pPr>
              <w:rPr>
                <w:rFonts w:ascii="Arial"/>
                <w:sz w:val="21"/>
              </w:rPr>
            </w:pPr>
          </w:p>
        </w:tc>
        <w:tc>
          <w:tcPr>
            <w:tcW w:w="2392" w:type="dxa"/>
            <w:vAlign w:val="top"/>
          </w:tcPr>
          <w:p w14:paraId="65C6D44F">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6E2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34FF5A3">
            <w:pPr>
              <w:pStyle w:val="257"/>
              <w:spacing w:before="67" w:line="242" w:lineRule="auto"/>
              <w:ind w:left="116"/>
            </w:pPr>
            <w:r>
              <w:rPr>
                <w:spacing w:val="-4"/>
              </w:rPr>
              <w:t>21</w:t>
            </w:r>
          </w:p>
        </w:tc>
        <w:tc>
          <w:tcPr>
            <w:tcW w:w="1542" w:type="dxa"/>
            <w:vMerge w:val="restart"/>
            <w:tcBorders>
              <w:bottom w:val="nil"/>
            </w:tcBorders>
            <w:vAlign w:val="top"/>
          </w:tcPr>
          <w:p w14:paraId="17451FDD">
            <w:pPr>
              <w:pStyle w:val="257"/>
              <w:spacing w:before="67" w:line="220" w:lineRule="auto"/>
              <w:ind w:left="102"/>
            </w:pPr>
            <w:r>
              <w:rPr>
                <w:spacing w:val="-1"/>
              </w:rPr>
              <w:t>A0606</w:t>
            </w:r>
            <w:r>
              <w:rPr>
                <w:spacing w:val="-35"/>
              </w:rPr>
              <w:t xml:space="preserve"> </w:t>
            </w:r>
            <w:r>
              <w:rPr>
                <w:spacing w:val="-1"/>
              </w:rPr>
              <w:t>架类</w:t>
            </w:r>
          </w:p>
        </w:tc>
        <w:tc>
          <w:tcPr>
            <w:tcW w:w="2672" w:type="dxa"/>
            <w:vAlign w:val="top"/>
          </w:tcPr>
          <w:p w14:paraId="39BD185F">
            <w:pPr>
              <w:pStyle w:val="257"/>
              <w:spacing w:before="67" w:line="220" w:lineRule="auto"/>
              <w:ind w:left="103"/>
            </w:pPr>
            <w:r>
              <w:rPr>
                <w:spacing w:val="-1"/>
              </w:rPr>
              <w:t>A060601</w:t>
            </w:r>
            <w:r>
              <w:rPr>
                <w:spacing w:val="-33"/>
              </w:rPr>
              <w:t xml:space="preserve"> </w:t>
            </w:r>
            <w:r>
              <w:rPr>
                <w:spacing w:val="-1"/>
              </w:rPr>
              <w:t>木质架类</w:t>
            </w:r>
          </w:p>
        </w:tc>
        <w:tc>
          <w:tcPr>
            <w:tcW w:w="2248" w:type="dxa"/>
            <w:vAlign w:val="top"/>
          </w:tcPr>
          <w:p w14:paraId="113F056E">
            <w:pPr>
              <w:rPr>
                <w:rFonts w:ascii="Arial"/>
                <w:sz w:val="21"/>
              </w:rPr>
            </w:pPr>
          </w:p>
        </w:tc>
        <w:tc>
          <w:tcPr>
            <w:tcW w:w="2392" w:type="dxa"/>
            <w:vAlign w:val="top"/>
          </w:tcPr>
          <w:p w14:paraId="737D280A">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4BBD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4EB3F1">
            <w:pPr>
              <w:rPr>
                <w:rFonts w:ascii="Arial"/>
                <w:sz w:val="21"/>
              </w:rPr>
            </w:pPr>
          </w:p>
        </w:tc>
        <w:tc>
          <w:tcPr>
            <w:tcW w:w="1542" w:type="dxa"/>
            <w:vMerge w:val="continue"/>
            <w:tcBorders>
              <w:top w:val="nil"/>
            </w:tcBorders>
            <w:vAlign w:val="top"/>
          </w:tcPr>
          <w:p w14:paraId="14D6D0F7">
            <w:pPr>
              <w:rPr>
                <w:rFonts w:ascii="Arial"/>
                <w:sz w:val="21"/>
              </w:rPr>
            </w:pPr>
          </w:p>
        </w:tc>
        <w:tc>
          <w:tcPr>
            <w:tcW w:w="2672" w:type="dxa"/>
            <w:vAlign w:val="top"/>
          </w:tcPr>
          <w:p w14:paraId="2EDBCD8E">
            <w:pPr>
              <w:pStyle w:val="257"/>
              <w:spacing w:before="67" w:line="220" w:lineRule="auto"/>
              <w:ind w:left="103"/>
            </w:pPr>
            <w:r>
              <w:rPr>
                <w:spacing w:val="-1"/>
              </w:rPr>
              <w:t>A060602</w:t>
            </w:r>
            <w:r>
              <w:rPr>
                <w:spacing w:val="-32"/>
              </w:rPr>
              <w:t xml:space="preserve"> </w:t>
            </w:r>
            <w:r>
              <w:rPr>
                <w:spacing w:val="-1"/>
              </w:rPr>
              <w:t>金属质架类</w:t>
            </w:r>
          </w:p>
        </w:tc>
        <w:tc>
          <w:tcPr>
            <w:tcW w:w="2248" w:type="dxa"/>
            <w:vAlign w:val="top"/>
          </w:tcPr>
          <w:p w14:paraId="04E4E431">
            <w:pPr>
              <w:rPr>
                <w:rFonts w:ascii="Arial"/>
                <w:sz w:val="21"/>
              </w:rPr>
            </w:pPr>
          </w:p>
        </w:tc>
        <w:tc>
          <w:tcPr>
            <w:tcW w:w="2392" w:type="dxa"/>
            <w:vAlign w:val="top"/>
          </w:tcPr>
          <w:p w14:paraId="1DD8CCD5">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D549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601BD665">
            <w:pPr>
              <w:pStyle w:val="257"/>
              <w:spacing w:before="67" w:line="242" w:lineRule="auto"/>
              <w:ind w:left="116"/>
            </w:pPr>
            <w:r>
              <w:rPr>
                <w:spacing w:val="-4"/>
              </w:rPr>
              <w:t>22</w:t>
            </w:r>
          </w:p>
        </w:tc>
        <w:tc>
          <w:tcPr>
            <w:tcW w:w="1542" w:type="dxa"/>
            <w:vMerge w:val="restart"/>
            <w:tcBorders>
              <w:bottom w:val="nil"/>
            </w:tcBorders>
            <w:vAlign w:val="top"/>
          </w:tcPr>
          <w:p w14:paraId="20C7F9F0">
            <w:pPr>
              <w:pStyle w:val="257"/>
              <w:spacing w:before="67" w:line="220" w:lineRule="auto"/>
              <w:ind w:left="102"/>
            </w:pPr>
            <w:r>
              <w:rPr>
                <w:spacing w:val="-1"/>
              </w:rPr>
              <w:t>A0607</w:t>
            </w:r>
            <w:r>
              <w:rPr>
                <w:spacing w:val="-35"/>
              </w:rPr>
              <w:t xml:space="preserve"> </w:t>
            </w:r>
            <w:r>
              <w:rPr>
                <w:spacing w:val="-1"/>
              </w:rPr>
              <w:t>屏风类</w:t>
            </w:r>
          </w:p>
        </w:tc>
        <w:tc>
          <w:tcPr>
            <w:tcW w:w="2672" w:type="dxa"/>
            <w:vAlign w:val="top"/>
          </w:tcPr>
          <w:p w14:paraId="1B6C4671">
            <w:pPr>
              <w:pStyle w:val="257"/>
              <w:spacing w:before="67" w:line="220" w:lineRule="auto"/>
              <w:ind w:left="103"/>
            </w:pPr>
            <w:r>
              <w:rPr>
                <w:spacing w:val="-1"/>
              </w:rPr>
              <w:t>A060701</w:t>
            </w:r>
            <w:r>
              <w:rPr>
                <w:spacing w:val="-33"/>
              </w:rPr>
              <w:t xml:space="preserve"> </w:t>
            </w:r>
            <w:r>
              <w:rPr>
                <w:spacing w:val="-1"/>
              </w:rPr>
              <w:t>木质屏风类</w:t>
            </w:r>
          </w:p>
        </w:tc>
        <w:tc>
          <w:tcPr>
            <w:tcW w:w="2248" w:type="dxa"/>
            <w:vAlign w:val="top"/>
          </w:tcPr>
          <w:p w14:paraId="07737F18">
            <w:pPr>
              <w:rPr>
                <w:rFonts w:ascii="Arial"/>
                <w:sz w:val="21"/>
              </w:rPr>
            </w:pPr>
          </w:p>
        </w:tc>
        <w:tc>
          <w:tcPr>
            <w:tcW w:w="2392" w:type="dxa"/>
            <w:vAlign w:val="top"/>
          </w:tcPr>
          <w:p w14:paraId="36DCE271">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44F89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AEC504D">
            <w:pPr>
              <w:rPr>
                <w:rFonts w:ascii="Arial"/>
                <w:sz w:val="21"/>
              </w:rPr>
            </w:pPr>
          </w:p>
        </w:tc>
        <w:tc>
          <w:tcPr>
            <w:tcW w:w="1542" w:type="dxa"/>
            <w:vMerge w:val="continue"/>
            <w:tcBorders>
              <w:top w:val="nil"/>
            </w:tcBorders>
            <w:vAlign w:val="top"/>
          </w:tcPr>
          <w:p w14:paraId="0F221205">
            <w:pPr>
              <w:rPr>
                <w:rFonts w:ascii="Arial"/>
                <w:sz w:val="21"/>
              </w:rPr>
            </w:pPr>
          </w:p>
        </w:tc>
        <w:tc>
          <w:tcPr>
            <w:tcW w:w="2672" w:type="dxa"/>
            <w:vAlign w:val="top"/>
          </w:tcPr>
          <w:p w14:paraId="2A77DD58">
            <w:pPr>
              <w:pStyle w:val="257"/>
              <w:spacing w:before="67" w:line="220" w:lineRule="auto"/>
              <w:ind w:left="103"/>
            </w:pPr>
            <w:r>
              <w:rPr>
                <w:spacing w:val="-1"/>
              </w:rPr>
              <w:t>A060702</w:t>
            </w:r>
            <w:r>
              <w:rPr>
                <w:spacing w:val="-32"/>
              </w:rPr>
              <w:t xml:space="preserve"> </w:t>
            </w:r>
            <w:r>
              <w:rPr>
                <w:spacing w:val="-1"/>
              </w:rPr>
              <w:t>金属质屏风类</w:t>
            </w:r>
          </w:p>
        </w:tc>
        <w:tc>
          <w:tcPr>
            <w:tcW w:w="2248" w:type="dxa"/>
            <w:vAlign w:val="top"/>
          </w:tcPr>
          <w:p w14:paraId="0E3222A3">
            <w:pPr>
              <w:rPr>
                <w:rFonts w:ascii="Arial"/>
                <w:sz w:val="21"/>
              </w:rPr>
            </w:pPr>
          </w:p>
        </w:tc>
        <w:tc>
          <w:tcPr>
            <w:tcW w:w="2392" w:type="dxa"/>
            <w:vAlign w:val="top"/>
          </w:tcPr>
          <w:p w14:paraId="62DDFB02">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2925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7BDFB1A2">
            <w:pPr>
              <w:pStyle w:val="257"/>
              <w:spacing w:before="67"/>
              <w:ind w:left="116"/>
            </w:pPr>
            <w:r>
              <w:rPr>
                <w:spacing w:val="-4"/>
              </w:rPr>
              <w:t>23</w:t>
            </w:r>
          </w:p>
        </w:tc>
        <w:tc>
          <w:tcPr>
            <w:tcW w:w="1542" w:type="dxa"/>
            <w:vAlign w:val="top"/>
          </w:tcPr>
          <w:p w14:paraId="5EF004DB">
            <w:pPr>
              <w:pStyle w:val="257"/>
              <w:spacing w:before="67" w:line="220" w:lineRule="auto"/>
              <w:ind w:left="102"/>
            </w:pPr>
            <w:r>
              <w:rPr>
                <w:spacing w:val="-1"/>
              </w:rPr>
              <w:t>A060804</w:t>
            </w:r>
            <w:r>
              <w:rPr>
                <w:spacing w:val="-32"/>
              </w:rPr>
              <w:t xml:space="preserve"> </w:t>
            </w:r>
            <w:r>
              <w:rPr>
                <w:spacing w:val="-1"/>
              </w:rPr>
              <w:t>水池</w:t>
            </w:r>
          </w:p>
        </w:tc>
        <w:tc>
          <w:tcPr>
            <w:tcW w:w="2672" w:type="dxa"/>
            <w:vAlign w:val="top"/>
          </w:tcPr>
          <w:p w14:paraId="2A7A3C0A">
            <w:pPr>
              <w:rPr>
                <w:rFonts w:ascii="Arial"/>
                <w:sz w:val="21"/>
              </w:rPr>
            </w:pPr>
          </w:p>
        </w:tc>
        <w:tc>
          <w:tcPr>
            <w:tcW w:w="2248" w:type="dxa"/>
            <w:vAlign w:val="top"/>
          </w:tcPr>
          <w:p w14:paraId="7428587C">
            <w:pPr>
              <w:rPr>
                <w:rFonts w:ascii="Arial"/>
                <w:sz w:val="21"/>
              </w:rPr>
            </w:pPr>
          </w:p>
        </w:tc>
        <w:tc>
          <w:tcPr>
            <w:tcW w:w="2392" w:type="dxa"/>
            <w:vAlign w:val="top"/>
          </w:tcPr>
          <w:p w14:paraId="1D1BE762">
            <w:pPr>
              <w:pStyle w:val="257"/>
              <w:spacing w:before="66" w:line="219" w:lineRule="auto"/>
              <w:ind w:left="109"/>
            </w:pPr>
            <w:r>
              <w:rPr>
                <w:spacing w:val="-1"/>
              </w:rPr>
              <w:t>HJ/T296</w:t>
            </w:r>
            <w:r>
              <w:rPr>
                <w:spacing w:val="-34"/>
              </w:rPr>
              <w:t xml:space="preserve"> </w:t>
            </w:r>
            <w:r>
              <w:rPr>
                <w:spacing w:val="-1"/>
              </w:rPr>
              <w:t>卫生陶瓷</w:t>
            </w:r>
          </w:p>
        </w:tc>
      </w:tr>
      <w:tr w14:paraId="10269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28BA4AB4">
            <w:pPr>
              <w:pStyle w:val="257"/>
              <w:spacing w:before="67" w:line="242" w:lineRule="auto"/>
              <w:ind w:left="116"/>
            </w:pPr>
            <w:r>
              <w:rPr>
                <w:spacing w:val="-4"/>
              </w:rPr>
              <w:t>24</w:t>
            </w:r>
          </w:p>
        </w:tc>
        <w:tc>
          <w:tcPr>
            <w:tcW w:w="1542" w:type="dxa"/>
            <w:vAlign w:val="top"/>
          </w:tcPr>
          <w:p w14:paraId="13B86564">
            <w:pPr>
              <w:pStyle w:val="257"/>
              <w:spacing w:before="67" w:line="220" w:lineRule="auto"/>
              <w:ind w:left="102"/>
            </w:pPr>
            <w:r>
              <w:rPr>
                <w:spacing w:val="-1"/>
              </w:rPr>
              <w:t>A060805</w:t>
            </w:r>
            <w:r>
              <w:rPr>
                <w:spacing w:val="-33"/>
              </w:rPr>
              <w:t xml:space="preserve"> </w:t>
            </w:r>
            <w:r>
              <w:rPr>
                <w:spacing w:val="-1"/>
              </w:rPr>
              <w:t>便器</w:t>
            </w:r>
          </w:p>
        </w:tc>
        <w:tc>
          <w:tcPr>
            <w:tcW w:w="2672" w:type="dxa"/>
            <w:vAlign w:val="top"/>
          </w:tcPr>
          <w:p w14:paraId="0A345D3C">
            <w:pPr>
              <w:rPr>
                <w:rFonts w:ascii="Arial"/>
                <w:sz w:val="21"/>
              </w:rPr>
            </w:pPr>
          </w:p>
        </w:tc>
        <w:tc>
          <w:tcPr>
            <w:tcW w:w="2248" w:type="dxa"/>
            <w:vAlign w:val="top"/>
          </w:tcPr>
          <w:p w14:paraId="25286809">
            <w:pPr>
              <w:rPr>
                <w:rFonts w:ascii="Arial"/>
                <w:sz w:val="21"/>
              </w:rPr>
            </w:pPr>
          </w:p>
        </w:tc>
        <w:tc>
          <w:tcPr>
            <w:tcW w:w="2392" w:type="dxa"/>
            <w:vAlign w:val="top"/>
          </w:tcPr>
          <w:p w14:paraId="2AF1460E">
            <w:pPr>
              <w:pStyle w:val="257"/>
              <w:spacing w:before="67" w:line="219" w:lineRule="auto"/>
              <w:ind w:left="109"/>
            </w:pPr>
            <w:r>
              <w:rPr>
                <w:spacing w:val="-1"/>
              </w:rPr>
              <w:t>HJ/T296</w:t>
            </w:r>
            <w:r>
              <w:rPr>
                <w:spacing w:val="-34"/>
              </w:rPr>
              <w:t xml:space="preserve"> </w:t>
            </w:r>
            <w:r>
              <w:rPr>
                <w:spacing w:val="-1"/>
              </w:rPr>
              <w:t>卫生陶瓷</w:t>
            </w:r>
          </w:p>
        </w:tc>
      </w:tr>
      <w:tr w14:paraId="1B023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76F2D7CB">
            <w:pPr>
              <w:pStyle w:val="257"/>
              <w:spacing w:before="67"/>
              <w:ind w:left="116"/>
            </w:pPr>
            <w:r>
              <w:rPr>
                <w:spacing w:val="-4"/>
              </w:rPr>
              <w:t>25</w:t>
            </w:r>
          </w:p>
        </w:tc>
        <w:tc>
          <w:tcPr>
            <w:tcW w:w="1542" w:type="dxa"/>
            <w:vAlign w:val="top"/>
          </w:tcPr>
          <w:p w14:paraId="039CE1D4">
            <w:pPr>
              <w:pStyle w:val="257"/>
              <w:spacing w:before="67" w:line="220" w:lineRule="auto"/>
              <w:ind w:left="102"/>
            </w:pPr>
            <w:r>
              <w:rPr>
                <w:spacing w:val="-1"/>
              </w:rPr>
              <w:t>A060806</w:t>
            </w:r>
            <w:r>
              <w:rPr>
                <w:spacing w:val="-32"/>
              </w:rPr>
              <w:t xml:space="preserve"> </w:t>
            </w:r>
            <w:r>
              <w:rPr>
                <w:spacing w:val="-1"/>
              </w:rPr>
              <w:t>水嘴</w:t>
            </w:r>
          </w:p>
        </w:tc>
        <w:tc>
          <w:tcPr>
            <w:tcW w:w="2672" w:type="dxa"/>
            <w:vAlign w:val="top"/>
          </w:tcPr>
          <w:p w14:paraId="0CC6FB2B">
            <w:pPr>
              <w:rPr>
                <w:rFonts w:ascii="Arial"/>
                <w:sz w:val="21"/>
              </w:rPr>
            </w:pPr>
          </w:p>
        </w:tc>
        <w:tc>
          <w:tcPr>
            <w:tcW w:w="2248" w:type="dxa"/>
            <w:vAlign w:val="top"/>
          </w:tcPr>
          <w:p w14:paraId="2D40E176">
            <w:pPr>
              <w:rPr>
                <w:rFonts w:ascii="Arial"/>
                <w:sz w:val="21"/>
              </w:rPr>
            </w:pPr>
          </w:p>
        </w:tc>
        <w:tc>
          <w:tcPr>
            <w:tcW w:w="2392" w:type="dxa"/>
            <w:vAlign w:val="top"/>
          </w:tcPr>
          <w:p w14:paraId="00DA36D5">
            <w:pPr>
              <w:pStyle w:val="257"/>
              <w:spacing w:before="67" w:line="219" w:lineRule="auto"/>
              <w:ind w:left="109"/>
            </w:pPr>
            <w:r>
              <w:rPr>
                <w:spacing w:val="-1"/>
              </w:rPr>
              <w:t>HJ/T411</w:t>
            </w:r>
            <w:r>
              <w:rPr>
                <w:spacing w:val="-34"/>
              </w:rPr>
              <w:t xml:space="preserve"> </w:t>
            </w:r>
            <w:r>
              <w:rPr>
                <w:spacing w:val="-1"/>
              </w:rPr>
              <w:t>水嘴</w:t>
            </w:r>
          </w:p>
        </w:tc>
      </w:tr>
      <w:tr w14:paraId="284A5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6E076AE4">
            <w:pPr>
              <w:pStyle w:val="257"/>
              <w:spacing w:before="67"/>
              <w:ind w:left="116"/>
            </w:pPr>
            <w:r>
              <w:rPr>
                <w:spacing w:val="-4"/>
              </w:rPr>
              <w:t>26</w:t>
            </w:r>
          </w:p>
        </w:tc>
        <w:tc>
          <w:tcPr>
            <w:tcW w:w="1542" w:type="dxa"/>
            <w:vAlign w:val="top"/>
          </w:tcPr>
          <w:p w14:paraId="4560D868">
            <w:pPr>
              <w:pStyle w:val="257"/>
              <w:spacing w:before="67" w:line="221" w:lineRule="auto"/>
              <w:ind w:left="102"/>
            </w:pPr>
            <w:r>
              <w:rPr>
                <w:spacing w:val="-1"/>
              </w:rPr>
              <w:t>A0609</w:t>
            </w:r>
            <w:r>
              <w:rPr>
                <w:spacing w:val="-34"/>
              </w:rPr>
              <w:t xml:space="preserve"> </w:t>
            </w:r>
            <w:r>
              <w:rPr>
                <w:spacing w:val="-1"/>
              </w:rPr>
              <w:t>组合家具</w:t>
            </w:r>
          </w:p>
        </w:tc>
        <w:tc>
          <w:tcPr>
            <w:tcW w:w="2672" w:type="dxa"/>
            <w:vAlign w:val="top"/>
          </w:tcPr>
          <w:p w14:paraId="08CA595B">
            <w:pPr>
              <w:rPr>
                <w:rFonts w:ascii="Arial"/>
                <w:sz w:val="21"/>
              </w:rPr>
            </w:pPr>
          </w:p>
        </w:tc>
        <w:tc>
          <w:tcPr>
            <w:tcW w:w="2248" w:type="dxa"/>
            <w:vAlign w:val="top"/>
          </w:tcPr>
          <w:p w14:paraId="19A743E3">
            <w:pPr>
              <w:rPr>
                <w:rFonts w:ascii="Arial"/>
                <w:sz w:val="21"/>
              </w:rPr>
            </w:pPr>
          </w:p>
        </w:tc>
        <w:tc>
          <w:tcPr>
            <w:tcW w:w="2392" w:type="dxa"/>
            <w:vAlign w:val="top"/>
          </w:tcPr>
          <w:p w14:paraId="2497681D">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ECC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2A6CA83F">
            <w:pPr>
              <w:pStyle w:val="257"/>
              <w:spacing w:before="68"/>
              <w:ind w:left="116"/>
            </w:pPr>
            <w:r>
              <w:rPr>
                <w:spacing w:val="-4"/>
              </w:rPr>
              <w:t>27</w:t>
            </w:r>
          </w:p>
        </w:tc>
        <w:tc>
          <w:tcPr>
            <w:tcW w:w="1542" w:type="dxa"/>
            <w:vAlign w:val="top"/>
          </w:tcPr>
          <w:p w14:paraId="0C3E956E">
            <w:pPr>
              <w:pStyle w:val="257"/>
              <w:spacing w:before="68" w:line="282" w:lineRule="auto"/>
              <w:ind w:left="108" w:right="106" w:hanging="6"/>
            </w:pPr>
            <w:r>
              <w:rPr>
                <w:spacing w:val="4"/>
              </w:rPr>
              <w:t>A0610</w:t>
            </w:r>
            <w:r>
              <w:rPr>
                <w:spacing w:val="31"/>
              </w:rPr>
              <w:t xml:space="preserve"> </w:t>
            </w:r>
            <w:r>
              <w:rPr>
                <w:spacing w:val="4"/>
              </w:rPr>
              <w:t>家用家具</w:t>
            </w:r>
            <w:r>
              <w:t xml:space="preserve"> </w:t>
            </w:r>
            <w:r>
              <w:rPr>
                <w:spacing w:val="-2"/>
              </w:rPr>
              <w:t>零配件</w:t>
            </w:r>
          </w:p>
        </w:tc>
        <w:tc>
          <w:tcPr>
            <w:tcW w:w="2672" w:type="dxa"/>
            <w:vAlign w:val="top"/>
          </w:tcPr>
          <w:p w14:paraId="06C3341D">
            <w:pPr>
              <w:rPr>
                <w:rFonts w:ascii="Arial"/>
                <w:sz w:val="21"/>
              </w:rPr>
            </w:pPr>
          </w:p>
        </w:tc>
        <w:tc>
          <w:tcPr>
            <w:tcW w:w="2248" w:type="dxa"/>
            <w:vAlign w:val="top"/>
          </w:tcPr>
          <w:p w14:paraId="2C05A014">
            <w:pPr>
              <w:rPr>
                <w:rFonts w:ascii="Arial"/>
                <w:sz w:val="21"/>
              </w:rPr>
            </w:pPr>
          </w:p>
        </w:tc>
        <w:tc>
          <w:tcPr>
            <w:tcW w:w="2392" w:type="dxa"/>
            <w:vAlign w:val="top"/>
          </w:tcPr>
          <w:p w14:paraId="0DE5E9DB">
            <w:pPr>
              <w:pStyle w:val="257"/>
              <w:spacing w:before="67"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53DB8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Align w:val="top"/>
          </w:tcPr>
          <w:p w14:paraId="71B3BA7A">
            <w:pPr>
              <w:pStyle w:val="257"/>
              <w:spacing w:before="70"/>
              <w:ind w:left="116"/>
            </w:pPr>
            <w:r>
              <w:rPr>
                <w:spacing w:val="-4"/>
              </w:rPr>
              <w:t>28</w:t>
            </w:r>
          </w:p>
        </w:tc>
        <w:tc>
          <w:tcPr>
            <w:tcW w:w="1542" w:type="dxa"/>
            <w:vAlign w:val="top"/>
          </w:tcPr>
          <w:p w14:paraId="47FE6AA2">
            <w:pPr>
              <w:pStyle w:val="257"/>
              <w:spacing w:before="71" w:line="282" w:lineRule="auto"/>
              <w:ind w:left="109" w:right="106" w:hanging="7"/>
            </w:pPr>
            <w:r>
              <w:rPr>
                <w:spacing w:val="4"/>
              </w:rPr>
              <w:t>A0699</w:t>
            </w:r>
            <w:r>
              <w:rPr>
                <w:spacing w:val="31"/>
              </w:rPr>
              <w:t xml:space="preserve"> </w:t>
            </w:r>
            <w:r>
              <w:rPr>
                <w:spacing w:val="4"/>
              </w:rPr>
              <w:t>其他家具</w:t>
            </w:r>
            <w:r>
              <w:t xml:space="preserve"> </w:t>
            </w:r>
            <w:r>
              <w:rPr>
                <w:spacing w:val="-3"/>
              </w:rPr>
              <w:t>用具</w:t>
            </w:r>
          </w:p>
        </w:tc>
        <w:tc>
          <w:tcPr>
            <w:tcW w:w="2672" w:type="dxa"/>
            <w:vAlign w:val="top"/>
          </w:tcPr>
          <w:p w14:paraId="62297FA8">
            <w:pPr>
              <w:rPr>
                <w:rFonts w:ascii="Arial"/>
                <w:sz w:val="21"/>
              </w:rPr>
            </w:pPr>
          </w:p>
        </w:tc>
        <w:tc>
          <w:tcPr>
            <w:tcW w:w="2248" w:type="dxa"/>
            <w:vAlign w:val="top"/>
          </w:tcPr>
          <w:p w14:paraId="1D1E7241">
            <w:pPr>
              <w:rPr>
                <w:rFonts w:ascii="Arial"/>
                <w:sz w:val="21"/>
              </w:rPr>
            </w:pPr>
          </w:p>
        </w:tc>
        <w:tc>
          <w:tcPr>
            <w:tcW w:w="2392" w:type="dxa"/>
            <w:vAlign w:val="top"/>
          </w:tcPr>
          <w:p w14:paraId="3CD9A822">
            <w:pPr>
              <w:pStyle w:val="257"/>
              <w:spacing w:before="70" w:line="219" w:lineRule="auto"/>
              <w:ind w:left="109"/>
            </w:pPr>
            <w:r>
              <w:rPr>
                <w:spacing w:val="-1"/>
              </w:rPr>
              <w:t>HJ2547</w:t>
            </w:r>
            <w:r>
              <w:rPr>
                <w:spacing w:val="-34"/>
              </w:rPr>
              <w:t xml:space="preserve"> </w:t>
            </w:r>
            <w:r>
              <w:rPr>
                <w:spacing w:val="-1"/>
              </w:rPr>
              <w:t>家具/HJ2540</w:t>
            </w:r>
            <w:r>
              <w:rPr>
                <w:spacing w:val="-37"/>
              </w:rPr>
              <w:t xml:space="preserve"> </w:t>
            </w:r>
            <w:r>
              <w:rPr>
                <w:spacing w:val="-1"/>
              </w:rPr>
              <w:t>木塑制品</w:t>
            </w:r>
          </w:p>
        </w:tc>
      </w:tr>
      <w:tr w14:paraId="0C781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6C085D3E">
            <w:pPr>
              <w:pStyle w:val="257"/>
              <w:spacing w:before="68"/>
              <w:ind w:left="116"/>
            </w:pPr>
            <w:r>
              <w:rPr>
                <w:spacing w:val="-4"/>
              </w:rPr>
              <w:t>29</w:t>
            </w:r>
          </w:p>
        </w:tc>
        <w:tc>
          <w:tcPr>
            <w:tcW w:w="1542" w:type="dxa"/>
            <w:vAlign w:val="top"/>
          </w:tcPr>
          <w:p w14:paraId="663F829A">
            <w:pPr>
              <w:pStyle w:val="257"/>
              <w:spacing w:before="69" w:line="284" w:lineRule="auto"/>
              <w:ind w:left="111" w:right="106" w:hanging="9"/>
            </w:pPr>
            <w:r>
              <w:rPr>
                <w:spacing w:val="-7"/>
              </w:rPr>
              <w:t>A070101</w:t>
            </w:r>
            <w:r>
              <w:rPr>
                <w:spacing w:val="-36"/>
              </w:rPr>
              <w:t xml:space="preserve"> </w:t>
            </w:r>
            <w:r>
              <w:rPr>
                <w:spacing w:val="-7"/>
              </w:rPr>
              <w:t>棉、化纤</w:t>
            </w:r>
            <w:r>
              <w:t xml:space="preserve"> </w:t>
            </w:r>
            <w:r>
              <w:rPr>
                <w:spacing w:val="-2"/>
              </w:rPr>
              <w:t>纺织及印染原料</w:t>
            </w:r>
          </w:p>
        </w:tc>
        <w:tc>
          <w:tcPr>
            <w:tcW w:w="2672" w:type="dxa"/>
            <w:vAlign w:val="top"/>
          </w:tcPr>
          <w:p w14:paraId="0330E98B">
            <w:pPr>
              <w:rPr>
                <w:rFonts w:ascii="Arial"/>
                <w:sz w:val="21"/>
              </w:rPr>
            </w:pPr>
          </w:p>
        </w:tc>
        <w:tc>
          <w:tcPr>
            <w:tcW w:w="2248" w:type="dxa"/>
            <w:vAlign w:val="top"/>
          </w:tcPr>
          <w:p w14:paraId="62FF6221">
            <w:pPr>
              <w:rPr>
                <w:rFonts w:ascii="Arial"/>
                <w:sz w:val="21"/>
              </w:rPr>
            </w:pPr>
          </w:p>
        </w:tc>
        <w:tc>
          <w:tcPr>
            <w:tcW w:w="2392" w:type="dxa"/>
            <w:vAlign w:val="top"/>
          </w:tcPr>
          <w:p w14:paraId="27AFCC61">
            <w:pPr>
              <w:pStyle w:val="257"/>
              <w:spacing w:before="67" w:line="219" w:lineRule="auto"/>
              <w:ind w:left="109"/>
            </w:pPr>
            <w:r>
              <w:rPr>
                <w:spacing w:val="-1"/>
              </w:rPr>
              <w:t>HJ2546</w:t>
            </w:r>
            <w:r>
              <w:rPr>
                <w:spacing w:val="-34"/>
              </w:rPr>
              <w:t xml:space="preserve"> </w:t>
            </w:r>
            <w:r>
              <w:rPr>
                <w:spacing w:val="-1"/>
              </w:rPr>
              <w:t>纺织产品</w:t>
            </w:r>
          </w:p>
        </w:tc>
      </w:tr>
      <w:tr w14:paraId="36044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83" w:type="dxa"/>
            <w:vAlign w:val="top"/>
          </w:tcPr>
          <w:p w14:paraId="6B9759D3">
            <w:pPr>
              <w:pStyle w:val="257"/>
              <w:spacing w:before="68"/>
              <w:ind w:left="118"/>
            </w:pPr>
            <w:r>
              <w:rPr>
                <w:spacing w:val="-5"/>
              </w:rPr>
              <w:t>30</w:t>
            </w:r>
          </w:p>
        </w:tc>
        <w:tc>
          <w:tcPr>
            <w:tcW w:w="1542" w:type="dxa"/>
            <w:vAlign w:val="top"/>
          </w:tcPr>
          <w:p w14:paraId="71EB6A48">
            <w:pPr>
              <w:pStyle w:val="257"/>
              <w:spacing w:before="69" w:line="296" w:lineRule="auto"/>
              <w:ind w:left="109" w:right="106" w:hanging="7"/>
              <w:jc w:val="both"/>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vAlign w:val="top"/>
          </w:tcPr>
          <w:p w14:paraId="0D2FD32E">
            <w:pPr>
              <w:rPr>
                <w:rFonts w:ascii="Arial"/>
                <w:sz w:val="21"/>
              </w:rPr>
            </w:pPr>
          </w:p>
        </w:tc>
        <w:tc>
          <w:tcPr>
            <w:tcW w:w="2248" w:type="dxa"/>
            <w:vAlign w:val="top"/>
          </w:tcPr>
          <w:p w14:paraId="27BA282D">
            <w:pPr>
              <w:rPr>
                <w:rFonts w:ascii="Arial"/>
                <w:sz w:val="21"/>
              </w:rPr>
            </w:pPr>
          </w:p>
        </w:tc>
        <w:tc>
          <w:tcPr>
            <w:tcW w:w="2392" w:type="dxa"/>
            <w:vAlign w:val="top"/>
          </w:tcPr>
          <w:p w14:paraId="5279D6C1">
            <w:pPr>
              <w:pStyle w:val="257"/>
              <w:spacing w:before="67" w:line="219" w:lineRule="auto"/>
              <w:ind w:left="109"/>
            </w:pPr>
            <w:r>
              <w:rPr>
                <w:spacing w:val="-2"/>
              </w:rPr>
              <w:t>HJ410</w:t>
            </w:r>
            <w:r>
              <w:rPr>
                <w:spacing w:val="-27"/>
              </w:rPr>
              <w:t xml:space="preserve"> </w:t>
            </w:r>
            <w:r>
              <w:rPr>
                <w:spacing w:val="-2"/>
              </w:rPr>
              <w:t>文化用纸</w:t>
            </w:r>
          </w:p>
        </w:tc>
      </w:tr>
      <w:tr w14:paraId="6F09B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5AE20200">
            <w:pPr>
              <w:pStyle w:val="257"/>
              <w:spacing w:before="64"/>
              <w:ind w:left="118"/>
            </w:pPr>
            <w:r>
              <w:rPr>
                <w:spacing w:val="-5"/>
              </w:rPr>
              <w:t>31</w:t>
            </w:r>
          </w:p>
        </w:tc>
        <w:tc>
          <w:tcPr>
            <w:tcW w:w="1542" w:type="dxa"/>
            <w:vAlign w:val="top"/>
          </w:tcPr>
          <w:p w14:paraId="18CEB351">
            <w:pPr>
              <w:pStyle w:val="257"/>
              <w:spacing w:before="64" w:line="296" w:lineRule="auto"/>
              <w:ind w:left="109" w:right="106" w:hanging="7"/>
              <w:jc w:val="both"/>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vAlign w:val="top"/>
          </w:tcPr>
          <w:p w14:paraId="02C5799D">
            <w:pPr>
              <w:rPr>
                <w:rFonts w:ascii="Arial"/>
                <w:sz w:val="21"/>
              </w:rPr>
            </w:pPr>
          </w:p>
        </w:tc>
        <w:tc>
          <w:tcPr>
            <w:tcW w:w="2248" w:type="dxa"/>
            <w:vAlign w:val="top"/>
          </w:tcPr>
          <w:p w14:paraId="24D7525A">
            <w:pPr>
              <w:rPr>
                <w:rFonts w:ascii="Arial"/>
                <w:sz w:val="21"/>
              </w:rPr>
            </w:pPr>
          </w:p>
        </w:tc>
        <w:tc>
          <w:tcPr>
            <w:tcW w:w="2392" w:type="dxa"/>
            <w:vAlign w:val="top"/>
          </w:tcPr>
          <w:p w14:paraId="4B489F3D">
            <w:pPr>
              <w:pStyle w:val="257"/>
              <w:spacing w:before="63" w:line="219" w:lineRule="auto"/>
              <w:ind w:left="109"/>
            </w:pPr>
            <w:r>
              <w:rPr>
                <w:spacing w:val="-1"/>
              </w:rPr>
              <w:t>HJ/T413</w:t>
            </w:r>
            <w:r>
              <w:rPr>
                <w:spacing w:val="-34"/>
              </w:rPr>
              <w:t xml:space="preserve"> </w:t>
            </w:r>
            <w:r>
              <w:rPr>
                <w:spacing w:val="-1"/>
              </w:rPr>
              <w:t>再生鼓粉盒</w:t>
            </w:r>
          </w:p>
        </w:tc>
      </w:tr>
      <w:tr w14:paraId="5460C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3" w:type="dxa"/>
            <w:vMerge w:val="restart"/>
            <w:tcBorders>
              <w:bottom w:val="nil"/>
            </w:tcBorders>
            <w:vAlign w:val="top"/>
          </w:tcPr>
          <w:p w14:paraId="73D20A8E">
            <w:pPr>
              <w:pStyle w:val="257"/>
              <w:spacing w:before="64"/>
              <w:ind w:left="118"/>
            </w:pPr>
            <w:r>
              <w:rPr>
                <w:spacing w:val="-5"/>
              </w:rPr>
              <w:t>32</w:t>
            </w:r>
          </w:p>
        </w:tc>
        <w:tc>
          <w:tcPr>
            <w:tcW w:w="1542" w:type="dxa"/>
            <w:vMerge w:val="restart"/>
            <w:tcBorders>
              <w:bottom w:val="nil"/>
            </w:tcBorders>
            <w:vAlign w:val="top"/>
          </w:tcPr>
          <w:p w14:paraId="60247062">
            <w:pPr>
              <w:pStyle w:val="257"/>
              <w:spacing w:before="64" w:line="219" w:lineRule="auto"/>
              <w:ind w:left="102"/>
            </w:pPr>
            <w:r>
              <w:rPr>
                <w:spacing w:val="-1"/>
              </w:rPr>
              <w:t>A100203</w:t>
            </w:r>
            <w:r>
              <w:rPr>
                <w:spacing w:val="-33"/>
              </w:rPr>
              <w:t xml:space="preserve"> </w:t>
            </w:r>
            <w:r>
              <w:rPr>
                <w:spacing w:val="-1"/>
              </w:rPr>
              <w:t>人造板</w:t>
            </w:r>
          </w:p>
        </w:tc>
        <w:tc>
          <w:tcPr>
            <w:tcW w:w="2672" w:type="dxa"/>
            <w:vAlign w:val="top"/>
          </w:tcPr>
          <w:p w14:paraId="7EFC192F">
            <w:pPr>
              <w:pStyle w:val="257"/>
              <w:spacing w:before="64" w:line="219" w:lineRule="auto"/>
              <w:ind w:left="103"/>
            </w:pPr>
            <w:r>
              <w:rPr>
                <w:spacing w:val="-1"/>
              </w:rPr>
              <w:t>A10020301</w:t>
            </w:r>
            <w:r>
              <w:rPr>
                <w:spacing w:val="-32"/>
              </w:rPr>
              <w:t xml:space="preserve"> </w:t>
            </w:r>
            <w:r>
              <w:rPr>
                <w:spacing w:val="-1"/>
              </w:rPr>
              <w:t>胶合板</w:t>
            </w:r>
          </w:p>
        </w:tc>
        <w:tc>
          <w:tcPr>
            <w:tcW w:w="2248" w:type="dxa"/>
            <w:vAlign w:val="top"/>
          </w:tcPr>
          <w:p w14:paraId="5D0C019B">
            <w:pPr>
              <w:rPr>
                <w:rFonts w:ascii="Arial"/>
                <w:sz w:val="21"/>
              </w:rPr>
            </w:pPr>
          </w:p>
        </w:tc>
        <w:tc>
          <w:tcPr>
            <w:tcW w:w="2392" w:type="dxa"/>
            <w:vAlign w:val="top"/>
          </w:tcPr>
          <w:p w14:paraId="02BA6B7E">
            <w:pPr>
              <w:pStyle w:val="257"/>
              <w:spacing w:before="64" w:line="219" w:lineRule="auto"/>
              <w:ind w:left="109"/>
            </w:pPr>
            <w:r>
              <w:rPr>
                <w:spacing w:val="-1"/>
              </w:rPr>
              <w:t>HJ571</w:t>
            </w:r>
            <w:r>
              <w:rPr>
                <w:spacing w:val="-34"/>
              </w:rPr>
              <w:t xml:space="preserve"> </w:t>
            </w:r>
            <w:r>
              <w:rPr>
                <w:spacing w:val="-1"/>
              </w:rPr>
              <w:t>人造板及其制品</w:t>
            </w:r>
          </w:p>
        </w:tc>
      </w:tr>
      <w:tr w14:paraId="1DDE0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7A586619">
            <w:pPr>
              <w:rPr>
                <w:rFonts w:ascii="Arial"/>
                <w:sz w:val="21"/>
              </w:rPr>
            </w:pPr>
          </w:p>
        </w:tc>
        <w:tc>
          <w:tcPr>
            <w:tcW w:w="1542" w:type="dxa"/>
            <w:vMerge w:val="continue"/>
            <w:tcBorders>
              <w:top w:val="nil"/>
              <w:bottom w:val="nil"/>
            </w:tcBorders>
            <w:vAlign w:val="top"/>
          </w:tcPr>
          <w:p w14:paraId="5C7CE7E4">
            <w:pPr>
              <w:rPr>
                <w:rFonts w:ascii="Arial"/>
                <w:sz w:val="21"/>
              </w:rPr>
            </w:pPr>
          </w:p>
        </w:tc>
        <w:tc>
          <w:tcPr>
            <w:tcW w:w="2672" w:type="dxa"/>
            <w:vAlign w:val="top"/>
          </w:tcPr>
          <w:p w14:paraId="4C42CE39">
            <w:pPr>
              <w:pStyle w:val="257"/>
              <w:spacing w:before="65" w:line="219" w:lineRule="auto"/>
              <w:ind w:left="103"/>
            </w:pPr>
            <w:r>
              <w:rPr>
                <w:spacing w:val="-1"/>
              </w:rPr>
              <w:t>A10020302</w:t>
            </w:r>
            <w:r>
              <w:rPr>
                <w:spacing w:val="-30"/>
              </w:rPr>
              <w:t xml:space="preserve"> </w:t>
            </w:r>
            <w:r>
              <w:rPr>
                <w:spacing w:val="-1"/>
              </w:rPr>
              <w:t>纤维板</w:t>
            </w:r>
          </w:p>
        </w:tc>
        <w:tc>
          <w:tcPr>
            <w:tcW w:w="2248" w:type="dxa"/>
            <w:vAlign w:val="top"/>
          </w:tcPr>
          <w:p w14:paraId="730D3B7A">
            <w:pPr>
              <w:rPr>
                <w:rFonts w:ascii="Arial"/>
                <w:sz w:val="21"/>
              </w:rPr>
            </w:pPr>
          </w:p>
        </w:tc>
        <w:tc>
          <w:tcPr>
            <w:tcW w:w="2392" w:type="dxa"/>
            <w:vAlign w:val="top"/>
          </w:tcPr>
          <w:p w14:paraId="4D87B76C">
            <w:pPr>
              <w:pStyle w:val="257"/>
              <w:spacing w:before="64" w:line="219" w:lineRule="auto"/>
              <w:ind w:left="109"/>
            </w:pPr>
            <w:r>
              <w:rPr>
                <w:spacing w:val="-1"/>
              </w:rPr>
              <w:t>HJ571</w:t>
            </w:r>
            <w:r>
              <w:rPr>
                <w:spacing w:val="-34"/>
              </w:rPr>
              <w:t xml:space="preserve"> </w:t>
            </w:r>
            <w:r>
              <w:rPr>
                <w:spacing w:val="-1"/>
              </w:rPr>
              <w:t>人造板及其制品</w:t>
            </w:r>
          </w:p>
        </w:tc>
      </w:tr>
      <w:tr w14:paraId="3ACD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2C31392A">
            <w:pPr>
              <w:rPr>
                <w:rFonts w:ascii="Arial"/>
                <w:sz w:val="21"/>
              </w:rPr>
            </w:pPr>
          </w:p>
        </w:tc>
        <w:tc>
          <w:tcPr>
            <w:tcW w:w="1542" w:type="dxa"/>
            <w:vMerge w:val="continue"/>
            <w:tcBorders>
              <w:top w:val="nil"/>
              <w:bottom w:val="nil"/>
            </w:tcBorders>
            <w:vAlign w:val="top"/>
          </w:tcPr>
          <w:p w14:paraId="1F004592">
            <w:pPr>
              <w:rPr>
                <w:rFonts w:ascii="Arial"/>
                <w:sz w:val="21"/>
              </w:rPr>
            </w:pPr>
          </w:p>
        </w:tc>
        <w:tc>
          <w:tcPr>
            <w:tcW w:w="2672" w:type="dxa"/>
            <w:vAlign w:val="top"/>
          </w:tcPr>
          <w:p w14:paraId="716CE41D">
            <w:pPr>
              <w:pStyle w:val="257"/>
              <w:spacing w:before="65" w:line="219" w:lineRule="auto"/>
              <w:ind w:left="103"/>
            </w:pPr>
            <w:r>
              <w:rPr>
                <w:spacing w:val="-1"/>
              </w:rPr>
              <w:t>A10020303</w:t>
            </w:r>
            <w:r>
              <w:rPr>
                <w:spacing w:val="-32"/>
              </w:rPr>
              <w:t xml:space="preserve"> </w:t>
            </w:r>
            <w:r>
              <w:rPr>
                <w:spacing w:val="-1"/>
              </w:rPr>
              <w:t>刨花板</w:t>
            </w:r>
          </w:p>
        </w:tc>
        <w:tc>
          <w:tcPr>
            <w:tcW w:w="2248" w:type="dxa"/>
            <w:vAlign w:val="top"/>
          </w:tcPr>
          <w:p w14:paraId="7DE9B386">
            <w:pPr>
              <w:rPr>
                <w:rFonts w:ascii="Arial"/>
                <w:sz w:val="21"/>
              </w:rPr>
            </w:pPr>
          </w:p>
        </w:tc>
        <w:tc>
          <w:tcPr>
            <w:tcW w:w="2392" w:type="dxa"/>
            <w:vAlign w:val="top"/>
          </w:tcPr>
          <w:p w14:paraId="51394242">
            <w:pPr>
              <w:pStyle w:val="257"/>
              <w:spacing w:before="64" w:line="219" w:lineRule="auto"/>
              <w:ind w:left="109"/>
            </w:pPr>
            <w:r>
              <w:rPr>
                <w:spacing w:val="-1"/>
              </w:rPr>
              <w:t>HJ571</w:t>
            </w:r>
            <w:r>
              <w:rPr>
                <w:spacing w:val="-34"/>
              </w:rPr>
              <w:t xml:space="preserve"> </w:t>
            </w:r>
            <w:r>
              <w:rPr>
                <w:spacing w:val="-1"/>
              </w:rPr>
              <w:t>人造板及其制品</w:t>
            </w:r>
          </w:p>
        </w:tc>
      </w:tr>
      <w:tr w14:paraId="0099C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25773387">
            <w:pPr>
              <w:rPr>
                <w:rFonts w:ascii="Arial"/>
                <w:sz w:val="21"/>
              </w:rPr>
            </w:pPr>
          </w:p>
        </w:tc>
        <w:tc>
          <w:tcPr>
            <w:tcW w:w="1542" w:type="dxa"/>
            <w:vMerge w:val="continue"/>
            <w:tcBorders>
              <w:top w:val="nil"/>
              <w:bottom w:val="nil"/>
            </w:tcBorders>
            <w:vAlign w:val="top"/>
          </w:tcPr>
          <w:p w14:paraId="11B1FCC9">
            <w:pPr>
              <w:rPr>
                <w:rFonts w:ascii="Arial"/>
                <w:sz w:val="21"/>
              </w:rPr>
            </w:pPr>
          </w:p>
        </w:tc>
        <w:tc>
          <w:tcPr>
            <w:tcW w:w="2672" w:type="dxa"/>
            <w:vAlign w:val="top"/>
          </w:tcPr>
          <w:p w14:paraId="2DAAB28E">
            <w:pPr>
              <w:pStyle w:val="257"/>
              <w:spacing w:before="68" w:line="219" w:lineRule="auto"/>
              <w:ind w:left="103"/>
            </w:pPr>
            <w:r>
              <w:rPr>
                <w:spacing w:val="-1"/>
              </w:rPr>
              <w:t>A10020304</w:t>
            </w:r>
            <w:r>
              <w:rPr>
                <w:spacing w:val="-31"/>
              </w:rPr>
              <w:t xml:space="preserve"> </w:t>
            </w:r>
            <w:r>
              <w:rPr>
                <w:spacing w:val="-1"/>
              </w:rPr>
              <w:t>细木工板</w:t>
            </w:r>
          </w:p>
        </w:tc>
        <w:tc>
          <w:tcPr>
            <w:tcW w:w="2248" w:type="dxa"/>
            <w:vAlign w:val="top"/>
          </w:tcPr>
          <w:p w14:paraId="5AA641E9">
            <w:pPr>
              <w:rPr>
                <w:rFonts w:ascii="Arial"/>
                <w:sz w:val="21"/>
              </w:rPr>
            </w:pPr>
          </w:p>
        </w:tc>
        <w:tc>
          <w:tcPr>
            <w:tcW w:w="2392" w:type="dxa"/>
            <w:vAlign w:val="top"/>
          </w:tcPr>
          <w:p w14:paraId="23D010C9">
            <w:pPr>
              <w:pStyle w:val="257"/>
              <w:spacing w:before="67" w:line="219" w:lineRule="auto"/>
              <w:ind w:left="109"/>
            </w:pPr>
            <w:r>
              <w:rPr>
                <w:spacing w:val="-1"/>
              </w:rPr>
              <w:t>HJ571</w:t>
            </w:r>
            <w:r>
              <w:rPr>
                <w:spacing w:val="-34"/>
              </w:rPr>
              <w:t xml:space="preserve"> </w:t>
            </w:r>
            <w:r>
              <w:rPr>
                <w:spacing w:val="-1"/>
              </w:rPr>
              <w:t>人造板及其制品</w:t>
            </w:r>
          </w:p>
        </w:tc>
      </w:tr>
      <w:tr w14:paraId="1A883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D2ADE76">
            <w:pPr>
              <w:rPr>
                <w:rFonts w:ascii="Arial"/>
                <w:sz w:val="21"/>
              </w:rPr>
            </w:pPr>
          </w:p>
        </w:tc>
        <w:tc>
          <w:tcPr>
            <w:tcW w:w="1542" w:type="dxa"/>
            <w:vMerge w:val="continue"/>
            <w:tcBorders>
              <w:top w:val="nil"/>
            </w:tcBorders>
            <w:vAlign w:val="top"/>
          </w:tcPr>
          <w:p w14:paraId="3995B404">
            <w:pPr>
              <w:rPr>
                <w:rFonts w:ascii="Arial"/>
                <w:sz w:val="21"/>
              </w:rPr>
            </w:pPr>
          </w:p>
        </w:tc>
        <w:tc>
          <w:tcPr>
            <w:tcW w:w="2672" w:type="dxa"/>
            <w:vAlign w:val="top"/>
          </w:tcPr>
          <w:p w14:paraId="7440858E">
            <w:pPr>
              <w:pStyle w:val="257"/>
              <w:spacing w:before="65" w:line="219" w:lineRule="auto"/>
              <w:ind w:left="103"/>
            </w:pPr>
            <w:r>
              <w:rPr>
                <w:spacing w:val="-1"/>
              </w:rPr>
              <w:t>A10020399</w:t>
            </w:r>
            <w:r>
              <w:rPr>
                <w:spacing w:val="-31"/>
              </w:rPr>
              <w:t xml:space="preserve"> </w:t>
            </w:r>
            <w:r>
              <w:rPr>
                <w:spacing w:val="-1"/>
              </w:rPr>
              <w:t>其他人造板</w:t>
            </w:r>
          </w:p>
        </w:tc>
        <w:tc>
          <w:tcPr>
            <w:tcW w:w="2248" w:type="dxa"/>
            <w:vAlign w:val="top"/>
          </w:tcPr>
          <w:p w14:paraId="56B92C13">
            <w:pPr>
              <w:rPr>
                <w:rFonts w:ascii="Arial"/>
                <w:sz w:val="21"/>
              </w:rPr>
            </w:pPr>
          </w:p>
        </w:tc>
        <w:tc>
          <w:tcPr>
            <w:tcW w:w="2392" w:type="dxa"/>
            <w:vAlign w:val="top"/>
          </w:tcPr>
          <w:p w14:paraId="7BFF304A">
            <w:pPr>
              <w:pStyle w:val="257"/>
              <w:spacing w:before="64" w:line="219" w:lineRule="auto"/>
              <w:ind w:left="109"/>
            </w:pPr>
            <w:r>
              <w:rPr>
                <w:spacing w:val="-1"/>
              </w:rPr>
              <w:t>HJ571</w:t>
            </w:r>
            <w:r>
              <w:rPr>
                <w:spacing w:val="-34"/>
              </w:rPr>
              <w:t xml:space="preserve"> </w:t>
            </w:r>
            <w:r>
              <w:rPr>
                <w:spacing w:val="-1"/>
              </w:rPr>
              <w:t>人造板及其制品</w:t>
            </w:r>
          </w:p>
        </w:tc>
      </w:tr>
      <w:tr w14:paraId="3C665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83" w:type="dxa"/>
            <w:vMerge w:val="restart"/>
            <w:tcBorders>
              <w:bottom w:val="nil"/>
            </w:tcBorders>
            <w:vAlign w:val="top"/>
          </w:tcPr>
          <w:p w14:paraId="239BEB6C">
            <w:pPr>
              <w:pStyle w:val="257"/>
              <w:spacing w:before="65"/>
              <w:ind w:left="118"/>
            </w:pPr>
            <w:r>
              <w:rPr>
                <w:spacing w:val="-5"/>
              </w:rPr>
              <w:t>33</w:t>
            </w:r>
          </w:p>
        </w:tc>
        <w:tc>
          <w:tcPr>
            <w:tcW w:w="1542" w:type="dxa"/>
            <w:vMerge w:val="restart"/>
            <w:tcBorders>
              <w:bottom w:val="nil"/>
            </w:tcBorders>
            <w:vAlign w:val="top"/>
          </w:tcPr>
          <w:p w14:paraId="5FB21499">
            <w:pPr>
              <w:pStyle w:val="257"/>
              <w:spacing w:before="64" w:line="321" w:lineRule="auto"/>
              <w:ind w:left="109" w:right="108" w:hanging="7"/>
            </w:pPr>
            <w:r>
              <w:rPr>
                <w:spacing w:val="3"/>
              </w:rPr>
              <w:t>A100204</w:t>
            </w:r>
            <w:r>
              <w:rPr>
                <w:spacing w:val="34"/>
              </w:rPr>
              <w:t xml:space="preserve"> </w:t>
            </w:r>
            <w:r>
              <w:rPr>
                <w:spacing w:val="3"/>
              </w:rPr>
              <w:t>二次加</w:t>
            </w:r>
            <w:r>
              <w:t xml:space="preserve"> </w:t>
            </w:r>
            <w:r>
              <w:rPr>
                <w:spacing w:val="-2"/>
              </w:rPr>
              <w:t>工材,相关板材</w:t>
            </w:r>
          </w:p>
        </w:tc>
        <w:tc>
          <w:tcPr>
            <w:tcW w:w="2672" w:type="dxa"/>
            <w:vAlign w:val="top"/>
          </w:tcPr>
          <w:p w14:paraId="17ED21B3">
            <w:pPr>
              <w:pStyle w:val="257"/>
              <w:spacing w:before="65" w:line="219" w:lineRule="auto"/>
              <w:ind w:left="103"/>
            </w:pPr>
            <w:r>
              <w:rPr>
                <w:spacing w:val="-1"/>
              </w:rPr>
              <w:t>A10020404</w:t>
            </w:r>
            <w:r>
              <w:rPr>
                <w:spacing w:val="-28"/>
              </w:rPr>
              <w:t xml:space="preserve"> </w:t>
            </w:r>
            <w:r>
              <w:rPr>
                <w:spacing w:val="-1"/>
              </w:rPr>
              <w:t>人造板表面装饰板</w:t>
            </w:r>
          </w:p>
        </w:tc>
        <w:tc>
          <w:tcPr>
            <w:tcW w:w="2248" w:type="dxa"/>
            <w:vAlign w:val="top"/>
          </w:tcPr>
          <w:p w14:paraId="671F7172">
            <w:pPr>
              <w:rPr>
                <w:rFonts w:ascii="Arial"/>
                <w:sz w:val="21"/>
              </w:rPr>
            </w:pPr>
          </w:p>
        </w:tc>
        <w:tc>
          <w:tcPr>
            <w:tcW w:w="2392" w:type="dxa"/>
            <w:vAlign w:val="top"/>
          </w:tcPr>
          <w:p w14:paraId="742D8B9D">
            <w:pPr>
              <w:pStyle w:val="257"/>
              <w:spacing w:before="64" w:line="219" w:lineRule="auto"/>
              <w:ind w:left="109"/>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2C82F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137CE8B9">
            <w:pPr>
              <w:rPr>
                <w:rFonts w:ascii="Arial"/>
                <w:sz w:val="21"/>
              </w:rPr>
            </w:pPr>
          </w:p>
        </w:tc>
        <w:tc>
          <w:tcPr>
            <w:tcW w:w="1542" w:type="dxa"/>
            <w:vMerge w:val="continue"/>
            <w:tcBorders>
              <w:top w:val="nil"/>
            </w:tcBorders>
            <w:vAlign w:val="top"/>
          </w:tcPr>
          <w:p w14:paraId="67BF376E">
            <w:pPr>
              <w:rPr>
                <w:rFonts w:ascii="Arial"/>
                <w:sz w:val="21"/>
              </w:rPr>
            </w:pPr>
          </w:p>
        </w:tc>
        <w:tc>
          <w:tcPr>
            <w:tcW w:w="2672" w:type="dxa"/>
            <w:vAlign w:val="top"/>
          </w:tcPr>
          <w:p w14:paraId="6ECA7361">
            <w:pPr>
              <w:pStyle w:val="257"/>
              <w:spacing w:before="67" w:line="284" w:lineRule="auto"/>
              <w:ind w:left="113" w:right="107" w:hanging="10"/>
            </w:pPr>
            <w:r>
              <w:rPr>
                <w:spacing w:val="5"/>
              </w:rPr>
              <w:t>A10020404</w:t>
            </w:r>
            <w:r>
              <w:rPr>
                <w:spacing w:val="30"/>
              </w:rPr>
              <w:t xml:space="preserve"> </w:t>
            </w:r>
            <w:r>
              <w:rPr>
                <w:spacing w:val="5"/>
              </w:rPr>
              <w:t>人造板表面装饰板</w:t>
            </w:r>
            <w:r>
              <w:t xml:space="preserve"> </w:t>
            </w:r>
            <w:r>
              <w:rPr>
                <w:spacing w:val="-3"/>
              </w:rPr>
              <w:t>（地板）</w:t>
            </w:r>
          </w:p>
        </w:tc>
        <w:tc>
          <w:tcPr>
            <w:tcW w:w="2248" w:type="dxa"/>
            <w:vAlign w:val="top"/>
          </w:tcPr>
          <w:p w14:paraId="6E863972">
            <w:pPr>
              <w:rPr>
                <w:rFonts w:ascii="Arial"/>
                <w:sz w:val="21"/>
              </w:rPr>
            </w:pPr>
          </w:p>
        </w:tc>
        <w:tc>
          <w:tcPr>
            <w:tcW w:w="2392" w:type="dxa"/>
            <w:vAlign w:val="top"/>
          </w:tcPr>
          <w:p w14:paraId="5CD24ADF">
            <w:pPr>
              <w:pStyle w:val="257"/>
              <w:spacing w:before="67" w:line="219" w:lineRule="auto"/>
              <w:ind w:left="109"/>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33A9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1B0908CB">
            <w:pPr>
              <w:pStyle w:val="257"/>
              <w:spacing w:before="65"/>
              <w:ind w:left="118"/>
            </w:pPr>
            <w:r>
              <w:rPr>
                <w:spacing w:val="-5"/>
              </w:rPr>
              <w:t>34</w:t>
            </w:r>
          </w:p>
        </w:tc>
        <w:tc>
          <w:tcPr>
            <w:tcW w:w="1542" w:type="dxa"/>
            <w:vAlign w:val="top"/>
          </w:tcPr>
          <w:p w14:paraId="74C8304D">
            <w:pPr>
              <w:pStyle w:val="257"/>
              <w:spacing w:before="66" w:line="283" w:lineRule="auto"/>
              <w:ind w:left="107" w:right="108" w:hanging="5"/>
            </w:pPr>
            <w:r>
              <w:rPr>
                <w:spacing w:val="3"/>
              </w:rPr>
              <w:t>A100301</w:t>
            </w:r>
            <w:r>
              <w:rPr>
                <w:spacing w:val="34"/>
              </w:rPr>
              <w:t xml:space="preserve"> </w:t>
            </w:r>
            <w:r>
              <w:rPr>
                <w:spacing w:val="3"/>
              </w:rPr>
              <w:t>水泥熟</w:t>
            </w:r>
            <w:r>
              <w:t xml:space="preserve"> </w:t>
            </w:r>
            <w:r>
              <w:rPr>
                <w:spacing w:val="-2"/>
              </w:rPr>
              <w:t>料及水泥</w:t>
            </w:r>
          </w:p>
        </w:tc>
        <w:tc>
          <w:tcPr>
            <w:tcW w:w="2672" w:type="dxa"/>
            <w:vAlign w:val="top"/>
          </w:tcPr>
          <w:p w14:paraId="3314F35F">
            <w:pPr>
              <w:pStyle w:val="257"/>
              <w:spacing w:before="65" w:line="220" w:lineRule="auto"/>
              <w:ind w:left="103"/>
            </w:pPr>
            <w:r>
              <w:rPr>
                <w:spacing w:val="-1"/>
              </w:rPr>
              <w:t>A10030102</w:t>
            </w:r>
            <w:r>
              <w:rPr>
                <w:spacing w:val="-31"/>
              </w:rPr>
              <w:t xml:space="preserve"> </w:t>
            </w:r>
            <w:r>
              <w:rPr>
                <w:spacing w:val="-1"/>
              </w:rPr>
              <w:t>水泥</w:t>
            </w:r>
          </w:p>
        </w:tc>
        <w:tc>
          <w:tcPr>
            <w:tcW w:w="2248" w:type="dxa"/>
            <w:vAlign w:val="top"/>
          </w:tcPr>
          <w:p w14:paraId="25356875">
            <w:pPr>
              <w:rPr>
                <w:rFonts w:ascii="Arial"/>
                <w:sz w:val="21"/>
              </w:rPr>
            </w:pPr>
          </w:p>
        </w:tc>
        <w:tc>
          <w:tcPr>
            <w:tcW w:w="2392" w:type="dxa"/>
            <w:vAlign w:val="top"/>
          </w:tcPr>
          <w:p w14:paraId="58FEE2FB">
            <w:pPr>
              <w:pStyle w:val="257"/>
              <w:spacing w:before="64" w:line="219" w:lineRule="auto"/>
              <w:ind w:left="109"/>
            </w:pPr>
            <w:r>
              <w:rPr>
                <w:spacing w:val="-1"/>
              </w:rPr>
              <w:t>HJ2519</w:t>
            </w:r>
            <w:r>
              <w:rPr>
                <w:spacing w:val="-34"/>
              </w:rPr>
              <w:t xml:space="preserve"> </w:t>
            </w:r>
            <w:r>
              <w:rPr>
                <w:spacing w:val="-1"/>
              </w:rPr>
              <w:t>水泥</w:t>
            </w:r>
          </w:p>
        </w:tc>
      </w:tr>
      <w:tr w14:paraId="47BBA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6DAA5275">
            <w:pPr>
              <w:pStyle w:val="257"/>
              <w:spacing w:before="66"/>
              <w:ind w:left="118"/>
            </w:pPr>
            <w:r>
              <w:rPr>
                <w:spacing w:val="-5"/>
              </w:rPr>
              <w:t>35</w:t>
            </w:r>
          </w:p>
        </w:tc>
        <w:tc>
          <w:tcPr>
            <w:tcW w:w="1542" w:type="dxa"/>
            <w:vAlign w:val="top"/>
          </w:tcPr>
          <w:p w14:paraId="1C589A6B">
            <w:pPr>
              <w:pStyle w:val="257"/>
              <w:spacing w:before="66" w:line="283" w:lineRule="auto"/>
              <w:ind w:left="106" w:right="108" w:hanging="4"/>
            </w:pPr>
            <w:r>
              <w:rPr>
                <w:spacing w:val="3"/>
              </w:rPr>
              <w:t>A100303</w:t>
            </w:r>
            <w:r>
              <w:rPr>
                <w:spacing w:val="34"/>
              </w:rPr>
              <w:t xml:space="preserve"> </w:t>
            </w:r>
            <w:r>
              <w:rPr>
                <w:spacing w:val="3"/>
              </w:rPr>
              <w:t>水泥混</w:t>
            </w:r>
            <w:r>
              <w:t xml:space="preserve"> </w:t>
            </w:r>
            <w:r>
              <w:rPr>
                <w:spacing w:val="-2"/>
              </w:rPr>
              <w:t>凝土制品</w:t>
            </w:r>
          </w:p>
        </w:tc>
        <w:tc>
          <w:tcPr>
            <w:tcW w:w="2672" w:type="dxa"/>
            <w:vAlign w:val="top"/>
          </w:tcPr>
          <w:p w14:paraId="08A33F38">
            <w:pPr>
              <w:pStyle w:val="257"/>
              <w:spacing w:before="65" w:line="221" w:lineRule="auto"/>
              <w:ind w:left="103"/>
            </w:pPr>
            <w:r>
              <w:rPr>
                <w:spacing w:val="-1"/>
              </w:rPr>
              <w:t>A10030301</w:t>
            </w:r>
            <w:r>
              <w:rPr>
                <w:spacing w:val="-30"/>
              </w:rPr>
              <w:t xml:space="preserve"> </w:t>
            </w:r>
            <w:r>
              <w:rPr>
                <w:spacing w:val="-1"/>
              </w:rPr>
              <w:t>商品混凝土</w:t>
            </w:r>
          </w:p>
        </w:tc>
        <w:tc>
          <w:tcPr>
            <w:tcW w:w="2248" w:type="dxa"/>
            <w:vAlign w:val="top"/>
          </w:tcPr>
          <w:p w14:paraId="0B265018">
            <w:pPr>
              <w:rPr>
                <w:rFonts w:ascii="Arial"/>
                <w:sz w:val="21"/>
              </w:rPr>
            </w:pPr>
          </w:p>
        </w:tc>
        <w:tc>
          <w:tcPr>
            <w:tcW w:w="2392" w:type="dxa"/>
            <w:vAlign w:val="top"/>
          </w:tcPr>
          <w:p w14:paraId="0063C434">
            <w:pPr>
              <w:pStyle w:val="257"/>
              <w:spacing w:before="65" w:line="219" w:lineRule="auto"/>
              <w:ind w:left="109"/>
            </w:pPr>
            <w:r>
              <w:rPr>
                <w:spacing w:val="-1"/>
              </w:rPr>
              <w:t>HJ/T412</w:t>
            </w:r>
            <w:r>
              <w:rPr>
                <w:spacing w:val="-34"/>
              </w:rPr>
              <w:t xml:space="preserve"> </w:t>
            </w:r>
            <w:r>
              <w:rPr>
                <w:spacing w:val="-1"/>
              </w:rPr>
              <w:t>预拌混凝土</w:t>
            </w:r>
          </w:p>
        </w:tc>
      </w:tr>
      <w:tr w14:paraId="5A972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B83C9DB">
            <w:pPr>
              <w:pStyle w:val="257"/>
              <w:spacing w:before="66"/>
              <w:ind w:left="118"/>
            </w:pPr>
            <w:r>
              <w:rPr>
                <w:spacing w:val="-5"/>
              </w:rPr>
              <w:t>36</w:t>
            </w:r>
          </w:p>
        </w:tc>
        <w:tc>
          <w:tcPr>
            <w:tcW w:w="1542" w:type="dxa"/>
            <w:vMerge w:val="restart"/>
            <w:tcBorders>
              <w:bottom w:val="nil"/>
            </w:tcBorders>
            <w:vAlign w:val="top"/>
          </w:tcPr>
          <w:p w14:paraId="6BBBD180">
            <w:pPr>
              <w:pStyle w:val="257"/>
              <w:spacing w:before="66" w:line="322" w:lineRule="auto"/>
              <w:ind w:left="111" w:right="108" w:hanging="9"/>
            </w:pPr>
            <w:r>
              <w:rPr>
                <w:spacing w:val="3"/>
              </w:rPr>
              <w:t>A100304</w:t>
            </w:r>
            <w:r>
              <w:rPr>
                <w:spacing w:val="35"/>
              </w:rPr>
              <w:t xml:space="preserve"> </w:t>
            </w:r>
            <w:r>
              <w:rPr>
                <w:spacing w:val="3"/>
              </w:rPr>
              <w:t>纤维增</w:t>
            </w:r>
            <w:r>
              <w:t xml:space="preserve"> </w:t>
            </w:r>
            <w:r>
              <w:rPr>
                <w:spacing w:val="-2"/>
              </w:rPr>
              <w:t>强水泥制品</w:t>
            </w:r>
          </w:p>
        </w:tc>
        <w:tc>
          <w:tcPr>
            <w:tcW w:w="2672" w:type="dxa"/>
            <w:vAlign w:val="top"/>
          </w:tcPr>
          <w:p w14:paraId="603F2296">
            <w:pPr>
              <w:pStyle w:val="257"/>
              <w:spacing w:before="66" w:line="219" w:lineRule="auto"/>
              <w:ind w:left="103"/>
            </w:pPr>
            <w:r>
              <w:rPr>
                <w:spacing w:val="-1"/>
              </w:rPr>
              <w:t>A10030402</w:t>
            </w:r>
            <w:r>
              <w:rPr>
                <w:spacing w:val="-28"/>
              </w:rPr>
              <w:t xml:space="preserve"> </w:t>
            </w:r>
            <w:r>
              <w:rPr>
                <w:spacing w:val="-1"/>
              </w:rPr>
              <w:t>纤维增强硅酸钙板</w:t>
            </w:r>
          </w:p>
        </w:tc>
        <w:tc>
          <w:tcPr>
            <w:tcW w:w="2248" w:type="dxa"/>
            <w:vAlign w:val="top"/>
          </w:tcPr>
          <w:p w14:paraId="54E76511">
            <w:pPr>
              <w:rPr>
                <w:rFonts w:ascii="Arial"/>
                <w:sz w:val="21"/>
              </w:rPr>
            </w:pPr>
          </w:p>
        </w:tc>
        <w:tc>
          <w:tcPr>
            <w:tcW w:w="2392" w:type="dxa"/>
            <w:vAlign w:val="top"/>
          </w:tcPr>
          <w:p w14:paraId="7DB76559">
            <w:pPr>
              <w:pStyle w:val="257"/>
              <w:spacing w:before="66" w:line="219" w:lineRule="auto"/>
              <w:ind w:left="109"/>
            </w:pPr>
            <w:r>
              <w:rPr>
                <w:spacing w:val="-1"/>
              </w:rPr>
              <w:t>HJ/T223</w:t>
            </w:r>
            <w:r>
              <w:rPr>
                <w:spacing w:val="-33"/>
              </w:rPr>
              <w:t xml:space="preserve"> </w:t>
            </w:r>
            <w:r>
              <w:rPr>
                <w:spacing w:val="-1"/>
              </w:rPr>
              <w:t>轻质墙体板材</w:t>
            </w:r>
          </w:p>
        </w:tc>
      </w:tr>
      <w:tr w14:paraId="4747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1C250FD4">
            <w:pPr>
              <w:rPr>
                <w:rFonts w:ascii="Arial"/>
                <w:sz w:val="21"/>
              </w:rPr>
            </w:pPr>
          </w:p>
        </w:tc>
        <w:tc>
          <w:tcPr>
            <w:tcW w:w="1542" w:type="dxa"/>
            <w:vMerge w:val="continue"/>
            <w:tcBorders>
              <w:top w:val="nil"/>
            </w:tcBorders>
            <w:vAlign w:val="top"/>
          </w:tcPr>
          <w:p w14:paraId="2E8EFD2B">
            <w:pPr>
              <w:rPr>
                <w:rFonts w:ascii="Arial"/>
                <w:sz w:val="21"/>
              </w:rPr>
            </w:pPr>
          </w:p>
        </w:tc>
        <w:tc>
          <w:tcPr>
            <w:tcW w:w="2672" w:type="dxa"/>
            <w:vAlign w:val="top"/>
          </w:tcPr>
          <w:p w14:paraId="0C6EE681">
            <w:pPr>
              <w:pStyle w:val="257"/>
              <w:spacing w:before="66" w:line="220" w:lineRule="auto"/>
              <w:ind w:left="103"/>
            </w:pPr>
            <w:r>
              <w:rPr>
                <w:spacing w:val="-1"/>
              </w:rPr>
              <w:t>A10030403</w:t>
            </w:r>
            <w:r>
              <w:rPr>
                <w:spacing w:val="-45"/>
              </w:rPr>
              <w:t xml:space="preserve"> </w:t>
            </w:r>
            <w:r>
              <w:rPr>
                <w:spacing w:val="-1"/>
              </w:rPr>
              <w:t>无石棉纤维水泥制品</w:t>
            </w:r>
          </w:p>
        </w:tc>
        <w:tc>
          <w:tcPr>
            <w:tcW w:w="2248" w:type="dxa"/>
            <w:vAlign w:val="top"/>
          </w:tcPr>
          <w:p w14:paraId="365F4AAD">
            <w:pPr>
              <w:rPr>
                <w:rFonts w:ascii="Arial"/>
                <w:sz w:val="21"/>
              </w:rPr>
            </w:pPr>
          </w:p>
        </w:tc>
        <w:tc>
          <w:tcPr>
            <w:tcW w:w="2392" w:type="dxa"/>
            <w:vAlign w:val="top"/>
          </w:tcPr>
          <w:p w14:paraId="66573A6B">
            <w:pPr>
              <w:pStyle w:val="257"/>
              <w:spacing w:before="66" w:line="219" w:lineRule="auto"/>
              <w:ind w:left="109"/>
            </w:pPr>
            <w:r>
              <w:rPr>
                <w:spacing w:val="-1"/>
              </w:rPr>
              <w:t>HJ/T223</w:t>
            </w:r>
            <w:r>
              <w:rPr>
                <w:spacing w:val="-33"/>
              </w:rPr>
              <w:t xml:space="preserve"> </w:t>
            </w:r>
            <w:r>
              <w:rPr>
                <w:spacing w:val="-1"/>
              </w:rPr>
              <w:t>轻质墙体板材</w:t>
            </w:r>
          </w:p>
        </w:tc>
      </w:tr>
      <w:tr w14:paraId="5D83D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334D0AE4">
            <w:pPr>
              <w:pStyle w:val="257"/>
              <w:spacing w:before="67"/>
              <w:ind w:left="118"/>
            </w:pPr>
            <w:r>
              <w:rPr>
                <w:spacing w:val="-5"/>
              </w:rPr>
              <w:t>37</w:t>
            </w:r>
          </w:p>
        </w:tc>
        <w:tc>
          <w:tcPr>
            <w:tcW w:w="1542" w:type="dxa"/>
            <w:vMerge w:val="restart"/>
            <w:tcBorders>
              <w:bottom w:val="nil"/>
            </w:tcBorders>
            <w:vAlign w:val="top"/>
          </w:tcPr>
          <w:p w14:paraId="50FFF942">
            <w:pPr>
              <w:pStyle w:val="257"/>
              <w:spacing w:before="66" w:line="322" w:lineRule="auto"/>
              <w:ind w:left="109" w:right="108" w:hanging="7"/>
            </w:pPr>
            <w:r>
              <w:rPr>
                <w:spacing w:val="3"/>
              </w:rPr>
              <w:t>A100305</w:t>
            </w:r>
            <w:r>
              <w:rPr>
                <w:spacing w:val="34"/>
              </w:rPr>
              <w:t xml:space="preserve"> </w:t>
            </w:r>
            <w:r>
              <w:rPr>
                <w:spacing w:val="3"/>
              </w:rPr>
              <w:t>轻质建</w:t>
            </w:r>
            <w:r>
              <w:t xml:space="preserve"> </w:t>
            </w:r>
            <w:r>
              <w:rPr>
                <w:spacing w:val="-2"/>
              </w:rPr>
              <w:t>筑材料及制品</w:t>
            </w:r>
          </w:p>
        </w:tc>
        <w:tc>
          <w:tcPr>
            <w:tcW w:w="2672" w:type="dxa"/>
            <w:vAlign w:val="top"/>
          </w:tcPr>
          <w:p w14:paraId="22715C66">
            <w:pPr>
              <w:pStyle w:val="257"/>
              <w:spacing w:before="67" w:line="219" w:lineRule="auto"/>
              <w:ind w:left="103"/>
            </w:pPr>
            <w:r>
              <w:rPr>
                <w:spacing w:val="-1"/>
              </w:rPr>
              <w:t>A10030501</w:t>
            </w:r>
            <w:r>
              <w:rPr>
                <w:spacing w:val="-32"/>
              </w:rPr>
              <w:t xml:space="preserve"> </w:t>
            </w:r>
            <w:r>
              <w:rPr>
                <w:spacing w:val="-1"/>
              </w:rPr>
              <w:t>石膏板</w:t>
            </w:r>
          </w:p>
        </w:tc>
        <w:tc>
          <w:tcPr>
            <w:tcW w:w="2248" w:type="dxa"/>
            <w:vAlign w:val="top"/>
          </w:tcPr>
          <w:p w14:paraId="2011796B">
            <w:pPr>
              <w:rPr>
                <w:rFonts w:ascii="Arial"/>
                <w:sz w:val="21"/>
              </w:rPr>
            </w:pPr>
          </w:p>
        </w:tc>
        <w:tc>
          <w:tcPr>
            <w:tcW w:w="2392" w:type="dxa"/>
            <w:vAlign w:val="top"/>
          </w:tcPr>
          <w:p w14:paraId="0F10D724">
            <w:pPr>
              <w:pStyle w:val="257"/>
              <w:spacing w:before="66" w:line="219" w:lineRule="auto"/>
              <w:ind w:left="109"/>
            </w:pPr>
            <w:r>
              <w:rPr>
                <w:spacing w:val="-1"/>
              </w:rPr>
              <w:t>HJ/T223</w:t>
            </w:r>
            <w:r>
              <w:rPr>
                <w:spacing w:val="-33"/>
              </w:rPr>
              <w:t xml:space="preserve"> </w:t>
            </w:r>
            <w:r>
              <w:rPr>
                <w:spacing w:val="-1"/>
              </w:rPr>
              <w:t>轻质墙体板材</w:t>
            </w:r>
          </w:p>
        </w:tc>
      </w:tr>
      <w:tr w14:paraId="6B2F0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83" w:type="dxa"/>
            <w:vMerge w:val="continue"/>
            <w:tcBorders>
              <w:top w:val="nil"/>
            </w:tcBorders>
            <w:vAlign w:val="top"/>
          </w:tcPr>
          <w:p w14:paraId="042470B2">
            <w:pPr>
              <w:rPr>
                <w:rFonts w:ascii="Arial"/>
                <w:sz w:val="21"/>
              </w:rPr>
            </w:pPr>
          </w:p>
        </w:tc>
        <w:tc>
          <w:tcPr>
            <w:tcW w:w="1542" w:type="dxa"/>
            <w:vMerge w:val="continue"/>
            <w:tcBorders>
              <w:top w:val="nil"/>
            </w:tcBorders>
            <w:vAlign w:val="top"/>
          </w:tcPr>
          <w:p w14:paraId="003F1632">
            <w:pPr>
              <w:rPr>
                <w:rFonts w:ascii="Arial"/>
                <w:sz w:val="21"/>
              </w:rPr>
            </w:pPr>
          </w:p>
        </w:tc>
        <w:tc>
          <w:tcPr>
            <w:tcW w:w="2672" w:type="dxa"/>
            <w:vAlign w:val="top"/>
          </w:tcPr>
          <w:p w14:paraId="79DB65BF">
            <w:pPr>
              <w:pStyle w:val="257"/>
              <w:spacing w:before="66" w:line="219" w:lineRule="auto"/>
              <w:ind w:left="103"/>
            </w:pPr>
            <w:r>
              <w:rPr>
                <w:spacing w:val="-1"/>
              </w:rPr>
              <w:t>A10030503</w:t>
            </w:r>
            <w:r>
              <w:rPr>
                <w:spacing w:val="-30"/>
              </w:rPr>
              <w:t xml:space="preserve"> </w:t>
            </w:r>
            <w:r>
              <w:rPr>
                <w:spacing w:val="-1"/>
              </w:rPr>
              <w:t>轻质隔墙条板</w:t>
            </w:r>
          </w:p>
        </w:tc>
        <w:tc>
          <w:tcPr>
            <w:tcW w:w="2248" w:type="dxa"/>
            <w:vAlign w:val="top"/>
          </w:tcPr>
          <w:p w14:paraId="44A2CFD1">
            <w:pPr>
              <w:rPr>
                <w:rFonts w:ascii="Arial"/>
                <w:sz w:val="21"/>
              </w:rPr>
            </w:pPr>
          </w:p>
        </w:tc>
        <w:tc>
          <w:tcPr>
            <w:tcW w:w="2392" w:type="dxa"/>
            <w:vAlign w:val="top"/>
          </w:tcPr>
          <w:p w14:paraId="5CC71AD9">
            <w:pPr>
              <w:pStyle w:val="257"/>
              <w:spacing w:before="66" w:line="219" w:lineRule="auto"/>
              <w:ind w:left="109"/>
            </w:pPr>
            <w:r>
              <w:rPr>
                <w:spacing w:val="-1"/>
              </w:rPr>
              <w:t>HJ/T223</w:t>
            </w:r>
            <w:r>
              <w:rPr>
                <w:spacing w:val="-33"/>
              </w:rPr>
              <w:t xml:space="preserve"> </w:t>
            </w:r>
            <w:r>
              <w:rPr>
                <w:spacing w:val="-1"/>
              </w:rPr>
              <w:t>轻质墙体板材</w:t>
            </w:r>
          </w:p>
        </w:tc>
      </w:tr>
      <w:tr w14:paraId="21967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284EA9F">
            <w:pPr>
              <w:pStyle w:val="257"/>
              <w:spacing w:before="67"/>
              <w:ind w:left="118"/>
            </w:pPr>
            <w:r>
              <w:rPr>
                <w:spacing w:val="-5"/>
              </w:rPr>
              <w:t>38</w:t>
            </w:r>
          </w:p>
        </w:tc>
        <w:tc>
          <w:tcPr>
            <w:tcW w:w="1542" w:type="dxa"/>
            <w:vMerge w:val="restart"/>
            <w:tcBorders>
              <w:bottom w:val="nil"/>
            </w:tcBorders>
            <w:vAlign w:val="top"/>
          </w:tcPr>
          <w:p w14:paraId="2DF50A0C">
            <w:pPr>
              <w:pStyle w:val="257"/>
              <w:spacing w:before="67" w:line="322" w:lineRule="auto"/>
              <w:ind w:left="111" w:right="108" w:hanging="9"/>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vAlign w:val="top"/>
          </w:tcPr>
          <w:p w14:paraId="248CE171">
            <w:pPr>
              <w:pStyle w:val="257"/>
              <w:spacing w:before="66" w:line="221" w:lineRule="auto"/>
              <w:ind w:left="103"/>
            </w:pPr>
            <w:r>
              <w:rPr>
                <w:spacing w:val="-1"/>
              </w:rPr>
              <w:t>A10030701</w:t>
            </w:r>
            <w:r>
              <w:rPr>
                <w:spacing w:val="-30"/>
              </w:rPr>
              <w:t xml:space="preserve"> </w:t>
            </w:r>
            <w:r>
              <w:rPr>
                <w:spacing w:val="-1"/>
              </w:rPr>
              <w:t>瓷质砖</w:t>
            </w:r>
          </w:p>
        </w:tc>
        <w:tc>
          <w:tcPr>
            <w:tcW w:w="2248" w:type="dxa"/>
            <w:vAlign w:val="top"/>
          </w:tcPr>
          <w:p w14:paraId="2BD9339A">
            <w:pPr>
              <w:rPr>
                <w:rFonts w:ascii="Arial"/>
                <w:sz w:val="21"/>
              </w:rPr>
            </w:pPr>
          </w:p>
        </w:tc>
        <w:tc>
          <w:tcPr>
            <w:tcW w:w="2392" w:type="dxa"/>
            <w:vAlign w:val="top"/>
          </w:tcPr>
          <w:p w14:paraId="46A0765F">
            <w:pPr>
              <w:pStyle w:val="257"/>
              <w:spacing w:before="66" w:line="219" w:lineRule="auto"/>
              <w:ind w:left="109"/>
            </w:pPr>
            <w:r>
              <w:rPr>
                <w:spacing w:val="-2"/>
              </w:rPr>
              <w:t>HJ/T297</w:t>
            </w:r>
            <w:r>
              <w:rPr>
                <w:spacing w:val="-22"/>
              </w:rPr>
              <w:t xml:space="preserve"> </w:t>
            </w:r>
            <w:r>
              <w:rPr>
                <w:spacing w:val="-2"/>
              </w:rPr>
              <w:t>陶瓷砖</w:t>
            </w:r>
          </w:p>
        </w:tc>
      </w:tr>
      <w:tr w14:paraId="5186D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CD46BD4">
            <w:pPr>
              <w:rPr>
                <w:rFonts w:ascii="Arial"/>
                <w:sz w:val="21"/>
              </w:rPr>
            </w:pPr>
          </w:p>
        </w:tc>
        <w:tc>
          <w:tcPr>
            <w:tcW w:w="1542" w:type="dxa"/>
            <w:vMerge w:val="continue"/>
            <w:tcBorders>
              <w:top w:val="nil"/>
              <w:bottom w:val="nil"/>
            </w:tcBorders>
            <w:vAlign w:val="top"/>
          </w:tcPr>
          <w:p w14:paraId="66FC5862">
            <w:pPr>
              <w:rPr>
                <w:rFonts w:ascii="Arial"/>
                <w:sz w:val="21"/>
              </w:rPr>
            </w:pPr>
          </w:p>
        </w:tc>
        <w:tc>
          <w:tcPr>
            <w:tcW w:w="2672" w:type="dxa"/>
            <w:vAlign w:val="top"/>
          </w:tcPr>
          <w:p w14:paraId="085CDCEB">
            <w:pPr>
              <w:pStyle w:val="257"/>
              <w:spacing w:before="66" w:line="221" w:lineRule="auto"/>
              <w:ind w:left="103"/>
            </w:pPr>
            <w:r>
              <w:t>A10030704 炻质砖</w:t>
            </w:r>
          </w:p>
        </w:tc>
        <w:tc>
          <w:tcPr>
            <w:tcW w:w="2248" w:type="dxa"/>
            <w:vAlign w:val="top"/>
          </w:tcPr>
          <w:p w14:paraId="54861799">
            <w:pPr>
              <w:rPr>
                <w:rFonts w:ascii="Arial"/>
                <w:sz w:val="21"/>
              </w:rPr>
            </w:pPr>
          </w:p>
        </w:tc>
        <w:tc>
          <w:tcPr>
            <w:tcW w:w="2392" w:type="dxa"/>
            <w:vAlign w:val="top"/>
          </w:tcPr>
          <w:p w14:paraId="01408A8A">
            <w:pPr>
              <w:pStyle w:val="257"/>
              <w:spacing w:before="66" w:line="219" w:lineRule="auto"/>
              <w:ind w:left="109"/>
            </w:pPr>
            <w:r>
              <w:rPr>
                <w:spacing w:val="-2"/>
              </w:rPr>
              <w:t>HJ/T297</w:t>
            </w:r>
            <w:r>
              <w:rPr>
                <w:spacing w:val="-22"/>
              </w:rPr>
              <w:t xml:space="preserve"> </w:t>
            </w:r>
            <w:r>
              <w:rPr>
                <w:spacing w:val="-2"/>
              </w:rPr>
              <w:t>陶瓷砖</w:t>
            </w:r>
          </w:p>
        </w:tc>
      </w:tr>
      <w:tr w14:paraId="6DB39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37419E00">
            <w:pPr>
              <w:rPr>
                <w:rFonts w:ascii="Arial"/>
                <w:sz w:val="21"/>
              </w:rPr>
            </w:pPr>
          </w:p>
        </w:tc>
        <w:tc>
          <w:tcPr>
            <w:tcW w:w="1542" w:type="dxa"/>
            <w:vMerge w:val="continue"/>
            <w:tcBorders>
              <w:top w:val="nil"/>
              <w:bottom w:val="nil"/>
            </w:tcBorders>
            <w:vAlign w:val="top"/>
          </w:tcPr>
          <w:p w14:paraId="215212B0">
            <w:pPr>
              <w:rPr>
                <w:rFonts w:ascii="Arial"/>
                <w:sz w:val="21"/>
              </w:rPr>
            </w:pPr>
          </w:p>
        </w:tc>
        <w:tc>
          <w:tcPr>
            <w:tcW w:w="2672" w:type="dxa"/>
            <w:vAlign w:val="top"/>
          </w:tcPr>
          <w:p w14:paraId="63714F5F">
            <w:pPr>
              <w:pStyle w:val="257"/>
              <w:spacing w:before="66" w:line="221" w:lineRule="auto"/>
              <w:ind w:left="103"/>
            </w:pPr>
            <w:r>
              <w:rPr>
                <w:spacing w:val="-2"/>
              </w:rPr>
              <w:t>A10030705</w:t>
            </w:r>
            <w:r>
              <w:rPr>
                <w:spacing w:val="-17"/>
              </w:rPr>
              <w:t xml:space="preserve"> </w:t>
            </w:r>
            <w:r>
              <w:rPr>
                <w:spacing w:val="-2"/>
              </w:rPr>
              <w:t>陶质砖</w:t>
            </w:r>
          </w:p>
        </w:tc>
        <w:tc>
          <w:tcPr>
            <w:tcW w:w="2248" w:type="dxa"/>
            <w:vAlign w:val="top"/>
          </w:tcPr>
          <w:p w14:paraId="0FCA5C7A">
            <w:pPr>
              <w:rPr>
                <w:rFonts w:ascii="Arial"/>
                <w:sz w:val="21"/>
              </w:rPr>
            </w:pPr>
          </w:p>
        </w:tc>
        <w:tc>
          <w:tcPr>
            <w:tcW w:w="2392" w:type="dxa"/>
            <w:vAlign w:val="top"/>
          </w:tcPr>
          <w:p w14:paraId="0FDD9E7E">
            <w:pPr>
              <w:pStyle w:val="257"/>
              <w:spacing w:before="66" w:line="219" w:lineRule="auto"/>
              <w:ind w:left="109"/>
            </w:pPr>
            <w:r>
              <w:rPr>
                <w:spacing w:val="-2"/>
              </w:rPr>
              <w:t>HJ/T297</w:t>
            </w:r>
            <w:r>
              <w:rPr>
                <w:spacing w:val="-22"/>
              </w:rPr>
              <w:t xml:space="preserve"> </w:t>
            </w:r>
            <w:r>
              <w:rPr>
                <w:spacing w:val="-2"/>
              </w:rPr>
              <w:t>陶瓷砖</w:t>
            </w:r>
          </w:p>
        </w:tc>
      </w:tr>
      <w:tr w14:paraId="1A8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6F05D91F">
            <w:pPr>
              <w:rPr>
                <w:rFonts w:ascii="Arial"/>
                <w:sz w:val="21"/>
              </w:rPr>
            </w:pPr>
          </w:p>
        </w:tc>
        <w:tc>
          <w:tcPr>
            <w:tcW w:w="1542" w:type="dxa"/>
            <w:vMerge w:val="continue"/>
            <w:tcBorders>
              <w:top w:val="nil"/>
            </w:tcBorders>
            <w:vAlign w:val="top"/>
          </w:tcPr>
          <w:p w14:paraId="0E276C34">
            <w:pPr>
              <w:rPr>
                <w:rFonts w:ascii="Arial"/>
                <w:sz w:val="21"/>
              </w:rPr>
            </w:pPr>
          </w:p>
        </w:tc>
        <w:tc>
          <w:tcPr>
            <w:tcW w:w="2672" w:type="dxa"/>
            <w:vAlign w:val="top"/>
          </w:tcPr>
          <w:p w14:paraId="655ECBF3">
            <w:pPr>
              <w:pStyle w:val="257"/>
              <w:spacing w:before="66" w:line="221" w:lineRule="auto"/>
              <w:ind w:left="103"/>
            </w:pPr>
            <w:r>
              <w:t>A10030799 其他建筑陶瓷制品</w:t>
            </w:r>
          </w:p>
        </w:tc>
        <w:tc>
          <w:tcPr>
            <w:tcW w:w="2248" w:type="dxa"/>
            <w:vAlign w:val="top"/>
          </w:tcPr>
          <w:p w14:paraId="2ED97174">
            <w:pPr>
              <w:rPr>
                <w:rFonts w:ascii="Arial"/>
                <w:sz w:val="21"/>
              </w:rPr>
            </w:pPr>
          </w:p>
        </w:tc>
        <w:tc>
          <w:tcPr>
            <w:tcW w:w="2392" w:type="dxa"/>
            <w:vAlign w:val="top"/>
          </w:tcPr>
          <w:p w14:paraId="7651FF70">
            <w:pPr>
              <w:pStyle w:val="257"/>
              <w:spacing w:before="66" w:line="219" w:lineRule="auto"/>
              <w:ind w:left="109"/>
            </w:pPr>
            <w:r>
              <w:rPr>
                <w:spacing w:val="-2"/>
              </w:rPr>
              <w:t>HJ/T297</w:t>
            </w:r>
            <w:r>
              <w:rPr>
                <w:spacing w:val="-22"/>
              </w:rPr>
              <w:t xml:space="preserve"> </w:t>
            </w:r>
            <w:r>
              <w:rPr>
                <w:spacing w:val="-2"/>
              </w:rPr>
              <w:t>陶瓷砖</w:t>
            </w:r>
          </w:p>
        </w:tc>
      </w:tr>
      <w:tr w14:paraId="42316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6779F663">
            <w:pPr>
              <w:pStyle w:val="257"/>
              <w:spacing w:before="66"/>
              <w:ind w:left="118"/>
            </w:pPr>
            <w:r>
              <w:rPr>
                <w:spacing w:val="-5"/>
              </w:rPr>
              <w:t>39</w:t>
            </w:r>
          </w:p>
        </w:tc>
        <w:tc>
          <w:tcPr>
            <w:tcW w:w="1542" w:type="dxa"/>
            <w:vMerge w:val="restart"/>
            <w:tcBorders>
              <w:bottom w:val="nil"/>
            </w:tcBorders>
            <w:vAlign w:val="top"/>
          </w:tcPr>
          <w:p w14:paraId="086D36DF">
            <w:pPr>
              <w:pStyle w:val="257"/>
              <w:spacing w:before="65" w:line="322" w:lineRule="auto"/>
              <w:ind w:left="109" w:right="108" w:hanging="7"/>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vAlign w:val="top"/>
          </w:tcPr>
          <w:p w14:paraId="0DAE9208">
            <w:pPr>
              <w:pStyle w:val="257"/>
              <w:spacing w:before="66" w:line="283" w:lineRule="auto"/>
              <w:ind w:left="110" w:right="107" w:hanging="7"/>
            </w:pPr>
            <w:r>
              <w:rPr>
                <w:spacing w:val="-1"/>
              </w:rPr>
              <w:t>A10030901</w:t>
            </w:r>
            <w:r>
              <w:rPr>
                <w:spacing w:val="-47"/>
              </w:rPr>
              <w:t xml:space="preserve"> </w:t>
            </w:r>
            <w:r>
              <w:rPr>
                <w:spacing w:val="-1"/>
              </w:rPr>
              <w:t>沥青和改性沥青防水</w:t>
            </w:r>
            <w:r>
              <w:t xml:space="preserve"> </w:t>
            </w:r>
            <w:r>
              <w:rPr>
                <w:spacing w:val="-3"/>
              </w:rPr>
              <w:t>卷材</w:t>
            </w:r>
          </w:p>
        </w:tc>
        <w:tc>
          <w:tcPr>
            <w:tcW w:w="2248" w:type="dxa"/>
            <w:vAlign w:val="top"/>
          </w:tcPr>
          <w:p w14:paraId="257EA4D1">
            <w:pPr>
              <w:rPr>
                <w:rFonts w:ascii="Arial"/>
                <w:sz w:val="21"/>
              </w:rPr>
            </w:pPr>
          </w:p>
        </w:tc>
        <w:tc>
          <w:tcPr>
            <w:tcW w:w="2392" w:type="dxa"/>
            <w:vAlign w:val="top"/>
          </w:tcPr>
          <w:p w14:paraId="0D8F955B">
            <w:pPr>
              <w:pStyle w:val="257"/>
              <w:spacing w:before="66" w:line="219" w:lineRule="auto"/>
              <w:ind w:left="109"/>
            </w:pPr>
            <w:r>
              <w:rPr>
                <w:spacing w:val="-2"/>
              </w:rPr>
              <w:t>HJ455</w:t>
            </w:r>
            <w:r>
              <w:rPr>
                <w:spacing w:val="-25"/>
              </w:rPr>
              <w:t xml:space="preserve"> </w:t>
            </w:r>
            <w:r>
              <w:rPr>
                <w:spacing w:val="-2"/>
              </w:rPr>
              <w:t>防水卷材</w:t>
            </w:r>
          </w:p>
        </w:tc>
      </w:tr>
      <w:tr w14:paraId="5DF39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52970568">
            <w:pPr>
              <w:rPr>
                <w:rFonts w:ascii="Arial"/>
                <w:sz w:val="21"/>
              </w:rPr>
            </w:pPr>
          </w:p>
        </w:tc>
        <w:tc>
          <w:tcPr>
            <w:tcW w:w="1542" w:type="dxa"/>
            <w:vMerge w:val="continue"/>
            <w:tcBorders>
              <w:top w:val="nil"/>
              <w:bottom w:val="nil"/>
            </w:tcBorders>
            <w:vAlign w:val="top"/>
          </w:tcPr>
          <w:p w14:paraId="2917E20D">
            <w:pPr>
              <w:rPr>
                <w:rFonts w:ascii="Arial"/>
                <w:sz w:val="21"/>
              </w:rPr>
            </w:pPr>
          </w:p>
        </w:tc>
        <w:tc>
          <w:tcPr>
            <w:tcW w:w="2672" w:type="dxa"/>
            <w:vAlign w:val="top"/>
          </w:tcPr>
          <w:p w14:paraId="302F306F">
            <w:pPr>
              <w:pStyle w:val="257"/>
              <w:spacing w:before="67" w:line="219" w:lineRule="auto"/>
              <w:ind w:left="103"/>
            </w:pPr>
            <w:r>
              <w:rPr>
                <w:spacing w:val="-2"/>
              </w:rPr>
              <w:t>A10030903</w:t>
            </w:r>
            <w:r>
              <w:rPr>
                <w:spacing w:val="36"/>
              </w:rPr>
              <w:t xml:space="preserve"> </w:t>
            </w:r>
            <w:r>
              <w:rPr>
                <w:spacing w:val="-2"/>
              </w:rPr>
              <w:t>自粘防水卷材</w:t>
            </w:r>
          </w:p>
        </w:tc>
        <w:tc>
          <w:tcPr>
            <w:tcW w:w="2248" w:type="dxa"/>
            <w:vAlign w:val="top"/>
          </w:tcPr>
          <w:p w14:paraId="5C33F6CF">
            <w:pPr>
              <w:rPr>
                <w:rFonts w:ascii="Arial"/>
                <w:sz w:val="21"/>
              </w:rPr>
            </w:pPr>
          </w:p>
        </w:tc>
        <w:tc>
          <w:tcPr>
            <w:tcW w:w="2392" w:type="dxa"/>
            <w:vAlign w:val="top"/>
          </w:tcPr>
          <w:p w14:paraId="2747896A">
            <w:pPr>
              <w:pStyle w:val="257"/>
              <w:spacing w:before="66" w:line="219" w:lineRule="auto"/>
              <w:ind w:left="109"/>
            </w:pPr>
            <w:r>
              <w:rPr>
                <w:spacing w:val="-2"/>
              </w:rPr>
              <w:t>HJ455</w:t>
            </w:r>
            <w:r>
              <w:rPr>
                <w:spacing w:val="-25"/>
              </w:rPr>
              <w:t xml:space="preserve"> </w:t>
            </w:r>
            <w:r>
              <w:rPr>
                <w:spacing w:val="-2"/>
              </w:rPr>
              <w:t>防水卷材</w:t>
            </w:r>
          </w:p>
        </w:tc>
      </w:tr>
      <w:tr w14:paraId="23FDE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tcBorders>
            <w:vAlign w:val="top"/>
          </w:tcPr>
          <w:p w14:paraId="2A3B38B0">
            <w:pPr>
              <w:rPr>
                <w:rFonts w:ascii="Arial"/>
                <w:sz w:val="21"/>
              </w:rPr>
            </w:pPr>
          </w:p>
        </w:tc>
        <w:tc>
          <w:tcPr>
            <w:tcW w:w="1542" w:type="dxa"/>
            <w:vMerge w:val="continue"/>
            <w:tcBorders>
              <w:top w:val="nil"/>
            </w:tcBorders>
            <w:vAlign w:val="top"/>
          </w:tcPr>
          <w:p w14:paraId="2CA83744">
            <w:pPr>
              <w:rPr>
                <w:rFonts w:ascii="Arial"/>
                <w:sz w:val="21"/>
              </w:rPr>
            </w:pPr>
          </w:p>
        </w:tc>
        <w:tc>
          <w:tcPr>
            <w:tcW w:w="2672" w:type="dxa"/>
            <w:vAlign w:val="top"/>
          </w:tcPr>
          <w:p w14:paraId="11806FE6">
            <w:pPr>
              <w:pStyle w:val="257"/>
              <w:spacing w:before="66" w:line="283" w:lineRule="auto"/>
              <w:ind w:left="108" w:right="102" w:hanging="5"/>
            </w:pPr>
            <w:r>
              <w:rPr>
                <w:spacing w:val="-2"/>
              </w:rPr>
              <w:t>A10030906</w:t>
            </w:r>
            <w:r>
              <w:rPr>
                <w:spacing w:val="-24"/>
              </w:rPr>
              <w:t xml:space="preserve"> </w:t>
            </w:r>
            <w:r>
              <w:rPr>
                <w:spacing w:val="-2"/>
              </w:rPr>
              <w:t>高分子防水卷（片）</w:t>
            </w:r>
            <w:r>
              <w:t xml:space="preserve"> 材</w:t>
            </w:r>
          </w:p>
        </w:tc>
        <w:tc>
          <w:tcPr>
            <w:tcW w:w="2248" w:type="dxa"/>
            <w:vAlign w:val="top"/>
          </w:tcPr>
          <w:p w14:paraId="16190BED">
            <w:pPr>
              <w:rPr>
                <w:rFonts w:ascii="Arial"/>
                <w:sz w:val="21"/>
              </w:rPr>
            </w:pPr>
          </w:p>
        </w:tc>
        <w:tc>
          <w:tcPr>
            <w:tcW w:w="2392" w:type="dxa"/>
            <w:vAlign w:val="top"/>
          </w:tcPr>
          <w:p w14:paraId="76CBE2B5">
            <w:pPr>
              <w:pStyle w:val="257"/>
              <w:spacing w:before="66" w:line="219" w:lineRule="auto"/>
              <w:ind w:left="109"/>
            </w:pPr>
            <w:r>
              <w:rPr>
                <w:spacing w:val="-2"/>
              </w:rPr>
              <w:t>HJ455</w:t>
            </w:r>
            <w:r>
              <w:rPr>
                <w:spacing w:val="-25"/>
              </w:rPr>
              <w:t xml:space="preserve"> </w:t>
            </w:r>
            <w:r>
              <w:rPr>
                <w:spacing w:val="-2"/>
              </w:rPr>
              <w:t>防水卷材</w:t>
            </w:r>
          </w:p>
        </w:tc>
      </w:tr>
      <w:tr w14:paraId="09FB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E29A8C3">
            <w:pPr>
              <w:pStyle w:val="257"/>
              <w:spacing w:before="67"/>
              <w:ind w:left="114"/>
            </w:pPr>
            <w:r>
              <w:rPr>
                <w:spacing w:val="-3"/>
              </w:rPr>
              <w:t>40</w:t>
            </w:r>
          </w:p>
        </w:tc>
        <w:tc>
          <w:tcPr>
            <w:tcW w:w="1542" w:type="dxa"/>
            <w:vMerge w:val="restart"/>
            <w:tcBorders>
              <w:bottom w:val="nil"/>
            </w:tcBorders>
            <w:vAlign w:val="top"/>
          </w:tcPr>
          <w:p w14:paraId="5FD779D4">
            <w:pPr>
              <w:pStyle w:val="257"/>
              <w:spacing w:before="66" w:line="322" w:lineRule="auto"/>
              <w:ind w:left="106" w:right="106" w:hanging="4"/>
              <w:jc w:val="both"/>
            </w:pPr>
            <w:r>
              <w:rPr>
                <w:spacing w:val="-8"/>
              </w:rPr>
              <w:t>A100310</w:t>
            </w:r>
            <w:r>
              <w:rPr>
                <w:spacing w:val="-25"/>
              </w:rPr>
              <w:t xml:space="preserve"> </w:t>
            </w:r>
            <w:r>
              <w:rPr>
                <w:spacing w:val="-8"/>
              </w:rPr>
              <w:t>隔热、隔</w:t>
            </w:r>
            <w:r>
              <w:t xml:space="preserve"> </w:t>
            </w:r>
            <w:r>
              <w:rPr>
                <w:spacing w:val="9"/>
              </w:rPr>
              <w:t>音人造矿物材料</w:t>
            </w:r>
            <w:r>
              <w:t xml:space="preserve"> </w:t>
            </w:r>
            <w:r>
              <w:rPr>
                <w:spacing w:val="-2"/>
              </w:rPr>
              <w:t>及其制品</w:t>
            </w:r>
          </w:p>
        </w:tc>
        <w:tc>
          <w:tcPr>
            <w:tcW w:w="2672" w:type="dxa"/>
            <w:vAlign w:val="top"/>
          </w:tcPr>
          <w:p w14:paraId="468631AB">
            <w:pPr>
              <w:pStyle w:val="257"/>
              <w:spacing w:before="68" w:line="282" w:lineRule="auto"/>
              <w:ind w:left="108" w:right="107" w:hanging="5"/>
            </w:pPr>
            <w:r>
              <w:rPr>
                <w:spacing w:val="6"/>
              </w:rPr>
              <w:t>A10031001 矿物绝热和吸声材</w:t>
            </w:r>
            <w:r>
              <w:rPr>
                <w:spacing w:val="7"/>
              </w:rPr>
              <w:t xml:space="preserve"> </w:t>
            </w:r>
            <w:r>
              <w:t>料</w:t>
            </w:r>
          </w:p>
        </w:tc>
        <w:tc>
          <w:tcPr>
            <w:tcW w:w="2248" w:type="dxa"/>
            <w:vAlign w:val="top"/>
          </w:tcPr>
          <w:p w14:paraId="3DCB54C4">
            <w:pPr>
              <w:rPr>
                <w:rFonts w:ascii="Arial"/>
                <w:sz w:val="21"/>
              </w:rPr>
            </w:pPr>
          </w:p>
        </w:tc>
        <w:tc>
          <w:tcPr>
            <w:tcW w:w="2392" w:type="dxa"/>
            <w:vAlign w:val="top"/>
          </w:tcPr>
          <w:p w14:paraId="555281C6">
            <w:pPr>
              <w:pStyle w:val="257"/>
              <w:spacing w:before="67" w:line="219" w:lineRule="auto"/>
              <w:ind w:left="109"/>
            </w:pPr>
            <w:r>
              <w:rPr>
                <w:spacing w:val="-1"/>
              </w:rPr>
              <w:t>HJ/T223</w:t>
            </w:r>
            <w:r>
              <w:rPr>
                <w:spacing w:val="-33"/>
              </w:rPr>
              <w:t xml:space="preserve"> </w:t>
            </w:r>
            <w:r>
              <w:rPr>
                <w:spacing w:val="-1"/>
              </w:rPr>
              <w:t>轻质墙体板材</w:t>
            </w:r>
          </w:p>
        </w:tc>
      </w:tr>
      <w:tr w14:paraId="204D2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506CB00">
            <w:pPr>
              <w:rPr>
                <w:rFonts w:ascii="Arial"/>
                <w:sz w:val="21"/>
              </w:rPr>
            </w:pPr>
          </w:p>
        </w:tc>
        <w:tc>
          <w:tcPr>
            <w:tcW w:w="1542" w:type="dxa"/>
            <w:vMerge w:val="continue"/>
            <w:tcBorders>
              <w:top w:val="nil"/>
            </w:tcBorders>
            <w:vAlign w:val="top"/>
          </w:tcPr>
          <w:p w14:paraId="0BFE09A1">
            <w:pPr>
              <w:rPr>
                <w:rFonts w:ascii="Arial"/>
                <w:sz w:val="21"/>
              </w:rPr>
            </w:pPr>
          </w:p>
        </w:tc>
        <w:tc>
          <w:tcPr>
            <w:tcW w:w="2672" w:type="dxa"/>
            <w:vAlign w:val="top"/>
          </w:tcPr>
          <w:p w14:paraId="12B704B3">
            <w:pPr>
              <w:pStyle w:val="257"/>
              <w:spacing w:before="68" w:line="219" w:lineRule="auto"/>
              <w:ind w:left="103"/>
            </w:pPr>
            <w:r>
              <w:rPr>
                <w:spacing w:val="-1"/>
              </w:rPr>
              <w:t>A10031002</w:t>
            </w:r>
            <w:r>
              <w:rPr>
                <w:spacing w:val="-30"/>
              </w:rPr>
              <w:t xml:space="preserve"> </w:t>
            </w:r>
            <w:r>
              <w:rPr>
                <w:spacing w:val="-1"/>
              </w:rPr>
              <w:t>矿物材料制品</w:t>
            </w:r>
          </w:p>
        </w:tc>
        <w:tc>
          <w:tcPr>
            <w:tcW w:w="2248" w:type="dxa"/>
            <w:vAlign w:val="top"/>
          </w:tcPr>
          <w:p w14:paraId="6D93CCD9">
            <w:pPr>
              <w:rPr>
                <w:rFonts w:ascii="Arial"/>
                <w:sz w:val="21"/>
              </w:rPr>
            </w:pPr>
          </w:p>
        </w:tc>
        <w:tc>
          <w:tcPr>
            <w:tcW w:w="2392" w:type="dxa"/>
            <w:vAlign w:val="top"/>
          </w:tcPr>
          <w:p w14:paraId="5BBF2B41">
            <w:pPr>
              <w:pStyle w:val="257"/>
              <w:spacing w:before="67" w:line="219" w:lineRule="auto"/>
              <w:ind w:left="109"/>
            </w:pPr>
            <w:r>
              <w:rPr>
                <w:spacing w:val="-1"/>
              </w:rPr>
              <w:t>HJ/T223</w:t>
            </w:r>
            <w:r>
              <w:rPr>
                <w:spacing w:val="-33"/>
              </w:rPr>
              <w:t xml:space="preserve"> </w:t>
            </w:r>
            <w:r>
              <w:rPr>
                <w:spacing w:val="-1"/>
              </w:rPr>
              <w:t>轻质墙体板材</w:t>
            </w:r>
          </w:p>
        </w:tc>
      </w:tr>
      <w:tr w14:paraId="300A5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bottom w:val="single" w:color="auto" w:sz="4" w:space="0"/>
            </w:tcBorders>
            <w:vAlign w:val="top"/>
          </w:tcPr>
          <w:p w14:paraId="4B814E34">
            <w:pPr>
              <w:pStyle w:val="257"/>
              <w:spacing w:before="67" w:line="242" w:lineRule="auto"/>
              <w:ind w:left="114"/>
            </w:pPr>
            <w:r>
              <w:rPr>
                <w:spacing w:val="-3"/>
              </w:rPr>
              <w:t>41</w:t>
            </w:r>
          </w:p>
        </w:tc>
        <w:tc>
          <w:tcPr>
            <w:tcW w:w="1542" w:type="dxa"/>
            <w:tcBorders>
              <w:bottom w:val="single" w:color="auto" w:sz="4" w:space="0"/>
            </w:tcBorders>
            <w:vAlign w:val="top"/>
          </w:tcPr>
          <w:p w14:paraId="183DF2DF">
            <w:pPr>
              <w:pStyle w:val="257"/>
              <w:spacing w:before="68" w:line="282" w:lineRule="auto"/>
              <w:ind w:left="109" w:right="108" w:hanging="7"/>
            </w:pPr>
            <w:r>
              <w:rPr>
                <w:spacing w:val="3"/>
              </w:rPr>
              <w:t>A100601</w:t>
            </w:r>
            <w:r>
              <w:rPr>
                <w:spacing w:val="34"/>
              </w:rPr>
              <w:t xml:space="preserve"> </w:t>
            </w:r>
            <w:r>
              <w:rPr>
                <w:spacing w:val="3"/>
              </w:rPr>
              <w:t>功能性</w:t>
            </w:r>
            <w:r>
              <w:t xml:space="preserve"> </w:t>
            </w:r>
            <w:r>
              <w:rPr>
                <w:spacing w:val="-2"/>
              </w:rPr>
              <w:t>建筑涂料</w:t>
            </w:r>
          </w:p>
        </w:tc>
        <w:tc>
          <w:tcPr>
            <w:tcW w:w="2672" w:type="dxa"/>
            <w:tcBorders>
              <w:bottom w:val="single" w:color="auto" w:sz="4" w:space="0"/>
            </w:tcBorders>
            <w:vAlign w:val="top"/>
          </w:tcPr>
          <w:p w14:paraId="34BCC6D5">
            <w:pPr>
              <w:rPr>
                <w:rFonts w:ascii="Arial"/>
                <w:sz w:val="21"/>
              </w:rPr>
            </w:pPr>
          </w:p>
        </w:tc>
        <w:tc>
          <w:tcPr>
            <w:tcW w:w="2248" w:type="dxa"/>
            <w:tcBorders>
              <w:bottom w:val="single" w:color="auto" w:sz="4" w:space="0"/>
            </w:tcBorders>
            <w:vAlign w:val="top"/>
          </w:tcPr>
          <w:p w14:paraId="1681F88E">
            <w:pPr>
              <w:rPr>
                <w:rFonts w:ascii="Arial"/>
                <w:sz w:val="21"/>
              </w:rPr>
            </w:pPr>
          </w:p>
        </w:tc>
        <w:tc>
          <w:tcPr>
            <w:tcW w:w="2392" w:type="dxa"/>
            <w:vAlign w:val="top"/>
          </w:tcPr>
          <w:p w14:paraId="3B8744EF">
            <w:pPr>
              <w:pStyle w:val="257"/>
              <w:spacing w:before="67" w:line="219" w:lineRule="auto"/>
              <w:ind w:left="109"/>
            </w:pPr>
            <w:r>
              <w:rPr>
                <w:spacing w:val="-1"/>
              </w:rPr>
              <w:t>HJ2537</w:t>
            </w:r>
            <w:r>
              <w:rPr>
                <w:spacing w:val="-34"/>
              </w:rPr>
              <w:t xml:space="preserve"> </w:t>
            </w:r>
            <w:r>
              <w:rPr>
                <w:spacing w:val="-1"/>
              </w:rPr>
              <w:t>水性涂料</w:t>
            </w:r>
          </w:p>
        </w:tc>
      </w:tr>
      <w:tr w14:paraId="4C244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Borders>
              <w:top w:val="single" w:color="auto" w:sz="4" w:space="0"/>
              <w:left w:val="single" w:color="auto" w:sz="4" w:space="0"/>
              <w:bottom w:val="single" w:color="auto" w:sz="4" w:space="0"/>
              <w:right w:val="single" w:color="auto" w:sz="4" w:space="0"/>
            </w:tcBorders>
            <w:vAlign w:val="top"/>
          </w:tcPr>
          <w:p w14:paraId="33954CF3">
            <w:pPr>
              <w:pStyle w:val="257"/>
              <w:spacing w:before="68" w:line="242" w:lineRule="auto"/>
              <w:ind w:left="114"/>
            </w:pPr>
            <w:r>
              <w:rPr>
                <w:spacing w:val="-3"/>
              </w:rPr>
              <w:t>42</w:t>
            </w:r>
          </w:p>
        </w:tc>
        <w:tc>
          <w:tcPr>
            <w:tcW w:w="1542" w:type="dxa"/>
            <w:tcBorders>
              <w:top w:val="single" w:color="auto" w:sz="4" w:space="0"/>
              <w:left w:val="single" w:color="auto" w:sz="4" w:space="0"/>
              <w:bottom w:val="single" w:color="auto" w:sz="4" w:space="0"/>
              <w:right w:val="single" w:color="auto" w:sz="4" w:space="0"/>
            </w:tcBorders>
            <w:vAlign w:val="top"/>
          </w:tcPr>
          <w:p w14:paraId="2F647228">
            <w:pPr>
              <w:pStyle w:val="257"/>
              <w:spacing w:before="69" w:line="284" w:lineRule="auto"/>
              <w:ind w:left="109" w:right="106" w:firstLine="84"/>
            </w:pPr>
            <w:r>
              <w:rPr>
                <w:spacing w:val="-1"/>
              </w:rPr>
              <w:t>A100399</w:t>
            </w:r>
            <w:r>
              <w:rPr>
                <w:spacing w:val="-15"/>
              </w:rPr>
              <w:t xml:space="preserve"> </w:t>
            </w:r>
            <w:r>
              <w:rPr>
                <w:spacing w:val="-1"/>
              </w:rPr>
              <w:t>其他非</w:t>
            </w:r>
            <w:r>
              <w:rPr>
                <w:spacing w:val="-2"/>
              </w:rPr>
              <w:t>金属矿物制品</w:t>
            </w:r>
          </w:p>
        </w:tc>
        <w:tc>
          <w:tcPr>
            <w:tcW w:w="2672" w:type="dxa"/>
            <w:tcBorders>
              <w:top w:val="single" w:color="auto" w:sz="4" w:space="0"/>
              <w:left w:val="single" w:color="auto" w:sz="4" w:space="0"/>
              <w:bottom w:val="single" w:color="auto" w:sz="4" w:space="0"/>
              <w:right w:val="single" w:color="auto" w:sz="4" w:space="0"/>
            </w:tcBorders>
            <w:vAlign w:val="top"/>
          </w:tcPr>
          <w:p w14:paraId="79B5FD95">
            <w:pPr>
              <w:pStyle w:val="257"/>
              <w:spacing w:before="68" w:line="219" w:lineRule="auto"/>
              <w:ind w:left="103"/>
            </w:pPr>
            <w:r>
              <w:rPr>
                <w:spacing w:val="-1"/>
              </w:rPr>
              <w:t>A10039901</w:t>
            </w:r>
            <w:r>
              <w:rPr>
                <w:spacing w:val="-45"/>
              </w:rPr>
              <w:t xml:space="preserve"> </w:t>
            </w:r>
            <w:r>
              <w:rPr>
                <w:spacing w:val="-1"/>
              </w:rPr>
              <w:t>其他非金属建筑材料</w:t>
            </w:r>
          </w:p>
        </w:tc>
        <w:tc>
          <w:tcPr>
            <w:tcW w:w="2248" w:type="dxa"/>
            <w:tcBorders>
              <w:top w:val="single" w:color="auto" w:sz="4" w:space="0"/>
              <w:left w:val="single" w:color="auto" w:sz="4" w:space="0"/>
              <w:bottom w:val="single" w:color="auto" w:sz="4" w:space="0"/>
              <w:right w:val="single" w:color="auto" w:sz="4" w:space="0"/>
            </w:tcBorders>
            <w:vAlign w:val="top"/>
          </w:tcPr>
          <w:p w14:paraId="183E04E1">
            <w:pPr>
              <w:rPr>
                <w:rFonts w:ascii="Arial"/>
                <w:sz w:val="21"/>
              </w:rPr>
            </w:pPr>
          </w:p>
        </w:tc>
        <w:tc>
          <w:tcPr>
            <w:tcW w:w="2392" w:type="dxa"/>
            <w:tcBorders>
              <w:left w:val="single" w:color="auto" w:sz="4" w:space="0"/>
            </w:tcBorders>
            <w:vAlign w:val="top"/>
          </w:tcPr>
          <w:p w14:paraId="7B485066">
            <w:pPr>
              <w:pStyle w:val="257"/>
              <w:spacing w:before="68" w:line="219" w:lineRule="auto"/>
              <w:ind w:left="109"/>
            </w:pPr>
            <w:r>
              <w:rPr>
                <w:spacing w:val="-2"/>
              </w:rPr>
              <w:t>HJ456</w:t>
            </w:r>
            <w:r>
              <w:rPr>
                <w:spacing w:val="-23"/>
              </w:rPr>
              <w:t xml:space="preserve"> </w:t>
            </w:r>
            <w:r>
              <w:rPr>
                <w:spacing w:val="-2"/>
              </w:rPr>
              <w:t>刚性防水材料</w:t>
            </w:r>
          </w:p>
        </w:tc>
      </w:tr>
      <w:tr w14:paraId="3FF8E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10207C1A">
            <w:pPr>
              <w:pStyle w:val="257"/>
              <w:spacing w:before="68"/>
              <w:ind w:left="114"/>
            </w:pPr>
            <w:r>
              <w:rPr>
                <w:spacing w:val="-3"/>
              </w:rPr>
              <w:t>43</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EB07ED6">
            <w:pPr>
              <w:pStyle w:val="257"/>
              <w:spacing w:before="67" w:line="323" w:lineRule="auto"/>
              <w:ind w:left="107" w:right="108" w:hanging="5"/>
            </w:pPr>
            <w:r>
              <w:rPr>
                <w:spacing w:val="3"/>
              </w:rPr>
              <w:t>A100602</w:t>
            </w:r>
            <w:r>
              <w:rPr>
                <w:spacing w:val="34"/>
              </w:rPr>
              <w:t xml:space="preserve"> </w:t>
            </w:r>
            <w:r>
              <w:rPr>
                <w:spacing w:val="3"/>
              </w:rPr>
              <w:t>墙面涂</w:t>
            </w:r>
            <w:r>
              <w:t xml:space="preserve"> 料</w:t>
            </w:r>
          </w:p>
        </w:tc>
        <w:tc>
          <w:tcPr>
            <w:tcW w:w="2672" w:type="dxa"/>
            <w:tcBorders>
              <w:top w:val="single" w:color="auto" w:sz="4" w:space="0"/>
              <w:left w:val="single" w:color="auto" w:sz="4" w:space="0"/>
              <w:bottom w:val="single" w:color="auto" w:sz="4" w:space="0"/>
              <w:right w:val="single" w:color="auto" w:sz="4" w:space="0"/>
            </w:tcBorders>
            <w:vAlign w:val="top"/>
          </w:tcPr>
          <w:p w14:paraId="30381269">
            <w:pPr>
              <w:pStyle w:val="257"/>
              <w:spacing w:before="69" w:line="284" w:lineRule="auto"/>
              <w:ind w:left="108" w:right="107" w:hanging="5"/>
            </w:pPr>
            <w:r>
              <w:rPr>
                <w:spacing w:val="-1"/>
              </w:rPr>
              <w:t>A10060202</w:t>
            </w:r>
            <w:r>
              <w:rPr>
                <w:spacing w:val="-47"/>
              </w:rPr>
              <w:t xml:space="preserve"> </w:t>
            </w:r>
            <w:r>
              <w:rPr>
                <w:spacing w:val="-1"/>
              </w:rPr>
              <w:t>合成树脂乳液内墙涂</w:t>
            </w:r>
            <w:r>
              <w:t xml:space="preserve"> 料</w:t>
            </w:r>
          </w:p>
        </w:tc>
        <w:tc>
          <w:tcPr>
            <w:tcW w:w="2248" w:type="dxa"/>
            <w:tcBorders>
              <w:top w:val="single" w:color="auto" w:sz="4" w:space="0"/>
              <w:left w:val="single" w:color="auto" w:sz="4" w:space="0"/>
              <w:bottom w:val="single" w:color="auto" w:sz="4" w:space="0"/>
              <w:right w:val="single" w:color="auto" w:sz="4" w:space="0"/>
            </w:tcBorders>
            <w:vAlign w:val="top"/>
          </w:tcPr>
          <w:p w14:paraId="72A47172">
            <w:pPr>
              <w:rPr>
                <w:rFonts w:ascii="Arial"/>
                <w:sz w:val="21"/>
              </w:rPr>
            </w:pPr>
          </w:p>
        </w:tc>
        <w:tc>
          <w:tcPr>
            <w:tcW w:w="2392" w:type="dxa"/>
            <w:tcBorders>
              <w:left w:val="single" w:color="auto" w:sz="4" w:space="0"/>
            </w:tcBorders>
            <w:vAlign w:val="top"/>
          </w:tcPr>
          <w:p w14:paraId="563BAD7D">
            <w:pPr>
              <w:pStyle w:val="257"/>
              <w:spacing w:before="67" w:line="219" w:lineRule="auto"/>
              <w:ind w:left="109"/>
            </w:pPr>
            <w:r>
              <w:rPr>
                <w:spacing w:val="-1"/>
              </w:rPr>
              <w:t>HJ2537</w:t>
            </w:r>
            <w:r>
              <w:rPr>
                <w:spacing w:val="-34"/>
              </w:rPr>
              <w:t xml:space="preserve"> </w:t>
            </w:r>
            <w:r>
              <w:rPr>
                <w:spacing w:val="-1"/>
              </w:rPr>
              <w:t>水性涂料</w:t>
            </w:r>
          </w:p>
        </w:tc>
      </w:tr>
      <w:tr w14:paraId="316C0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4D66BD2A">
            <w:pPr>
              <w:rPr>
                <w:rFonts w:ascii="Arial"/>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A52635C">
            <w:pPr>
              <w:rPr>
                <w:rFonts w:ascii="Arial"/>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49AAA4F8">
            <w:pPr>
              <w:pStyle w:val="257"/>
              <w:spacing w:before="64" w:line="284" w:lineRule="auto"/>
              <w:ind w:left="108" w:right="107" w:hanging="5"/>
            </w:pPr>
            <w:r>
              <w:rPr>
                <w:spacing w:val="-1"/>
              </w:rPr>
              <w:t>A10060203</w:t>
            </w:r>
            <w:r>
              <w:rPr>
                <w:spacing w:val="-47"/>
              </w:rPr>
              <w:t xml:space="preserve"> </w:t>
            </w:r>
            <w:r>
              <w:rPr>
                <w:spacing w:val="-1"/>
              </w:rPr>
              <w:t>合成树脂乳液外墙涂</w:t>
            </w:r>
            <w:r>
              <w:t xml:space="preserve"> 料</w:t>
            </w:r>
          </w:p>
        </w:tc>
        <w:tc>
          <w:tcPr>
            <w:tcW w:w="2248" w:type="dxa"/>
            <w:tcBorders>
              <w:top w:val="single" w:color="auto" w:sz="4" w:space="0"/>
              <w:left w:val="single" w:color="auto" w:sz="4" w:space="0"/>
              <w:bottom w:val="single" w:color="auto" w:sz="4" w:space="0"/>
              <w:right w:val="single" w:color="auto" w:sz="4" w:space="0"/>
            </w:tcBorders>
            <w:vAlign w:val="top"/>
          </w:tcPr>
          <w:p w14:paraId="78CE74D6">
            <w:pPr>
              <w:rPr>
                <w:rFonts w:ascii="Arial"/>
                <w:sz w:val="21"/>
              </w:rPr>
            </w:pPr>
          </w:p>
        </w:tc>
        <w:tc>
          <w:tcPr>
            <w:tcW w:w="2392" w:type="dxa"/>
            <w:tcBorders>
              <w:left w:val="single" w:color="auto" w:sz="4" w:space="0"/>
            </w:tcBorders>
            <w:vAlign w:val="top"/>
          </w:tcPr>
          <w:p w14:paraId="6D61436D">
            <w:pPr>
              <w:pStyle w:val="257"/>
              <w:spacing w:before="63" w:line="219" w:lineRule="auto"/>
              <w:ind w:left="109"/>
            </w:pPr>
            <w:r>
              <w:rPr>
                <w:spacing w:val="-1"/>
              </w:rPr>
              <w:t>HJ2537</w:t>
            </w:r>
            <w:r>
              <w:rPr>
                <w:spacing w:val="-34"/>
              </w:rPr>
              <w:t xml:space="preserve"> </w:t>
            </w:r>
            <w:r>
              <w:rPr>
                <w:spacing w:val="-1"/>
              </w:rPr>
              <w:t>水性涂料</w:t>
            </w:r>
          </w:p>
        </w:tc>
      </w:tr>
      <w:tr w14:paraId="0F26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10101A8D">
            <w:pPr>
              <w:rPr>
                <w:rFonts w:ascii="Arial"/>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0AAD2186">
            <w:pPr>
              <w:rPr>
                <w:rFonts w:ascii="Arial"/>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4DF487A8">
            <w:pPr>
              <w:pStyle w:val="257"/>
              <w:spacing w:before="64" w:line="221" w:lineRule="auto"/>
              <w:ind w:left="103"/>
            </w:pPr>
            <w:r>
              <w:rPr>
                <w:spacing w:val="-1"/>
              </w:rPr>
              <w:t>A10060299</w:t>
            </w:r>
            <w:r>
              <w:rPr>
                <w:spacing w:val="-30"/>
              </w:rPr>
              <w:t xml:space="preserve"> </w:t>
            </w:r>
            <w:r>
              <w:rPr>
                <w:spacing w:val="-1"/>
              </w:rPr>
              <w:t>其他墙面涂料</w:t>
            </w:r>
          </w:p>
        </w:tc>
        <w:tc>
          <w:tcPr>
            <w:tcW w:w="2248" w:type="dxa"/>
            <w:tcBorders>
              <w:top w:val="single" w:color="auto" w:sz="4" w:space="0"/>
              <w:left w:val="single" w:color="auto" w:sz="4" w:space="0"/>
              <w:bottom w:val="single" w:color="auto" w:sz="4" w:space="0"/>
              <w:right w:val="single" w:color="auto" w:sz="4" w:space="0"/>
            </w:tcBorders>
            <w:vAlign w:val="top"/>
          </w:tcPr>
          <w:p w14:paraId="64F1E019">
            <w:pPr>
              <w:rPr>
                <w:rFonts w:ascii="Arial"/>
                <w:sz w:val="21"/>
              </w:rPr>
            </w:pPr>
          </w:p>
        </w:tc>
        <w:tc>
          <w:tcPr>
            <w:tcW w:w="2392" w:type="dxa"/>
            <w:tcBorders>
              <w:left w:val="single" w:color="auto" w:sz="4" w:space="0"/>
            </w:tcBorders>
            <w:vAlign w:val="top"/>
          </w:tcPr>
          <w:p w14:paraId="426BA902">
            <w:pPr>
              <w:pStyle w:val="257"/>
              <w:spacing w:before="64" w:line="219" w:lineRule="auto"/>
              <w:ind w:left="109"/>
            </w:pPr>
            <w:r>
              <w:rPr>
                <w:spacing w:val="-1"/>
              </w:rPr>
              <w:t>HJ2537</w:t>
            </w:r>
            <w:r>
              <w:rPr>
                <w:spacing w:val="-34"/>
              </w:rPr>
              <w:t xml:space="preserve"> </w:t>
            </w:r>
            <w:r>
              <w:rPr>
                <w:spacing w:val="-1"/>
              </w:rPr>
              <w:t>水性涂料</w:t>
            </w:r>
          </w:p>
        </w:tc>
      </w:tr>
      <w:tr w14:paraId="768D3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tcBorders>
            <w:vAlign w:val="top"/>
          </w:tcPr>
          <w:p w14:paraId="7EB7582E">
            <w:pPr>
              <w:pStyle w:val="257"/>
              <w:spacing w:before="65" w:line="242" w:lineRule="auto"/>
              <w:ind w:left="114"/>
            </w:pPr>
            <w:r>
              <w:rPr>
                <w:spacing w:val="-3"/>
              </w:rPr>
              <w:t>44</w:t>
            </w:r>
          </w:p>
        </w:tc>
        <w:tc>
          <w:tcPr>
            <w:tcW w:w="1542" w:type="dxa"/>
            <w:tcBorders>
              <w:top w:val="single" w:color="auto" w:sz="4" w:space="0"/>
            </w:tcBorders>
            <w:vAlign w:val="top"/>
          </w:tcPr>
          <w:p w14:paraId="7481B57C">
            <w:pPr>
              <w:pStyle w:val="257"/>
              <w:spacing w:before="66" w:line="283" w:lineRule="auto"/>
              <w:ind w:left="107" w:right="108" w:hanging="5"/>
            </w:pPr>
            <w:r>
              <w:rPr>
                <w:spacing w:val="2"/>
              </w:rPr>
              <w:t>A100604</w:t>
            </w:r>
            <w:r>
              <w:rPr>
                <w:spacing w:val="44"/>
              </w:rPr>
              <w:t xml:space="preserve"> </w:t>
            </w:r>
            <w:r>
              <w:rPr>
                <w:spacing w:val="2"/>
              </w:rPr>
              <w:t>防水涂</w:t>
            </w:r>
            <w:r>
              <w:t xml:space="preserve"> 料</w:t>
            </w:r>
          </w:p>
        </w:tc>
        <w:tc>
          <w:tcPr>
            <w:tcW w:w="2672" w:type="dxa"/>
            <w:tcBorders>
              <w:top w:val="single" w:color="auto" w:sz="4" w:space="0"/>
            </w:tcBorders>
            <w:vAlign w:val="top"/>
          </w:tcPr>
          <w:p w14:paraId="535DF1A2">
            <w:pPr>
              <w:pStyle w:val="257"/>
              <w:spacing w:before="65" w:line="220" w:lineRule="auto"/>
              <w:ind w:left="103"/>
            </w:pPr>
            <w:r>
              <w:rPr>
                <w:spacing w:val="-1"/>
              </w:rPr>
              <w:t>A10060499</w:t>
            </w:r>
            <w:r>
              <w:rPr>
                <w:spacing w:val="-30"/>
              </w:rPr>
              <w:t xml:space="preserve"> </w:t>
            </w:r>
            <w:r>
              <w:rPr>
                <w:spacing w:val="-1"/>
              </w:rPr>
              <w:t>其他防水涂料</w:t>
            </w:r>
          </w:p>
        </w:tc>
        <w:tc>
          <w:tcPr>
            <w:tcW w:w="2248" w:type="dxa"/>
            <w:tcBorders>
              <w:top w:val="single" w:color="auto" w:sz="4" w:space="0"/>
            </w:tcBorders>
            <w:vAlign w:val="top"/>
          </w:tcPr>
          <w:p w14:paraId="1855E2A6">
            <w:pPr>
              <w:rPr>
                <w:rFonts w:ascii="Arial"/>
                <w:sz w:val="21"/>
              </w:rPr>
            </w:pPr>
          </w:p>
        </w:tc>
        <w:tc>
          <w:tcPr>
            <w:tcW w:w="2392" w:type="dxa"/>
            <w:vAlign w:val="top"/>
          </w:tcPr>
          <w:p w14:paraId="1C6CE9A5">
            <w:pPr>
              <w:pStyle w:val="257"/>
              <w:spacing w:before="65" w:line="219" w:lineRule="auto"/>
              <w:ind w:left="109"/>
            </w:pPr>
            <w:r>
              <w:rPr>
                <w:spacing w:val="-1"/>
              </w:rPr>
              <w:t>HJ2537</w:t>
            </w:r>
            <w:r>
              <w:rPr>
                <w:spacing w:val="-34"/>
              </w:rPr>
              <w:t xml:space="preserve"> </w:t>
            </w:r>
            <w:r>
              <w:rPr>
                <w:spacing w:val="-1"/>
              </w:rPr>
              <w:t>水性涂料</w:t>
            </w:r>
          </w:p>
        </w:tc>
      </w:tr>
      <w:tr w14:paraId="632B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43A4B4D">
            <w:pPr>
              <w:pStyle w:val="257"/>
              <w:spacing w:before="66"/>
              <w:ind w:left="114"/>
            </w:pPr>
            <w:r>
              <w:rPr>
                <w:spacing w:val="-3"/>
              </w:rPr>
              <w:t>45</w:t>
            </w:r>
          </w:p>
        </w:tc>
        <w:tc>
          <w:tcPr>
            <w:tcW w:w="1542" w:type="dxa"/>
            <w:vAlign w:val="top"/>
          </w:tcPr>
          <w:p w14:paraId="35C9BC36">
            <w:pPr>
              <w:pStyle w:val="257"/>
              <w:spacing w:before="66" w:line="283" w:lineRule="auto"/>
              <w:ind w:left="109" w:right="108" w:hanging="7"/>
            </w:pPr>
            <w:r>
              <w:rPr>
                <w:spacing w:val="3"/>
              </w:rPr>
              <w:t>A100699</w:t>
            </w:r>
            <w:r>
              <w:rPr>
                <w:spacing w:val="34"/>
              </w:rPr>
              <w:t xml:space="preserve"> </w:t>
            </w:r>
            <w:r>
              <w:rPr>
                <w:spacing w:val="3"/>
              </w:rPr>
              <w:t>其他建</w:t>
            </w:r>
            <w:r>
              <w:t xml:space="preserve"> </w:t>
            </w:r>
            <w:r>
              <w:rPr>
                <w:spacing w:val="-2"/>
              </w:rPr>
              <w:t>筑涂料</w:t>
            </w:r>
          </w:p>
        </w:tc>
        <w:tc>
          <w:tcPr>
            <w:tcW w:w="2672" w:type="dxa"/>
            <w:vAlign w:val="top"/>
          </w:tcPr>
          <w:p w14:paraId="23D38720">
            <w:pPr>
              <w:rPr>
                <w:rFonts w:ascii="Arial"/>
                <w:sz w:val="21"/>
              </w:rPr>
            </w:pPr>
          </w:p>
        </w:tc>
        <w:tc>
          <w:tcPr>
            <w:tcW w:w="2248" w:type="dxa"/>
            <w:vAlign w:val="top"/>
          </w:tcPr>
          <w:p w14:paraId="0B70DE25">
            <w:pPr>
              <w:rPr>
                <w:rFonts w:ascii="Arial"/>
                <w:sz w:val="21"/>
              </w:rPr>
            </w:pPr>
          </w:p>
        </w:tc>
        <w:tc>
          <w:tcPr>
            <w:tcW w:w="2392" w:type="dxa"/>
            <w:vAlign w:val="top"/>
          </w:tcPr>
          <w:p w14:paraId="660F1672">
            <w:pPr>
              <w:pStyle w:val="257"/>
              <w:spacing w:before="65" w:line="219" w:lineRule="auto"/>
              <w:ind w:left="109"/>
            </w:pPr>
            <w:r>
              <w:rPr>
                <w:spacing w:val="-1"/>
              </w:rPr>
              <w:t>HJ2537</w:t>
            </w:r>
            <w:r>
              <w:rPr>
                <w:spacing w:val="-34"/>
              </w:rPr>
              <w:t xml:space="preserve"> </w:t>
            </w:r>
            <w:r>
              <w:rPr>
                <w:spacing w:val="-1"/>
              </w:rPr>
              <w:t>水性涂料</w:t>
            </w:r>
          </w:p>
        </w:tc>
      </w:tr>
      <w:tr w14:paraId="38319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83" w:type="dxa"/>
            <w:vAlign w:val="top"/>
          </w:tcPr>
          <w:p w14:paraId="2F17EFB4">
            <w:pPr>
              <w:pStyle w:val="257"/>
              <w:spacing w:before="66"/>
              <w:ind w:left="114"/>
            </w:pPr>
            <w:r>
              <w:rPr>
                <w:spacing w:val="-3"/>
              </w:rPr>
              <w:t>46</w:t>
            </w:r>
          </w:p>
        </w:tc>
        <w:tc>
          <w:tcPr>
            <w:tcW w:w="1542" w:type="dxa"/>
            <w:vAlign w:val="top"/>
          </w:tcPr>
          <w:p w14:paraId="3F904A96">
            <w:pPr>
              <w:pStyle w:val="257"/>
              <w:spacing w:before="66" w:line="222" w:lineRule="auto"/>
              <w:ind w:left="102"/>
            </w:pPr>
            <w:r>
              <w:rPr>
                <w:spacing w:val="-8"/>
              </w:rPr>
              <w:t>A100701</w:t>
            </w:r>
            <w:r>
              <w:rPr>
                <w:spacing w:val="-12"/>
              </w:rPr>
              <w:t xml:space="preserve"> </w:t>
            </w:r>
            <w:r>
              <w:rPr>
                <w:spacing w:val="-8"/>
              </w:rPr>
              <w:t>门、门槛</w:t>
            </w:r>
          </w:p>
        </w:tc>
        <w:tc>
          <w:tcPr>
            <w:tcW w:w="2672" w:type="dxa"/>
            <w:vAlign w:val="top"/>
          </w:tcPr>
          <w:p w14:paraId="27EBC322">
            <w:pPr>
              <w:rPr>
                <w:rFonts w:ascii="Arial"/>
                <w:sz w:val="21"/>
              </w:rPr>
            </w:pPr>
          </w:p>
        </w:tc>
        <w:tc>
          <w:tcPr>
            <w:tcW w:w="2248" w:type="dxa"/>
            <w:vAlign w:val="top"/>
          </w:tcPr>
          <w:p w14:paraId="5BDA538E">
            <w:pPr>
              <w:rPr>
                <w:rFonts w:ascii="Arial"/>
                <w:sz w:val="21"/>
              </w:rPr>
            </w:pPr>
          </w:p>
        </w:tc>
        <w:tc>
          <w:tcPr>
            <w:tcW w:w="2392" w:type="dxa"/>
            <w:vAlign w:val="top"/>
          </w:tcPr>
          <w:p w14:paraId="2B02D3B7">
            <w:pPr>
              <w:pStyle w:val="257"/>
              <w:spacing w:before="66" w:line="219" w:lineRule="auto"/>
              <w:ind w:left="109"/>
            </w:pPr>
            <w:r>
              <w:rPr>
                <w:spacing w:val="-1"/>
              </w:rPr>
              <w:t>HJ/T 237</w:t>
            </w:r>
            <w:r>
              <w:rPr>
                <w:spacing w:val="-32"/>
              </w:rPr>
              <w:t xml:space="preserve"> </w:t>
            </w:r>
            <w:r>
              <w:rPr>
                <w:spacing w:val="-1"/>
              </w:rPr>
              <w:t>塑料门窗/HJ459</w:t>
            </w:r>
            <w:r>
              <w:rPr>
                <w:spacing w:val="-37"/>
              </w:rPr>
              <w:t xml:space="preserve"> </w:t>
            </w:r>
            <w:r>
              <w:rPr>
                <w:spacing w:val="-1"/>
              </w:rPr>
              <w:t>木</w:t>
            </w:r>
            <w:r>
              <w:rPr>
                <w:spacing w:val="-2"/>
              </w:rPr>
              <w:t>质门和钢质门</w:t>
            </w:r>
          </w:p>
        </w:tc>
      </w:tr>
      <w:tr w14:paraId="0C4D9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26CEAE9B">
            <w:pPr>
              <w:pStyle w:val="257"/>
              <w:spacing w:before="66"/>
              <w:ind w:left="114"/>
            </w:pPr>
            <w:r>
              <w:rPr>
                <w:spacing w:val="-3"/>
              </w:rPr>
              <w:t>47</w:t>
            </w:r>
          </w:p>
        </w:tc>
        <w:tc>
          <w:tcPr>
            <w:tcW w:w="1542" w:type="dxa"/>
            <w:vAlign w:val="top"/>
          </w:tcPr>
          <w:p w14:paraId="790141B8">
            <w:pPr>
              <w:pStyle w:val="257"/>
              <w:spacing w:before="66" w:line="221" w:lineRule="auto"/>
              <w:ind w:left="102"/>
            </w:pPr>
            <w:r>
              <w:rPr>
                <w:spacing w:val="-1"/>
              </w:rPr>
              <w:t>A100702</w:t>
            </w:r>
            <w:r>
              <w:rPr>
                <w:spacing w:val="-24"/>
              </w:rPr>
              <w:t xml:space="preserve"> </w:t>
            </w:r>
            <w:r>
              <w:rPr>
                <w:spacing w:val="-1"/>
              </w:rPr>
              <w:t>窗</w:t>
            </w:r>
          </w:p>
        </w:tc>
        <w:tc>
          <w:tcPr>
            <w:tcW w:w="2672" w:type="dxa"/>
            <w:vAlign w:val="top"/>
          </w:tcPr>
          <w:p w14:paraId="5BB1A806">
            <w:pPr>
              <w:rPr>
                <w:rFonts w:ascii="Arial"/>
                <w:sz w:val="21"/>
              </w:rPr>
            </w:pPr>
          </w:p>
        </w:tc>
        <w:tc>
          <w:tcPr>
            <w:tcW w:w="2248" w:type="dxa"/>
            <w:vAlign w:val="top"/>
          </w:tcPr>
          <w:p w14:paraId="12F20AF9">
            <w:pPr>
              <w:rPr>
                <w:rFonts w:ascii="Arial"/>
                <w:sz w:val="21"/>
              </w:rPr>
            </w:pPr>
          </w:p>
        </w:tc>
        <w:tc>
          <w:tcPr>
            <w:tcW w:w="2392" w:type="dxa"/>
            <w:vAlign w:val="top"/>
          </w:tcPr>
          <w:p w14:paraId="5122D3D0">
            <w:pPr>
              <w:pStyle w:val="257"/>
              <w:spacing w:before="66" w:line="219" w:lineRule="auto"/>
              <w:ind w:left="109"/>
            </w:pPr>
            <w:r>
              <w:rPr>
                <w:spacing w:val="-1"/>
              </w:rPr>
              <w:t>HJ/T237</w:t>
            </w:r>
            <w:r>
              <w:rPr>
                <w:spacing w:val="-33"/>
              </w:rPr>
              <w:t xml:space="preserve"> </w:t>
            </w:r>
            <w:r>
              <w:rPr>
                <w:spacing w:val="-1"/>
              </w:rPr>
              <w:t>塑料门窗</w:t>
            </w:r>
          </w:p>
        </w:tc>
      </w:tr>
      <w:tr w14:paraId="684C0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3" w:type="dxa"/>
            <w:vAlign w:val="top"/>
          </w:tcPr>
          <w:p w14:paraId="0FB2F36E">
            <w:pPr>
              <w:pStyle w:val="257"/>
              <w:spacing w:before="69"/>
              <w:ind w:left="114"/>
            </w:pPr>
            <w:r>
              <w:rPr>
                <w:spacing w:val="-3"/>
              </w:rPr>
              <w:t>48</w:t>
            </w:r>
          </w:p>
        </w:tc>
        <w:tc>
          <w:tcPr>
            <w:tcW w:w="1542" w:type="dxa"/>
            <w:vAlign w:val="top"/>
          </w:tcPr>
          <w:p w14:paraId="36F78E55">
            <w:pPr>
              <w:pStyle w:val="257"/>
              <w:spacing w:before="70" w:line="282" w:lineRule="auto"/>
              <w:ind w:left="109" w:right="106" w:hanging="7"/>
            </w:pPr>
            <w:r>
              <w:rPr>
                <w:spacing w:val="-8"/>
              </w:rPr>
              <w:t>A170108</w:t>
            </w:r>
            <w:r>
              <w:rPr>
                <w:spacing w:val="-25"/>
              </w:rPr>
              <w:t xml:space="preserve"> </w:t>
            </w:r>
            <w:r>
              <w:rPr>
                <w:spacing w:val="-8"/>
              </w:rPr>
              <w:t>涂料（建</w:t>
            </w:r>
            <w:r>
              <w:t xml:space="preserve"> </w:t>
            </w:r>
            <w:r>
              <w:rPr>
                <w:spacing w:val="-2"/>
              </w:rPr>
              <w:t>筑涂料除外）</w:t>
            </w:r>
          </w:p>
        </w:tc>
        <w:tc>
          <w:tcPr>
            <w:tcW w:w="2672" w:type="dxa"/>
            <w:vAlign w:val="top"/>
          </w:tcPr>
          <w:p w14:paraId="0E6B6EAA">
            <w:pPr>
              <w:rPr>
                <w:rFonts w:ascii="Arial"/>
                <w:sz w:val="21"/>
              </w:rPr>
            </w:pPr>
          </w:p>
        </w:tc>
        <w:tc>
          <w:tcPr>
            <w:tcW w:w="2248" w:type="dxa"/>
            <w:vAlign w:val="top"/>
          </w:tcPr>
          <w:p w14:paraId="754BCD0F">
            <w:pPr>
              <w:rPr>
                <w:rFonts w:ascii="Arial"/>
                <w:sz w:val="21"/>
              </w:rPr>
            </w:pPr>
          </w:p>
        </w:tc>
        <w:tc>
          <w:tcPr>
            <w:tcW w:w="2392" w:type="dxa"/>
            <w:vAlign w:val="top"/>
          </w:tcPr>
          <w:p w14:paraId="5DA8EBC0">
            <w:pPr>
              <w:pStyle w:val="257"/>
              <w:spacing w:before="69" w:line="219" w:lineRule="auto"/>
              <w:ind w:left="109"/>
            </w:pPr>
            <w:r>
              <w:rPr>
                <w:spacing w:val="-1"/>
              </w:rPr>
              <w:t>HJ2537</w:t>
            </w:r>
            <w:r>
              <w:rPr>
                <w:spacing w:val="-34"/>
              </w:rPr>
              <w:t xml:space="preserve"> </w:t>
            </w:r>
            <w:r>
              <w:rPr>
                <w:spacing w:val="-1"/>
              </w:rPr>
              <w:t>水性涂料</w:t>
            </w:r>
          </w:p>
        </w:tc>
      </w:tr>
      <w:tr w14:paraId="1C745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533A863C">
            <w:pPr>
              <w:pStyle w:val="257"/>
              <w:spacing w:before="68"/>
              <w:ind w:left="114"/>
            </w:pPr>
            <w:r>
              <w:rPr>
                <w:spacing w:val="-3"/>
              </w:rPr>
              <w:t>49</w:t>
            </w:r>
          </w:p>
        </w:tc>
        <w:tc>
          <w:tcPr>
            <w:tcW w:w="1542" w:type="dxa"/>
            <w:vAlign w:val="top"/>
          </w:tcPr>
          <w:p w14:paraId="13CB0C21">
            <w:pPr>
              <w:pStyle w:val="257"/>
              <w:spacing w:before="68" w:line="282" w:lineRule="auto"/>
              <w:ind w:left="109" w:right="108" w:hanging="7"/>
            </w:pPr>
            <w:r>
              <w:rPr>
                <w:spacing w:val="3"/>
              </w:rPr>
              <w:t>A170112</w:t>
            </w:r>
            <w:r>
              <w:rPr>
                <w:spacing w:val="34"/>
              </w:rPr>
              <w:t xml:space="preserve"> </w:t>
            </w:r>
            <w:r>
              <w:rPr>
                <w:spacing w:val="3"/>
              </w:rPr>
              <w:t>密封用</w:t>
            </w:r>
            <w:r>
              <w:t xml:space="preserve"> </w:t>
            </w:r>
            <w:r>
              <w:rPr>
                <w:spacing w:val="-2"/>
              </w:rPr>
              <w:t>填料及类似品</w:t>
            </w:r>
          </w:p>
        </w:tc>
        <w:tc>
          <w:tcPr>
            <w:tcW w:w="2672" w:type="dxa"/>
            <w:vAlign w:val="top"/>
          </w:tcPr>
          <w:p w14:paraId="1D94107C">
            <w:pPr>
              <w:rPr>
                <w:rFonts w:ascii="Arial"/>
                <w:sz w:val="21"/>
              </w:rPr>
            </w:pPr>
          </w:p>
        </w:tc>
        <w:tc>
          <w:tcPr>
            <w:tcW w:w="2248" w:type="dxa"/>
            <w:vAlign w:val="top"/>
          </w:tcPr>
          <w:p w14:paraId="2D7DC984">
            <w:pPr>
              <w:rPr>
                <w:rFonts w:ascii="Arial"/>
                <w:sz w:val="21"/>
              </w:rPr>
            </w:pPr>
          </w:p>
        </w:tc>
        <w:tc>
          <w:tcPr>
            <w:tcW w:w="2392" w:type="dxa"/>
            <w:vAlign w:val="top"/>
          </w:tcPr>
          <w:p w14:paraId="1DD66A27">
            <w:pPr>
              <w:pStyle w:val="257"/>
              <w:spacing w:before="67" w:line="219" w:lineRule="auto"/>
              <w:ind w:left="109"/>
            </w:pPr>
            <w:r>
              <w:rPr>
                <w:spacing w:val="-1"/>
              </w:rPr>
              <w:t>HJ2541</w:t>
            </w:r>
            <w:r>
              <w:rPr>
                <w:spacing w:val="-35"/>
              </w:rPr>
              <w:t xml:space="preserve"> </w:t>
            </w:r>
            <w:r>
              <w:rPr>
                <w:spacing w:val="-1"/>
              </w:rPr>
              <w:t>胶粘剂</w:t>
            </w:r>
          </w:p>
        </w:tc>
      </w:tr>
      <w:tr w14:paraId="213AD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242B0303">
            <w:pPr>
              <w:pStyle w:val="257"/>
              <w:spacing w:before="69"/>
              <w:ind w:left="118"/>
            </w:pPr>
            <w:r>
              <w:rPr>
                <w:spacing w:val="-5"/>
              </w:rPr>
              <w:t>50</w:t>
            </w:r>
          </w:p>
        </w:tc>
        <w:tc>
          <w:tcPr>
            <w:tcW w:w="1542" w:type="dxa"/>
            <w:vAlign w:val="top"/>
          </w:tcPr>
          <w:p w14:paraId="53AC877B">
            <w:pPr>
              <w:pStyle w:val="257"/>
              <w:spacing w:before="69" w:line="284" w:lineRule="auto"/>
              <w:ind w:left="122" w:right="108" w:hanging="20"/>
            </w:pPr>
            <w:r>
              <w:rPr>
                <w:spacing w:val="3"/>
              </w:rPr>
              <w:t>A180201</w:t>
            </w:r>
            <w:r>
              <w:rPr>
                <w:spacing w:val="34"/>
              </w:rPr>
              <w:t xml:space="preserve"> </w:t>
            </w:r>
            <w:r>
              <w:rPr>
                <w:spacing w:val="3"/>
              </w:rPr>
              <w:t>塑料制</w:t>
            </w:r>
            <w:r>
              <w:t xml:space="preserve"> 品</w:t>
            </w:r>
          </w:p>
        </w:tc>
        <w:tc>
          <w:tcPr>
            <w:tcW w:w="2672" w:type="dxa"/>
            <w:vAlign w:val="top"/>
          </w:tcPr>
          <w:p w14:paraId="214BE936">
            <w:pPr>
              <w:rPr>
                <w:rFonts w:ascii="Arial"/>
                <w:sz w:val="21"/>
              </w:rPr>
            </w:pPr>
          </w:p>
        </w:tc>
        <w:tc>
          <w:tcPr>
            <w:tcW w:w="2248" w:type="dxa"/>
            <w:vAlign w:val="top"/>
          </w:tcPr>
          <w:p w14:paraId="302B59F9">
            <w:pPr>
              <w:rPr>
                <w:rFonts w:ascii="Arial"/>
                <w:sz w:val="21"/>
              </w:rPr>
            </w:pPr>
          </w:p>
        </w:tc>
        <w:tc>
          <w:tcPr>
            <w:tcW w:w="2392" w:type="dxa"/>
            <w:vAlign w:val="top"/>
          </w:tcPr>
          <w:p w14:paraId="6970262A">
            <w:pPr>
              <w:pStyle w:val="257"/>
              <w:spacing w:before="69" w:line="284" w:lineRule="auto"/>
              <w:ind w:left="113" w:right="104" w:hanging="4"/>
            </w:pPr>
            <w:r>
              <w:t>HJ/T226 建筑用塑料管材/HJ/</w:t>
            </w:r>
            <w:r>
              <w:rPr>
                <w:spacing w:val="-1"/>
              </w:rPr>
              <w:t>T231 再生塑</w:t>
            </w:r>
            <w:r>
              <w:t xml:space="preserve"> </w:t>
            </w:r>
            <w:r>
              <w:rPr>
                <w:spacing w:val="-2"/>
              </w:rPr>
              <w:t>料制品</w:t>
            </w:r>
          </w:p>
        </w:tc>
      </w:tr>
    </w:tbl>
    <w:p w14:paraId="0F85C2AE">
      <w:pPr>
        <w:pStyle w:val="30"/>
        <w:snapToGrid w:val="0"/>
        <w:spacing w:before="120" w:after="120" w:line="320" w:lineRule="exact"/>
        <w:jc w:val="center"/>
        <w:outlineLvl w:val="0"/>
        <w:rPr>
          <w:rFonts w:ascii="Arial" w:hAnsi="Arial" w:eastAsia="宋体" w:cs="Arial"/>
          <w:color w:val="000000" w:themeColor="text1"/>
          <w:sz w:val="32"/>
          <w:szCs w:val="32"/>
          <w14:textFill>
            <w14:solidFill>
              <w14:schemeClr w14:val="tx1"/>
            </w14:solidFill>
          </w14:textFill>
        </w:rPr>
      </w:pPr>
      <w:bookmarkStart w:id="97" w:name="_Toc12782"/>
      <w:r>
        <w:rPr>
          <w:rFonts w:hint="eastAsia" w:ascii="宋体" w:hAnsi="宋体" w:eastAsia="宋体" w:cs="Times New Roman"/>
          <w:spacing w:val="-3"/>
          <w:szCs w:val="21"/>
        </w:rPr>
        <w:t>注：环境标志产品认证应依据相关标准的最新</w:t>
      </w:r>
      <w:r>
        <w:rPr>
          <w:rFonts w:hint="eastAsia" w:ascii="宋体" w:hAnsi="宋体" w:eastAsia="宋体" w:cs="Times New Roman"/>
          <w:spacing w:val="-3"/>
          <w:szCs w:val="21"/>
          <w:lang w:val="en-US" w:eastAsia="zh-CN"/>
        </w:rPr>
        <w:t>版本。</w:t>
      </w:r>
      <w:r>
        <w:rPr>
          <w:rFonts w:ascii="Arial" w:hAnsi="Arial" w:cs="Arial"/>
          <w:color w:val="000000" w:themeColor="text1"/>
          <w14:textFill>
            <w14:solidFill>
              <w14:schemeClr w14:val="tx1"/>
            </w14:solidFill>
          </w14:textFill>
        </w:rPr>
        <w:br w:type="page"/>
      </w:r>
      <w:r>
        <w:rPr>
          <w:rFonts w:ascii="Arial" w:hAnsi="Arial" w:eastAsia="宋体" w:cs="Arial"/>
          <w:color w:val="000000" w:themeColor="text1"/>
          <w:sz w:val="32"/>
          <w:szCs w:val="32"/>
          <w14:textFill>
            <w14:solidFill>
              <w14:schemeClr w14:val="tx1"/>
            </w14:solidFill>
          </w14:textFill>
        </w:rPr>
        <w:t>第五章  合同主要条款格式</w:t>
      </w:r>
      <w:bookmarkEnd w:id="97"/>
    </w:p>
    <w:p w14:paraId="43597BF1">
      <w:pPr>
        <w:pStyle w:val="3"/>
        <w:jc w:val="left"/>
        <w:outlineLvl w:val="1"/>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标项1：电子胃镜系统</w:t>
      </w:r>
    </w:p>
    <w:p w14:paraId="083C2EA5">
      <w:pPr>
        <w:pStyle w:val="3"/>
        <w:jc w:val="center"/>
        <w:outlineLvl w:val="1"/>
        <w:rPr>
          <w:color w:val="000000"/>
        </w:rPr>
      </w:pPr>
      <w:r>
        <w:rPr>
          <w:rFonts w:hint="eastAsia" w:ascii="宋体" w:hAnsi="宋体" w:eastAsia="宋体" w:cs="宋体"/>
          <w:color w:val="000000"/>
          <w:sz w:val="32"/>
          <w:szCs w:val="32"/>
        </w:rPr>
        <w:t>采购合同</w:t>
      </w:r>
      <w:bookmarkStart w:id="98" w:name="_bookmark5"/>
      <w:bookmarkEnd w:id="98"/>
    </w:p>
    <w:p w14:paraId="3C510A02">
      <w:pPr>
        <w:snapToGrid w:val="0"/>
        <w:spacing w:line="360" w:lineRule="auto"/>
        <w:ind w:right="480"/>
        <w:rPr>
          <w:rFonts w:hint="eastAsia" w:ascii="宋体" w:hAnsi="宋体" w:eastAsia="宋体" w:cs="宋体"/>
          <w:bCs/>
          <w:color w:val="000000"/>
          <w:sz w:val="21"/>
          <w:szCs w:val="21"/>
          <w:highlight w:val="none"/>
          <w:u w:val="single"/>
          <w:lang w:eastAsia="zh-CN"/>
        </w:rPr>
      </w:pPr>
      <w:r>
        <w:rPr>
          <w:rFonts w:hint="eastAsia" w:ascii="宋体" w:hAnsi="宋体" w:eastAsia="宋体" w:cs="宋体"/>
          <w:color w:val="000000"/>
          <w:sz w:val="21"/>
          <w:szCs w:val="21"/>
          <w:highlight w:val="none"/>
        </w:rPr>
        <w:t>采购人（甲方）：</w:t>
      </w:r>
      <w:r>
        <w:rPr>
          <w:rFonts w:hint="eastAsia" w:ascii="宋体" w:hAnsi="宋体" w:eastAsia="宋体" w:cs="宋体"/>
          <w:color w:val="000000"/>
          <w:sz w:val="21"/>
          <w:szCs w:val="21"/>
          <w:highlight w:val="none"/>
          <w:lang w:eastAsia="zh-CN"/>
        </w:rPr>
        <w:t>广西壮族自治区南溪山医院（广西壮族自治区第二人民医院）</w:t>
      </w:r>
    </w:p>
    <w:p w14:paraId="31F3FAE2">
      <w:pPr>
        <w:snapToGrid w:val="0"/>
        <w:spacing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val="en-US" w:eastAsia="zh-CN"/>
        </w:rPr>
        <w:t>中标</w:t>
      </w:r>
      <w:r>
        <w:rPr>
          <w:rFonts w:hint="eastAsia" w:ascii="宋体" w:hAnsi="宋体" w:eastAsia="宋体" w:cs="宋体"/>
          <w:color w:val="000000"/>
          <w:sz w:val="21"/>
          <w:szCs w:val="21"/>
          <w:highlight w:val="none"/>
        </w:rPr>
        <w:t>供应商（乙方）：</w:t>
      </w:r>
      <w:r>
        <w:rPr>
          <w:rFonts w:hint="eastAsia" w:ascii="宋体" w:hAnsi="宋体" w:eastAsia="宋体" w:cs="宋体"/>
          <w:color w:val="000000"/>
          <w:sz w:val="21"/>
          <w:szCs w:val="21"/>
          <w:highlight w:val="none"/>
          <w:u w:val="single"/>
        </w:rPr>
        <w:t xml:space="preserve">                         </w:t>
      </w:r>
    </w:p>
    <w:p w14:paraId="05E2F414">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采购计划文号：</w:t>
      </w:r>
    </w:p>
    <w:p w14:paraId="03963B32">
      <w:pPr>
        <w:snapToGrid w:val="0"/>
        <w:spacing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项目名称：</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项目编号：</w:t>
      </w:r>
      <w:r>
        <w:rPr>
          <w:rFonts w:hint="eastAsia" w:ascii="宋体" w:hAnsi="宋体" w:eastAsia="宋体" w:cs="宋体"/>
          <w:color w:val="000000"/>
          <w:sz w:val="21"/>
          <w:szCs w:val="21"/>
          <w:highlight w:val="none"/>
          <w:u w:val="single"/>
        </w:rPr>
        <w:t xml:space="preserve">                       </w:t>
      </w:r>
    </w:p>
    <w:p w14:paraId="3671CFB3">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合同类型：买卖合同</w:t>
      </w:r>
    </w:p>
    <w:p w14:paraId="737762E1">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签订地点：</w:t>
      </w:r>
      <w:r>
        <w:rPr>
          <w:rFonts w:hint="eastAsia" w:ascii="宋体" w:hAnsi="宋体" w:eastAsia="宋体" w:cs="宋体"/>
          <w:color w:val="000000"/>
          <w:sz w:val="21"/>
          <w:szCs w:val="21"/>
          <w:highlight w:val="none"/>
          <w:lang w:eastAsia="zh-CN"/>
        </w:rPr>
        <w:t>广西壮族自治区南溪山医院（广西壮族自治区第二人民医院）</w:t>
      </w:r>
      <w:r>
        <w:rPr>
          <w:rFonts w:hint="eastAsia" w:ascii="宋体" w:hAnsi="宋体" w:eastAsia="宋体" w:cs="宋体"/>
          <w:color w:val="000000"/>
          <w:sz w:val="21"/>
          <w:szCs w:val="21"/>
          <w:highlight w:val="none"/>
        </w:rPr>
        <w:t xml:space="preserve"> </w:t>
      </w:r>
    </w:p>
    <w:p w14:paraId="5908622E">
      <w:pPr>
        <w:pStyle w:val="30"/>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p>
    <w:p w14:paraId="35620556">
      <w:pPr>
        <w:pStyle w:val="30"/>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根据《中华人民共和国政府采购法》、《</w:t>
      </w:r>
      <w:r>
        <w:rPr>
          <w:rFonts w:hint="eastAsia" w:ascii="宋体" w:hAnsi="宋体" w:eastAsia="宋体" w:cs="宋体"/>
          <w:color w:val="000000"/>
          <w:sz w:val="21"/>
          <w:szCs w:val="21"/>
          <w:highlight w:val="none"/>
          <w:lang w:eastAsia="zh-CN"/>
        </w:rPr>
        <w:t>中华人民共和国政府采购法实施条例</w:t>
      </w:r>
      <w:r>
        <w:rPr>
          <w:rFonts w:hint="eastAsia" w:ascii="宋体" w:hAnsi="宋体" w:eastAsia="宋体" w:cs="宋体"/>
          <w:color w:val="000000"/>
          <w:sz w:val="21"/>
          <w:szCs w:val="21"/>
          <w:highlight w:val="none"/>
        </w:rPr>
        <w:t>》、《中华人民共和国</w:t>
      </w:r>
      <w:r>
        <w:rPr>
          <w:rFonts w:hint="eastAsia" w:ascii="宋体" w:hAnsi="宋体" w:eastAsia="宋体" w:cs="宋体"/>
          <w:color w:val="000000"/>
          <w:sz w:val="21"/>
          <w:szCs w:val="21"/>
          <w:highlight w:val="none"/>
          <w:lang w:eastAsia="zh-CN"/>
        </w:rPr>
        <w:t>民法典</w:t>
      </w:r>
      <w:r>
        <w:rPr>
          <w:rFonts w:hint="eastAsia" w:ascii="宋体" w:hAnsi="宋体" w:eastAsia="宋体" w:cs="宋体"/>
          <w:color w:val="000000"/>
          <w:sz w:val="21"/>
          <w:szCs w:val="21"/>
          <w:highlight w:val="none"/>
        </w:rPr>
        <w:t>》等法律、法规规定，按照</w:t>
      </w:r>
      <w:r>
        <w:rPr>
          <w:rFonts w:hint="eastAsia" w:hAnsi="宋体" w:cs="宋体"/>
          <w:color w:val="000000"/>
          <w:sz w:val="21"/>
          <w:szCs w:val="21"/>
          <w:highlight w:val="none"/>
          <w:lang w:val="en-US" w:eastAsia="zh-CN"/>
        </w:rPr>
        <w:t>招标</w:t>
      </w:r>
      <w:r>
        <w:rPr>
          <w:rFonts w:hint="eastAsia" w:hAnsi="宋体" w:cs="宋体"/>
          <w:color w:val="000000"/>
          <w:sz w:val="21"/>
          <w:szCs w:val="21"/>
          <w:highlight w:val="none"/>
          <w:lang w:eastAsia="zh-CN"/>
        </w:rPr>
        <w:t>文件</w:t>
      </w:r>
      <w:r>
        <w:rPr>
          <w:rFonts w:hint="eastAsia" w:ascii="宋体" w:hAnsi="宋体" w:eastAsia="宋体" w:cs="宋体"/>
          <w:color w:val="000000"/>
          <w:sz w:val="21"/>
          <w:szCs w:val="21"/>
          <w:highlight w:val="none"/>
        </w:rPr>
        <w:t>规定条款和乙方</w:t>
      </w:r>
      <w:r>
        <w:rPr>
          <w:rFonts w:hint="eastAsia" w:hAnsi="宋体" w:cs="宋体"/>
          <w:color w:val="000000"/>
          <w:sz w:val="21"/>
          <w:szCs w:val="21"/>
          <w:highlight w:val="none"/>
          <w:lang w:val="en-US" w:eastAsia="zh-CN"/>
        </w:rPr>
        <w:t>投标</w:t>
      </w:r>
      <w:r>
        <w:rPr>
          <w:rFonts w:hint="eastAsia" w:hAnsi="宋体" w:cs="宋体"/>
          <w:color w:val="000000"/>
          <w:sz w:val="21"/>
          <w:szCs w:val="21"/>
          <w:highlight w:val="none"/>
          <w:lang w:eastAsia="zh-CN"/>
        </w:rPr>
        <w:t>文件</w:t>
      </w:r>
      <w:r>
        <w:rPr>
          <w:rFonts w:hint="eastAsia" w:ascii="宋体" w:hAnsi="宋体" w:eastAsia="宋体" w:cs="宋体"/>
          <w:color w:val="000000"/>
          <w:sz w:val="21"/>
          <w:szCs w:val="21"/>
          <w:highlight w:val="none"/>
        </w:rPr>
        <w:t>承诺，甲乙双方签订本合同。</w:t>
      </w:r>
    </w:p>
    <w:p w14:paraId="6C131D80">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第一条　合同标的</w:t>
      </w:r>
    </w:p>
    <w:tbl>
      <w:tblPr>
        <w:tblStyle w:val="55"/>
        <w:tblW w:w="97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231"/>
        <w:gridCol w:w="1387"/>
        <w:gridCol w:w="774"/>
        <w:gridCol w:w="1016"/>
        <w:gridCol w:w="1035"/>
        <w:gridCol w:w="795"/>
        <w:gridCol w:w="735"/>
        <w:gridCol w:w="1155"/>
        <w:gridCol w:w="1110"/>
      </w:tblGrid>
      <w:tr w14:paraId="643A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97" w:type="dxa"/>
            <w:noWrap w:val="0"/>
            <w:vAlign w:val="center"/>
          </w:tcPr>
          <w:p w14:paraId="66B6D32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231" w:type="dxa"/>
            <w:noWrap w:val="0"/>
            <w:vAlign w:val="center"/>
          </w:tcPr>
          <w:p w14:paraId="04DBCE91">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eastAsia="zh-CN" w:bidi="ar"/>
              </w:rPr>
              <w:t>标的名称</w:t>
            </w:r>
          </w:p>
        </w:tc>
        <w:tc>
          <w:tcPr>
            <w:tcW w:w="1387" w:type="dxa"/>
            <w:noWrap w:val="0"/>
            <w:vAlign w:val="center"/>
          </w:tcPr>
          <w:p w14:paraId="5FC1835E">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eastAsia="zh-CN" w:bidi="ar"/>
              </w:rPr>
              <w:t>产品名称</w:t>
            </w:r>
          </w:p>
        </w:tc>
        <w:tc>
          <w:tcPr>
            <w:tcW w:w="774" w:type="dxa"/>
            <w:noWrap w:val="0"/>
            <w:vAlign w:val="center"/>
          </w:tcPr>
          <w:p w14:paraId="4CA01211">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商标品牌</w:t>
            </w:r>
          </w:p>
        </w:tc>
        <w:tc>
          <w:tcPr>
            <w:tcW w:w="1016" w:type="dxa"/>
            <w:noWrap w:val="0"/>
            <w:vAlign w:val="center"/>
          </w:tcPr>
          <w:p w14:paraId="7D21A1F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规格型号</w:t>
            </w:r>
          </w:p>
        </w:tc>
        <w:tc>
          <w:tcPr>
            <w:tcW w:w="1035" w:type="dxa"/>
            <w:noWrap w:val="0"/>
            <w:vAlign w:val="center"/>
          </w:tcPr>
          <w:p w14:paraId="2E2E1268">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生产厂家</w:t>
            </w:r>
          </w:p>
        </w:tc>
        <w:tc>
          <w:tcPr>
            <w:tcW w:w="795" w:type="dxa"/>
            <w:noWrap w:val="0"/>
            <w:vAlign w:val="center"/>
          </w:tcPr>
          <w:p w14:paraId="23E8701A">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w:t>
            </w:r>
          </w:p>
        </w:tc>
        <w:tc>
          <w:tcPr>
            <w:tcW w:w="735" w:type="dxa"/>
            <w:noWrap w:val="0"/>
            <w:vAlign w:val="center"/>
          </w:tcPr>
          <w:p w14:paraId="53F1B373">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w:t>
            </w:r>
          </w:p>
        </w:tc>
        <w:tc>
          <w:tcPr>
            <w:tcW w:w="1155" w:type="dxa"/>
            <w:noWrap w:val="0"/>
            <w:vAlign w:val="center"/>
          </w:tcPr>
          <w:p w14:paraId="4B5A06D8">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单价(元)</w:t>
            </w:r>
          </w:p>
        </w:tc>
        <w:tc>
          <w:tcPr>
            <w:tcW w:w="1110" w:type="dxa"/>
            <w:noWrap w:val="0"/>
            <w:vAlign w:val="center"/>
          </w:tcPr>
          <w:p w14:paraId="1FBDA2EC">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金额(元)</w:t>
            </w:r>
          </w:p>
        </w:tc>
      </w:tr>
      <w:tr w14:paraId="22DA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97" w:type="dxa"/>
            <w:noWrap w:val="0"/>
            <w:vAlign w:val="center"/>
          </w:tcPr>
          <w:p w14:paraId="1724D0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w:t>
            </w:r>
          </w:p>
        </w:tc>
        <w:tc>
          <w:tcPr>
            <w:tcW w:w="1231" w:type="dxa"/>
            <w:noWrap w:val="0"/>
            <w:vAlign w:val="center"/>
          </w:tcPr>
          <w:p w14:paraId="62F53B6E">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lang w:eastAsia="zh-CN" w:bidi="ar"/>
              </w:rPr>
            </w:pPr>
          </w:p>
        </w:tc>
        <w:tc>
          <w:tcPr>
            <w:tcW w:w="1387" w:type="dxa"/>
            <w:noWrap w:val="0"/>
            <w:vAlign w:val="center"/>
          </w:tcPr>
          <w:p w14:paraId="0F525D30">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c>
          <w:tcPr>
            <w:tcW w:w="774" w:type="dxa"/>
            <w:noWrap w:val="0"/>
            <w:vAlign w:val="center"/>
          </w:tcPr>
          <w:p w14:paraId="35AEEDF1">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c>
          <w:tcPr>
            <w:tcW w:w="1016" w:type="dxa"/>
            <w:noWrap w:val="0"/>
            <w:vAlign w:val="center"/>
          </w:tcPr>
          <w:p w14:paraId="6F4DA170">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lang w:bidi="ar"/>
              </w:rPr>
            </w:pPr>
          </w:p>
        </w:tc>
        <w:tc>
          <w:tcPr>
            <w:tcW w:w="1035" w:type="dxa"/>
            <w:noWrap w:val="0"/>
            <w:vAlign w:val="center"/>
          </w:tcPr>
          <w:p w14:paraId="6699DB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rPr>
            </w:pPr>
          </w:p>
        </w:tc>
        <w:tc>
          <w:tcPr>
            <w:tcW w:w="795" w:type="dxa"/>
            <w:noWrap w:val="0"/>
            <w:vAlign w:val="center"/>
          </w:tcPr>
          <w:p w14:paraId="4952CA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rPr>
            </w:pPr>
          </w:p>
        </w:tc>
        <w:tc>
          <w:tcPr>
            <w:tcW w:w="735" w:type="dxa"/>
            <w:noWrap w:val="0"/>
            <w:vAlign w:val="center"/>
          </w:tcPr>
          <w:p w14:paraId="0C3CD9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rPr>
            </w:pPr>
          </w:p>
        </w:tc>
        <w:tc>
          <w:tcPr>
            <w:tcW w:w="1155" w:type="dxa"/>
            <w:noWrap w:val="0"/>
            <w:vAlign w:val="center"/>
          </w:tcPr>
          <w:p w14:paraId="0CEF2F9A">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c>
          <w:tcPr>
            <w:tcW w:w="1110" w:type="dxa"/>
            <w:noWrap w:val="0"/>
            <w:vAlign w:val="center"/>
          </w:tcPr>
          <w:p w14:paraId="029014CC">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r>
      <w:tr w14:paraId="78D4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735" w:type="dxa"/>
            <w:gridSpan w:val="10"/>
            <w:noWrap w:val="0"/>
            <w:vAlign w:val="center"/>
          </w:tcPr>
          <w:p w14:paraId="00C4D047">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人民币合计金额(大写)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(小写)¥：</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lang w:val="en-US" w:eastAsia="zh-CN"/>
              </w:rPr>
              <w:t>元</w:t>
            </w:r>
          </w:p>
        </w:tc>
      </w:tr>
    </w:tbl>
    <w:p w14:paraId="63F961CA">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22" w:firstLineChars="200"/>
        <w:textAlignment w:val="auto"/>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第二条　标的质量</w:t>
      </w:r>
    </w:p>
    <w:p w14:paraId="50349686">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1.乙方所提供标的的名称、商标品牌、生产厂家、规格型号、技术参数等内容必须与乙方</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及有关承诺相一致，且满足项目实施要求。</w:t>
      </w:r>
    </w:p>
    <w:p w14:paraId="56A0CB07">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2.乙方所提供的货物必须是全新、未使用的原装产品，且在正常安装、使用和保养条件下，其使用寿命期内各项指标均达到</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的承诺。</w:t>
      </w:r>
    </w:p>
    <w:p w14:paraId="24D5B9F9">
      <w:pPr>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3.乙方在交付产品后，甲方在任何时间如发现乙方所交付的产品不符合甲方</w:t>
      </w:r>
      <w:r>
        <w:rPr>
          <w:rFonts w:hint="eastAsia" w:ascii="宋体" w:hAnsi="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en-US" w:eastAsia="zh-CN"/>
        </w:rPr>
        <w:t>要求或乙方在</w:t>
      </w:r>
      <w:r>
        <w:rPr>
          <w:rFonts w:hint="eastAsia" w:ascii="宋体" w:hAnsi="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en-US" w:eastAsia="zh-CN"/>
        </w:rPr>
        <w:t>中的承诺，乙方应当提供相关证明材料或鉴定报告予以作证，乙方无法证明其交付的产品符合</w:t>
      </w:r>
      <w:r>
        <w:rPr>
          <w:rFonts w:hint="eastAsia" w:ascii="宋体" w:hAnsi="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en-US" w:eastAsia="zh-CN"/>
        </w:rPr>
        <w:t>或</w:t>
      </w:r>
      <w:r>
        <w:rPr>
          <w:rFonts w:hint="eastAsia" w:ascii="宋体" w:hAnsi="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en-US" w:eastAsia="zh-CN"/>
        </w:rPr>
        <w:t>的，按质量不合格处理。</w:t>
      </w:r>
    </w:p>
    <w:p w14:paraId="3A50D690">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第三条　</w:t>
      </w:r>
      <w:r>
        <w:rPr>
          <w:rFonts w:hint="eastAsia" w:ascii="宋体" w:hAnsi="宋体" w:eastAsia="宋体" w:cs="宋体"/>
          <w:color w:val="000000"/>
          <w:sz w:val="21"/>
          <w:szCs w:val="21"/>
          <w:highlight w:val="none"/>
        </w:rPr>
        <w:t>履行时间（期限）、地点和方式</w:t>
      </w:r>
    </w:p>
    <w:p w14:paraId="5115753B">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1.履行时间（期限）：</w:t>
      </w:r>
      <w:r>
        <w:rPr>
          <w:rFonts w:hint="eastAsia" w:ascii="Times New Roman" w:hAnsi="Times New Roman" w:cs="宋体"/>
          <w:color w:val="000000"/>
          <w:szCs w:val="21"/>
          <w:highlight w:val="none"/>
        </w:rPr>
        <w:t>自签订合同之日起</w:t>
      </w:r>
      <w:r>
        <w:rPr>
          <w:rFonts w:hint="eastAsia" w:ascii="Times New Roman" w:hAnsi="Times New Roman" w:cs="宋体"/>
          <w:color w:val="000000"/>
          <w:szCs w:val="21"/>
          <w:highlight w:val="none"/>
          <w:lang w:val="en-US" w:eastAsia="zh-CN"/>
        </w:rPr>
        <w:t>9</w:t>
      </w:r>
      <w:r>
        <w:rPr>
          <w:rFonts w:hint="eastAsia" w:ascii="Times New Roman" w:hAnsi="Times New Roman" w:cs="宋体"/>
          <w:color w:val="000000"/>
          <w:szCs w:val="21"/>
          <w:highlight w:val="none"/>
        </w:rPr>
        <w:t>0个日历日内完成安装及调试工作</w:t>
      </w:r>
      <w:r>
        <w:rPr>
          <w:rFonts w:hint="eastAsia" w:ascii="宋体" w:hAnsi="宋体" w:eastAsia="宋体" w:cs="宋体"/>
          <w:color w:val="000000"/>
          <w:sz w:val="21"/>
          <w:szCs w:val="21"/>
          <w:highlight w:val="none"/>
        </w:rPr>
        <w:t>并交付使用。</w:t>
      </w:r>
    </w:p>
    <w:p w14:paraId="11EB1BBB">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2.履行地点：广西桂林市内甲方指定地点。</w:t>
      </w:r>
    </w:p>
    <w:p w14:paraId="59F6B8CE">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3.履行方式:</w:t>
      </w:r>
    </w:p>
    <w:p w14:paraId="544AD318">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（1）乙方负责货物运输，货物的运输方式：</w:t>
      </w:r>
      <w:r>
        <w:rPr>
          <w:rFonts w:hint="eastAsia" w:ascii="宋体" w:hAnsi="宋体" w:eastAsia="宋体" w:cs="宋体"/>
          <w:color w:val="000000"/>
          <w:sz w:val="21"/>
          <w:szCs w:val="21"/>
          <w:highlight w:val="none"/>
          <w:u w:val="single"/>
        </w:rPr>
        <w:t xml:space="preserve">  不限  </w:t>
      </w:r>
      <w:r>
        <w:rPr>
          <w:rFonts w:hint="eastAsia" w:ascii="宋体" w:hAnsi="宋体" w:eastAsia="宋体" w:cs="宋体"/>
          <w:color w:val="000000"/>
          <w:sz w:val="21"/>
          <w:szCs w:val="21"/>
          <w:highlight w:val="none"/>
        </w:rPr>
        <w:t>。</w:t>
      </w:r>
    </w:p>
    <w:p w14:paraId="618B62E2">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（2）交货方式：</w:t>
      </w:r>
    </w:p>
    <w:p w14:paraId="67611522">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☑乙方将货物送到甲方指定地点。</w:t>
      </w:r>
    </w:p>
    <w:p w14:paraId="5A4CA375">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□甲方自行到乙方指定地点提货。</w:t>
      </w:r>
    </w:p>
    <w:p w14:paraId="7225AAD6">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p>
    <w:p w14:paraId="46ED6E8C">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（3）卸货费用由乙方承担。</w:t>
      </w:r>
    </w:p>
    <w:p w14:paraId="24AA4EE2">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第四条　包装方式及运输</w:t>
      </w:r>
    </w:p>
    <w:p w14:paraId="0063A77B">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1.乙方提供的货物均应按</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承诺的包装要求进行包装及运输,要求为原厂原包装，包装完好完整、无破损、未开封。国家对包装及运输有相关强制性标准或要求的，乙方应当执行。</w:t>
      </w:r>
    </w:p>
    <w:p w14:paraId="3BBC1C1F">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2.乙方的包装及运输应综合考虑运输距离、防水、防潮、防震、防锈和防破损装卸等要求，以保证货物安全、完好运达甲方指定地点。国家对包装及运输有相关强制性标准或要求的，乙方应当执行。</w:t>
      </w:r>
    </w:p>
    <w:p w14:paraId="3DE196EC">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3.货物的使用说明书（货物属于进口产品的，供货时应同时附上中文使用说明书）、质量检验证明书、质量合格证、随配附件和工具以及清单一并附于货物包装内。</w:t>
      </w:r>
    </w:p>
    <w:p w14:paraId="370E025C">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4.产品（含包装）运抵甲方指定交付地点并经甲方验收合格前发生损坏及相关风险由乙方自行承担。</w:t>
      </w:r>
    </w:p>
    <w:p w14:paraId="4C9A9AA9">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5.乙方负责货物运输，货物运输合理损耗及计算方法：由乙方负责 。</w:t>
      </w:r>
    </w:p>
    <w:p w14:paraId="06FF9BE2">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6.乙方在货物发运手续办理完毕后二十四小时内或货到甲方四十八小时前通知甲方，以准备接货。</w:t>
      </w:r>
    </w:p>
    <w:p w14:paraId="02589402">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7.乙方应将所提供货物的装箱清单、用户手册、原厂保修卡、随机资料、工具和备品、备件等一并交付给甲方，如有缺失应及时补齐，否则视为逾期交货。</w:t>
      </w:r>
    </w:p>
    <w:p w14:paraId="24AED6D3">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第五条　安装和培训</w:t>
      </w:r>
    </w:p>
    <w:p w14:paraId="1C0F9644">
      <w:pPr>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1.安装时间及地点：甲方指定的时间和地点。</w:t>
      </w:r>
    </w:p>
    <w:p w14:paraId="277A1E60">
      <w:pPr>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2.安装要求：乙方应当按设备要求或甲方要求进行安装。</w:t>
      </w:r>
    </w:p>
    <w:p w14:paraId="1E04E14C">
      <w:pPr>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3.甲方应提供必要安装条件（如场地、电源、水源等）。</w:t>
      </w:r>
    </w:p>
    <w:p w14:paraId="2C9FA008">
      <w:pPr>
        <w:pStyle w:val="21"/>
        <w:spacing w:after="0"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4.乙方应当按照</w:t>
      </w:r>
      <w:r>
        <w:rPr>
          <w:rFonts w:hint="eastAsia" w:ascii="宋体" w:hAnsi="宋体" w:cs="宋体"/>
          <w:color w:val="000000"/>
          <w:kern w:val="2"/>
          <w:sz w:val="21"/>
          <w:szCs w:val="21"/>
          <w:highlight w:val="none"/>
          <w:lang w:val="en-US" w:eastAsia="zh-CN" w:bidi="ar-SA"/>
        </w:rPr>
        <w:t>投标文件</w:t>
      </w:r>
      <w:r>
        <w:rPr>
          <w:rFonts w:hint="eastAsia" w:ascii="宋体" w:hAnsi="宋体" w:eastAsia="宋体" w:cs="宋体"/>
          <w:color w:val="000000"/>
          <w:kern w:val="2"/>
          <w:sz w:val="21"/>
          <w:szCs w:val="21"/>
          <w:highlight w:val="none"/>
          <w:lang w:val="en-US" w:eastAsia="zh-CN" w:bidi="ar-SA"/>
        </w:rPr>
        <w:t>的承诺负责对甲方有关人员进行培训，使甲方使用人员熟练掌握设备的全部功能，培训的相关费用包括在合同价款中，甲方不再另行支付。培训时间：货物安装调试合格完毕并交付使用后的</w:t>
      </w:r>
      <w:r>
        <w:rPr>
          <w:rFonts w:hint="eastAsia" w:ascii="宋体" w:hAnsi="宋体" w:eastAsia="宋体" w:cs="宋体"/>
          <w:color w:val="000000"/>
          <w:kern w:val="2"/>
          <w:sz w:val="21"/>
          <w:szCs w:val="21"/>
          <w:highlight w:val="none"/>
          <w:u w:val="single"/>
          <w:lang w:val="en-US" w:eastAsia="zh-CN" w:bidi="ar-SA"/>
        </w:rPr>
        <w:t>1</w:t>
      </w:r>
      <w:r>
        <w:rPr>
          <w:rFonts w:hint="eastAsia" w:ascii="宋体" w:hAnsi="宋体" w:eastAsia="宋体" w:cs="宋体"/>
          <w:color w:val="000000"/>
          <w:kern w:val="2"/>
          <w:sz w:val="21"/>
          <w:szCs w:val="21"/>
          <w:highlight w:val="none"/>
          <w:lang w:val="en-US" w:eastAsia="zh-CN" w:bidi="ar-SA"/>
        </w:rPr>
        <w:t>天内，具体时间由甲方指定；培训地点：广西桂林市内采购人指定地点。</w:t>
      </w:r>
    </w:p>
    <w:p w14:paraId="045D1AC0">
      <w:pPr>
        <w:pStyle w:val="21"/>
        <w:spacing w:after="0"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乙方在安装、调试以及培训期间，应采取严格安全保障措施，承担安全保障义务，安装调试以及培训期间发生的人身或财产损害事件，一切责任与法律后果均由乙方自行承担，给甲方造成损失的，乙方应当予以全部赔偿。</w:t>
      </w:r>
    </w:p>
    <w:p w14:paraId="6EAA7103">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第六条　合同价款及支付</w:t>
      </w:r>
    </w:p>
    <w:p w14:paraId="156137F4">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1.本合同以人民币付款。</w:t>
      </w:r>
    </w:p>
    <w:p w14:paraId="7D85A686">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.合同价款 (人民币):（大写）：</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（小写） ¥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p>
    <w:p w14:paraId="3C812828">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3.资金性质：</w:t>
      </w:r>
      <w:r>
        <w:rPr>
          <w:rFonts w:hint="eastAsia" w:ascii="宋体" w:hAnsi="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w:t>
      </w:r>
    </w:p>
    <w:p w14:paraId="61575608">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4.合同价款是履行合同的最终价格，包括所提供的货物（包括备品备件、专用工具等）的价格，</w:t>
      </w:r>
      <w:r>
        <w:rPr>
          <w:rFonts w:hint="eastAsia" w:ascii="宋体" w:hAnsi="宋体" w:eastAsia="宋体" w:cs="宋体"/>
          <w:color w:val="000000"/>
          <w:sz w:val="21"/>
          <w:szCs w:val="21"/>
          <w:highlight w:val="none"/>
          <w:lang w:val="en-US" w:eastAsia="zh-CN"/>
        </w:rPr>
        <w:t>以及</w:t>
      </w:r>
      <w:r>
        <w:rPr>
          <w:rFonts w:hint="eastAsia" w:ascii="宋体" w:hAnsi="宋体" w:eastAsia="宋体" w:cs="宋体"/>
          <w:color w:val="000000"/>
          <w:sz w:val="21"/>
          <w:szCs w:val="21"/>
          <w:highlight w:val="none"/>
        </w:rPr>
        <w:t>投标货物包装、运输、装卸、送货上门、安装、调试、检验、售后服务、技术服务、培训、保险、税金、代理费</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rPr>
        <w:t>要求提供的所有伴随服务、工程等费用和税费。</w:t>
      </w:r>
    </w:p>
    <w:p w14:paraId="78151EE6">
      <w:pPr>
        <w:numPr>
          <w:ilvl w:val="0"/>
          <w:numId w:val="0"/>
        </w:num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lang w:val="en-US" w:eastAsia="zh-CN"/>
        </w:rPr>
        <w:t>5</w:t>
      </w:r>
      <w:r>
        <w:rPr>
          <w:rFonts w:hint="eastAsia" w:ascii="宋体" w:hAnsi="宋体" w:eastAsia="宋体" w:cs="宋体"/>
          <w:bCs/>
          <w:color w:val="000000"/>
          <w:sz w:val="21"/>
          <w:szCs w:val="21"/>
          <w:highlight w:val="none"/>
        </w:rPr>
        <w:t>.</w:t>
      </w:r>
      <w:r>
        <w:rPr>
          <w:rFonts w:hint="eastAsia" w:ascii="宋体" w:hAnsi="宋体" w:eastAsia="宋体" w:cs="宋体"/>
          <w:bCs/>
          <w:color w:val="000000"/>
          <w:sz w:val="21"/>
          <w:szCs w:val="21"/>
          <w:highlight w:val="none"/>
          <w:lang w:val="en-US" w:eastAsia="zh-CN"/>
        </w:rPr>
        <w:t xml:space="preserve"> </w:t>
      </w:r>
      <w:r>
        <w:rPr>
          <w:rFonts w:hint="eastAsia" w:ascii="宋体" w:hAnsi="宋体" w:eastAsia="宋体" w:cs="宋体"/>
          <w:color w:val="000000"/>
          <w:sz w:val="21"/>
          <w:szCs w:val="21"/>
          <w:highlight w:val="none"/>
        </w:rPr>
        <w:t>付款进度安排:</w:t>
      </w:r>
    </w:p>
    <w:p w14:paraId="2A380D5E">
      <w:pPr>
        <w:numPr>
          <w:ilvl w:val="0"/>
          <w:numId w:val="0"/>
        </w:numPr>
        <w:adjustRightInd w:val="0"/>
        <w:snapToGrid w:val="0"/>
        <w:spacing w:line="360" w:lineRule="auto"/>
        <w:ind w:firstLine="420" w:firstLineChars="200"/>
        <w:rPr>
          <w:rFonts w:hint="eastAsia" w:ascii="Times New Roman" w:hAnsi="Times New Roman" w:cs="宋体"/>
          <w:color w:val="000000"/>
          <w:szCs w:val="21"/>
          <w:highlight w:val="none"/>
        </w:rPr>
      </w:pPr>
      <w:r>
        <w:rPr>
          <w:rFonts w:hint="eastAsia" w:ascii="Times New Roman" w:hAnsi="Times New Roman" w:eastAsia="宋体" w:cs="宋体"/>
          <w:color w:val="000000"/>
          <w:szCs w:val="21"/>
          <w:highlight w:val="none"/>
          <w:lang w:eastAsia="zh-CN"/>
        </w:rPr>
        <w:t>（</w:t>
      </w:r>
      <w:r>
        <w:rPr>
          <w:rFonts w:hint="eastAsia" w:ascii="Times New Roman" w:hAnsi="Times New Roman" w:eastAsia="宋体" w:cs="宋体"/>
          <w:color w:val="000000"/>
          <w:szCs w:val="21"/>
          <w:highlight w:val="none"/>
          <w:lang w:val="en-US" w:eastAsia="zh-CN"/>
        </w:rPr>
        <w:t>1</w:t>
      </w:r>
      <w:r>
        <w:rPr>
          <w:rFonts w:hint="eastAsia" w:ascii="Times New Roman" w:hAnsi="Times New Roman" w:eastAsia="宋体" w:cs="宋体"/>
          <w:color w:val="000000"/>
          <w:szCs w:val="21"/>
          <w:highlight w:val="none"/>
          <w:lang w:eastAsia="zh-CN"/>
        </w:rPr>
        <w:t>）</w:t>
      </w:r>
      <w:r>
        <w:rPr>
          <w:rFonts w:hint="eastAsia" w:ascii="Times New Roman" w:hAnsi="Times New Roman" w:cs="宋体"/>
          <w:color w:val="000000"/>
          <w:szCs w:val="21"/>
          <w:highlight w:val="none"/>
        </w:rPr>
        <w:t>签订合同后30个工作日内，支付合同价款的30%，设备安装验收合格正常使用后30个工作日内，支付合同价款的70%。</w:t>
      </w:r>
      <w:r>
        <w:rPr>
          <w:rFonts w:hint="eastAsia" w:ascii="Times New Roman" w:hAnsi="Times New Roman" w:cs="宋体"/>
          <w:color w:val="000000"/>
          <w:szCs w:val="21"/>
          <w:highlight w:val="none"/>
          <w:lang w:val="en-US" w:eastAsia="zh-CN"/>
        </w:rPr>
        <w:t>乙方</w:t>
      </w:r>
      <w:r>
        <w:rPr>
          <w:rFonts w:hint="eastAsia" w:ascii="Times New Roman" w:hAnsi="Times New Roman" w:cs="宋体"/>
          <w:color w:val="000000"/>
          <w:szCs w:val="21"/>
          <w:highlight w:val="none"/>
        </w:rPr>
        <w:t>须在设备验收合格后及时向</w:t>
      </w:r>
      <w:r>
        <w:rPr>
          <w:rFonts w:hint="eastAsia" w:ascii="Times New Roman" w:hAnsi="Times New Roman" w:cs="宋体"/>
          <w:color w:val="000000"/>
          <w:szCs w:val="21"/>
          <w:highlight w:val="none"/>
          <w:lang w:val="en-US" w:eastAsia="zh-CN"/>
        </w:rPr>
        <w:t>甲方</w:t>
      </w:r>
      <w:r>
        <w:rPr>
          <w:rFonts w:hint="eastAsia" w:ascii="Times New Roman" w:hAnsi="Times New Roman" w:cs="宋体"/>
          <w:color w:val="000000"/>
          <w:szCs w:val="21"/>
          <w:highlight w:val="none"/>
        </w:rPr>
        <w:t>提供符合国家规定及</w:t>
      </w:r>
      <w:r>
        <w:rPr>
          <w:rFonts w:hint="eastAsia" w:ascii="Times New Roman" w:hAnsi="Times New Roman" w:cs="宋体"/>
          <w:color w:val="000000"/>
          <w:szCs w:val="21"/>
          <w:highlight w:val="none"/>
          <w:lang w:val="en-US" w:eastAsia="zh-CN"/>
        </w:rPr>
        <w:t>甲方</w:t>
      </w:r>
      <w:r>
        <w:rPr>
          <w:rFonts w:hint="eastAsia" w:ascii="Times New Roman" w:hAnsi="Times New Roman" w:cs="宋体"/>
          <w:color w:val="000000"/>
          <w:szCs w:val="21"/>
          <w:highlight w:val="none"/>
        </w:rPr>
        <w:t>要求的全额有效的税务发票，</w:t>
      </w:r>
      <w:r>
        <w:rPr>
          <w:rFonts w:hint="eastAsia" w:ascii="Times New Roman" w:hAnsi="Times New Roman" w:cs="宋体"/>
          <w:color w:val="000000"/>
          <w:szCs w:val="21"/>
          <w:highlight w:val="none"/>
          <w:lang w:val="en-US" w:eastAsia="zh-CN"/>
        </w:rPr>
        <w:t>甲方</w:t>
      </w:r>
      <w:r>
        <w:rPr>
          <w:rFonts w:hint="eastAsia" w:ascii="Times New Roman" w:hAnsi="Times New Roman" w:cs="宋体"/>
          <w:color w:val="000000"/>
          <w:szCs w:val="21"/>
          <w:highlight w:val="none"/>
        </w:rPr>
        <w:t>未收到发票的，有权不予支付相应款项直至</w:t>
      </w:r>
      <w:r>
        <w:rPr>
          <w:rFonts w:hint="eastAsia" w:ascii="Times New Roman" w:hAnsi="Times New Roman" w:cs="宋体"/>
          <w:color w:val="000000"/>
          <w:szCs w:val="21"/>
          <w:highlight w:val="none"/>
          <w:lang w:val="en-US" w:eastAsia="zh-CN"/>
        </w:rPr>
        <w:t>乙方</w:t>
      </w:r>
      <w:r>
        <w:rPr>
          <w:rFonts w:hint="eastAsia" w:ascii="Times New Roman" w:hAnsi="Times New Roman" w:cs="宋体"/>
          <w:color w:val="000000"/>
          <w:szCs w:val="21"/>
          <w:highlight w:val="none"/>
        </w:rPr>
        <w:t>提供合格发票，并不承担延迟付款责任。发票认证通过是付款的必要前提之一。</w:t>
      </w:r>
    </w:p>
    <w:p w14:paraId="3C5077B7">
      <w:pPr>
        <w:numPr>
          <w:ilvl w:val="0"/>
          <w:numId w:val="0"/>
        </w:num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Times New Roman" w:hAnsi="Times New Roman" w:eastAsia="宋体" w:cs="宋体"/>
          <w:color w:val="000000"/>
          <w:szCs w:val="21"/>
          <w:highlight w:val="none"/>
          <w:lang w:eastAsia="zh-CN"/>
        </w:rPr>
        <w:t>（</w:t>
      </w:r>
      <w:r>
        <w:rPr>
          <w:rFonts w:hint="eastAsia" w:ascii="Times New Roman" w:hAnsi="Times New Roman" w:eastAsia="宋体" w:cs="宋体"/>
          <w:color w:val="000000"/>
          <w:szCs w:val="21"/>
          <w:highlight w:val="none"/>
          <w:lang w:val="en-US" w:eastAsia="zh-CN"/>
        </w:rPr>
        <w:t>2</w:t>
      </w:r>
      <w:r>
        <w:rPr>
          <w:rFonts w:hint="eastAsia" w:ascii="Times New Roman" w:hAnsi="Times New Roman" w:eastAsia="宋体" w:cs="宋体"/>
          <w:color w:val="000000"/>
          <w:szCs w:val="21"/>
          <w:highlight w:val="none"/>
          <w:lang w:eastAsia="zh-CN"/>
        </w:rPr>
        <w:t>）</w:t>
      </w:r>
      <w:r>
        <w:rPr>
          <w:rFonts w:hint="eastAsia" w:ascii="宋体" w:hAnsi="宋体" w:eastAsia="宋体" w:cs="宋体"/>
          <w:color w:val="000000"/>
          <w:sz w:val="21"/>
          <w:szCs w:val="21"/>
          <w:highlight w:val="none"/>
        </w:rPr>
        <w:t>本合同执行中相关的一切税费均由乙方</w:t>
      </w:r>
      <w:r>
        <w:rPr>
          <w:rFonts w:hint="eastAsia" w:ascii="宋体" w:hAnsi="宋体" w:eastAsia="宋体" w:cs="宋体"/>
          <w:color w:val="000000"/>
          <w:sz w:val="21"/>
          <w:szCs w:val="21"/>
          <w:highlight w:val="none"/>
          <w:lang w:val="en-US" w:eastAsia="zh-CN"/>
        </w:rPr>
        <w:t>负担。</w:t>
      </w:r>
    </w:p>
    <w:p w14:paraId="03A78489">
      <w:pPr>
        <w:numPr>
          <w:ilvl w:val="0"/>
          <w:numId w:val="0"/>
        </w:numPr>
        <w:adjustRightInd w:val="0"/>
        <w:snapToGrid w:val="0"/>
        <w:spacing w:line="360" w:lineRule="auto"/>
        <w:ind w:firstLine="420" w:firstLineChars="200"/>
        <w:rPr>
          <w:rFonts w:hint="eastAsia"/>
          <w:lang w:val="en-US" w:eastAsia="zh-CN"/>
        </w:rPr>
      </w:pPr>
      <w:r>
        <w:rPr>
          <w:rFonts w:hint="eastAsia" w:ascii="Times New Roman" w:hAnsi="Times New Roman" w:eastAsia="宋体" w:cs="宋体"/>
          <w:color w:val="000000"/>
          <w:szCs w:val="21"/>
          <w:highlight w:val="none"/>
          <w:lang w:eastAsia="zh-CN"/>
        </w:rPr>
        <w:t>（</w:t>
      </w:r>
      <w:r>
        <w:rPr>
          <w:rFonts w:hint="eastAsia" w:ascii="Times New Roman" w:hAnsi="Times New Roman" w:eastAsia="宋体" w:cs="宋体"/>
          <w:color w:val="000000"/>
          <w:szCs w:val="21"/>
          <w:highlight w:val="none"/>
          <w:lang w:val="en-US" w:eastAsia="zh-CN"/>
        </w:rPr>
        <w:t>3</w:t>
      </w:r>
      <w:r>
        <w:rPr>
          <w:rFonts w:hint="eastAsia" w:ascii="Times New Roman" w:hAnsi="Times New Roman" w:eastAsia="宋体" w:cs="宋体"/>
          <w:color w:val="000000"/>
          <w:szCs w:val="21"/>
          <w:highlight w:val="none"/>
          <w:lang w:eastAsia="zh-CN"/>
        </w:rPr>
        <w:t>）</w:t>
      </w:r>
      <w:r>
        <w:rPr>
          <w:rFonts w:hint="eastAsia" w:ascii="Times New Roman" w:hAnsi="Times New Roman" w:cs="宋体"/>
          <w:color w:val="000000"/>
          <w:szCs w:val="21"/>
          <w:highlight w:val="none"/>
        </w:rPr>
        <w:t>票据要求：</w:t>
      </w:r>
      <w:r>
        <w:rPr>
          <w:rFonts w:hint="eastAsia" w:cs="宋体"/>
          <w:color w:val="000000"/>
          <w:szCs w:val="21"/>
          <w:highlight w:val="none"/>
          <w:lang w:val="en-US" w:eastAsia="zh-CN"/>
        </w:rPr>
        <w:t>乙方</w:t>
      </w:r>
      <w:r>
        <w:rPr>
          <w:rFonts w:hint="eastAsia" w:ascii="Times New Roman" w:hAnsi="Times New Roman" w:cs="宋体"/>
          <w:color w:val="000000"/>
          <w:szCs w:val="21"/>
          <w:highlight w:val="none"/>
        </w:rPr>
        <w:t>必须按照采购人要求提供真实、有效、合法的正式发票。一旦发现</w:t>
      </w:r>
      <w:r>
        <w:rPr>
          <w:rFonts w:hint="eastAsia" w:cs="宋体"/>
          <w:color w:val="000000"/>
          <w:szCs w:val="21"/>
          <w:highlight w:val="none"/>
          <w:lang w:val="en-US" w:eastAsia="zh-CN"/>
        </w:rPr>
        <w:t>乙方</w:t>
      </w:r>
      <w:r>
        <w:rPr>
          <w:rFonts w:hint="eastAsia" w:ascii="Times New Roman" w:hAnsi="Times New Roman" w:cs="宋体"/>
          <w:color w:val="000000"/>
          <w:szCs w:val="21"/>
          <w:highlight w:val="none"/>
        </w:rPr>
        <w:t>提供虚假发票，除须向</w:t>
      </w:r>
      <w:r>
        <w:rPr>
          <w:rFonts w:hint="eastAsia" w:ascii="Times New Roman" w:hAnsi="Times New Roman" w:cs="宋体"/>
          <w:color w:val="000000"/>
          <w:szCs w:val="21"/>
          <w:highlight w:val="none"/>
          <w:lang w:val="en-US" w:eastAsia="zh-CN"/>
        </w:rPr>
        <w:t>甲方</w:t>
      </w:r>
      <w:r>
        <w:rPr>
          <w:rFonts w:hint="eastAsia" w:ascii="Times New Roman" w:hAnsi="Times New Roman" w:cs="宋体"/>
          <w:color w:val="000000"/>
          <w:szCs w:val="21"/>
          <w:highlight w:val="none"/>
        </w:rPr>
        <w:t>补开合法发票外，须赔偿</w:t>
      </w:r>
      <w:r>
        <w:rPr>
          <w:rFonts w:hint="eastAsia" w:ascii="Times New Roman" w:hAnsi="Times New Roman" w:cs="宋体"/>
          <w:color w:val="000000"/>
          <w:szCs w:val="21"/>
          <w:highlight w:val="none"/>
          <w:lang w:val="en-US" w:eastAsia="zh-CN"/>
        </w:rPr>
        <w:t>甲方</w:t>
      </w:r>
      <w:r>
        <w:rPr>
          <w:rFonts w:hint="eastAsia" w:ascii="Times New Roman" w:hAnsi="Times New Roman" w:cs="宋体"/>
          <w:color w:val="000000"/>
          <w:szCs w:val="21"/>
          <w:highlight w:val="none"/>
        </w:rPr>
        <w:t>发票票面金额一倍的违约金，且</w:t>
      </w:r>
      <w:r>
        <w:rPr>
          <w:rFonts w:hint="eastAsia" w:ascii="Times New Roman" w:hAnsi="Times New Roman" w:cs="宋体"/>
          <w:color w:val="000000"/>
          <w:szCs w:val="21"/>
          <w:highlight w:val="none"/>
          <w:lang w:val="en-US" w:eastAsia="zh-CN"/>
        </w:rPr>
        <w:t>甲方</w:t>
      </w:r>
      <w:r>
        <w:rPr>
          <w:rFonts w:hint="eastAsia" w:ascii="Times New Roman" w:hAnsi="Times New Roman" w:cs="宋体"/>
          <w:color w:val="000000"/>
          <w:szCs w:val="21"/>
          <w:highlight w:val="none"/>
        </w:rPr>
        <w:t>有权终止合同，</w:t>
      </w:r>
      <w:r>
        <w:rPr>
          <w:rFonts w:hint="eastAsia" w:ascii="Times New Roman" w:hAnsi="Times New Roman" w:cs="宋体"/>
          <w:color w:val="000000"/>
          <w:szCs w:val="21"/>
          <w:highlight w:val="none"/>
          <w:lang w:val="en-US" w:eastAsia="zh-CN"/>
        </w:rPr>
        <w:t>乙方</w:t>
      </w:r>
      <w:r>
        <w:rPr>
          <w:rFonts w:hint="eastAsia" w:ascii="Times New Roman" w:hAnsi="Times New Roman" w:cs="宋体"/>
          <w:color w:val="000000"/>
          <w:szCs w:val="21"/>
          <w:highlight w:val="none"/>
        </w:rPr>
        <w:t>不得提出异议，因终止合同而产生的一切损失均由</w:t>
      </w:r>
      <w:r>
        <w:rPr>
          <w:rFonts w:hint="eastAsia" w:ascii="Times New Roman" w:hAnsi="Times New Roman" w:cs="宋体"/>
          <w:color w:val="000000"/>
          <w:szCs w:val="21"/>
          <w:highlight w:val="none"/>
          <w:lang w:val="en-US" w:eastAsia="zh-CN"/>
        </w:rPr>
        <w:t>乙方</w:t>
      </w:r>
      <w:r>
        <w:rPr>
          <w:rFonts w:hint="eastAsia" w:ascii="Times New Roman" w:hAnsi="Times New Roman" w:cs="宋体"/>
          <w:color w:val="000000"/>
          <w:szCs w:val="21"/>
          <w:highlight w:val="none"/>
        </w:rPr>
        <w:t>承担。</w:t>
      </w:r>
    </w:p>
    <w:p w14:paraId="0C7D83E5">
      <w:p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.资金支付方式：</w:t>
      </w:r>
      <w:r>
        <w:rPr>
          <w:rFonts w:hint="eastAsia" w:ascii="宋体" w:hAnsi="宋体" w:eastAsia="宋体" w:cs="宋体"/>
          <w:color w:val="000000"/>
          <w:sz w:val="21"/>
          <w:szCs w:val="21"/>
          <w:highlight w:val="none"/>
          <w:u w:val="single"/>
        </w:rPr>
        <w:t xml:space="preserve">    （银行转账）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 xml:space="preserve"> </w:t>
      </w:r>
    </w:p>
    <w:p w14:paraId="28A2F241">
      <w:pPr>
        <w:pStyle w:val="19"/>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rPr>
        <w:t>银行账户</w:t>
      </w:r>
      <w:r>
        <w:rPr>
          <w:rFonts w:hint="eastAsia" w:ascii="宋体" w:hAnsi="宋体" w:eastAsia="宋体" w:cs="宋体"/>
          <w:color w:val="000000"/>
          <w:sz w:val="21"/>
          <w:szCs w:val="21"/>
          <w:highlight w:val="none"/>
          <w:lang w:val="en-US" w:eastAsia="zh-CN"/>
        </w:rPr>
        <w:t>信息：</w:t>
      </w:r>
    </w:p>
    <w:p w14:paraId="75209E54">
      <w:pPr>
        <w:pStyle w:val="19"/>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开户银行：XX银行XX支行</w:t>
      </w:r>
    </w:p>
    <w:p w14:paraId="24E45A01">
      <w:pPr>
        <w:pStyle w:val="19"/>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账号名称：XX</w:t>
      </w:r>
    </w:p>
    <w:p w14:paraId="13C469B7">
      <w:pPr>
        <w:pStyle w:val="19"/>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账号：XX</w:t>
      </w:r>
    </w:p>
    <w:p w14:paraId="3746C851">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.采购合同履行中，甲方需追加与合同标的相同的货物的，在不改变合同其他条款的前提下，可以与乙方协商签订补充合同，但所有补充合同的采购金额不得超过原合同采购金额的10%。</w:t>
      </w:r>
    </w:p>
    <w:p w14:paraId="32718B36">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第七条 保险、税费</w:t>
      </w:r>
    </w:p>
    <w:p w14:paraId="6E36EBDB">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bCs/>
          <w:color w:val="000000"/>
          <w:kern w:val="0"/>
          <w:sz w:val="21"/>
          <w:szCs w:val="21"/>
          <w:highlight w:val="none"/>
        </w:rPr>
        <w:t>1.若乙方为本项目标的及标的涉及的相关材料、设备、人员、运输等购买保险的，相关费用由乙方自行承担。</w:t>
      </w:r>
    </w:p>
    <w:p w14:paraId="29E5B8A8">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2.本合同执行中相关的一切税费均由乙方负担。</w:t>
      </w:r>
    </w:p>
    <w:p w14:paraId="3CD32D1B">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第八条　验收、交付标准和方法</w:t>
      </w:r>
    </w:p>
    <w:p w14:paraId="040780EC">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1.履约验收时间：</w:t>
      </w:r>
    </w:p>
    <w:p w14:paraId="6759B014">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（1）初步验收：标的到达甲方指定地点之日起7个工作日内。</w:t>
      </w:r>
    </w:p>
    <w:p w14:paraId="37DAF2FC">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（2）交付验收：标的安装调试完毕之日起7个工作日内。</w:t>
      </w:r>
    </w:p>
    <w:p w14:paraId="496FE34D">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（3）最终验收：乙方履行完合同约定的应当由乙方履行的全部事项之日起7个工作日内。</w:t>
      </w:r>
    </w:p>
    <w:p w14:paraId="76A96DCB">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2.履约验收程序：</w:t>
      </w:r>
    </w:p>
    <w:p w14:paraId="6253B5AA">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到达甲方指定地点，甲方在规定的时间内进行初步验收；初步验收合格、标的安装调试完毕后，甲方在规定的时间内进行交付验收；交付验收合格，乙方履行完合同约定的应当由乙方履行的全部事项之日起7个工作日内进行最终验收。</w:t>
      </w:r>
    </w:p>
    <w:p w14:paraId="0DC82F66">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3.履约验收内容：</w:t>
      </w:r>
    </w:p>
    <w:p w14:paraId="2E8D36D4">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甲方依据</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lang w:eastAsia="zh-CN"/>
        </w:rPr>
        <w:t>相关</w:t>
      </w:r>
      <w:r>
        <w:rPr>
          <w:rFonts w:hint="eastAsia" w:ascii="宋体" w:hAnsi="宋体" w:eastAsia="宋体" w:cs="宋体"/>
          <w:color w:val="000000"/>
          <w:sz w:val="21"/>
          <w:szCs w:val="21"/>
          <w:highlight w:val="none"/>
        </w:rPr>
        <w:t>要求、乙方的投标承诺以及国家有关质量标准，就乙方对标的每一项技术、商务要求等相关内容进行验收。</w:t>
      </w:r>
    </w:p>
    <w:p w14:paraId="2A99F669">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4.履约验收标准：</w:t>
      </w:r>
    </w:p>
    <w:p w14:paraId="1D05993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（1）初步验收：</w:t>
      </w:r>
    </w:p>
    <w:p w14:paraId="6D0D4705">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在规定的时间内到货，标的（含包装）完整、完好，与投标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甲方在初步验收后七个工作日内以书面形式向乙方提出，乙方应自收到甲方书面异议后七个工作日内及时予以解决，否则，视为初步验收不合格，不予进行交付验收。</w:t>
      </w:r>
    </w:p>
    <w:p w14:paraId="03D5B814">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（2）交付验收：</w:t>
      </w:r>
    </w:p>
    <w:p w14:paraId="73488A1A">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标的的技术指标与乙方的投标承诺一致或更高，且满足</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rPr>
        <w:t>全部实质性要求，视为交付验收合格。标的不符合上述情形的，甲方在交付验收后七个工作日内以书面形式向乙方提出，乙方应自收到甲方书面异议后七个工作日内及时予以解决，否则，视为交付验收不合格。</w:t>
      </w:r>
    </w:p>
    <w:p w14:paraId="13DCD154">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（3）最终验收：</w:t>
      </w:r>
    </w:p>
    <w:p w14:paraId="390D62A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标的交付验收合格投入使用后，乙方提供的售后服务与其投标承诺一致或更优，且乙方履行完合同约定的应当由乙方履行的全部事项之，视为最终验收合格。</w:t>
      </w:r>
    </w:p>
    <w:p w14:paraId="450668AA">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5.其他事项：</w:t>
      </w:r>
    </w:p>
    <w:p w14:paraId="6A2AA32D">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（1）验收时，甲方与乙方双方应当派员在场，并对验收结果签署意见，否则视为其同意验收结果。</w:t>
      </w:r>
    </w:p>
    <w:p w14:paraId="34F72DC2">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由于乙方的原因造成甲方验收不合格、影响甲方正常使用的，由此造成的损失由乙方承担。初步验收或交付验收不合格的，甲方有权终止合同并全部退货，同时报相关监督管理部门处理，由此造成甲方经济损失的由乙方负责承担全部赔偿责任。</w:t>
      </w:r>
    </w:p>
    <w:p w14:paraId="155E07D0">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（3）对技术复杂的货物，甲方可请国家认可的专业检测机构参与初步验收及交付验收，并由其出具质量检测报告，费用由乙方承担。</w:t>
      </w:r>
    </w:p>
    <w:p w14:paraId="4B2559F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（4）验收过程中所产生的一切费用均由乙方承担，乙方在投标报价时应综合考虑相关费用。</w:t>
      </w:r>
    </w:p>
    <w:p w14:paraId="2E32B341">
      <w:p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甲方对产品的验收不免除乙方的质量保证责任。</w:t>
      </w:r>
    </w:p>
    <w:p w14:paraId="1C4161D3">
      <w:pPr>
        <w:adjustRightInd w:val="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57DAB30E">
      <w:p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（7）验收产生的费用</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负责。</w:t>
      </w:r>
    </w:p>
    <w:p w14:paraId="775FA0E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2.交付标准和方法</w:t>
      </w:r>
    </w:p>
    <w:p w14:paraId="5BD41ACC">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（1）除售后服务验收外，验收结论合格的，乙方应自收到验收书后</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日内向甲方交付使用。</w:t>
      </w:r>
    </w:p>
    <w:p w14:paraId="1FB4693E">
      <w:pPr>
        <w:snapToGrid w:val="0"/>
        <w:spacing w:line="360" w:lineRule="auto"/>
        <w:ind w:firstLine="420" w:firstLineChars="200"/>
        <w:rPr>
          <w:rFonts w:hint="eastAsia" w:ascii="宋体" w:hAnsi="宋体" w:eastAsia="宋体" w:cs="宋体"/>
          <w:b/>
          <w:color w:val="000000"/>
          <w:sz w:val="21"/>
          <w:szCs w:val="21"/>
          <w:highlight w:val="none"/>
        </w:rPr>
      </w:pPr>
      <w:r>
        <w:rPr>
          <w:rFonts w:hint="eastAsia" w:ascii="宋体" w:hAnsi="宋体" w:eastAsia="宋体" w:cs="宋体"/>
          <w:color w:val="000000"/>
          <w:sz w:val="21"/>
          <w:szCs w:val="21"/>
          <w:highlight w:val="none"/>
        </w:rPr>
        <w:t>（2）货物的所有权和风险自交付</w:t>
      </w:r>
      <w:r>
        <w:rPr>
          <w:rFonts w:hint="eastAsia" w:ascii="宋体" w:hAnsi="宋体" w:eastAsia="宋体" w:cs="宋体"/>
          <w:color w:val="000000"/>
          <w:sz w:val="21"/>
          <w:szCs w:val="21"/>
          <w:highlight w:val="none"/>
          <w:lang w:val="en-US" w:eastAsia="zh-CN"/>
        </w:rPr>
        <w:t>验收合格</w:t>
      </w:r>
      <w:r>
        <w:rPr>
          <w:rFonts w:hint="eastAsia" w:ascii="宋体" w:hAnsi="宋体" w:eastAsia="宋体" w:cs="宋体"/>
          <w:color w:val="000000"/>
          <w:sz w:val="21"/>
          <w:szCs w:val="21"/>
          <w:highlight w:val="none"/>
        </w:rPr>
        <w:t>时起由乙方转移至甲方，货物交付</w:t>
      </w:r>
      <w:r>
        <w:rPr>
          <w:rFonts w:hint="eastAsia" w:ascii="宋体" w:hAnsi="宋体" w:eastAsia="宋体" w:cs="宋体"/>
          <w:color w:val="000000"/>
          <w:sz w:val="21"/>
          <w:szCs w:val="21"/>
          <w:highlight w:val="none"/>
          <w:lang w:val="en-US" w:eastAsia="zh-CN"/>
        </w:rPr>
        <w:t>甲方且经验收合格</w:t>
      </w:r>
      <w:r>
        <w:rPr>
          <w:rFonts w:hint="eastAsia" w:ascii="宋体" w:hAnsi="宋体" w:eastAsia="宋体" w:cs="宋体"/>
          <w:color w:val="000000"/>
          <w:sz w:val="21"/>
          <w:szCs w:val="21"/>
          <w:highlight w:val="none"/>
        </w:rPr>
        <w:t>之前所有风险均由乙方承担。</w:t>
      </w:r>
    </w:p>
    <w:p w14:paraId="700B7DFB">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第九条  售后服务</w:t>
      </w:r>
    </w:p>
    <w:p w14:paraId="6C846953">
      <w:pPr>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1.乙方应按照国家有关法律法规规定以及投标承诺，为甲方提供售后服务。</w:t>
      </w:r>
    </w:p>
    <w:p w14:paraId="4BA14BE6">
      <w:pPr>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2.质量保修范围:</w:t>
      </w:r>
      <w:r>
        <w:rPr>
          <w:rFonts w:hint="eastAsia" w:ascii="宋体" w:hAnsi="宋体" w:eastAsia="宋体" w:cs="宋体"/>
          <w:color w:val="000000"/>
          <w:sz w:val="21"/>
          <w:szCs w:val="21"/>
          <w:u w:val="single"/>
        </w:rPr>
        <w:t xml:space="preserve"> 本项目采购范围内的所有设备</w:t>
      </w:r>
      <w:r>
        <w:rPr>
          <w:rFonts w:hint="eastAsia" w:ascii="宋体" w:hAnsi="宋体" w:eastAsia="宋体" w:cs="宋体"/>
          <w:color w:val="000000"/>
          <w:sz w:val="21"/>
          <w:szCs w:val="21"/>
        </w:rPr>
        <w:t>。免费保修期内上门维修（维修费和元器件费包含在投标报价中）、更换零部件，软件终身免费升级服务，设备生产厂家提供远程联机维护服务，能对设备进行软件升级及故障分析；保修期： 按乙方投标承诺（且不低于</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要求）执行  。</w:t>
      </w:r>
    </w:p>
    <w:p w14:paraId="2A792EB4">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r>
        <w:rPr>
          <w:rFonts w:hint="eastAsia" w:ascii="Times New Roman" w:hAnsi="Times New Roman" w:cs="宋体"/>
          <w:color w:val="000000"/>
          <w:szCs w:val="21"/>
          <w:highlight w:val="none"/>
        </w:rPr>
        <w:t>免费保修期：按国家有关产品“三包”规定执行“三包”；</w:t>
      </w:r>
      <w:r>
        <w:rPr>
          <w:rFonts w:hint="eastAsia" w:ascii="Times New Roman" w:hAnsi="Times New Roman" w:cs="宋体"/>
          <w:color w:val="000000"/>
          <w:szCs w:val="21"/>
          <w:highlight w:val="none"/>
          <w:lang w:val="en-US" w:eastAsia="zh-CN"/>
        </w:rPr>
        <w:t>整机</w:t>
      </w:r>
      <w:r>
        <w:rPr>
          <w:rFonts w:hint="eastAsia" w:ascii="Times New Roman" w:hAnsi="Times New Roman" w:cs="宋体"/>
          <w:color w:val="000000"/>
          <w:szCs w:val="21"/>
          <w:highlight w:val="none"/>
        </w:rPr>
        <w:t>免费保修期为</w:t>
      </w:r>
      <w:r>
        <w:rPr>
          <w:rFonts w:hint="eastAsia" w:ascii="Times New Roman" w:hAnsi="Times New Roman" w:cs="宋体"/>
          <w:color w:val="000000"/>
          <w:szCs w:val="21"/>
          <w:highlight w:val="none"/>
          <w:u w:val="single"/>
        </w:rPr>
        <w:t xml:space="preserve"> </w:t>
      </w:r>
      <w:r>
        <w:rPr>
          <w:rFonts w:hint="eastAsia" w:ascii="Times New Roman" w:hAnsi="Times New Roman" w:cs="宋体"/>
          <w:color w:val="000000"/>
          <w:szCs w:val="21"/>
          <w:highlight w:val="none"/>
          <w:u w:val="single"/>
          <w:lang w:val="en-US" w:eastAsia="zh-CN"/>
        </w:rPr>
        <w:t xml:space="preserve">5 </w:t>
      </w:r>
      <w:r>
        <w:rPr>
          <w:rFonts w:hint="eastAsia" w:ascii="Times New Roman" w:hAnsi="Times New Roman" w:cs="宋体"/>
          <w:color w:val="000000"/>
          <w:szCs w:val="21"/>
          <w:highlight w:val="none"/>
        </w:rPr>
        <w:t>年（免费保修期从设备验收合格之日起计算），免费保修期内上门维修不收取任何费用</w:t>
      </w:r>
      <w:r>
        <w:rPr>
          <w:rFonts w:hint="eastAsia" w:ascii="Times New Roman" w:hAnsi="Times New Roman" w:cs="宋体"/>
          <w:color w:val="000000"/>
          <w:szCs w:val="21"/>
          <w:highlight w:val="none"/>
          <w:lang w:eastAsia="zh-CN"/>
        </w:rPr>
        <w:t>，</w:t>
      </w:r>
      <w:r>
        <w:rPr>
          <w:rFonts w:hint="eastAsia" w:ascii="Times New Roman" w:hAnsi="Times New Roman" w:cs="宋体"/>
          <w:color w:val="000000"/>
          <w:szCs w:val="21"/>
          <w:highlight w:val="none"/>
          <w:lang w:val="en-US" w:eastAsia="zh-CN"/>
        </w:rPr>
        <w:t>不提供备用机</w:t>
      </w:r>
      <w:r>
        <w:rPr>
          <w:rFonts w:hint="eastAsia" w:ascii="Times New Roman" w:hAnsi="Times New Roman" w:cs="宋体"/>
          <w:color w:val="000000"/>
          <w:szCs w:val="21"/>
          <w:highlight w:val="none"/>
        </w:rPr>
        <w:t>。</w:t>
      </w:r>
    </w:p>
    <w:p w14:paraId="6419A183">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4.在免费保修期内因货物本身的质量问题发生故障，乙方应负责免费修理和更换零部件。对达不到技术要求者，根据实际情况，</w:t>
      </w:r>
      <w:r>
        <w:rPr>
          <w:rFonts w:hint="eastAsia" w:ascii="宋体" w:hAnsi="宋体" w:eastAsia="宋体" w:cs="宋体"/>
          <w:color w:val="000000"/>
          <w:sz w:val="21"/>
          <w:szCs w:val="21"/>
          <w:lang w:val="en-US" w:eastAsia="zh-CN"/>
        </w:rPr>
        <w:t>甲方有权</w:t>
      </w:r>
      <w:r>
        <w:rPr>
          <w:rFonts w:hint="eastAsia" w:ascii="宋体" w:hAnsi="宋体" w:eastAsia="宋体" w:cs="宋体"/>
          <w:color w:val="000000"/>
          <w:sz w:val="21"/>
          <w:szCs w:val="21"/>
        </w:rPr>
        <w:t>按以下办法处理：</w:t>
      </w:r>
    </w:p>
    <w:p w14:paraId="703CC00A">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（1）更换：由乙方承担所发生的全部费用。</w:t>
      </w:r>
    </w:p>
    <w:p w14:paraId="4CF78B82">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（2）贬值处理：由甲乙双方合议定价。</w:t>
      </w:r>
    </w:p>
    <w:p w14:paraId="250C28FB">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rPr>
        <w:t>（3）退货处理：乙方应退还甲方支付的合同款，同时应承担该货物的直接费用（运输、保险、检验、货款利息及银行手续</w:t>
      </w:r>
      <w:r>
        <w:rPr>
          <w:rFonts w:hint="eastAsia" w:ascii="宋体" w:hAnsi="宋体" w:eastAsia="宋体" w:cs="宋体"/>
          <w:color w:val="000000"/>
          <w:sz w:val="21"/>
          <w:szCs w:val="21"/>
          <w:highlight w:val="none"/>
        </w:rPr>
        <w:t>费等）。</w:t>
      </w:r>
    </w:p>
    <w:p w14:paraId="2832E1A6">
      <w:pPr>
        <w:pStyle w:val="30"/>
        <w:adjustRightInd w:val="0"/>
        <w:snapToGrid w:val="0"/>
        <w:spacing w:line="360" w:lineRule="auto"/>
        <w:ind w:firstLine="420" w:firstLineChars="200"/>
        <w:rPr>
          <w:rFonts w:hint="eastAsia" w:ascii="宋体" w:hAnsi="宋体" w:eastAsia="宋体" w:cs="宋体"/>
          <w:color w:val="000000"/>
          <w:sz w:val="21"/>
          <w:szCs w:val="21"/>
          <w:lang w:eastAsia="zh-CN"/>
        </w:rPr>
      </w:pPr>
      <w:r>
        <w:rPr>
          <w:rFonts w:hint="eastAsia" w:ascii="宋体" w:hAnsi="宋体" w:eastAsia="宋体" w:cs="宋体"/>
          <w:color w:val="000000"/>
          <w:sz w:val="21"/>
          <w:szCs w:val="21"/>
          <w:highlight w:val="none"/>
          <w:lang w:eastAsia="zh-CN"/>
        </w:rPr>
        <w:t>5</w:t>
      </w:r>
      <w:r>
        <w:rPr>
          <w:rFonts w:hint="eastAsia" w:ascii="宋体" w:hAnsi="宋体" w:eastAsia="宋体" w:cs="宋体"/>
          <w:color w:val="000000"/>
          <w:sz w:val="21"/>
          <w:szCs w:val="21"/>
          <w:highlight w:val="none"/>
        </w:rPr>
        <w:t>.如在使用过程中发生质量问题，乙方在接到甲方通知后</w:t>
      </w:r>
      <w:r>
        <w:rPr>
          <w:rFonts w:hint="eastAsia" w:ascii="宋体" w:hAnsi="宋体" w:eastAsia="宋体" w:cs="宋体"/>
          <w:color w:val="000000"/>
          <w:sz w:val="21"/>
          <w:szCs w:val="21"/>
          <w:highlight w:val="none"/>
          <w:u w:val="single"/>
          <w:lang w:val="en-US" w:eastAsia="zh-CN"/>
        </w:rPr>
        <w:t xml:space="preserve"> 半 </w:t>
      </w:r>
      <w:r>
        <w:rPr>
          <w:rFonts w:hint="eastAsia" w:ascii="宋体" w:hAnsi="宋体" w:eastAsia="宋体" w:cs="宋体"/>
          <w:color w:val="000000"/>
          <w:sz w:val="21"/>
          <w:szCs w:val="21"/>
          <w:highlight w:val="none"/>
        </w:rPr>
        <w:t>小时内响应，</w:t>
      </w:r>
      <w:r>
        <w:rPr>
          <w:rFonts w:hint="eastAsia" w:ascii="宋体" w:hAnsi="宋体" w:eastAsia="宋体" w:cs="宋体"/>
          <w:color w:val="000000"/>
          <w:sz w:val="21"/>
          <w:szCs w:val="21"/>
          <w:highlight w:val="none"/>
          <w:u w:val="single"/>
          <w:lang w:val="en-US" w:eastAsia="zh-CN"/>
        </w:rPr>
        <w:t xml:space="preserve"> 12 </w:t>
      </w:r>
      <w:r>
        <w:rPr>
          <w:rFonts w:hint="eastAsia" w:ascii="宋体" w:hAnsi="宋体" w:eastAsia="宋体" w:cs="宋体"/>
          <w:color w:val="000000"/>
          <w:sz w:val="21"/>
          <w:szCs w:val="21"/>
          <w:highlight w:val="none"/>
        </w:rPr>
        <w:t>小时内到达现场进行处理，到达现场后</w:t>
      </w:r>
      <w:r>
        <w:rPr>
          <w:rFonts w:hint="eastAsia" w:ascii="宋体" w:hAnsi="宋体" w:eastAsia="宋体" w:cs="宋体"/>
          <w:color w:val="000000"/>
          <w:sz w:val="21"/>
          <w:szCs w:val="21"/>
          <w:highlight w:val="none"/>
          <w:u w:val="single"/>
          <w:lang w:val="en-US" w:eastAsia="zh-CN"/>
        </w:rPr>
        <w:t xml:space="preserve"> 24 </w:t>
      </w:r>
      <w:r>
        <w:rPr>
          <w:rFonts w:hint="eastAsia" w:ascii="宋体" w:hAnsi="宋体" w:eastAsia="宋体" w:cs="宋体"/>
          <w:color w:val="000000"/>
          <w:sz w:val="21"/>
          <w:szCs w:val="21"/>
          <w:highlight w:val="none"/>
        </w:rPr>
        <w:t>小时内排除故障，恢复正常使用。</w:t>
      </w:r>
      <w:r>
        <w:rPr>
          <w:rFonts w:hint="eastAsia" w:ascii="Times New Roman" w:hAnsi="Times New Roman" w:cs="宋体"/>
          <w:color w:val="000000"/>
          <w:szCs w:val="21"/>
          <w:highlight w:val="none"/>
          <w:u w:val="none"/>
          <w:lang w:val="en-US" w:eastAsia="zh-CN"/>
        </w:rPr>
        <w:t>如果在</w:t>
      </w:r>
      <w:r>
        <w:rPr>
          <w:rFonts w:hint="eastAsia" w:ascii="Times New Roman" w:hAnsi="Times New Roman" w:cs="宋体"/>
          <w:color w:val="000000"/>
          <w:szCs w:val="21"/>
          <w:highlight w:val="none"/>
          <w:u w:val="single"/>
          <w:lang w:val="en-US" w:eastAsia="zh-CN"/>
        </w:rPr>
        <w:t>36</w:t>
      </w:r>
      <w:r>
        <w:rPr>
          <w:rFonts w:hint="eastAsia" w:ascii="Times New Roman" w:hAnsi="Times New Roman" w:cs="宋体"/>
          <w:color w:val="000000"/>
          <w:szCs w:val="21"/>
          <w:highlight w:val="none"/>
        </w:rPr>
        <w:t>小时内</w:t>
      </w:r>
      <w:r>
        <w:rPr>
          <w:rFonts w:hint="eastAsia" w:ascii="Times New Roman" w:hAnsi="Times New Roman" w:cs="宋体"/>
          <w:color w:val="000000"/>
          <w:szCs w:val="21"/>
          <w:highlight w:val="none"/>
          <w:lang w:val="en-US" w:eastAsia="zh-CN"/>
        </w:rPr>
        <w:t>无法解决</w:t>
      </w:r>
      <w:r>
        <w:rPr>
          <w:rFonts w:hint="eastAsia" w:ascii="Times New Roman" w:hAnsi="Times New Roman" w:cs="宋体"/>
          <w:color w:val="000000"/>
          <w:szCs w:val="21"/>
          <w:highlight w:val="none"/>
        </w:rPr>
        <w:t>故障，</w:t>
      </w:r>
      <w:r>
        <w:rPr>
          <w:rFonts w:hint="eastAsia" w:ascii="Times New Roman" w:hAnsi="Times New Roman" w:eastAsia="宋体" w:cs="宋体"/>
          <w:color w:val="000000"/>
          <w:szCs w:val="21"/>
          <w:highlight w:val="none"/>
          <w:lang w:val="en-US" w:eastAsia="zh-CN"/>
        </w:rPr>
        <w:t>不提</w:t>
      </w:r>
      <w:r>
        <w:rPr>
          <w:rFonts w:hint="eastAsia" w:ascii="Times New Roman" w:hAnsi="Times New Roman" w:cs="宋体"/>
          <w:color w:val="000000"/>
          <w:szCs w:val="21"/>
          <w:highlight w:val="none"/>
          <w:lang w:val="en-US" w:eastAsia="zh-CN"/>
        </w:rPr>
        <w:t>供备用机。</w:t>
      </w:r>
      <w:r>
        <w:rPr>
          <w:rFonts w:hint="eastAsia" w:ascii="宋体" w:hAnsi="宋体" w:eastAsia="宋体" w:cs="宋体"/>
          <w:color w:val="000000"/>
          <w:sz w:val="21"/>
          <w:szCs w:val="21"/>
          <w:highlight w:val="none"/>
          <w:lang w:val="en-US" w:eastAsia="zh-CN"/>
        </w:rPr>
        <w:t>乙方逾期响应、到达</w:t>
      </w:r>
      <w:r>
        <w:rPr>
          <w:rFonts w:hint="eastAsia" w:ascii="宋体" w:hAnsi="宋体" w:eastAsia="宋体" w:cs="宋体"/>
          <w:color w:val="000000"/>
          <w:sz w:val="21"/>
          <w:szCs w:val="21"/>
          <w:lang w:val="en-US" w:eastAsia="zh-CN"/>
        </w:rPr>
        <w:t>现场、排除故障或者无法排除故障的，甲方有权自行或寻找第三方机构获得维修、维护等售后服务，全部费用由乙方承担，且无需经过乙方同意、确认。</w:t>
      </w:r>
    </w:p>
    <w:p w14:paraId="054DC449">
      <w:pPr>
        <w:pStyle w:val="30"/>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6</w:t>
      </w:r>
      <w:r>
        <w:rPr>
          <w:rFonts w:hint="eastAsia" w:ascii="宋体" w:hAnsi="宋体" w:eastAsia="宋体" w:cs="宋体"/>
          <w:color w:val="000000"/>
          <w:sz w:val="21"/>
          <w:szCs w:val="21"/>
        </w:rPr>
        <w:t>.在</w:t>
      </w:r>
      <w:r>
        <w:rPr>
          <w:rFonts w:hint="eastAsia" w:ascii="宋体" w:hAnsi="宋体" w:eastAsia="宋体" w:cs="宋体"/>
          <w:color w:val="000000"/>
          <w:sz w:val="21"/>
          <w:szCs w:val="21"/>
          <w:lang w:eastAsia="zh-CN"/>
        </w:rPr>
        <w:t>免费保修期</w:t>
      </w:r>
      <w:r>
        <w:rPr>
          <w:rFonts w:hint="eastAsia" w:ascii="宋体" w:hAnsi="宋体" w:eastAsia="宋体" w:cs="宋体"/>
          <w:color w:val="000000"/>
          <w:sz w:val="21"/>
          <w:szCs w:val="21"/>
        </w:rPr>
        <w:t>内，乙方应对货物出现的质量及安全问题负责处理解决并承担一切费用。</w:t>
      </w:r>
    </w:p>
    <w:p w14:paraId="45E5C9D7">
      <w:pPr>
        <w:pStyle w:val="30"/>
        <w:adjustRightInd w:val="0"/>
        <w:snapToGrid w:val="0"/>
        <w:spacing w:line="360" w:lineRule="auto"/>
        <w:ind w:firstLine="420" w:firstLineChars="20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7</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本项目采购范围内的</w:t>
      </w:r>
      <w:r>
        <w:rPr>
          <w:rFonts w:hint="eastAsia" w:ascii="宋体" w:hAnsi="宋体" w:eastAsia="宋体" w:cs="宋体"/>
          <w:color w:val="000000"/>
          <w:sz w:val="21"/>
          <w:szCs w:val="21"/>
        </w:rPr>
        <w:t>货物因人为因素出现的故障不在免费保修范围内。超过</w:t>
      </w:r>
      <w:r>
        <w:rPr>
          <w:rFonts w:hint="eastAsia" w:ascii="宋体" w:hAnsi="宋体" w:eastAsia="宋体" w:cs="宋体"/>
          <w:color w:val="000000"/>
          <w:sz w:val="21"/>
          <w:szCs w:val="21"/>
          <w:lang w:eastAsia="zh-CN"/>
        </w:rPr>
        <w:t>免费保修期</w:t>
      </w:r>
      <w:r>
        <w:rPr>
          <w:rFonts w:hint="eastAsia" w:ascii="宋体" w:hAnsi="宋体" w:eastAsia="宋体" w:cs="宋体"/>
          <w:color w:val="000000"/>
          <w:sz w:val="21"/>
          <w:szCs w:val="21"/>
        </w:rPr>
        <w:t>的机器设备，</w:t>
      </w:r>
      <w:r>
        <w:rPr>
          <w:rFonts w:hint="eastAsia" w:ascii="宋体" w:hAnsi="宋体" w:eastAsia="宋体" w:cs="宋体"/>
          <w:color w:val="000000"/>
          <w:sz w:val="21"/>
          <w:szCs w:val="21"/>
          <w:lang w:eastAsia="zh-CN"/>
        </w:rPr>
        <w:t>提供</w:t>
      </w:r>
      <w:r>
        <w:rPr>
          <w:rFonts w:hint="eastAsia" w:ascii="宋体" w:hAnsi="宋体" w:eastAsia="宋体" w:cs="宋体"/>
          <w:color w:val="000000"/>
          <w:sz w:val="21"/>
          <w:szCs w:val="21"/>
        </w:rPr>
        <w:t>终生维修</w:t>
      </w:r>
      <w:r>
        <w:rPr>
          <w:rFonts w:hint="eastAsia" w:ascii="宋体" w:hAnsi="宋体" w:eastAsia="宋体" w:cs="宋体"/>
          <w:color w:val="000000"/>
          <w:sz w:val="21"/>
          <w:szCs w:val="21"/>
          <w:lang w:eastAsia="zh-CN"/>
        </w:rPr>
        <w:t>服务，</w:t>
      </w:r>
      <w:r>
        <w:rPr>
          <w:rFonts w:hint="eastAsia" w:ascii="宋体" w:hAnsi="宋体" w:eastAsia="宋体" w:cs="宋体"/>
          <w:color w:val="000000"/>
          <w:sz w:val="21"/>
          <w:szCs w:val="21"/>
          <w:lang w:val="en-US" w:eastAsia="zh-CN"/>
        </w:rPr>
        <w:t>乙方仅收取合理成本</w:t>
      </w:r>
      <w:r>
        <w:rPr>
          <w:rFonts w:hint="eastAsia" w:ascii="宋体" w:hAnsi="宋体" w:eastAsia="宋体" w:cs="宋体"/>
          <w:color w:val="000000"/>
          <w:sz w:val="21"/>
          <w:szCs w:val="21"/>
        </w:rPr>
        <w:t>。</w:t>
      </w:r>
    </w:p>
    <w:p w14:paraId="48E3B3EF">
      <w:pPr>
        <w:pStyle w:val="30"/>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 乙方提供的货物在免费保修期内，因设计、工艺或材料的缺陷和其它质量原因造成的问题，由乙方负责，费用从最后一笔支付的合同价款当中扣除，不足以扣除的，由乙方另行支付。</w:t>
      </w:r>
    </w:p>
    <w:p w14:paraId="5ED2F2E8">
      <w:pPr>
        <w:adjustRightInd w:val="0"/>
        <w:snapToGrid w:val="0"/>
        <w:spacing w:line="360" w:lineRule="auto"/>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9.乙方提供的服务承诺和售后服务及免费保修期责任等其它具体约定事项。（见合同附件）</w:t>
      </w:r>
    </w:p>
    <w:p w14:paraId="3F45832D">
      <w:pPr>
        <w:adjustRightInd w:val="0"/>
        <w:snapToGrid w:val="0"/>
        <w:spacing w:line="360" w:lineRule="auto"/>
        <w:ind w:firstLine="420" w:firstLineChars="200"/>
        <w:rPr>
          <w:rFonts w:hint="eastAsia" w:ascii="宋体" w:hAnsi="宋体" w:eastAsia="宋体" w:cs="宋体"/>
          <w:color w:val="000000"/>
          <w:kern w:val="0"/>
          <w:sz w:val="21"/>
          <w:szCs w:val="21"/>
          <w:highlight w:val="none"/>
        </w:rPr>
      </w:pPr>
    </w:p>
    <w:p w14:paraId="5F1D95E4">
      <w:pPr>
        <w:snapToGrid w:val="0"/>
        <w:spacing w:line="360" w:lineRule="auto"/>
        <w:ind w:left="-61" w:leftChars="-29" w:firstLine="517" w:firstLineChars="245"/>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第十条　履约保证金</w:t>
      </w:r>
    </w:p>
    <w:p w14:paraId="0BC77051">
      <w:pPr>
        <w:autoSpaceDE w:val="0"/>
        <w:autoSpaceDN w:val="0"/>
        <w:snapToGrid w:val="0"/>
        <w:spacing w:line="360" w:lineRule="auto"/>
        <w:ind w:firstLine="424" w:firstLineChars="202"/>
        <w:textAlignment w:val="bottom"/>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1.履约保证金金额：本项目不收取履约保证金。</w:t>
      </w:r>
    </w:p>
    <w:p w14:paraId="3A6B03E6">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第十一条　违约责任</w:t>
      </w:r>
    </w:p>
    <w:p w14:paraId="2095168C">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1.合同一方不履行合同义务、履行合同义务不符合约定或者违反合同项下所作保证的， 应向对方承担继续履行、采取修理、更换、退货等补救措施或者赔偿损失等违约责任。</w:t>
      </w:r>
    </w:p>
    <w:p w14:paraId="291C1817">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2.乙方延迟交付货物的，应向</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lang w:eastAsia="zh-CN"/>
        </w:rPr>
        <w:t>方支付延迟违约金。延迟违约金的计算方法如下：每延迟一天向对方偿付</w:t>
      </w:r>
      <w:r>
        <w:rPr>
          <w:rFonts w:hint="eastAsia" w:ascii="宋体" w:hAnsi="宋体" w:eastAsia="宋体" w:cs="宋体"/>
          <w:color w:val="000000"/>
          <w:sz w:val="21"/>
          <w:szCs w:val="21"/>
          <w:highlight w:val="none"/>
          <w:lang w:val="en-US" w:eastAsia="zh-CN"/>
        </w:rPr>
        <w:t>货款总</w:t>
      </w:r>
      <w:r>
        <w:rPr>
          <w:rFonts w:hint="eastAsia" w:ascii="宋体" w:hAnsi="宋体" w:eastAsia="宋体" w:cs="宋体"/>
          <w:color w:val="000000"/>
          <w:sz w:val="21"/>
          <w:szCs w:val="21"/>
          <w:highlight w:val="none"/>
          <w:lang w:eastAsia="zh-CN"/>
        </w:rPr>
        <w:t>额3‰违约金，超过30 天</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lang w:eastAsia="zh-CN"/>
        </w:rPr>
        <w:t>方有权解除合同，</w:t>
      </w:r>
      <w:r>
        <w:rPr>
          <w:rFonts w:hint="eastAsia" w:ascii="宋体" w:hAnsi="宋体" w:eastAsia="宋体" w:cs="宋体"/>
          <w:color w:val="000000"/>
          <w:sz w:val="21"/>
          <w:szCs w:val="21"/>
          <w:highlight w:val="none"/>
          <w:lang w:val="en-US" w:eastAsia="zh-CN"/>
        </w:rPr>
        <w:t>乙</w:t>
      </w:r>
      <w:r>
        <w:rPr>
          <w:rFonts w:hint="eastAsia" w:ascii="宋体" w:hAnsi="宋体" w:eastAsia="宋体" w:cs="宋体"/>
          <w:color w:val="000000"/>
          <w:sz w:val="21"/>
          <w:szCs w:val="21"/>
          <w:highlight w:val="none"/>
          <w:lang w:eastAsia="zh-CN"/>
        </w:rPr>
        <w:t>方承担因此给</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lang w:eastAsia="zh-CN"/>
        </w:rPr>
        <w:t>方造成的</w:t>
      </w:r>
      <w:r>
        <w:rPr>
          <w:rFonts w:hint="eastAsia" w:ascii="宋体" w:hAnsi="宋体" w:eastAsia="宋体" w:cs="宋体"/>
          <w:color w:val="000000"/>
          <w:sz w:val="21"/>
          <w:szCs w:val="21"/>
          <w:highlight w:val="none"/>
          <w:lang w:val="en-US" w:eastAsia="zh-CN"/>
        </w:rPr>
        <w:t>全部</w:t>
      </w:r>
      <w:r>
        <w:rPr>
          <w:rFonts w:hint="eastAsia" w:ascii="宋体" w:hAnsi="宋体" w:eastAsia="宋体" w:cs="宋体"/>
          <w:color w:val="000000"/>
          <w:sz w:val="21"/>
          <w:szCs w:val="21"/>
          <w:highlight w:val="none"/>
          <w:lang w:eastAsia="zh-CN"/>
        </w:rPr>
        <w:t>损失，</w:t>
      </w:r>
      <w:r>
        <w:rPr>
          <w:rFonts w:hint="eastAsia" w:ascii="宋体" w:hAnsi="宋体" w:eastAsia="宋体" w:cs="宋体"/>
          <w:color w:val="000000"/>
          <w:sz w:val="21"/>
          <w:szCs w:val="21"/>
          <w:highlight w:val="none"/>
          <w:lang w:val="en-US" w:eastAsia="zh-CN"/>
        </w:rPr>
        <w:t>并按照货款总额的15%向甲方支付违约金，且乙方应当退还甲方支付过的全部费用</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如延迟交付必然导致合同货物安装、调试、验收等工作推迟的，相关工作应相应顺延。</w:t>
      </w:r>
    </w:p>
    <w:p w14:paraId="6B2DF247">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3.甲方未能按合同约定支付合同价款的，</w:t>
      </w:r>
      <w:r>
        <w:rPr>
          <w:rFonts w:hint="eastAsia" w:ascii="宋体" w:hAnsi="宋体" w:eastAsia="宋体" w:cs="宋体"/>
          <w:color w:val="000000"/>
          <w:sz w:val="21"/>
          <w:szCs w:val="21"/>
          <w:highlight w:val="none"/>
          <w:lang w:val="en-US" w:eastAsia="zh-CN"/>
        </w:rPr>
        <w:t>经乙方书面催告，甲方无正当理由在合理期限（不少于10个工作日）内仍未支付的，自合理期限届满之次日起，</w:t>
      </w:r>
      <w:r>
        <w:rPr>
          <w:rFonts w:hint="eastAsia" w:ascii="宋体" w:hAnsi="宋体" w:eastAsia="宋体" w:cs="宋体"/>
          <w:color w:val="000000"/>
          <w:sz w:val="21"/>
          <w:szCs w:val="21"/>
          <w:highlight w:val="none"/>
          <w:lang w:eastAsia="zh-CN"/>
        </w:rPr>
        <w:t>应向乙方支付延迟付款违约金。延迟付款违约金的计算方法如下：每延迟一天向乙方偿付</w:t>
      </w:r>
      <w:r>
        <w:rPr>
          <w:rFonts w:hint="eastAsia" w:ascii="宋体" w:hAnsi="宋体" w:eastAsia="宋体" w:cs="宋体"/>
          <w:color w:val="000000"/>
          <w:sz w:val="21"/>
          <w:szCs w:val="21"/>
          <w:highlight w:val="none"/>
          <w:lang w:val="en-US" w:eastAsia="zh-CN"/>
        </w:rPr>
        <w:t>当期应付未付金额0.</w:t>
      </w:r>
      <w:r>
        <w:rPr>
          <w:rFonts w:hint="eastAsia" w:ascii="宋体" w:hAnsi="宋体" w:eastAsia="宋体" w:cs="宋体"/>
          <w:color w:val="000000"/>
          <w:sz w:val="21"/>
          <w:szCs w:val="21"/>
          <w:highlight w:val="none"/>
          <w:lang w:eastAsia="zh-CN"/>
        </w:rPr>
        <w:t>3‰违约金，但违约金累计不得超过</w:t>
      </w:r>
      <w:r>
        <w:rPr>
          <w:rFonts w:hint="eastAsia" w:ascii="宋体" w:hAnsi="宋体" w:eastAsia="宋体" w:cs="宋体"/>
          <w:color w:val="000000"/>
          <w:sz w:val="21"/>
          <w:szCs w:val="21"/>
          <w:highlight w:val="none"/>
          <w:lang w:val="en-US" w:eastAsia="zh-CN"/>
        </w:rPr>
        <w:t>当期应付未付总</w:t>
      </w:r>
      <w:r>
        <w:rPr>
          <w:rFonts w:hint="eastAsia" w:ascii="宋体" w:hAnsi="宋体" w:eastAsia="宋体" w:cs="宋体"/>
          <w:color w:val="000000"/>
          <w:sz w:val="21"/>
          <w:szCs w:val="21"/>
          <w:highlight w:val="none"/>
          <w:lang w:eastAsia="zh-CN"/>
        </w:rPr>
        <w:t>额的5%。</w:t>
      </w:r>
    </w:p>
    <w:p w14:paraId="3DF8EBE7">
      <w:pPr>
        <w:pStyle w:val="3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乙方提供的产品不符合本合同约定或存在质量问题的，乙方应当按照本合同约定以及甲方要求进行退换，并承担由此产生的一切费用，因退换导致逾期交货的，乙方应当按照本合同第十一条第2点的内容承担逾期交货违约责任；乙方拒绝退换的，甲方有权解除合同，乙方应当自行取回货物，甲方不承担任何保管义务，并且乙方应当按照合同总金额的15%向甲方支付违约金。</w:t>
      </w:r>
    </w:p>
    <w:p w14:paraId="6B6C1042">
      <w:pPr>
        <w:pStyle w:val="3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.乙方未按本合同和投标承诺提供售后服务的，</w:t>
      </w:r>
      <w:r>
        <w:rPr>
          <w:rFonts w:hint="eastAsia" w:ascii="宋体" w:hAnsi="宋体" w:eastAsia="宋体" w:cs="宋体"/>
          <w:color w:val="000000"/>
          <w:sz w:val="21"/>
          <w:szCs w:val="21"/>
          <w:highlight w:val="none"/>
          <w:lang w:val="en-US" w:eastAsia="zh-CN"/>
        </w:rPr>
        <w:t>经甲方书面催告1次仍不整改的，</w:t>
      </w:r>
      <w:r>
        <w:rPr>
          <w:rFonts w:hint="eastAsia" w:ascii="宋体" w:hAnsi="宋体" w:eastAsia="宋体" w:cs="宋体"/>
          <w:color w:val="000000"/>
          <w:sz w:val="21"/>
          <w:szCs w:val="21"/>
          <w:highlight w:val="none"/>
          <w:lang w:eastAsia="zh-CN"/>
        </w:rPr>
        <w:t>乙方应按本合同价款（报酬）的 5%向甲方支付违约金，</w:t>
      </w:r>
      <w:r>
        <w:rPr>
          <w:rFonts w:hint="eastAsia" w:ascii="宋体" w:hAnsi="宋体" w:eastAsia="宋体" w:cs="宋体"/>
          <w:color w:val="000000"/>
          <w:sz w:val="21"/>
          <w:szCs w:val="21"/>
          <w:highlight w:val="none"/>
          <w:lang w:val="en-US" w:eastAsia="zh-CN"/>
        </w:rPr>
        <w:t>同时甲方有权寻找第三方机构获得售后服务，全部费用由乙方承担，且无需经过乙方同意、确认。乙方经甲方书面催告3次仍不整改的，甲方有权解除合同，甲方解除合同的，无需向乙方支付任何设备使用费、折旧费以及其他补偿，乙方应当退还甲方支付过的费用，并自行取回货物，甲方不承担任何保管义务。</w:t>
      </w:r>
    </w:p>
    <w:p w14:paraId="6B39D04C">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eastAsia="zh-CN"/>
        </w:rPr>
        <w:t>.因某一方原因导致变更、中止或者终止政府采购合同的，该方应当对另一方受到的损失予以赔偿或者补偿。</w:t>
      </w:r>
    </w:p>
    <w:p w14:paraId="3472061E">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lang w:eastAsia="zh-CN"/>
        </w:rPr>
        <w:t>.其它违约责任按《中华人民共和国民法典》处理。</w:t>
      </w:r>
    </w:p>
    <w:p w14:paraId="56307A7F">
      <w:pPr>
        <w:pStyle w:val="30"/>
        <w:snapToGrid w:val="0"/>
        <w:spacing w:line="360" w:lineRule="auto"/>
        <w:ind w:firstLine="413" w:firstLineChars="196"/>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w:t>
      </w:r>
      <w:r>
        <w:rPr>
          <w:rFonts w:hint="eastAsia" w:ascii="宋体" w:hAnsi="宋体" w:eastAsia="宋体" w:cs="宋体"/>
          <w:b/>
          <w:color w:val="000000"/>
          <w:sz w:val="21"/>
          <w:szCs w:val="21"/>
          <w:highlight w:val="none"/>
          <w:lang w:eastAsia="zh-CN"/>
        </w:rPr>
        <w:t>二</w:t>
      </w:r>
      <w:r>
        <w:rPr>
          <w:rFonts w:hint="eastAsia" w:ascii="宋体" w:hAnsi="宋体" w:eastAsia="宋体" w:cs="宋体"/>
          <w:b/>
          <w:color w:val="000000"/>
          <w:sz w:val="21"/>
          <w:szCs w:val="21"/>
          <w:highlight w:val="none"/>
        </w:rPr>
        <w:t>条  不可抗力事件处理</w:t>
      </w:r>
    </w:p>
    <w:p w14:paraId="0C7DD436">
      <w:pPr>
        <w:pStyle w:val="3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1.在合同有效期内，任何一方因不可抗力事件导致不能履行合同，则合同履行期可延长，其延长期与不可抗力影响期相同。</w:t>
      </w:r>
    </w:p>
    <w:p w14:paraId="15CA2F11">
      <w:pPr>
        <w:pStyle w:val="3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2.不可抗力事件发生后，应立即通知对方，并寄送有关权威机构出具的证明。</w:t>
      </w:r>
    </w:p>
    <w:p w14:paraId="720A9D26">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3.不可抗力事件延续一百二十天以上，双方应通过友好协商，确定是否继续履行合同。</w:t>
      </w:r>
    </w:p>
    <w:p w14:paraId="56C30D33">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第十三条  合同争议解决</w:t>
      </w:r>
    </w:p>
    <w:p w14:paraId="20F054D7">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1.因货物质量问题发生争议的，应邀请国家认可的质量检测机构对货物质量进行鉴定</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鉴定工作由乙方负责，鉴定费用由乙方先行垫付</w:t>
      </w:r>
      <w:r>
        <w:rPr>
          <w:rFonts w:hint="eastAsia" w:ascii="宋体" w:hAnsi="宋体" w:eastAsia="宋体" w:cs="宋体"/>
          <w:color w:val="000000"/>
          <w:sz w:val="21"/>
          <w:szCs w:val="21"/>
          <w:highlight w:val="none"/>
        </w:rPr>
        <w:t>。货物符合标准的，鉴定费由甲方承担；货物不符合标准的，鉴定费由乙方承担。</w:t>
      </w:r>
    </w:p>
    <w:p w14:paraId="69BF4D03">
      <w:pPr>
        <w:autoSpaceDE w:val="0"/>
        <w:autoSpaceDN w:val="0"/>
        <w:adjustRightInd w:val="0"/>
        <w:spacing w:line="360" w:lineRule="auto"/>
        <w:ind w:left="100" w:right="42"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2.因履行本合同引起的或者与本合同有关的争议，甲乙双方应首先通过友好协商解决，如果协商不能解决，应向甲方所在地有管辖权的人民法院提起诉讼。</w:t>
      </w:r>
      <w:r>
        <w:rPr>
          <w:rFonts w:hint="eastAsia" w:ascii="宋体" w:hAnsi="宋体" w:eastAsia="宋体" w:cs="宋体"/>
          <w:color w:val="000000"/>
          <w:sz w:val="21"/>
          <w:szCs w:val="21"/>
          <w:highlight w:val="none"/>
          <w:lang w:val="en-US" w:eastAsia="zh-CN"/>
        </w:rPr>
        <w:t>守约方有权要求违约方支付因维护自身权益所支出的诉讼费、律师费、交通费、保险费、保全费、执行费等一切费用。</w:t>
      </w:r>
    </w:p>
    <w:p w14:paraId="422538B4">
      <w:pPr>
        <w:autoSpaceDE w:val="0"/>
        <w:autoSpaceDN w:val="0"/>
        <w:adjustRightInd w:val="0"/>
        <w:spacing w:line="360" w:lineRule="auto"/>
        <w:ind w:left="100" w:right="42"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本合同所留单位地址为各方居住地址或者主要办事机构所在地址，本合同履行过程中发生任何纠纷，则前述地址视为法院邮寄法律文书及邮寄催收函、律师函、工作联系函等文件的法定送达地址。所留电话为文件邮寄的联系电话，邮件一旦邮寄，不管是否签收即视为送达，拒收或者退件，以拒收或者退件时间为送达时间。</w:t>
      </w:r>
    </w:p>
    <w:p w14:paraId="40B1D499">
      <w:pPr>
        <w:autoSpaceDE w:val="0"/>
        <w:autoSpaceDN w:val="0"/>
        <w:adjustRightInd w:val="0"/>
        <w:spacing w:line="360" w:lineRule="auto"/>
        <w:ind w:left="100" w:right="42" w:firstLine="42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第十四条　合同的变更、中止或者终止</w:t>
      </w:r>
    </w:p>
    <w:p w14:paraId="66D8028B">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除《中华人民共和国政府采购法》第五十条规定的情形外，本合同一经签订，甲乙双方不得擅自变更、中止或者终止合同。</w:t>
      </w:r>
    </w:p>
    <w:p w14:paraId="1DCBFEF6">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36FEA39C">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第十五条　知识产权、权利保证和保密要求</w:t>
      </w:r>
    </w:p>
    <w:p w14:paraId="08DB8D3C">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1.甲方在履行合同过程中提供给乙方的全部图纸、文件和其他含有数据和信息的资料，其知识产权属于甲方。</w:t>
      </w:r>
    </w:p>
    <w:p w14:paraId="714F12CF">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2.除招标采购需求另有约定外，甲方不因签署和履行合同而享有乙方在履行合同过程中提供给甲方的图纸、文件、配套软件、电子辅助程序和其他含有数据和信息的资料的知识产权。</w:t>
      </w:r>
    </w:p>
    <w:p w14:paraId="01A8D75E">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4C2CEE1D">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4.如果甲方收到任何第三方有关知识产权</w:t>
      </w:r>
      <w:r>
        <w:rPr>
          <w:rFonts w:hint="eastAsia" w:ascii="宋体" w:hAnsi="宋体" w:eastAsia="宋体" w:cs="宋体"/>
          <w:color w:val="000000"/>
          <w:sz w:val="21"/>
          <w:szCs w:val="21"/>
          <w:highlight w:val="none"/>
          <w:lang w:val="en-US" w:eastAsia="zh-CN"/>
        </w:rPr>
        <w:t>或其他权利</w:t>
      </w:r>
      <w:r>
        <w:rPr>
          <w:rFonts w:hint="eastAsia" w:ascii="宋体" w:hAnsi="宋体" w:eastAsia="宋体" w:cs="宋体"/>
          <w:color w:val="000000"/>
          <w:sz w:val="21"/>
          <w:szCs w:val="21"/>
          <w:highlight w:val="none"/>
        </w:rPr>
        <w:t>的主张、索赔或诉讼，乙方在收到甲方通知后， 应以甲方名义并在甲方的协助下，自负费用处理与第三方的索赔或诉讼，并赔偿甲方因此发生的费用和遭受的损失。如果乙方拒绝处理前述索赔或诉讼或在收到甲方通知后</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日内未作表示，甲方可以自己的名义进行这些索赔或诉讼，因此发生的费用和遭受的损失均应由乙方承担</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包括但不限于支付给第三方的赔偿金、补偿金、因消除负面影响或舆情产生的全部费用、因涉纠纷发生的律师费、诉讼费、保全费、保全担保保险费、差旅费等</w:t>
      </w:r>
      <w:r>
        <w:rPr>
          <w:rFonts w:hint="eastAsia" w:ascii="宋体" w:hAnsi="宋体" w:eastAsia="宋体" w:cs="宋体"/>
          <w:color w:val="000000"/>
          <w:sz w:val="21"/>
          <w:szCs w:val="21"/>
          <w:highlight w:val="none"/>
        </w:rPr>
        <w:t>。</w:t>
      </w:r>
    </w:p>
    <w:p w14:paraId="435E3521">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3871F0AC">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6.乙方保证将要交付的货物的所有权完全属于乙方且无任何抵押、质押、查封等产权瑕疵。</w:t>
      </w:r>
    </w:p>
    <w:p w14:paraId="086E9503">
      <w:pPr>
        <w:pStyle w:val="30"/>
        <w:snapToGrid w:val="0"/>
        <w:spacing w:line="360" w:lineRule="auto"/>
        <w:ind w:firstLine="413" w:firstLineChars="196"/>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w:t>
      </w:r>
      <w:r>
        <w:rPr>
          <w:rFonts w:hint="eastAsia" w:ascii="宋体" w:hAnsi="宋体" w:eastAsia="宋体" w:cs="宋体"/>
          <w:b/>
          <w:color w:val="000000"/>
          <w:sz w:val="21"/>
          <w:szCs w:val="21"/>
          <w:highlight w:val="none"/>
          <w:lang w:eastAsia="zh-CN"/>
        </w:rPr>
        <w:t>六</w:t>
      </w:r>
      <w:r>
        <w:rPr>
          <w:rFonts w:hint="eastAsia" w:ascii="宋体" w:hAnsi="宋体" w:eastAsia="宋体" w:cs="宋体"/>
          <w:b/>
          <w:color w:val="000000"/>
          <w:sz w:val="21"/>
          <w:szCs w:val="21"/>
          <w:highlight w:val="none"/>
        </w:rPr>
        <w:t>条  合同生效及其它</w:t>
      </w:r>
    </w:p>
    <w:p w14:paraId="22E41869">
      <w:pPr>
        <w:pStyle w:val="3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1.合同经双方法定代表人或者委托代理人签字并加盖单位公章后生效（委托代理人签字的需后附授权委托书，格式自拟）。</w:t>
      </w:r>
    </w:p>
    <w:p w14:paraId="02EAF904">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2.合同执行中涉及采购资金和采购内容修改或者补充的，并签书面补充协议，方可作为主合同不可分割的一部分。</w:t>
      </w:r>
    </w:p>
    <w:p w14:paraId="0FD7561C">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3.合同生效后，甲乙双方不得因姓名、名称的变更或者法定代表人、负责人、承办人的变动而不履行合同义务。</w:t>
      </w:r>
    </w:p>
    <w:p w14:paraId="47212352">
      <w:pPr>
        <w:pStyle w:val="30"/>
        <w:snapToGrid w:val="0"/>
        <w:spacing w:line="360" w:lineRule="auto"/>
        <w:ind w:left="420" w:left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.本合同未尽事宜，遵照《中华人民共和国民法典》有关条文执行。</w:t>
      </w:r>
    </w:p>
    <w:p w14:paraId="09DE3E0E">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第十七条　签订本合同依据</w:t>
      </w:r>
    </w:p>
    <w:p w14:paraId="625E0847">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w:t>
      </w:r>
    </w:p>
    <w:p w14:paraId="1E063126">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2.乙方提供的</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w:t>
      </w:r>
    </w:p>
    <w:p w14:paraId="785F2116">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3.中标通知书。</w:t>
      </w:r>
    </w:p>
    <w:p w14:paraId="635C6868">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w:t>
      </w:r>
      <w:r>
        <w:rPr>
          <w:rFonts w:hint="eastAsia" w:ascii="宋体" w:hAnsi="宋体" w:eastAsia="宋体" w:cs="宋体"/>
          <w:b/>
          <w:color w:val="000000"/>
          <w:sz w:val="21"/>
          <w:szCs w:val="21"/>
          <w:highlight w:val="none"/>
          <w:lang w:eastAsia="zh-CN"/>
        </w:rPr>
        <w:t>八</w:t>
      </w:r>
      <w:r>
        <w:rPr>
          <w:rFonts w:hint="eastAsia" w:ascii="宋体" w:hAnsi="宋体" w:eastAsia="宋体" w:cs="宋体"/>
          <w:b/>
          <w:color w:val="000000"/>
          <w:sz w:val="21"/>
          <w:szCs w:val="21"/>
          <w:highlight w:val="none"/>
        </w:rPr>
        <w:t>条　廉洁承诺</w:t>
      </w:r>
    </w:p>
    <w:p w14:paraId="54FCBB54">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为保证医疗设备购销领域活动的廉洁性，防止各类违法违纪案件的发生，乙方供货公司和所属人员庄严承诺如下：</w:t>
      </w:r>
    </w:p>
    <w:p w14:paraId="5DF4521E">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1．遵守国家的法律法规。依法处理医疗设备购销业务，保证不搞违法乱纪活动，自觉接受执法执纪部门的监督检查；</w:t>
      </w:r>
    </w:p>
    <w:p w14:paraId="3F32E095">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2．在医疗设备购销领域中，保证不以任何形式给予医院工作人员回扣、好处费等；</w:t>
      </w:r>
    </w:p>
    <w:p w14:paraId="41EB3404">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3．在正常业务交往中，保证不赠送各种礼金、有价证券和贵重物品，不给对方报销应由个人支付的费用；</w:t>
      </w:r>
    </w:p>
    <w:p w14:paraId="4FDB5274">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4．维护正常的医疗秩序，保证不以宴请、高消费娱乐、提供国（境）外学术活动等手段影响医生的用药选择权；</w:t>
      </w:r>
    </w:p>
    <w:p w14:paraId="5F38179D">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5．乙方给医院的捐赠款物，保证严格按照《中华人民共和国公益事业捐赠法》和《卫生计生单位接受公益事业捐赠管理办法》（国卫财务发2015 77号）等法律法规执行；</w:t>
      </w:r>
    </w:p>
    <w:p w14:paraId="32237032">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严格对业务代表进行管理，不进入医院门诊、病区、科室向医护人员推销医疗产品，业务代表不得以任何理由让临床、设备、信息等有关人员统计医生处方和有关耗材的用量信息或要求相关人员为此提供便利；</w:t>
      </w:r>
    </w:p>
    <w:p w14:paraId="74560A3E">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以上承诺如有违反，乙方愿意按照《国家卫生计生委关于建立医药购销领域商业贿赂不良记录的规定》（国卫法制发〔2013〕50号）等相关规定处理。如果情节严重的移交司法机关处理。</w:t>
      </w:r>
    </w:p>
    <w:p w14:paraId="06C86AA0">
      <w:pPr>
        <w:adjustRightInd w:val="0"/>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第十九条　</w:t>
      </w:r>
      <w:r>
        <w:rPr>
          <w:rFonts w:hint="eastAsia" w:ascii="宋体" w:hAnsi="宋体" w:eastAsia="宋体" w:cs="宋体"/>
          <w:color w:val="000000"/>
          <w:sz w:val="21"/>
          <w:szCs w:val="21"/>
          <w:highlight w:val="none"/>
        </w:rPr>
        <w:t>本合同一式陆份，具有同等法律效力。甲方肆份，乙方壹份，</w:t>
      </w:r>
      <w:r>
        <w:rPr>
          <w:rFonts w:hint="eastAsia" w:ascii="宋体" w:hAnsi="宋体" w:eastAsia="宋体" w:cs="宋体"/>
          <w:color w:val="000000"/>
          <w:spacing w:val="4"/>
          <w:sz w:val="21"/>
          <w:szCs w:val="21"/>
          <w:highlight w:val="none"/>
        </w:rPr>
        <w:t>采购代理机构</w:t>
      </w:r>
      <w:r>
        <w:rPr>
          <w:rFonts w:hint="eastAsia" w:ascii="宋体" w:hAnsi="宋体" w:eastAsia="宋体" w:cs="宋体"/>
          <w:color w:val="000000"/>
          <w:sz w:val="21"/>
          <w:szCs w:val="21"/>
          <w:highlight w:val="none"/>
        </w:rPr>
        <w:t>壹份。本合同经甲乙双方法定代表人或授权代表签字并加盖单位公章后生效。</w:t>
      </w:r>
    </w:p>
    <w:p w14:paraId="70043D02">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w:t>
      </w:r>
    </w:p>
    <w:p w14:paraId="10A97FAB">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1.中标通知书</w:t>
      </w:r>
    </w:p>
    <w:p w14:paraId="5246440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rPr>
        <w:t>技术、商务要求</w:t>
      </w:r>
    </w:p>
    <w:p w14:paraId="0EAEC611">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3.乙方的投标声明、开标一览表、技术要求偏离表、商务要求偏离表、设备性能配置清单</w:t>
      </w:r>
      <w:r>
        <w:rPr>
          <w:rFonts w:hint="eastAsia" w:ascii="宋体" w:hAnsi="宋体" w:eastAsia="宋体" w:cs="宋体"/>
          <w:color w:val="000000"/>
          <w:sz w:val="21"/>
          <w:szCs w:val="21"/>
          <w:highlight w:val="none"/>
          <w:lang w:eastAsia="zh-CN"/>
        </w:rPr>
        <w:t>及参数</w:t>
      </w:r>
      <w:r>
        <w:rPr>
          <w:rFonts w:hint="eastAsia" w:ascii="宋体" w:hAnsi="宋体" w:eastAsia="宋体" w:cs="宋体"/>
          <w:color w:val="000000"/>
          <w:sz w:val="21"/>
          <w:szCs w:val="21"/>
          <w:highlight w:val="none"/>
        </w:rPr>
        <w:t>（如有）、售后服务方案（如有）、选配件、专用耗材、售后服务优惠表（如有）</w:t>
      </w:r>
    </w:p>
    <w:p w14:paraId="7670246D">
      <w:pPr>
        <w:adjustRightInd w:val="0"/>
        <w:snapToGrid w:val="0"/>
        <w:spacing w:line="360" w:lineRule="auto"/>
        <w:ind w:left="420" w:leftChars="200" w:firstLine="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4.乙方的营业执照等主体证明文件、医疗器械经营许可证（或医疗器械经营备案凭证）5.制造商授权书（如有）</w:t>
      </w:r>
    </w:p>
    <w:p w14:paraId="06B2C4EB">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.制造商</w:t>
      </w:r>
      <w:r>
        <w:rPr>
          <w:rFonts w:hint="eastAsia" w:ascii="宋体" w:hAnsi="宋体" w:eastAsia="宋体" w:cs="宋体"/>
          <w:color w:val="000000"/>
          <w:sz w:val="21"/>
          <w:szCs w:val="21"/>
          <w:highlight w:val="none"/>
          <w:lang w:eastAsia="zh-CN"/>
        </w:rPr>
        <w:t>相关资质</w:t>
      </w:r>
      <w:r>
        <w:rPr>
          <w:rFonts w:hint="eastAsia" w:ascii="宋体" w:hAnsi="宋体" w:eastAsia="宋体" w:cs="宋体"/>
          <w:color w:val="000000"/>
          <w:sz w:val="21"/>
          <w:szCs w:val="21"/>
          <w:highlight w:val="none"/>
        </w:rPr>
        <w:t>及合同标的对应的医疗器械注册证复印件</w:t>
      </w:r>
      <w:r>
        <w:rPr>
          <w:rFonts w:hint="eastAsia" w:ascii="宋体" w:hAnsi="宋体" w:eastAsia="宋体" w:cs="宋体"/>
          <w:color w:val="000000"/>
          <w:sz w:val="21"/>
          <w:szCs w:val="21"/>
          <w:highlight w:val="none"/>
          <w:lang w:eastAsia="zh-CN"/>
        </w:rPr>
        <w:t>等</w:t>
      </w:r>
      <w:r>
        <w:rPr>
          <w:rFonts w:hint="eastAsia" w:ascii="宋体" w:hAnsi="宋体" w:eastAsia="宋体" w:cs="宋体"/>
          <w:color w:val="000000"/>
          <w:sz w:val="21"/>
          <w:szCs w:val="21"/>
          <w:highlight w:val="none"/>
        </w:rPr>
        <w:t>；</w:t>
      </w:r>
    </w:p>
    <w:p w14:paraId="12C1DB50">
      <w:pPr>
        <w:adjustRightInd w:val="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以下无正文，为签署页</w:t>
      </w:r>
      <w:r>
        <w:rPr>
          <w:rFonts w:hint="eastAsia" w:ascii="宋体" w:hAnsi="宋体" w:eastAsia="宋体" w:cs="宋体"/>
          <w:color w:val="000000"/>
          <w:sz w:val="21"/>
          <w:szCs w:val="21"/>
          <w:highlight w:val="none"/>
          <w:lang w:eastAsia="zh-CN"/>
        </w:rPr>
        <w:t>）</w:t>
      </w:r>
    </w:p>
    <w:tbl>
      <w:tblPr>
        <w:tblStyle w:val="55"/>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5"/>
        <w:gridCol w:w="4825"/>
      </w:tblGrid>
      <w:tr w14:paraId="7639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4"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25ACF25D">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甲方（章）广西壮族自治区南溪山医院（广西壮族自治区第二人民医院）   </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275D2A31">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乙方（章）</w:t>
            </w:r>
          </w:p>
        </w:tc>
      </w:tr>
      <w:tr w14:paraId="6F2A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49BFD684">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单位地址：桂林市象山区崇信路46号</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4C54B844">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单位地址： </w:t>
            </w:r>
          </w:p>
        </w:tc>
      </w:tr>
      <w:tr w14:paraId="1EB6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477452AA">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法定代表人：</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41D9A276">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法定代表人： </w:t>
            </w:r>
          </w:p>
        </w:tc>
      </w:tr>
      <w:tr w14:paraId="42C7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6F13AFAA">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委托代理人：</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35630381">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 xml:space="preserve">委托代理人： </w:t>
            </w:r>
            <w:r>
              <w:rPr>
                <w:rFonts w:hint="eastAsia" w:ascii="宋体" w:hAnsi="宋体" w:eastAsia="宋体" w:cs="宋体"/>
                <w:color w:val="000000"/>
                <w:sz w:val="21"/>
                <w:szCs w:val="21"/>
                <w:highlight w:val="none"/>
                <w:lang w:val="en-US" w:eastAsia="zh-CN"/>
              </w:rPr>
              <w:t xml:space="preserve">             手机号：</w:t>
            </w:r>
          </w:p>
        </w:tc>
      </w:tr>
      <w:tr w14:paraId="04E0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365ED441">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电话：0773-3831227</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4F2CAB2E">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电话：</w:t>
            </w:r>
          </w:p>
        </w:tc>
      </w:tr>
      <w:tr w14:paraId="2108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300C1ADC">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电子邮箱：nysbk3831227@163.com</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23CDB31E">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电子邮箱：</w:t>
            </w:r>
          </w:p>
        </w:tc>
      </w:tr>
      <w:tr w14:paraId="4EBB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777E080C">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纳税人识别号： 12450000498502373N</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05FE097E">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纳税人识别号：</w:t>
            </w:r>
          </w:p>
        </w:tc>
      </w:tr>
      <w:tr w14:paraId="006D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4E1C2D45">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开户银行：中国建设银行股份有限公司桂林城南支行</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34CB66D7">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p>
        </w:tc>
      </w:tr>
      <w:tr w14:paraId="6ACA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31D78404">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账号：45001635305059666666</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7946A8E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w:t>
            </w:r>
          </w:p>
        </w:tc>
      </w:tr>
      <w:tr w14:paraId="5684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009A247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邮政编码：541002</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67F6B1A8">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邮政编码：</w:t>
            </w:r>
          </w:p>
        </w:tc>
      </w:tr>
    </w:tbl>
    <w:p w14:paraId="3B28A2F4">
      <w:pPr>
        <w:pStyle w:val="3"/>
        <w:jc w:val="left"/>
        <w:outlineLvl w:val="1"/>
        <w:rPr>
          <w:rFonts w:hint="default" w:ascii="宋体" w:hAnsi="宋体" w:eastAsia="宋体" w:cs="宋体"/>
          <w:color w:val="000000"/>
          <w:sz w:val="24"/>
          <w:szCs w:val="24"/>
          <w:lang w:val="en-US" w:eastAsia="zh-CN"/>
        </w:rPr>
      </w:pPr>
      <w:r>
        <w:rPr>
          <w:rFonts w:hint="eastAsia" w:ascii="Times New Roman" w:hAnsi="Times New Roman" w:cs="Courier New"/>
          <w:b/>
          <w:color w:val="000000"/>
          <w:szCs w:val="21"/>
          <w:highlight w:val="none"/>
        </w:rPr>
        <w:br w:type="page"/>
      </w:r>
      <w:r>
        <w:rPr>
          <w:rFonts w:hint="eastAsia" w:ascii="宋体" w:hAnsi="宋体" w:eastAsia="宋体" w:cs="宋体"/>
          <w:b/>
          <w:bCs/>
          <w:color w:val="000000"/>
          <w:sz w:val="24"/>
          <w:szCs w:val="24"/>
          <w:lang w:val="en-US" w:eastAsia="zh-CN"/>
        </w:rPr>
        <w:t>标项2：肺功能测试系统</w:t>
      </w:r>
    </w:p>
    <w:p w14:paraId="13E20F21">
      <w:pPr>
        <w:pStyle w:val="3"/>
        <w:jc w:val="center"/>
        <w:outlineLvl w:val="1"/>
        <w:rPr>
          <w:color w:val="000000"/>
        </w:rPr>
      </w:pPr>
      <w:r>
        <w:rPr>
          <w:rFonts w:hint="eastAsia" w:ascii="宋体" w:hAnsi="宋体" w:eastAsia="宋体" w:cs="宋体"/>
          <w:color w:val="000000"/>
          <w:sz w:val="32"/>
          <w:szCs w:val="32"/>
        </w:rPr>
        <w:t>采购合同</w:t>
      </w:r>
    </w:p>
    <w:p w14:paraId="07014B04">
      <w:pPr>
        <w:snapToGrid w:val="0"/>
        <w:spacing w:line="360" w:lineRule="auto"/>
        <w:ind w:right="480"/>
        <w:rPr>
          <w:rFonts w:hint="eastAsia" w:ascii="宋体" w:hAnsi="宋体" w:eastAsia="宋体" w:cs="宋体"/>
          <w:bCs/>
          <w:color w:val="000000"/>
          <w:sz w:val="21"/>
          <w:szCs w:val="21"/>
          <w:highlight w:val="none"/>
          <w:u w:val="single"/>
          <w:lang w:eastAsia="zh-CN"/>
        </w:rPr>
      </w:pPr>
      <w:r>
        <w:rPr>
          <w:rFonts w:hint="eastAsia" w:ascii="宋体" w:hAnsi="宋体" w:eastAsia="宋体" w:cs="宋体"/>
          <w:color w:val="000000"/>
          <w:sz w:val="21"/>
          <w:szCs w:val="21"/>
          <w:highlight w:val="none"/>
        </w:rPr>
        <w:t>采购人（甲方）：</w:t>
      </w:r>
      <w:r>
        <w:rPr>
          <w:rFonts w:hint="eastAsia" w:ascii="宋体" w:hAnsi="宋体" w:eastAsia="宋体" w:cs="宋体"/>
          <w:color w:val="000000"/>
          <w:sz w:val="21"/>
          <w:szCs w:val="21"/>
          <w:highlight w:val="none"/>
          <w:lang w:eastAsia="zh-CN"/>
        </w:rPr>
        <w:t>广西壮族自治区南溪山医院（广西壮族自治区第二人民医院）</w:t>
      </w:r>
    </w:p>
    <w:p w14:paraId="7E69CA6C">
      <w:pPr>
        <w:snapToGrid w:val="0"/>
        <w:spacing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val="en-US" w:eastAsia="zh-CN"/>
        </w:rPr>
        <w:t>中标</w:t>
      </w:r>
      <w:r>
        <w:rPr>
          <w:rFonts w:hint="eastAsia" w:ascii="宋体" w:hAnsi="宋体" w:eastAsia="宋体" w:cs="宋体"/>
          <w:color w:val="000000"/>
          <w:sz w:val="21"/>
          <w:szCs w:val="21"/>
          <w:highlight w:val="none"/>
        </w:rPr>
        <w:t>供应商（乙方）：</w:t>
      </w:r>
      <w:r>
        <w:rPr>
          <w:rFonts w:hint="eastAsia" w:ascii="宋体" w:hAnsi="宋体" w:eastAsia="宋体" w:cs="宋体"/>
          <w:color w:val="000000"/>
          <w:sz w:val="21"/>
          <w:szCs w:val="21"/>
          <w:highlight w:val="none"/>
          <w:u w:val="single"/>
        </w:rPr>
        <w:t xml:space="preserve">                         </w:t>
      </w:r>
    </w:p>
    <w:p w14:paraId="2F67B137">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采购计划文号：</w:t>
      </w:r>
    </w:p>
    <w:p w14:paraId="797AF3D6">
      <w:pPr>
        <w:snapToGrid w:val="0"/>
        <w:spacing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项目名称：</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项目编号：</w:t>
      </w:r>
      <w:r>
        <w:rPr>
          <w:rFonts w:hint="eastAsia" w:ascii="宋体" w:hAnsi="宋体" w:eastAsia="宋体" w:cs="宋体"/>
          <w:color w:val="000000"/>
          <w:sz w:val="21"/>
          <w:szCs w:val="21"/>
          <w:highlight w:val="none"/>
          <w:u w:val="single"/>
        </w:rPr>
        <w:t xml:space="preserve">                       </w:t>
      </w:r>
    </w:p>
    <w:p w14:paraId="709D31C6">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合同类型：买卖合同</w:t>
      </w:r>
    </w:p>
    <w:p w14:paraId="2D1D482E">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签订地点：</w:t>
      </w:r>
      <w:r>
        <w:rPr>
          <w:rFonts w:hint="eastAsia" w:ascii="宋体" w:hAnsi="宋体" w:eastAsia="宋体" w:cs="宋体"/>
          <w:color w:val="000000"/>
          <w:sz w:val="21"/>
          <w:szCs w:val="21"/>
          <w:highlight w:val="none"/>
          <w:lang w:eastAsia="zh-CN"/>
        </w:rPr>
        <w:t>广西壮族自治区南溪山医院（广西壮族自治区第二人民医院）</w:t>
      </w:r>
      <w:r>
        <w:rPr>
          <w:rFonts w:hint="eastAsia" w:ascii="宋体" w:hAnsi="宋体" w:eastAsia="宋体" w:cs="宋体"/>
          <w:color w:val="000000"/>
          <w:sz w:val="21"/>
          <w:szCs w:val="21"/>
          <w:highlight w:val="none"/>
        </w:rPr>
        <w:t xml:space="preserve"> </w:t>
      </w:r>
    </w:p>
    <w:p w14:paraId="241BEE09">
      <w:pPr>
        <w:pStyle w:val="30"/>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p>
    <w:p w14:paraId="489B6010">
      <w:pPr>
        <w:pStyle w:val="30"/>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根据《中华人民共和国政府采购法》、《</w:t>
      </w:r>
      <w:r>
        <w:rPr>
          <w:rFonts w:hint="eastAsia" w:ascii="宋体" w:hAnsi="宋体" w:eastAsia="宋体" w:cs="宋体"/>
          <w:color w:val="000000"/>
          <w:sz w:val="21"/>
          <w:szCs w:val="21"/>
          <w:highlight w:val="none"/>
          <w:lang w:eastAsia="zh-CN"/>
        </w:rPr>
        <w:t>中华人民共和国政府采购法实施条例</w:t>
      </w:r>
      <w:r>
        <w:rPr>
          <w:rFonts w:hint="eastAsia" w:ascii="宋体" w:hAnsi="宋体" w:eastAsia="宋体" w:cs="宋体"/>
          <w:color w:val="000000"/>
          <w:sz w:val="21"/>
          <w:szCs w:val="21"/>
          <w:highlight w:val="none"/>
        </w:rPr>
        <w:t>》、《中华人民共和国</w:t>
      </w:r>
      <w:r>
        <w:rPr>
          <w:rFonts w:hint="eastAsia" w:ascii="宋体" w:hAnsi="宋体" w:eastAsia="宋体" w:cs="宋体"/>
          <w:color w:val="000000"/>
          <w:sz w:val="21"/>
          <w:szCs w:val="21"/>
          <w:highlight w:val="none"/>
          <w:lang w:eastAsia="zh-CN"/>
        </w:rPr>
        <w:t>民法典</w:t>
      </w:r>
      <w:r>
        <w:rPr>
          <w:rFonts w:hint="eastAsia" w:ascii="宋体" w:hAnsi="宋体" w:eastAsia="宋体" w:cs="宋体"/>
          <w:color w:val="000000"/>
          <w:sz w:val="21"/>
          <w:szCs w:val="21"/>
          <w:highlight w:val="none"/>
        </w:rPr>
        <w:t>》等法律、法规规定，按照</w:t>
      </w:r>
      <w:r>
        <w:rPr>
          <w:rFonts w:hint="eastAsia" w:hAnsi="宋体" w:cs="宋体"/>
          <w:color w:val="000000"/>
          <w:sz w:val="21"/>
          <w:szCs w:val="21"/>
          <w:highlight w:val="none"/>
          <w:lang w:val="en-US" w:eastAsia="zh-CN"/>
        </w:rPr>
        <w:t>招标</w:t>
      </w:r>
      <w:r>
        <w:rPr>
          <w:rFonts w:hint="eastAsia" w:hAnsi="宋体" w:cs="宋体"/>
          <w:color w:val="000000"/>
          <w:sz w:val="21"/>
          <w:szCs w:val="21"/>
          <w:highlight w:val="none"/>
          <w:lang w:eastAsia="zh-CN"/>
        </w:rPr>
        <w:t>文件</w:t>
      </w:r>
      <w:r>
        <w:rPr>
          <w:rFonts w:hint="eastAsia" w:ascii="宋体" w:hAnsi="宋体" w:eastAsia="宋体" w:cs="宋体"/>
          <w:color w:val="000000"/>
          <w:sz w:val="21"/>
          <w:szCs w:val="21"/>
          <w:highlight w:val="none"/>
        </w:rPr>
        <w:t>规定条款和乙方</w:t>
      </w:r>
      <w:r>
        <w:rPr>
          <w:rFonts w:hint="eastAsia" w:hAnsi="宋体" w:cs="宋体"/>
          <w:color w:val="000000"/>
          <w:sz w:val="21"/>
          <w:szCs w:val="21"/>
          <w:highlight w:val="none"/>
          <w:lang w:val="en-US" w:eastAsia="zh-CN"/>
        </w:rPr>
        <w:t>投标</w:t>
      </w:r>
      <w:r>
        <w:rPr>
          <w:rFonts w:hint="eastAsia" w:hAnsi="宋体" w:cs="宋体"/>
          <w:color w:val="000000"/>
          <w:sz w:val="21"/>
          <w:szCs w:val="21"/>
          <w:highlight w:val="none"/>
          <w:lang w:eastAsia="zh-CN"/>
        </w:rPr>
        <w:t>文件</w:t>
      </w:r>
      <w:r>
        <w:rPr>
          <w:rFonts w:hint="eastAsia" w:ascii="宋体" w:hAnsi="宋体" w:eastAsia="宋体" w:cs="宋体"/>
          <w:color w:val="000000"/>
          <w:sz w:val="21"/>
          <w:szCs w:val="21"/>
          <w:highlight w:val="none"/>
        </w:rPr>
        <w:t>承诺，甲乙双方签订本合同。</w:t>
      </w:r>
    </w:p>
    <w:p w14:paraId="079E6B71">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第一条　合同标的</w:t>
      </w:r>
    </w:p>
    <w:tbl>
      <w:tblPr>
        <w:tblStyle w:val="55"/>
        <w:tblW w:w="97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231"/>
        <w:gridCol w:w="1387"/>
        <w:gridCol w:w="774"/>
        <w:gridCol w:w="1016"/>
        <w:gridCol w:w="1035"/>
        <w:gridCol w:w="795"/>
        <w:gridCol w:w="735"/>
        <w:gridCol w:w="1155"/>
        <w:gridCol w:w="1110"/>
      </w:tblGrid>
      <w:tr w14:paraId="2E1C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97" w:type="dxa"/>
            <w:noWrap w:val="0"/>
            <w:vAlign w:val="center"/>
          </w:tcPr>
          <w:p w14:paraId="1D51061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231" w:type="dxa"/>
            <w:noWrap w:val="0"/>
            <w:vAlign w:val="center"/>
          </w:tcPr>
          <w:p w14:paraId="3F6EA0A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eastAsia="zh-CN" w:bidi="ar"/>
              </w:rPr>
              <w:t>标的名称</w:t>
            </w:r>
          </w:p>
        </w:tc>
        <w:tc>
          <w:tcPr>
            <w:tcW w:w="1387" w:type="dxa"/>
            <w:noWrap w:val="0"/>
            <w:vAlign w:val="center"/>
          </w:tcPr>
          <w:p w14:paraId="4D4A7C0A">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eastAsia="zh-CN" w:bidi="ar"/>
              </w:rPr>
              <w:t>产品名称</w:t>
            </w:r>
          </w:p>
        </w:tc>
        <w:tc>
          <w:tcPr>
            <w:tcW w:w="774" w:type="dxa"/>
            <w:noWrap w:val="0"/>
            <w:vAlign w:val="center"/>
          </w:tcPr>
          <w:p w14:paraId="44DF771B">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商标品牌</w:t>
            </w:r>
          </w:p>
        </w:tc>
        <w:tc>
          <w:tcPr>
            <w:tcW w:w="1016" w:type="dxa"/>
            <w:noWrap w:val="0"/>
            <w:vAlign w:val="center"/>
          </w:tcPr>
          <w:p w14:paraId="1D2A5B6B">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规格型号</w:t>
            </w:r>
          </w:p>
        </w:tc>
        <w:tc>
          <w:tcPr>
            <w:tcW w:w="1035" w:type="dxa"/>
            <w:noWrap w:val="0"/>
            <w:vAlign w:val="center"/>
          </w:tcPr>
          <w:p w14:paraId="0AA83EA7">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生产厂家</w:t>
            </w:r>
          </w:p>
        </w:tc>
        <w:tc>
          <w:tcPr>
            <w:tcW w:w="795" w:type="dxa"/>
            <w:noWrap w:val="0"/>
            <w:vAlign w:val="center"/>
          </w:tcPr>
          <w:p w14:paraId="1EC71ABD">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w:t>
            </w:r>
          </w:p>
        </w:tc>
        <w:tc>
          <w:tcPr>
            <w:tcW w:w="735" w:type="dxa"/>
            <w:noWrap w:val="0"/>
            <w:vAlign w:val="center"/>
          </w:tcPr>
          <w:p w14:paraId="5D8A1D0B">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w:t>
            </w:r>
          </w:p>
        </w:tc>
        <w:tc>
          <w:tcPr>
            <w:tcW w:w="1155" w:type="dxa"/>
            <w:noWrap w:val="0"/>
            <w:vAlign w:val="center"/>
          </w:tcPr>
          <w:p w14:paraId="56694154">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单价(元)</w:t>
            </w:r>
          </w:p>
        </w:tc>
        <w:tc>
          <w:tcPr>
            <w:tcW w:w="1110" w:type="dxa"/>
            <w:noWrap w:val="0"/>
            <w:vAlign w:val="center"/>
          </w:tcPr>
          <w:p w14:paraId="121D4907">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金额(元)</w:t>
            </w:r>
          </w:p>
        </w:tc>
      </w:tr>
      <w:tr w14:paraId="25A3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497" w:type="dxa"/>
            <w:noWrap w:val="0"/>
            <w:vAlign w:val="center"/>
          </w:tcPr>
          <w:p w14:paraId="08493E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w:t>
            </w:r>
          </w:p>
        </w:tc>
        <w:tc>
          <w:tcPr>
            <w:tcW w:w="1231" w:type="dxa"/>
            <w:noWrap w:val="0"/>
            <w:vAlign w:val="center"/>
          </w:tcPr>
          <w:p w14:paraId="4BFBF88F">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lang w:eastAsia="zh-CN" w:bidi="ar"/>
              </w:rPr>
            </w:pPr>
          </w:p>
        </w:tc>
        <w:tc>
          <w:tcPr>
            <w:tcW w:w="1387" w:type="dxa"/>
            <w:noWrap w:val="0"/>
            <w:vAlign w:val="center"/>
          </w:tcPr>
          <w:p w14:paraId="59108393">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c>
          <w:tcPr>
            <w:tcW w:w="774" w:type="dxa"/>
            <w:noWrap w:val="0"/>
            <w:vAlign w:val="center"/>
          </w:tcPr>
          <w:p w14:paraId="03C42C1D">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c>
          <w:tcPr>
            <w:tcW w:w="1016" w:type="dxa"/>
            <w:noWrap w:val="0"/>
            <w:vAlign w:val="center"/>
          </w:tcPr>
          <w:p w14:paraId="0DFA3F91">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lang w:bidi="ar"/>
              </w:rPr>
            </w:pPr>
          </w:p>
        </w:tc>
        <w:tc>
          <w:tcPr>
            <w:tcW w:w="1035" w:type="dxa"/>
            <w:noWrap w:val="0"/>
            <w:vAlign w:val="center"/>
          </w:tcPr>
          <w:p w14:paraId="1FC401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rPr>
            </w:pPr>
          </w:p>
        </w:tc>
        <w:tc>
          <w:tcPr>
            <w:tcW w:w="795" w:type="dxa"/>
            <w:noWrap w:val="0"/>
            <w:vAlign w:val="center"/>
          </w:tcPr>
          <w:p w14:paraId="750BA1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rPr>
            </w:pPr>
          </w:p>
        </w:tc>
        <w:tc>
          <w:tcPr>
            <w:tcW w:w="735" w:type="dxa"/>
            <w:noWrap w:val="0"/>
            <w:vAlign w:val="center"/>
          </w:tcPr>
          <w:p w14:paraId="742C87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color w:val="000000"/>
                <w:kern w:val="0"/>
                <w:sz w:val="21"/>
                <w:szCs w:val="21"/>
                <w:highlight w:val="none"/>
              </w:rPr>
            </w:pPr>
          </w:p>
        </w:tc>
        <w:tc>
          <w:tcPr>
            <w:tcW w:w="1155" w:type="dxa"/>
            <w:noWrap w:val="0"/>
            <w:vAlign w:val="center"/>
          </w:tcPr>
          <w:p w14:paraId="6D296991">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c>
          <w:tcPr>
            <w:tcW w:w="1110" w:type="dxa"/>
            <w:noWrap w:val="0"/>
            <w:vAlign w:val="center"/>
          </w:tcPr>
          <w:p w14:paraId="1F1C627F">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rPr>
            </w:pPr>
          </w:p>
        </w:tc>
      </w:tr>
      <w:tr w14:paraId="27BE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735" w:type="dxa"/>
            <w:gridSpan w:val="10"/>
            <w:noWrap w:val="0"/>
            <w:vAlign w:val="center"/>
          </w:tcPr>
          <w:p w14:paraId="68D4DBBF">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人民币合计金额(大写)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(小写)¥：</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lang w:val="en-US" w:eastAsia="zh-CN"/>
              </w:rPr>
              <w:t>元</w:t>
            </w:r>
          </w:p>
        </w:tc>
      </w:tr>
    </w:tbl>
    <w:p w14:paraId="7D47BED6">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22" w:firstLineChars="200"/>
        <w:textAlignment w:val="auto"/>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第二条　标的质量</w:t>
      </w:r>
    </w:p>
    <w:p w14:paraId="0B392FA7">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1.乙方所提供标的的名称、商标品牌、生产厂家、规格型号、技术参数等内容必须与乙方</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及有关承诺相一致，且满足项目实施要求。</w:t>
      </w:r>
    </w:p>
    <w:p w14:paraId="4E444411">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2.乙方所提供的货物必须是全新、未使用的原装产品，且在正常安装、使用和保养条件下，其使用寿命期内各项指标均达到</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的承诺。</w:t>
      </w:r>
    </w:p>
    <w:p w14:paraId="7F96B294">
      <w:pPr>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3.乙方在交付产品后，甲方在任何时间如发现乙方所交付的产品不符合甲方</w:t>
      </w:r>
      <w:r>
        <w:rPr>
          <w:rFonts w:hint="eastAsia" w:ascii="宋体" w:hAnsi="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en-US" w:eastAsia="zh-CN"/>
        </w:rPr>
        <w:t>要求或乙方在</w:t>
      </w:r>
      <w:r>
        <w:rPr>
          <w:rFonts w:hint="eastAsia" w:ascii="宋体" w:hAnsi="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en-US" w:eastAsia="zh-CN"/>
        </w:rPr>
        <w:t>中的承诺，乙方应当提供相关证明材料或鉴定报告予以作证，乙方无法证明其交付的产品符合</w:t>
      </w:r>
      <w:r>
        <w:rPr>
          <w:rFonts w:hint="eastAsia" w:ascii="宋体" w:hAnsi="宋体" w:cs="宋体"/>
          <w:color w:val="000000"/>
          <w:sz w:val="21"/>
          <w:szCs w:val="21"/>
          <w:highlight w:val="none"/>
          <w:lang w:val="en-US" w:eastAsia="zh-CN"/>
        </w:rPr>
        <w:t>招标文件</w:t>
      </w:r>
      <w:r>
        <w:rPr>
          <w:rFonts w:hint="eastAsia" w:ascii="宋体" w:hAnsi="宋体" w:eastAsia="宋体" w:cs="宋体"/>
          <w:color w:val="000000"/>
          <w:sz w:val="21"/>
          <w:szCs w:val="21"/>
          <w:highlight w:val="none"/>
          <w:lang w:val="en-US" w:eastAsia="zh-CN"/>
        </w:rPr>
        <w:t>或</w:t>
      </w:r>
      <w:r>
        <w:rPr>
          <w:rFonts w:hint="eastAsia" w:ascii="宋体" w:hAnsi="宋体" w:cs="宋体"/>
          <w:color w:val="000000"/>
          <w:sz w:val="21"/>
          <w:szCs w:val="21"/>
          <w:highlight w:val="none"/>
          <w:lang w:val="en-US" w:eastAsia="zh-CN"/>
        </w:rPr>
        <w:t>投标文件</w:t>
      </w:r>
      <w:r>
        <w:rPr>
          <w:rFonts w:hint="eastAsia" w:ascii="宋体" w:hAnsi="宋体" w:eastAsia="宋体" w:cs="宋体"/>
          <w:color w:val="000000"/>
          <w:sz w:val="21"/>
          <w:szCs w:val="21"/>
          <w:highlight w:val="none"/>
          <w:lang w:val="en-US" w:eastAsia="zh-CN"/>
        </w:rPr>
        <w:t>的，按质量不合格处理。</w:t>
      </w:r>
    </w:p>
    <w:p w14:paraId="0171E459">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第三条　</w:t>
      </w:r>
      <w:r>
        <w:rPr>
          <w:rFonts w:hint="eastAsia" w:ascii="宋体" w:hAnsi="宋体" w:eastAsia="宋体" w:cs="宋体"/>
          <w:color w:val="000000"/>
          <w:sz w:val="21"/>
          <w:szCs w:val="21"/>
          <w:highlight w:val="none"/>
        </w:rPr>
        <w:t>履行时间（期限）、地点和方式</w:t>
      </w:r>
    </w:p>
    <w:p w14:paraId="7CAE7B57">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1.履行时间（期限）：</w:t>
      </w:r>
      <w:r>
        <w:rPr>
          <w:rFonts w:hint="eastAsia" w:ascii="宋体" w:hAnsi="宋体"/>
          <w:szCs w:val="21"/>
        </w:rPr>
        <w:t>自签订合同之日起</w:t>
      </w:r>
      <w:r>
        <w:rPr>
          <w:rFonts w:ascii="宋体" w:hAnsi="宋体"/>
          <w:szCs w:val="21"/>
        </w:rPr>
        <w:t>30</w:t>
      </w:r>
      <w:r>
        <w:rPr>
          <w:rFonts w:hint="eastAsia" w:ascii="Times New Roman" w:hAnsi="Times New Roman" w:cs="宋体"/>
          <w:color w:val="000000"/>
          <w:szCs w:val="21"/>
          <w:highlight w:val="none"/>
        </w:rPr>
        <w:t>个日历日</w:t>
      </w:r>
      <w:r>
        <w:rPr>
          <w:rFonts w:hint="eastAsia" w:ascii="宋体" w:hAnsi="宋体"/>
          <w:szCs w:val="21"/>
        </w:rPr>
        <w:t>内安装调试并交付使用</w:t>
      </w:r>
      <w:r>
        <w:rPr>
          <w:rFonts w:hint="eastAsia" w:ascii="Times New Roman" w:hAnsi="Times New Roman" w:cs="宋体"/>
          <w:color w:val="auto"/>
          <w:szCs w:val="21"/>
          <w:highlight w:val="none"/>
        </w:rPr>
        <w:t>。</w:t>
      </w:r>
    </w:p>
    <w:p w14:paraId="67336E3B">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2.履行地点：广西桂林市内甲方指定地点。</w:t>
      </w:r>
    </w:p>
    <w:p w14:paraId="6BA76A46">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3.履行方式:</w:t>
      </w:r>
    </w:p>
    <w:p w14:paraId="00B6A07A">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（1）乙方负责货物运输，货物的运输方式：</w:t>
      </w:r>
      <w:r>
        <w:rPr>
          <w:rFonts w:hint="eastAsia" w:ascii="宋体" w:hAnsi="宋体" w:eastAsia="宋体" w:cs="宋体"/>
          <w:color w:val="000000"/>
          <w:sz w:val="21"/>
          <w:szCs w:val="21"/>
          <w:highlight w:val="none"/>
          <w:u w:val="single"/>
        </w:rPr>
        <w:t xml:space="preserve">  不限  </w:t>
      </w:r>
      <w:r>
        <w:rPr>
          <w:rFonts w:hint="eastAsia" w:ascii="宋体" w:hAnsi="宋体" w:eastAsia="宋体" w:cs="宋体"/>
          <w:color w:val="000000"/>
          <w:sz w:val="21"/>
          <w:szCs w:val="21"/>
          <w:highlight w:val="none"/>
        </w:rPr>
        <w:t>。</w:t>
      </w:r>
    </w:p>
    <w:p w14:paraId="21A4CE02">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（2）交货方式：</w:t>
      </w:r>
    </w:p>
    <w:p w14:paraId="31C76F15">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☑乙方将货物送到甲方指定地点。</w:t>
      </w:r>
    </w:p>
    <w:p w14:paraId="0134CD66">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□甲方自行到乙方指定地点提货。</w:t>
      </w:r>
    </w:p>
    <w:p w14:paraId="5BD21453">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p>
    <w:p w14:paraId="470F9587">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（3）卸货费用由乙方承担。</w:t>
      </w:r>
    </w:p>
    <w:p w14:paraId="30920A0F">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第四条　包装方式及运输</w:t>
      </w:r>
    </w:p>
    <w:p w14:paraId="510B1A91">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1.乙方提供的货物均应按</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承诺的包装要求进行包装及运输,要求为原厂原包装，包装完好完整、无破损、未开封。国家对包装及运输有相关强制性标准或要求的，乙方应当执行。</w:t>
      </w:r>
    </w:p>
    <w:p w14:paraId="005DD311">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2.乙方的包装及运输应综合考虑运输距离、防水、防潮、防震、防锈和防破损装卸等要求，以保证货物安全、完好运达甲方指定地点。国家对包装及运输有相关强制性标准或要求的，乙方应当执行。</w:t>
      </w:r>
    </w:p>
    <w:p w14:paraId="3A760373">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3.货物的使用说明书（货物属于进口产品的，供货时应同时附上中文使用说明书）、质量检验证明书、质量合格证、随配附件和工具以及清单一并附于货物包装内。</w:t>
      </w:r>
    </w:p>
    <w:p w14:paraId="59F580D8">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4.产品（含包装）运抵甲方指定交付地点并经甲方验收合格前发生损坏及相关风险由乙方自行承担。</w:t>
      </w:r>
    </w:p>
    <w:p w14:paraId="34D14267">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5.乙方负责货物运输，货物运输合理损耗及计算方法：由乙方负责 。</w:t>
      </w:r>
    </w:p>
    <w:p w14:paraId="5841934E">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6.乙方在货物发运手续办理完毕后二十四小时内或货到甲方四十八小时前通知甲方，以准备接货。</w:t>
      </w:r>
    </w:p>
    <w:p w14:paraId="6808DC52">
      <w:pPr>
        <w:pStyle w:val="30"/>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7.乙方应将所提供货物的装箱清单、用户手册、原厂保修卡、随机资料、工具和备品、备件等一并交付给甲方，如有缺失应及时补齐，否则视为逾期交货。</w:t>
      </w:r>
    </w:p>
    <w:p w14:paraId="001C9F8E">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第五条　安装和培训</w:t>
      </w:r>
    </w:p>
    <w:p w14:paraId="7AD66572">
      <w:pPr>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1.安装时间及地点：甲方指定的时间和地点。</w:t>
      </w:r>
    </w:p>
    <w:p w14:paraId="2A2DA946">
      <w:pPr>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2.安装要求：乙方应当按设备要求或甲方要求进行安装。</w:t>
      </w:r>
    </w:p>
    <w:p w14:paraId="62FE5E24">
      <w:pPr>
        <w:snapToGrid w:val="0"/>
        <w:spacing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3.甲方应提供必要安装条件（如场地、电源、水源等）。</w:t>
      </w:r>
    </w:p>
    <w:p w14:paraId="65CF4927">
      <w:pPr>
        <w:pStyle w:val="21"/>
        <w:spacing w:after="0"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4.乙方应当按照</w:t>
      </w:r>
      <w:r>
        <w:rPr>
          <w:rFonts w:hint="eastAsia" w:ascii="宋体" w:hAnsi="宋体" w:cs="宋体"/>
          <w:color w:val="000000"/>
          <w:kern w:val="2"/>
          <w:sz w:val="21"/>
          <w:szCs w:val="21"/>
          <w:highlight w:val="none"/>
          <w:lang w:val="en-US" w:eastAsia="zh-CN" w:bidi="ar-SA"/>
        </w:rPr>
        <w:t>投标文件</w:t>
      </w:r>
      <w:r>
        <w:rPr>
          <w:rFonts w:hint="eastAsia" w:ascii="宋体" w:hAnsi="宋体" w:eastAsia="宋体" w:cs="宋体"/>
          <w:color w:val="000000"/>
          <w:kern w:val="2"/>
          <w:sz w:val="21"/>
          <w:szCs w:val="21"/>
          <w:highlight w:val="none"/>
          <w:lang w:val="en-US" w:eastAsia="zh-CN" w:bidi="ar-SA"/>
        </w:rPr>
        <w:t>的承诺负责对甲方有关人员进行培训，使甲方使用人员熟练掌握设备的全部功能，培训的相关费用包括在合同价款中，甲方不再另行支付。培训时间：货物安装调试合格完毕并交付使用后的</w:t>
      </w:r>
      <w:r>
        <w:rPr>
          <w:rFonts w:hint="eastAsia" w:ascii="宋体" w:hAnsi="宋体" w:eastAsia="宋体" w:cs="宋体"/>
          <w:color w:val="000000"/>
          <w:kern w:val="2"/>
          <w:sz w:val="21"/>
          <w:szCs w:val="21"/>
          <w:highlight w:val="none"/>
          <w:u w:val="single"/>
          <w:lang w:val="en-US" w:eastAsia="zh-CN" w:bidi="ar-SA"/>
        </w:rPr>
        <w:t>1</w:t>
      </w:r>
      <w:r>
        <w:rPr>
          <w:rFonts w:hint="eastAsia" w:ascii="宋体" w:hAnsi="宋体" w:eastAsia="宋体" w:cs="宋体"/>
          <w:color w:val="000000"/>
          <w:kern w:val="2"/>
          <w:sz w:val="21"/>
          <w:szCs w:val="21"/>
          <w:highlight w:val="none"/>
          <w:lang w:val="en-US" w:eastAsia="zh-CN" w:bidi="ar-SA"/>
        </w:rPr>
        <w:t>天内，具体时间由甲方指定；培训地点：广西桂林市内采购人指定地点。</w:t>
      </w:r>
    </w:p>
    <w:p w14:paraId="45C3E662">
      <w:pPr>
        <w:pStyle w:val="21"/>
        <w:spacing w:after="0" w:line="360" w:lineRule="auto"/>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乙方在安装、调试以及培训期间，应采取严格安全保障措施，承担安全保障义务，安装调试以及培训期间发生的人身或财产损害事件，一切责任与法律后果均由乙方自行承担，给甲方造成损失的，乙方应当予以全部赔偿。</w:t>
      </w:r>
    </w:p>
    <w:p w14:paraId="31A463BB">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第六条　合同价款及支付</w:t>
      </w:r>
    </w:p>
    <w:p w14:paraId="3BB33387">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1.本合同以人民币付款。</w:t>
      </w:r>
    </w:p>
    <w:p w14:paraId="7E4CB617">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.合同价款 (人民币):（大写）：</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（小写） ¥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w:t>
      </w:r>
    </w:p>
    <w:p w14:paraId="66986018">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3.资金性质：</w:t>
      </w:r>
      <w:r>
        <w:rPr>
          <w:rFonts w:hint="eastAsia" w:ascii="宋体" w:hAnsi="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w:t>
      </w:r>
    </w:p>
    <w:p w14:paraId="46F06008">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4.合同价款是履行合同的最终价格，包括所提供的货物（包括备品备件、专用工具等）的价格，</w:t>
      </w:r>
      <w:r>
        <w:rPr>
          <w:rFonts w:hint="eastAsia" w:ascii="宋体" w:hAnsi="宋体" w:eastAsia="宋体" w:cs="宋体"/>
          <w:color w:val="000000"/>
          <w:sz w:val="21"/>
          <w:szCs w:val="21"/>
          <w:highlight w:val="none"/>
          <w:lang w:val="en-US" w:eastAsia="zh-CN"/>
        </w:rPr>
        <w:t>以及</w:t>
      </w:r>
      <w:r>
        <w:rPr>
          <w:rFonts w:hint="eastAsia" w:ascii="宋体" w:hAnsi="宋体" w:eastAsia="宋体" w:cs="宋体"/>
          <w:color w:val="000000"/>
          <w:sz w:val="21"/>
          <w:szCs w:val="21"/>
          <w:highlight w:val="none"/>
        </w:rPr>
        <w:t>投标货物包装、运输、装卸、送货上门、安装、调试、检验、售后服务、技术服务、培训、保险、税金、代理费</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rPr>
        <w:t>要求提供的所有伴随服务、工程等费用和税费。</w:t>
      </w:r>
    </w:p>
    <w:p w14:paraId="4AF1F58F">
      <w:pPr>
        <w:numPr>
          <w:ilvl w:val="0"/>
          <w:numId w:val="0"/>
        </w:num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lang w:val="en-US" w:eastAsia="zh-CN"/>
        </w:rPr>
        <w:t>5</w:t>
      </w:r>
      <w:r>
        <w:rPr>
          <w:rFonts w:hint="eastAsia" w:ascii="宋体" w:hAnsi="宋体" w:eastAsia="宋体" w:cs="宋体"/>
          <w:bCs/>
          <w:color w:val="000000"/>
          <w:sz w:val="21"/>
          <w:szCs w:val="21"/>
          <w:highlight w:val="none"/>
        </w:rPr>
        <w:t>.</w:t>
      </w:r>
      <w:r>
        <w:rPr>
          <w:rFonts w:hint="eastAsia" w:ascii="宋体" w:hAnsi="宋体" w:eastAsia="宋体" w:cs="宋体"/>
          <w:bCs/>
          <w:color w:val="000000"/>
          <w:sz w:val="21"/>
          <w:szCs w:val="21"/>
          <w:highlight w:val="none"/>
          <w:lang w:val="en-US" w:eastAsia="zh-CN"/>
        </w:rPr>
        <w:t xml:space="preserve"> </w:t>
      </w:r>
      <w:r>
        <w:rPr>
          <w:rFonts w:hint="eastAsia" w:ascii="宋体" w:hAnsi="宋体" w:eastAsia="宋体" w:cs="宋体"/>
          <w:color w:val="000000"/>
          <w:sz w:val="21"/>
          <w:szCs w:val="21"/>
          <w:highlight w:val="none"/>
        </w:rPr>
        <w:t>付款进度安排:</w:t>
      </w:r>
    </w:p>
    <w:p w14:paraId="27CB622B">
      <w:pPr>
        <w:numPr>
          <w:ilvl w:val="0"/>
          <w:numId w:val="0"/>
        </w:numPr>
        <w:adjustRightInd w:val="0"/>
        <w:snapToGrid w:val="0"/>
        <w:spacing w:line="360" w:lineRule="auto"/>
        <w:ind w:firstLine="420" w:firstLineChars="200"/>
        <w:rPr>
          <w:rFonts w:hint="eastAsia" w:ascii="Times New Roman" w:hAnsi="Times New Roman" w:cs="宋体"/>
          <w:color w:val="auto"/>
          <w:szCs w:val="21"/>
          <w:highlight w:val="none"/>
        </w:rPr>
      </w:pPr>
      <w:r>
        <w:rPr>
          <w:rFonts w:hint="eastAsia" w:ascii="Times New Roman" w:hAnsi="Times New Roman" w:eastAsia="宋体" w:cs="宋体"/>
          <w:color w:val="000000"/>
          <w:szCs w:val="21"/>
          <w:highlight w:val="none"/>
          <w:lang w:eastAsia="zh-CN"/>
        </w:rPr>
        <w:t>（</w:t>
      </w:r>
      <w:r>
        <w:rPr>
          <w:rFonts w:hint="eastAsia" w:ascii="Times New Roman" w:hAnsi="Times New Roman" w:eastAsia="宋体" w:cs="宋体"/>
          <w:color w:val="000000"/>
          <w:szCs w:val="21"/>
          <w:highlight w:val="none"/>
          <w:lang w:val="en-US" w:eastAsia="zh-CN"/>
        </w:rPr>
        <w:t>1</w:t>
      </w:r>
      <w:r>
        <w:rPr>
          <w:rFonts w:hint="eastAsia" w:ascii="Times New Roman" w:hAnsi="Times New Roman" w:eastAsia="宋体" w:cs="宋体"/>
          <w:color w:val="000000"/>
          <w:szCs w:val="21"/>
          <w:highlight w:val="none"/>
          <w:lang w:eastAsia="zh-CN"/>
        </w:rPr>
        <w:t>）</w:t>
      </w:r>
      <w:r>
        <w:rPr>
          <w:rFonts w:hint="eastAsia" w:ascii="Times New Roman" w:hAnsi="Times New Roman" w:cs="宋体"/>
          <w:color w:val="auto"/>
          <w:szCs w:val="21"/>
          <w:highlight w:val="none"/>
        </w:rPr>
        <w:t>签订合同后30个工作日内，支付合同价款的30%，设备安装验收合格正常使用后30个工作日内，支付合同价款的70%。</w:t>
      </w:r>
      <w:r>
        <w:rPr>
          <w:rFonts w:hint="eastAsia" w:ascii="Times New Roman" w:hAnsi="Times New Roman" w:cs="宋体"/>
          <w:color w:val="auto"/>
          <w:szCs w:val="21"/>
          <w:highlight w:val="none"/>
          <w:lang w:val="en-US" w:eastAsia="zh-CN"/>
        </w:rPr>
        <w:t>乙方</w:t>
      </w:r>
      <w:r>
        <w:rPr>
          <w:rFonts w:hint="eastAsia" w:ascii="Times New Roman" w:hAnsi="Times New Roman" w:cs="宋体"/>
          <w:color w:val="auto"/>
          <w:szCs w:val="21"/>
          <w:highlight w:val="none"/>
        </w:rPr>
        <w:t>须在设备验收合格后及时向</w:t>
      </w:r>
      <w:r>
        <w:rPr>
          <w:rFonts w:hint="eastAsia" w:ascii="Times New Roman" w:hAnsi="Times New Roman" w:cs="宋体"/>
          <w:color w:val="auto"/>
          <w:szCs w:val="21"/>
          <w:highlight w:val="none"/>
          <w:lang w:val="en-US" w:eastAsia="zh-CN"/>
        </w:rPr>
        <w:t>甲方</w:t>
      </w:r>
      <w:r>
        <w:rPr>
          <w:rFonts w:hint="eastAsia" w:ascii="Times New Roman" w:hAnsi="Times New Roman" w:cs="宋体"/>
          <w:color w:val="auto"/>
          <w:szCs w:val="21"/>
          <w:highlight w:val="none"/>
        </w:rPr>
        <w:t>提供符合国家规定及</w:t>
      </w:r>
      <w:r>
        <w:rPr>
          <w:rFonts w:hint="eastAsia" w:ascii="Times New Roman" w:hAnsi="Times New Roman" w:cs="宋体"/>
          <w:color w:val="auto"/>
          <w:szCs w:val="21"/>
          <w:highlight w:val="none"/>
          <w:lang w:val="en-US" w:eastAsia="zh-CN"/>
        </w:rPr>
        <w:t>甲方</w:t>
      </w:r>
      <w:r>
        <w:rPr>
          <w:rFonts w:hint="eastAsia" w:ascii="Times New Roman" w:hAnsi="Times New Roman" w:cs="宋体"/>
          <w:color w:val="auto"/>
          <w:szCs w:val="21"/>
          <w:highlight w:val="none"/>
        </w:rPr>
        <w:t>要求的全额有效的税务发票，</w:t>
      </w:r>
      <w:r>
        <w:rPr>
          <w:rFonts w:hint="eastAsia" w:ascii="Times New Roman" w:hAnsi="Times New Roman" w:cs="宋体"/>
          <w:color w:val="auto"/>
          <w:szCs w:val="21"/>
          <w:highlight w:val="none"/>
          <w:lang w:val="en-US" w:eastAsia="zh-CN"/>
        </w:rPr>
        <w:t>甲方</w:t>
      </w:r>
      <w:r>
        <w:rPr>
          <w:rFonts w:hint="eastAsia" w:ascii="Times New Roman" w:hAnsi="Times New Roman" w:cs="宋体"/>
          <w:color w:val="auto"/>
          <w:szCs w:val="21"/>
          <w:highlight w:val="none"/>
        </w:rPr>
        <w:t>未收到发票的，有权不予支付相应款项直至</w:t>
      </w:r>
      <w:r>
        <w:rPr>
          <w:rFonts w:hint="eastAsia" w:ascii="Times New Roman" w:hAnsi="Times New Roman" w:cs="宋体"/>
          <w:color w:val="auto"/>
          <w:szCs w:val="21"/>
          <w:highlight w:val="none"/>
          <w:lang w:val="en-US" w:eastAsia="zh-CN"/>
        </w:rPr>
        <w:t>乙方</w:t>
      </w:r>
      <w:r>
        <w:rPr>
          <w:rFonts w:hint="eastAsia" w:ascii="Times New Roman" w:hAnsi="Times New Roman" w:cs="宋体"/>
          <w:color w:val="auto"/>
          <w:szCs w:val="21"/>
          <w:highlight w:val="none"/>
        </w:rPr>
        <w:t>提供合格发票，并不承担延迟付款责任。发票认证通过是付款的必要前提之一。</w:t>
      </w:r>
    </w:p>
    <w:p w14:paraId="21A70922">
      <w:pPr>
        <w:numPr>
          <w:ilvl w:val="0"/>
          <w:numId w:val="0"/>
        </w:num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Times New Roman" w:hAnsi="Times New Roman" w:eastAsia="宋体" w:cs="宋体"/>
          <w:color w:val="000000"/>
          <w:szCs w:val="21"/>
          <w:highlight w:val="none"/>
          <w:lang w:eastAsia="zh-CN"/>
        </w:rPr>
        <w:t>（</w:t>
      </w:r>
      <w:r>
        <w:rPr>
          <w:rFonts w:hint="eastAsia" w:ascii="Times New Roman" w:hAnsi="Times New Roman" w:eastAsia="宋体" w:cs="宋体"/>
          <w:color w:val="000000"/>
          <w:szCs w:val="21"/>
          <w:highlight w:val="none"/>
          <w:lang w:val="en-US" w:eastAsia="zh-CN"/>
        </w:rPr>
        <w:t>2</w:t>
      </w:r>
      <w:r>
        <w:rPr>
          <w:rFonts w:hint="eastAsia" w:ascii="Times New Roman" w:hAnsi="Times New Roman" w:eastAsia="宋体" w:cs="宋体"/>
          <w:color w:val="000000"/>
          <w:szCs w:val="21"/>
          <w:highlight w:val="none"/>
          <w:lang w:eastAsia="zh-CN"/>
        </w:rPr>
        <w:t>）</w:t>
      </w:r>
      <w:r>
        <w:rPr>
          <w:rFonts w:hint="eastAsia" w:ascii="宋体" w:hAnsi="宋体" w:eastAsia="宋体" w:cs="宋体"/>
          <w:color w:val="000000"/>
          <w:sz w:val="21"/>
          <w:szCs w:val="21"/>
          <w:highlight w:val="none"/>
        </w:rPr>
        <w:t>本合同执行中相关的一切税费均由乙方</w:t>
      </w:r>
      <w:r>
        <w:rPr>
          <w:rFonts w:hint="eastAsia" w:ascii="宋体" w:hAnsi="宋体" w:eastAsia="宋体" w:cs="宋体"/>
          <w:color w:val="000000"/>
          <w:sz w:val="21"/>
          <w:szCs w:val="21"/>
          <w:highlight w:val="none"/>
          <w:lang w:val="en-US" w:eastAsia="zh-CN"/>
        </w:rPr>
        <w:t>负担。</w:t>
      </w:r>
    </w:p>
    <w:p w14:paraId="6E414FA8">
      <w:pPr>
        <w:numPr>
          <w:ilvl w:val="0"/>
          <w:numId w:val="0"/>
        </w:numPr>
        <w:adjustRightInd w:val="0"/>
        <w:snapToGrid w:val="0"/>
        <w:spacing w:line="360" w:lineRule="auto"/>
        <w:ind w:firstLine="420" w:firstLineChars="200"/>
        <w:rPr>
          <w:rFonts w:hint="eastAsia"/>
          <w:lang w:val="en-US" w:eastAsia="zh-CN"/>
        </w:rPr>
      </w:pPr>
      <w:r>
        <w:rPr>
          <w:rFonts w:hint="eastAsia" w:ascii="Times New Roman" w:hAnsi="Times New Roman" w:eastAsia="宋体" w:cs="宋体"/>
          <w:color w:val="000000"/>
          <w:szCs w:val="21"/>
          <w:highlight w:val="none"/>
          <w:lang w:eastAsia="zh-CN"/>
        </w:rPr>
        <w:t>（</w:t>
      </w:r>
      <w:r>
        <w:rPr>
          <w:rFonts w:hint="eastAsia" w:ascii="Times New Roman" w:hAnsi="Times New Roman" w:eastAsia="宋体" w:cs="宋体"/>
          <w:color w:val="000000"/>
          <w:szCs w:val="21"/>
          <w:highlight w:val="none"/>
          <w:lang w:val="en-US" w:eastAsia="zh-CN"/>
        </w:rPr>
        <w:t>3</w:t>
      </w:r>
      <w:r>
        <w:rPr>
          <w:rFonts w:hint="eastAsia" w:ascii="Times New Roman" w:hAnsi="Times New Roman" w:eastAsia="宋体" w:cs="宋体"/>
          <w:color w:val="000000"/>
          <w:szCs w:val="21"/>
          <w:highlight w:val="none"/>
          <w:lang w:eastAsia="zh-CN"/>
        </w:rPr>
        <w:t>）</w:t>
      </w:r>
      <w:r>
        <w:rPr>
          <w:rFonts w:hint="eastAsia" w:ascii="Times New Roman" w:hAnsi="Times New Roman" w:cs="宋体"/>
          <w:color w:val="auto"/>
          <w:szCs w:val="21"/>
          <w:highlight w:val="none"/>
        </w:rPr>
        <w:t>票据要求：</w:t>
      </w:r>
      <w:r>
        <w:rPr>
          <w:rFonts w:hint="eastAsia" w:ascii="Times New Roman" w:hAnsi="Times New Roman" w:cs="宋体"/>
          <w:color w:val="auto"/>
          <w:szCs w:val="21"/>
          <w:highlight w:val="none"/>
          <w:lang w:val="en-US" w:eastAsia="zh-CN"/>
        </w:rPr>
        <w:t>乙方</w:t>
      </w:r>
      <w:r>
        <w:rPr>
          <w:rFonts w:hint="eastAsia" w:ascii="Times New Roman" w:hAnsi="Times New Roman" w:cs="宋体"/>
          <w:color w:val="auto"/>
          <w:szCs w:val="21"/>
          <w:highlight w:val="none"/>
        </w:rPr>
        <w:t>必须按照</w:t>
      </w:r>
      <w:r>
        <w:rPr>
          <w:rFonts w:hint="eastAsia" w:ascii="Times New Roman" w:hAnsi="Times New Roman" w:cs="宋体"/>
          <w:color w:val="auto"/>
          <w:szCs w:val="21"/>
          <w:highlight w:val="none"/>
          <w:lang w:val="en-US" w:eastAsia="zh-CN"/>
        </w:rPr>
        <w:t>甲方</w:t>
      </w:r>
      <w:r>
        <w:rPr>
          <w:rFonts w:hint="eastAsia" w:ascii="Times New Roman" w:hAnsi="Times New Roman" w:cs="宋体"/>
          <w:color w:val="auto"/>
          <w:szCs w:val="21"/>
          <w:highlight w:val="none"/>
        </w:rPr>
        <w:t>要求提供真实、有效、合法的正式发票。一旦发现</w:t>
      </w:r>
      <w:r>
        <w:rPr>
          <w:rFonts w:hint="eastAsia" w:ascii="Times New Roman" w:hAnsi="Times New Roman" w:cs="宋体"/>
          <w:color w:val="auto"/>
          <w:szCs w:val="21"/>
          <w:highlight w:val="none"/>
          <w:lang w:val="en-US" w:eastAsia="zh-CN"/>
        </w:rPr>
        <w:t>乙方</w:t>
      </w:r>
      <w:r>
        <w:rPr>
          <w:rFonts w:hint="eastAsia" w:ascii="Times New Roman" w:hAnsi="Times New Roman" w:cs="宋体"/>
          <w:color w:val="auto"/>
          <w:szCs w:val="21"/>
          <w:highlight w:val="none"/>
        </w:rPr>
        <w:t>提供虚假发票，除须向</w:t>
      </w:r>
      <w:r>
        <w:rPr>
          <w:rFonts w:hint="eastAsia" w:ascii="Times New Roman" w:hAnsi="Times New Roman" w:cs="宋体"/>
          <w:color w:val="auto"/>
          <w:szCs w:val="21"/>
          <w:highlight w:val="none"/>
          <w:lang w:val="en-US" w:eastAsia="zh-CN"/>
        </w:rPr>
        <w:t>甲方</w:t>
      </w:r>
      <w:r>
        <w:rPr>
          <w:rFonts w:hint="eastAsia" w:ascii="Times New Roman" w:hAnsi="Times New Roman" w:cs="宋体"/>
          <w:color w:val="auto"/>
          <w:szCs w:val="21"/>
          <w:highlight w:val="none"/>
        </w:rPr>
        <w:t>补开合法发票外，须赔偿</w:t>
      </w:r>
      <w:r>
        <w:rPr>
          <w:rFonts w:hint="eastAsia" w:ascii="Times New Roman" w:hAnsi="Times New Roman" w:cs="宋体"/>
          <w:color w:val="auto"/>
          <w:szCs w:val="21"/>
          <w:highlight w:val="none"/>
          <w:lang w:val="en-US" w:eastAsia="zh-CN"/>
        </w:rPr>
        <w:t>甲方</w:t>
      </w:r>
      <w:r>
        <w:rPr>
          <w:rFonts w:hint="eastAsia" w:ascii="Times New Roman" w:hAnsi="Times New Roman" w:cs="宋体"/>
          <w:color w:val="auto"/>
          <w:szCs w:val="21"/>
          <w:highlight w:val="none"/>
        </w:rPr>
        <w:t>发票票面金额一倍的违约金，且</w:t>
      </w:r>
      <w:r>
        <w:rPr>
          <w:rFonts w:hint="eastAsia" w:ascii="Times New Roman" w:hAnsi="Times New Roman" w:cs="宋体"/>
          <w:color w:val="auto"/>
          <w:szCs w:val="21"/>
          <w:highlight w:val="none"/>
          <w:lang w:val="en-US" w:eastAsia="zh-CN"/>
        </w:rPr>
        <w:t>甲方</w:t>
      </w:r>
      <w:r>
        <w:rPr>
          <w:rFonts w:hint="eastAsia" w:ascii="Times New Roman" w:hAnsi="Times New Roman" w:cs="宋体"/>
          <w:color w:val="auto"/>
          <w:szCs w:val="21"/>
          <w:highlight w:val="none"/>
        </w:rPr>
        <w:t>有权终止合同，</w:t>
      </w:r>
      <w:r>
        <w:rPr>
          <w:rFonts w:hint="eastAsia" w:ascii="Times New Roman" w:hAnsi="Times New Roman" w:cs="宋体"/>
          <w:color w:val="auto"/>
          <w:szCs w:val="21"/>
          <w:highlight w:val="none"/>
          <w:lang w:val="en-US" w:eastAsia="zh-CN"/>
        </w:rPr>
        <w:t>乙方</w:t>
      </w:r>
      <w:r>
        <w:rPr>
          <w:rFonts w:hint="eastAsia" w:ascii="Times New Roman" w:hAnsi="Times New Roman" w:cs="宋体"/>
          <w:color w:val="auto"/>
          <w:szCs w:val="21"/>
          <w:highlight w:val="none"/>
        </w:rPr>
        <w:t>不得提出异议，因终止合同而产生的一切损失均由</w:t>
      </w:r>
      <w:r>
        <w:rPr>
          <w:rFonts w:hint="eastAsia" w:ascii="Times New Roman" w:hAnsi="Times New Roman" w:cs="宋体"/>
          <w:color w:val="auto"/>
          <w:szCs w:val="21"/>
          <w:highlight w:val="none"/>
          <w:lang w:val="en-US" w:eastAsia="zh-CN"/>
        </w:rPr>
        <w:t>乙方</w:t>
      </w:r>
      <w:r>
        <w:rPr>
          <w:rFonts w:hint="eastAsia" w:ascii="Times New Roman" w:hAnsi="Times New Roman" w:cs="宋体"/>
          <w:color w:val="auto"/>
          <w:szCs w:val="21"/>
          <w:highlight w:val="none"/>
        </w:rPr>
        <w:t>承担。</w:t>
      </w:r>
    </w:p>
    <w:p w14:paraId="77B726CB">
      <w:p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.资金支付方式：</w:t>
      </w:r>
      <w:r>
        <w:rPr>
          <w:rFonts w:hint="eastAsia" w:ascii="宋体" w:hAnsi="宋体" w:eastAsia="宋体" w:cs="宋体"/>
          <w:color w:val="000000"/>
          <w:sz w:val="21"/>
          <w:szCs w:val="21"/>
          <w:highlight w:val="none"/>
          <w:u w:val="single"/>
        </w:rPr>
        <w:t xml:space="preserve">    （银行转账）   </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 xml:space="preserve"> </w:t>
      </w:r>
    </w:p>
    <w:p w14:paraId="18C15BEE">
      <w:pPr>
        <w:pStyle w:val="19"/>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rPr>
        <w:t>银行账户</w:t>
      </w:r>
      <w:r>
        <w:rPr>
          <w:rFonts w:hint="eastAsia" w:ascii="宋体" w:hAnsi="宋体" w:eastAsia="宋体" w:cs="宋体"/>
          <w:color w:val="000000"/>
          <w:sz w:val="21"/>
          <w:szCs w:val="21"/>
          <w:highlight w:val="none"/>
          <w:lang w:val="en-US" w:eastAsia="zh-CN"/>
        </w:rPr>
        <w:t>信息：</w:t>
      </w:r>
    </w:p>
    <w:p w14:paraId="4046DA9B">
      <w:pPr>
        <w:pStyle w:val="19"/>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开户银行：XX银行XX支行</w:t>
      </w:r>
    </w:p>
    <w:p w14:paraId="7A728D53">
      <w:pPr>
        <w:pStyle w:val="19"/>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账号名称：XX</w:t>
      </w:r>
    </w:p>
    <w:p w14:paraId="4391898E">
      <w:pPr>
        <w:pStyle w:val="19"/>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账号：XX</w:t>
      </w:r>
    </w:p>
    <w:p w14:paraId="62BE522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.采购合同履行中，甲方需追加与合同标的相同的货物的，在不改变合同其他条款的前提下，可以与乙方协商签订补充合同，但所有补充合同的采购金额不得超过原合同采购金额的10%。</w:t>
      </w:r>
    </w:p>
    <w:p w14:paraId="7565C553">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第七条 保险、税费</w:t>
      </w:r>
    </w:p>
    <w:p w14:paraId="21049CED">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bCs/>
          <w:color w:val="000000"/>
          <w:kern w:val="0"/>
          <w:sz w:val="21"/>
          <w:szCs w:val="21"/>
          <w:highlight w:val="none"/>
        </w:rPr>
        <w:t>1.若乙方为本项目标的及标的涉及的相关材料、设备、人员、运输等购买保险的，相关费用由乙方自行承担。</w:t>
      </w:r>
    </w:p>
    <w:p w14:paraId="0A6FA640">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2.本合同执行中相关的一切税费均由乙方负担。</w:t>
      </w:r>
    </w:p>
    <w:p w14:paraId="104D1EA0">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第八条　验收、交付标准和方法</w:t>
      </w:r>
    </w:p>
    <w:p w14:paraId="6CE18EAA">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1.履约验收时间：</w:t>
      </w:r>
    </w:p>
    <w:p w14:paraId="3D867FEA">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（1）初步验收：标的到达甲方指定地点之日起7个工作日内。</w:t>
      </w:r>
    </w:p>
    <w:p w14:paraId="6D1CDB48">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（2）交付验收：标的安装调试完毕之日起7个工作日内。</w:t>
      </w:r>
    </w:p>
    <w:p w14:paraId="4D74EC93">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（3）最终验收：乙方履行完合同约定的应当由乙方履行的全部事项之日起7个工作日内。</w:t>
      </w:r>
    </w:p>
    <w:p w14:paraId="7DC6A713">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2.履约验收程序：</w:t>
      </w:r>
    </w:p>
    <w:p w14:paraId="71DA2490">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到达甲方指定地点，甲方在规定的时间内进行初步验收；初步验收合格、标的安装调试完毕后，甲方在规定的时间内进行交付验收；交付验收合格，乙方履行完合同约定的应当由乙方履行的全部事项之日起7个工作日内进行最终验收。</w:t>
      </w:r>
    </w:p>
    <w:p w14:paraId="57F7A92C">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3.履约验收内容：</w:t>
      </w:r>
    </w:p>
    <w:p w14:paraId="19B57F2C">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甲方依据</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lang w:eastAsia="zh-CN"/>
        </w:rPr>
        <w:t>相关</w:t>
      </w:r>
      <w:r>
        <w:rPr>
          <w:rFonts w:hint="eastAsia" w:ascii="宋体" w:hAnsi="宋体" w:eastAsia="宋体" w:cs="宋体"/>
          <w:color w:val="000000"/>
          <w:sz w:val="21"/>
          <w:szCs w:val="21"/>
          <w:highlight w:val="none"/>
        </w:rPr>
        <w:t>要求、乙方的投标承诺以及国家有关质量标准，就乙方对标的每一项技术、商务要求等相关内容进行验收。</w:t>
      </w:r>
    </w:p>
    <w:p w14:paraId="79CA0F6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4.履约验收标准：</w:t>
      </w:r>
    </w:p>
    <w:p w14:paraId="45811546">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（1）初步验收：</w:t>
      </w:r>
    </w:p>
    <w:p w14:paraId="22E8D906">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在规定的时间内到货，标的（含包装）完整、完好，与投标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甲方在初步验收后七个工作日内以书面形式向乙方提出，乙方应自收到甲方书面异议后七个工作日内及时予以解决，否则，视为初步验收不合格，不予进行交付验收。</w:t>
      </w:r>
    </w:p>
    <w:p w14:paraId="0074AB35">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（2）交付验收：</w:t>
      </w:r>
    </w:p>
    <w:p w14:paraId="1024A4D4">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标的的技术指标与乙方的投标承诺一致或更高，且满足</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rPr>
        <w:t>全部实质性要求，视为交付验收合格。标的不符合上述情形的，甲方在交付验收后七个工作日内以书面形式向乙方提出，乙方应自收到甲方书面异议后七个工作日内及时予以解决，否则，视为交付验收不合格。</w:t>
      </w:r>
    </w:p>
    <w:p w14:paraId="76DECEC0">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（3）最终验收：</w:t>
      </w:r>
    </w:p>
    <w:p w14:paraId="33FEBA54">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标的交付验收合格投入使用后，乙方提供的售后服务与其投标承诺一致或更优，且乙方履行完合同约定的应当由乙方履行的全部事项之，视为最终验收合格。</w:t>
      </w:r>
    </w:p>
    <w:p w14:paraId="7D3EAFA9">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5.其他事项：</w:t>
      </w:r>
    </w:p>
    <w:p w14:paraId="78CB3824">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（1）验收时，甲方与乙方双方应当派员在场，并对验收结果签署意见，否则视为其同意验收结果。</w:t>
      </w:r>
    </w:p>
    <w:p w14:paraId="1764E9FB">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由于乙方的原因造成甲方验收不合格、影响甲方正常使用的，由此造成的损失由乙方承担。初步验收或交付验收不合格的，甲方有权终止合同并全部退货，同时报相关监督管理部门处理，由此造成甲方经济损失的由乙方负责承担全部赔偿责任。</w:t>
      </w:r>
    </w:p>
    <w:p w14:paraId="31F6C78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（3）对技术复杂的货物，甲方可请国家认可的专业检测机构参与初步验收及交付验收，并由其出具质量检测报告，费用由乙方承担。</w:t>
      </w:r>
    </w:p>
    <w:p w14:paraId="0B205C2D">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（4）验收过程中所产生的一切费用均由乙方承担，乙方在投标报价时应综合考虑相关费用。</w:t>
      </w:r>
    </w:p>
    <w:p w14:paraId="226CE67A">
      <w:p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甲方对产品的验收不免除乙方的质量保证责任。</w:t>
      </w:r>
    </w:p>
    <w:p w14:paraId="18BB731B">
      <w:pPr>
        <w:adjustRightInd w:val="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01574CB9">
      <w:pPr>
        <w:adjustRightInd w:val="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（7）验收产生的费用</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负责。</w:t>
      </w:r>
    </w:p>
    <w:p w14:paraId="6F4AA0A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2.交付标准和方法</w:t>
      </w:r>
    </w:p>
    <w:p w14:paraId="59D0F65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（1）除售后服务验收外，验收结论合格的，乙方应自收到验收书后</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日内向甲方交付使用。</w:t>
      </w:r>
    </w:p>
    <w:p w14:paraId="4A39A8C7">
      <w:pPr>
        <w:snapToGrid w:val="0"/>
        <w:spacing w:line="360" w:lineRule="auto"/>
        <w:ind w:firstLine="420" w:firstLineChars="200"/>
        <w:rPr>
          <w:rFonts w:hint="eastAsia" w:ascii="宋体" w:hAnsi="宋体" w:eastAsia="宋体" w:cs="宋体"/>
          <w:b/>
          <w:color w:val="000000"/>
          <w:sz w:val="21"/>
          <w:szCs w:val="21"/>
          <w:highlight w:val="none"/>
        </w:rPr>
      </w:pPr>
      <w:r>
        <w:rPr>
          <w:rFonts w:hint="eastAsia" w:ascii="宋体" w:hAnsi="宋体" w:eastAsia="宋体" w:cs="宋体"/>
          <w:color w:val="000000"/>
          <w:sz w:val="21"/>
          <w:szCs w:val="21"/>
          <w:highlight w:val="none"/>
        </w:rPr>
        <w:t>（2）货物的所有权和风险自交付</w:t>
      </w:r>
      <w:r>
        <w:rPr>
          <w:rFonts w:hint="eastAsia" w:ascii="宋体" w:hAnsi="宋体" w:eastAsia="宋体" w:cs="宋体"/>
          <w:color w:val="000000"/>
          <w:sz w:val="21"/>
          <w:szCs w:val="21"/>
          <w:highlight w:val="none"/>
          <w:lang w:val="en-US" w:eastAsia="zh-CN"/>
        </w:rPr>
        <w:t>验收合格</w:t>
      </w:r>
      <w:r>
        <w:rPr>
          <w:rFonts w:hint="eastAsia" w:ascii="宋体" w:hAnsi="宋体" w:eastAsia="宋体" w:cs="宋体"/>
          <w:color w:val="000000"/>
          <w:sz w:val="21"/>
          <w:szCs w:val="21"/>
          <w:highlight w:val="none"/>
        </w:rPr>
        <w:t>时起由乙方转移至甲方，货物交付</w:t>
      </w:r>
      <w:r>
        <w:rPr>
          <w:rFonts w:hint="eastAsia" w:ascii="宋体" w:hAnsi="宋体" w:eastAsia="宋体" w:cs="宋体"/>
          <w:color w:val="000000"/>
          <w:sz w:val="21"/>
          <w:szCs w:val="21"/>
          <w:highlight w:val="none"/>
          <w:lang w:val="en-US" w:eastAsia="zh-CN"/>
        </w:rPr>
        <w:t>甲方且经验收合格</w:t>
      </w:r>
      <w:r>
        <w:rPr>
          <w:rFonts w:hint="eastAsia" w:ascii="宋体" w:hAnsi="宋体" w:eastAsia="宋体" w:cs="宋体"/>
          <w:color w:val="000000"/>
          <w:sz w:val="21"/>
          <w:szCs w:val="21"/>
          <w:highlight w:val="none"/>
        </w:rPr>
        <w:t>之前所有风险均由乙方承担。</w:t>
      </w:r>
    </w:p>
    <w:p w14:paraId="20CB79A0">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第九条  售后服务</w:t>
      </w:r>
    </w:p>
    <w:p w14:paraId="43F331B4">
      <w:pPr>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1.乙方应按照国家有关法律法规规定以及投标承诺，为甲方提供售后服务。</w:t>
      </w:r>
    </w:p>
    <w:p w14:paraId="7CD3C82F">
      <w:pPr>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2.质量保修范围:</w:t>
      </w:r>
      <w:r>
        <w:rPr>
          <w:rFonts w:hint="eastAsia" w:ascii="宋体" w:hAnsi="宋体" w:eastAsia="宋体" w:cs="宋体"/>
          <w:color w:val="000000"/>
          <w:sz w:val="21"/>
          <w:szCs w:val="21"/>
          <w:u w:val="single"/>
        </w:rPr>
        <w:t xml:space="preserve"> 本项目采购范围内的所有设备</w:t>
      </w:r>
      <w:r>
        <w:rPr>
          <w:rFonts w:hint="eastAsia" w:ascii="宋体" w:hAnsi="宋体" w:eastAsia="宋体" w:cs="宋体"/>
          <w:color w:val="000000"/>
          <w:sz w:val="21"/>
          <w:szCs w:val="21"/>
        </w:rPr>
        <w:t>。免费保修期内上门维修（维修费和元器件费包含在投标报价中）、更换零部件，软件终身免费升级服务，设备生产厂家提供远程联机维护服务，能对设备进行软件升级及故障分析；保修期： 按乙方投标承诺（且不低于</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要求）执行  。</w:t>
      </w:r>
    </w:p>
    <w:p w14:paraId="4E8D15EA">
      <w:pPr>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r>
        <w:rPr>
          <w:rFonts w:hint="eastAsia" w:ascii="Times New Roman" w:hAnsi="Times New Roman" w:cs="宋体"/>
          <w:color w:val="000000"/>
          <w:szCs w:val="21"/>
          <w:highlight w:val="none"/>
        </w:rPr>
        <w:t>免费保修期：按国家有关产品“三包”规定执行“三包”；</w:t>
      </w:r>
      <w:r>
        <w:rPr>
          <w:rFonts w:hint="eastAsia" w:ascii="Times New Roman" w:hAnsi="Times New Roman" w:cs="宋体"/>
          <w:color w:val="000000"/>
          <w:szCs w:val="21"/>
          <w:highlight w:val="none"/>
          <w:lang w:val="en-US" w:eastAsia="zh-CN"/>
        </w:rPr>
        <w:t>整机</w:t>
      </w:r>
      <w:r>
        <w:rPr>
          <w:rFonts w:hint="eastAsia" w:ascii="Times New Roman" w:hAnsi="Times New Roman" w:cs="宋体"/>
          <w:color w:val="000000"/>
          <w:szCs w:val="21"/>
          <w:highlight w:val="none"/>
        </w:rPr>
        <w:t>免费保修期为</w:t>
      </w:r>
      <w:r>
        <w:rPr>
          <w:rFonts w:hint="eastAsia" w:ascii="Times New Roman" w:hAnsi="Times New Roman" w:cs="宋体"/>
          <w:color w:val="000000"/>
          <w:szCs w:val="21"/>
          <w:highlight w:val="none"/>
          <w:u w:val="single"/>
        </w:rPr>
        <w:t xml:space="preserve"> </w:t>
      </w:r>
      <w:r>
        <w:rPr>
          <w:rFonts w:hint="eastAsia" w:ascii="Times New Roman" w:hAnsi="Times New Roman" w:cs="宋体"/>
          <w:color w:val="000000"/>
          <w:szCs w:val="21"/>
          <w:highlight w:val="none"/>
          <w:u w:val="single"/>
          <w:lang w:val="en-US" w:eastAsia="zh-CN"/>
        </w:rPr>
        <w:t xml:space="preserve">5 </w:t>
      </w:r>
      <w:r>
        <w:rPr>
          <w:rFonts w:hint="eastAsia" w:ascii="Times New Roman" w:hAnsi="Times New Roman" w:cs="宋体"/>
          <w:color w:val="000000"/>
          <w:szCs w:val="21"/>
          <w:highlight w:val="none"/>
        </w:rPr>
        <w:t>年（免费保修期从设备验收合格之日起计算），免费保修期内上门维修不收取任何费用</w:t>
      </w:r>
      <w:r>
        <w:rPr>
          <w:rFonts w:hint="eastAsia" w:ascii="Times New Roman" w:hAnsi="Times New Roman" w:cs="宋体"/>
          <w:color w:val="000000"/>
          <w:szCs w:val="21"/>
          <w:highlight w:val="none"/>
          <w:lang w:eastAsia="zh-CN"/>
        </w:rPr>
        <w:t>，</w:t>
      </w:r>
      <w:r>
        <w:rPr>
          <w:rFonts w:hint="eastAsia" w:ascii="Times New Roman" w:hAnsi="Times New Roman" w:cs="宋体"/>
          <w:color w:val="000000"/>
          <w:szCs w:val="21"/>
          <w:highlight w:val="none"/>
          <w:lang w:val="en-US" w:eastAsia="zh-CN"/>
        </w:rPr>
        <w:t>不提供备</w:t>
      </w:r>
      <w:r>
        <w:rPr>
          <w:rFonts w:hint="eastAsia" w:ascii="宋体" w:hAnsi="宋体" w:eastAsia="宋体" w:cs="宋体"/>
          <w:color w:val="000000"/>
          <w:sz w:val="21"/>
          <w:szCs w:val="21"/>
          <w:highlight w:val="none"/>
          <w:lang w:val="en-US" w:eastAsia="zh-CN"/>
        </w:rPr>
        <w:t>用机所有软件系统终身免费升级；质保期后连接管路（易损件）不超过300元/套。</w:t>
      </w:r>
    </w:p>
    <w:p w14:paraId="2EAC9BDF">
      <w:pPr>
        <w:spacing w:line="400" w:lineRule="exact"/>
        <w:ind w:firstLine="420" w:firstLineChars="200"/>
        <w:rPr>
          <w:rFonts w:hint="eastAsia" w:ascii="Times New Roman" w:hAnsi="Times New Roman" w:eastAsia="宋体" w:cs="宋体"/>
          <w:color w:val="000000"/>
          <w:szCs w:val="21"/>
          <w:highlight w:val="none"/>
        </w:rPr>
      </w:pPr>
      <w:r>
        <w:rPr>
          <w:rFonts w:hint="eastAsia" w:ascii="宋体" w:hAnsi="宋体" w:eastAsia="宋体" w:cs="宋体"/>
          <w:color w:val="000000"/>
          <w:sz w:val="21"/>
          <w:szCs w:val="21"/>
          <w:highlight w:val="none"/>
        </w:rPr>
        <w:t>4.在免费保修期内因货物本身的</w:t>
      </w:r>
      <w:r>
        <w:rPr>
          <w:rFonts w:hint="eastAsia" w:ascii="宋体" w:hAnsi="宋体" w:eastAsia="宋体" w:cs="宋体"/>
          <w:color w:val="000000"/>
          <w:sz w:val="21"/>
          <w:szCs w:val="21"/>
        </w:rPr>
        <w:t>质量问题发生故障，乙方应负责免费修理和更换零部</w:t>
      </w:r>
      <w:r>
        <w:rPr>
          <w:rFonts w:hint="eastAsia" w:ascii="Times New Roman" w:hAnsi="Times New Roman" w:eastAsia="宋体" w:cs="宋体"/>
          <w:color w:val="000000"/>
          <w:szCs w:val="21"/>
          <w:highlight w:val="none"/>
        </w:rPr>
        <w:t>件。对达不到技术要求者，根据实际情况，</w:t>
      </w:r>
      <w:r>
        <w:rPr>
          <w:rFonts w:hint="eastAsia" w:ascii="Times New Roman" w:hAnsi="Times New Roman" w:eastAsia="宋体" w:cs="宋体"/>
          <w:color w:val="000000"/>
          <w:szCs w:val="21"/>
          <w:highlight w:val="none"/>
          <w:lang w:val="en-US" w:eastAsia="zh-CN"/>
        </w:rPr>
        <w:t>甲方有权</w:t>
      </w:r>
      <w:r>
        <w:rPr>
          <w:rFonts w:hint="eastAsia" w:ascii="Times New Roman" w:hAnsi="Times New Roman" w:eastAsia="宋体" w:cs="宋体"/>
          <w:color w:val="000000"/>
          <w:szCs w:val="21"/>
          <w:highlight w:val="none"/>
        </w:rPr>
        <w:t>按以下办法处理：</w:t>
      </w:r>
    </w:p>
    <w:p w14:paraId="72549A22">
      <w:pPr>
        <w:spacing w:line="400" w:lineRule="exact"/>
        <w:ind w:firstLine="420" w:firstLineChars="200"/>
        <w:rPr>
          <w:rFonts w:hint="eastAsia" w:ascii="Times New Roman" w:hAnsi="Times New Roman" w:eastAsia="宋体" w:cs="宋体"/>
          <w:color w:val="000000"/>
          <w:szCs w:val="21"/>
          <w:highlight w:val="none"/>
        </w:rPr>
      </w:pPr>
      <w:r>
        <w:rPr>
          <w:rFonts w:hint="eastAsia" w:ascii="Times New Roman" w:hAnsi="Times New Roman" w:eastAsia="宋体" w:cs="宋体"/>
          <w:color w:val="000000"/>
          <w:szCs w:val="21"/>
          <w:highlight w:val="none"/>
        </w:rPr>
        <w:t>（1）更换：由乙方承担所发生的全部费用。</w:t>
      </w:r>
    </w:p>
    <w:p w14:paraId="7E17C35E">
      <w:pPr>
        <w:spacing w:line="400" w:lineRule="exact"/>
        <w:ind w:firstLine="420" w:firstLineChars="200"/>
        <w:rPr>
          <w:rFonts w:hint="eastAsia" w:ascii="Times New Roman" w:hAnsi="Times New Roman" w:eastAsia="宋体" w:cs="宋体"/>
          <w:color w:val="000000"/>
          <w:szCs w:val="21"/>
          <w:highlight w:val="none"/>
        </w:rPr>
      </w:pPr>
      <w:r>
        <w:rPr>
          <w:rFonts w:hint="eastAsia" w:ascii="Times New Roman" w:hAnsi="Times New Roman" w:eastAsia="宋体" w:cs="宋体"/>
          <w:color w:val="000000"/>
          <w:szCs w:val="21"/>
          <w:highlight w:val="none"/>
        </w:rPr>
        <w:t>（2）贬值处理：由甲乙双方合议定价。</w:t>
      </w:r>
    </w:p>
    <w:p w14:paraId="26EC6790">
      <w:pPr>
        <w:spacing w:line="400" w:lineRule="exact"/>
        <w:ind w:firstLine="420" w:firstLineChars="200"/>
        <w:rPr>
          <w:rFonts w:hint="eastAsia" w:ascii="Times New Roman" w:hAnsi="Times New Roman" w:eastAsia="宋体" w:cs="宋体"/>
          <w:color w:val="000000"/>
          <w:szCs w:val="21"/>
          <w:highlight w:val="none"/>
        </w:rPr>
      </w:pPr>
      <w:r>
        <w:rPr>
          <w:rFonts w:hint="eastAsia" w:ascii="Times New Roman" w:hAnsi="Times New Roman" w:eastAsia="宋体" w:cs="宋体"/>
          <w:color w:val="000000"/>
          <w:szCs w:val="21"/>
          <w:highlight w:val="none"/>
        </w:rPr>
        <w:t>（3）退货处理：乙方应退还甲方支付的合同款，同时应承担该货物的直接费用（运输、保险、检验、货款利息及银行手续费等）。</w:t>
      </w:r>
    </w:p>
    <w:p w14:paraId="66781FC8">
      <w:pPr>
        <w:spacing w:line="400" w:lineRule="exact"/>
        <w:ind w:firstLine="420" w:firstLineChars="200"/>
        <w:rPr>
          <w:rFonts w:hint="eastAsia" w:ascii="Times New Roman" w:hAnsi="Times New Roman" w:eastAsia="宋体" w:cs="宋体"/>
          <w:color w:val="000000"/>
          <w:szCs w:val="21"/>
          <w:highlight w:val="none"/>
          <w:lang w:eastAsia="zh-CN"/>
        </w:rPr>
      </w:pPr>
      <w:r>
        <w:rPr>
          <w:rFonts w:hint="eastAsia" w:ascii="Times New Roman" w:hAnsi="Times New Roman" w:eastAsia="宋体" w:cs="宋体"/>
          <w:color w:val="000000"/>
          <w:szCs w:val="21"/>
          <w:highlight w:val="none"/>
          <w:lang w:eastAsia="zh-CN"/>
        </w:rPr>
        <w:t>5</w:t>
      </w:r>
      <w:r>
        <w:rPr>
          <w:rFonts w:hint="eastAsia" w:ascii="Times New Roman" w:hAnsi="Times New Roman" w:eastAsia="宋体" w:cs="宋体"/>
          <w:color w:val="000000"/>
          <w:szCs w:val="21"/>
          <w:highlight w:val="none"/>
        </w:rPr>
        <w:t>.如在使用过程中发生质量问题，</w:t>
      </w:r>
      <w:r>
        <w:rPr>
          <w:rFonts w:hint="eastAsia" w:ascii="Times New Roman" w:hAnsi="Times New Roman" w:eastAsia="宋体" w:cs="宋体"/>
          <w:color w:val="000000"/>
          <w:szCs w:val="21"/>
          <w:highlight w:val="none"/>
          <w:lang w:val="en-US" w:eastAsia="zh-CN"/>
        </w:rPr>
        <w:t>乙方</w:t>
      </w:r>
      <w:r>
        <w:rPr>
          <w:rFonts w:hint="eastAsia" w:ascii="Times New Roman" w:hAnsi="Times New Roman" w:eastAsia="宋体" w:cs="宋体"/>
          <w:color w:val="000000"/>
          <w:szCs w:val="21"/>
          <w:highlight w:val="none"/>
        </w:rPr>
        <w:t>在接到</w:t>
      </w:r>
      <w:r>
        <w:rPr>
          <w:rFonts w:hint="eastAsia" w:ascii="Times New Roman" w:hAnsi="Times New Roman" w:eastAsia="宋体" w:cs="宋体"/>
          <w:color w:val="000000"/>
          <w:szCs w:val="21"/>
          <w:highlight w:val="none"/>
          <w:lang w:val="en-US" w:eastAsia="zh-CN"/>
        </w:rPr>
        <w:t>甲方</w:t>
      </w:r>
      <w:r>
        <w:rPr>
          <w:rFonts w:hint="eastAsia" w:ascii="Times New Roman" w:hAnsi="Times New Roman" w:eastAsia="宋体" w:cs="宋体"/>
          <w:color w:val="000000"/>
          <w:szCs w:val="21"/>
          <w:highlight w:val="none"/>
        </w:rPr>
        <w:t>通知后</w:t>
      </w:r>
      <w:r>
        <w:rPr>
          <w:rFonts w:hint="eastAsia" w:ascii="Times New Roman" w:hAnsi="Times New Roman" w:eastAsia="宋体" w:cs="宋体"/>
          <w:color w:val="000000"/>
          <w:szCs w:val="21"/>
          <w:highlight w:val="none"/>
          <w:u w:val="single"/>
          <w:lang w:val="en-US" w:eastAsia="zh-CN"/>
        </w:rPr>
        <w:t xml:space="preserve"> 半 </w:t>
      </w:r>
      <w:r>
        <w:rPr>
          <w:rFonts w:hint="eastAsia" w:ascii="Times New Roman" w:hAnsi="Times New Roman" w:eastAsia="宋体" w:cs="宋体"/>
          <w:color w:val="000000"/>
          <w:szCs w:val="21"/>
          <w:highlight w:val="none"/>
        </w:rPr>
        <w:t>小时内响应，</w:t>
      </w:r>
      <w:r>
        <w:rPr>
          <w:rFonts w:hint="eastAsia" w:ascii="Times New Roman" w:hAnsi="Times New Roman" w:eastAsia="宋体" w:cs="宋体"/>
          <w:color w:val="000000"/>
          <w:szCs w:val="21"/>
          <w:highlight w:val="none"/>
          <w:u w:val="single"/>
          <w:lang w:val="en-US" w:eastAsia="zh-CN"/>
        </w:rPr>
        <w:t xml:space="preserve"> 12 </w:t>
      </w:r>
      <w:r>
        <w:rPr>
          <w:rFonts w:hint="eastAsia" w:ascii="Times New Roman" w:hAnsi="Times New Roman" w:eastAsia="宋体" w:cs="宋体"/>
          <w:color w:val="000000"/>
          <w:szCs w:val="21"/>
          <w:highlight w:val="none"/>
        </w:rPr>
        <w:t>小时内到达现场进行处理，</w:t>
      </w:r>
      <w:r>
        <w:rPr>
          <w:rFonts w:hint="eastAsia" w:ascii="Times New Roman" w:hAnsi="Times New Roman" w:eastAsia="宋体" w:cs="宋体"/>
          <w:color w:val="000000"/>
          <w:szCs w:val="21"/>
          <w:highlight w:val="none"/>
          <w:lang w:val="en-US" w:eastAsia="zh-CN"/>
        </w:rPr>
        <w:t>一般故障处理时限不超过</w:t>
      </w:r>
      <w:r>
        <w:rPr>
          <w:rFonts w:hint="eastAsia" w:ascii="Times New Roman" w:hAnsi="Times New Roman" w:eastAsia="宋体" w:cs="宋体"/>
          <w:color w:val="000000"/>
          <w:szCs w:val="21"/>
          <w:highlight w:val="none"/>
          <w:u w:val="single"/>
          <w:lang w:val="en-US" w:eastAsia="zh-CN"/>
        </w:rPr>
        <w:t xml:space="preserve"> 24 </w:t>
      </w:r>
      <w:r>
        <w:rPr>
          <w:rFonts w:hint="eastAsia" w:ascii="Times New Roman" w:hAnsi="Times New Roman" w:eastAsia="宋体" w:cs="宋体"/>
          <w:color w:val="000000"/>
          <w:szCs w:val="21"/>
          <w:highlight w:val="none"/>
        </w:rPr>
        <w:t>小时</w:t>
      </w:r>
      <w:r>
        <w:rPr>
          <w:rFonts w:hint="eastAsia" w:ascii="Times New Roman" w:hAnsi="Times New Roman" w:eastAsia="宋体" w:cs="宋体"/>
          <w:color w:val="000000"/>
          <w:szCs w:val="21"/>
          <w:highlight w:val="none"/>
          <w:lang w:val="en-US" w:eastAsia="zh-CN"/>
        </w:rPr>
        <w:t>修复</w:t>
      </w:r>
      <w:r>
        <w:rPr>
          <w:rFonts w:hint="eastAsia" w:ascii="Times New Roman" w:hAnsi="Times New Roman" w:eastAsia="宋体" w:cs="宋体"/>
          <w:color w:val="000000"/>
          <w:szCs w:val="21"/>
          <w:highlight w:val="none"/>
        </w:rPr>
        <w:t>，</w:t>
      </w:r>
      <w:r>
        <w:rPr>
          <w:rFonts w:hint="eastAsia" w:ascii="Times New Roman" w:hAnsi="Times New Roman" w:eastAsia="宋体" w:cs="宋体"/>
          <w:color w:val="000000"/>
          <w:szCs w:val="21"/>
          <w:highlight w:val="none"/>
          <w:lang w:val="en-US" w:eastAsia="zh-CN"/>
        </w:rPr>
        <w:t>重大故障处理时限不超过</w:t>
      </w:r>
      <w:r>
        <w:rPr>
          <w:rFonts w:hint="eastAsia" w:ascii="Times New Roman" w:hAnsi="Times New Roman" w:eastAsia="宋体" w:cs="宋体"/>
          <w:color w:val="000000"/>
          <w:szCs w:val="21"/>
          <w:highlight w:val="none"/>
          <w:u w:val="single"/>
          <w:lang w:val="en-US" w:eastAsia="zh-CN"/>
        </w:rPr>
        <w:t>48</w:t>
      </w:r>
      <w:r>
        <w:rPr>
          <w:rFonts w:hint="eastAsia" w:ascii="Times New Roman" w:hAnsi="Times New Roman" w:eastAsia="宋体" w:cs="宋体"/>
          <w:color w:val="000000"/>
          <w:szCs w:val="21"/>
          <w:highlight w:val="none"/>
          <w:lang w:val="en-US" w:eastAsia="zh-CN"/>
        </w:rPr>
        <w:t>小时修复</w:t>
      </w:r>
      <w:r>
        <w:rPr>
          <w:rFonts w:hint="eastAsia" w:ascii="Times New Roman" w:hAnsi="Times New Roman" w:eastAsia="宋体" w:cs="宋体"/>
          <w:color w:val="000000"/>
          <w:szCs w:val="21"/>
          <w:highlight w:val="none"/>
        </w:rPr>
        <w:t>。</w:t>
      </w:r>
      <w:r>
        <w:rPr>
          <w:rFonts w:hint="eastAsia" w:ascii="Times New Roman" w:hAnsi="Times New Roman" w:eastAsia="宋体" w:cs="宋体"/>
          <w:color w:val="000000"/>
          <w:szCs w:val="21"/>
          <w:highlight w:val="none"/>
          <w:lang w:val="en-US" w:eastAsia="zh-CN"/>
        </w:rPr>
        <w:t>乙方逾期响应、到达现场、排除故障或者无法排除故障的，甲方有权自行或寻找第三方机构获得维修、维护等售后服务，全部费用由乙方承担，且无需经过乙方同意、确认。</w:t>
      </w:r>
    </w:p>
    <w:p w14:paraId="43E22DFF">
      <w:pPr>
        <w:spacing w:line="400" w:lineRule="exact"/>
        <w:ind w:firstLine="420" w:firstLineChars="200"/>
        <w:rPr>
          <w:rFonts w:hint="eastAsia" w:ascii="Times New Roman" w:hAnsi="Times New Roman" w:eastAsia="宋体" w:cs="宋体"/>
          <w:color w:val="000000"/>
          <w:szCs w:val="21"/>
          <w:highlight w:val="none"/>
          <w:lang w:val="en-US" w:eastAsia="zh-CN"/>
        </w:rPr>
      </w:pPr>
      <w:r>
        <w:rPr>
          <w:rFonts w:hint="eastAsia" w:ascii="Times New Roman" w:hAnsi="Times New Roman" w:eastAsia="宋体" w:cs="宋体"/>
          <w:color w:val="000000"/>
          <w:szCs w:val="21"/>
          <w:highlight w:val="none"/>
          <w:lang w:eastAsia="zh-CN"/>
        </w:rPr>
        <w:t>6</w:t>
      </w:r>
      <w:r>
        <w:rPr>
          <w:rFonts w:hint="eastAsia" w:ascii="Times New Roman" w:hAnsi="Times New Roman" w:eastAsia="宋体" w:cs="宋体"/>
          <w:color w:val="000000"/>
          <w:szCs w:val="21"/>
          <w:highlight w:val="none"/>
        </w:rPr>
        <w:t>.在</w:t>
      </w:r>
      <w:r>
        <w:rPr>
          <w:rFonts w:hint="eastAsia" w:ascii="Times New Roman" w:hAnsi="Times New Roman" w:eastAsia="宋体" w:cs="宋体"/>
          <w:color w:val="000000"/>
          <w:szCs w:val="21"/>
          <w:highlight w:val="none"/>
          <w:lang w:eastAsia="zh-CN"/>
        </w:rPr>
        <w:t>免费保修期</w:t>
      </w:r>
      <w:r>
        <w:rPr>
          <w:rFonts w:hint="eastAsia" w:ascii="Times New Roman" w:hAnsi="Times New Roman" w:eastAsia="宋体" w:cs="宋体"/>
          <w:color w:val="000000"/>
          <w:szCs w:val="21"/>
          <w:highlight w:val="none"/>
        </w:rPr>
        <w:t>内，</w:t>
      </w:r>
      <w:r>
        <w:rPr>
          <w:rFonts w:hint="eastAsia" w:ascii="Times New Roman" w:hAnsi="Times New Roman" w:eastAsia="宋体" w:cs="宋体"/>
          <w:color w:val="000000"/>
          <w:szCs w:val="21"/>
          <w:highlight w:val="none"/>
          <w:lang w:val="en-US" w:eastAsia="zh-CN"/>
        </w:rPr>
        <w:t>乙方</w:t>
      </w:r>
      <w:r>
        <w:rPr>
          <w:rFonts w:hint="eastAsia" w:ascii="Times New Roman" w:hAnsi="Times New Roman" w:eastAsia="宋体" w:cs="宋体"/>
          <w:color w:val="000000"/>
          <w:szCs w:val="21"/>
          <w:highlight w:val="none"/>
        </w:rPr>
        <w:t>应对货物出现的质量及安全问题负责处理解决并承担一切费用</w:t>
      </w:r>
      <w:r>
        <w:rPr>
          <w:rFonts w:hint="eastAsia" w:ascii="Times New Roman" w:hAnsi="Times New Roman" w:eastAsia="宋体" w:cs="宋体"/>
          <w:color w:val="000000"/>
          <w:szCs w:val="21"/>
          <w:highlight w:val="none"/>
          <w:lang w:eastAsia="zh-CN"/>
        </w:rPr>
        <w:t>；</w:t>
      </w:r>
      <w:r>
        <w:rPr>
          <w:rFonts w:hint="eastAsia" w:ascii="Times New Roman" w:hAnsi="Times New Roman" w:eastAsia="宋体" w:cs="宋体"/>
          <w:color w:val="000000"/>
          <w:szCs w:val="21"/>
          <w:highlight w:val="none"/>
          <w:lang w:val="en-US" w:eastAsia="zh-CN"/>
        </w:rPr>
        <w:t>维保期过后，每年维保费用不超过总价的3%。</w:t>
      </w:r>
    </w:p>
    <w:p w14:paraId="40B098BA">
      <w:pPr>
        <w:spacing w:line="400" w:lineRule="exact"/>
        <w:ind w:firstLine="420" w:firstLineChars="200"/>
        <w:rPr>
          <w:rFonts w:hint="eastAsia" w:ascii="Times New Roman" w:hAnsi="Times New Roman" w:eastAsia="宋体" w:cs="宋体"/>
          <w:color w:val="000000"/>
          <w:szCs w:val="21"/>
          <w:highlight w:val="none"/>
          <w:lang w:eastAsia="zh-CN"/>
        </w:rPr>
      </w:pPr>
      <w:r>
        <w:rPr>
          <w:rFonts w:hint="eastAsia" w:ascii="Times New Roman" w:hAnsi="Times New Roman" w:eastAsia="宋体" w:cs="宋体"/>
          <w:color w:val="000000"/>
          <w:szCs w:val="21"/>
          <w:highlight w:val="none"/>
          <w:lang w:eastAsia="zh-CN"/>
        </w:rPr>
        <w:t>7</w:t>
      </w:r>
      <w:r>
        <w:rPr>
          <w:rFonts w:hint="eastAsia" w:ascii="Times New Roman" w:hAnsi="Times New Roman" w:eastAsia="宋体" w:cs="宋体"/>
          <w:color w:val="000000"/>
          <w:szCs w:val="21"/>
          <w:highlight w:val="none"/>
        </w:rPr>
        <w:t>.</w:t>
      </w:r>
      <w:r>
        <w:rPr>
          <w:rFonts w:hint="eastAsia" w:ascii="Times New Roman" w:hAnsi="Times New Roman" w:eastAsia="宋体" w:cs="宋体"/>
          <w:color w:val="000000"/>
          <w:szCs w:val="21"/>
          <w:highlight w:val="none"/>
          <w:lang w:eastAsia="zh-CN"/>
        </w:rPr>
        <w:t>本项目采购范围内的</w:t>
      </w:r>
      <w:r>
        <w:rPr>
          <w:rFonts w:hint="eastAsia" w:ascii="Times New Roman" w:hAnsi="Times New Roman" w:eastAsia="宋体" w:cs="宋体"/>
          <w:color w:val="000000"/>
          <w:szCs w:val="21"/>
          <w:highlight w:val="none"/>
        </w:rPr>
        <w:t>货物因人为因素出现的故障不在免费保修范围内。超过</w:t>
      </w:r>
      <w:r>
        <w:rPr>
          <w:rFonts w:hint="eastAsia" w:ascii="Times New Roman" w:hAnsi="Times New Roman" w:eastAsia="宋体" w:cs="宋体"/>
          <w:color w:val="000000"/>
          <w:szCs w:val="21"/>
          <w:highlight w:val="none"/>
          <w:lang w:eastAsia="zh-CN"/>
        </w:rPr>
        <w:t>免费保修期</w:t>
      </w:r>
      <w:r>
        <w:rPr>
          <w:rFonts w:hint="eastAsia" w:ascii="Times New Roman" w:hAnsi="Times New Roman" w:eastAsia="宋体" w:cs="宋体"/>
          <w:color w:val="000000"/>
          <w:szCs w:val="21"/>
          <w:highlight w:val="none"/>
        </w:rPr>
        <w:t>的机器设备，</w:t>
      </w:r>
      <w:r>
        <w:rPr>
          <w:rFonts w:hint="eastAsia" w:ascii="Times New Roman" w:hAnsi="Times New Roman" w:eastAsia="宋体" w:cs="宋体"/>
          <w:color w:val="000000"/>
          <w:szCs w:val="21"/>
          <w:highlight w:val="none"/>
          <w:lang w:eastAsia="zh-CN"/>
        </w:rPr>
        <w:t>提供</w:t>
      </w:r>
      <w:r>
        <w:rPr>
          <w:rFonts w:hint="eastAsia" w:ascii="Times New Roman" w:hAnsi="Times New Roman" w:eastAsia="宋体" w:cs="宋体"/>
          <w:color w:val="000000"/>
          <w:szCs w:val="21"/>
          <w:highlight w:val="none"/>
        </w:rPr>
        <w:t>终生维修</w:t>
      </w:r>
      <w:r>
        <w:rPr>
          <w:rFonts w:hint="eastAsia" w:ascii="Times New Roman" w:hAnsi="Times New Roman" w:eastAsia="宋体" w:cs="宋体"/>
          <w:color w:val="000000"/>
          <w:szCs w:val="21"/>
          <w:highlight w:val="none"/>
          <w:lang w:eastAsia="zh-CN"/>
        </w:rPr>
        <w:t>服务，</w:t>
      </w:r>
      <w:r>
        <w:rPr>
          <w:rFonts w:hint="eastAsia" w:ascii="Times New Roman" w:hAnsi="Times New Roman" w:eastAsia="宋体" w:cs="宋体"/>
          <w:color w:val="000000"/>
          <w:szCs w:val="21"/>
          <w:highlight w:val="none"/>
          <w:lang w:val="en-US" w:eastAsia="zh-CN"/>
        </w:rPr>
        <w:t>乙方仅收取合理成本</w:t>
      </w:r>
      <w:r>
        <w:rPr>
          <w:rFonts w:hint="eastAsia" w:ascii="Times New Roman" w:hAnsi="Times New Roman" w:eastAsia="宋体" w:cs="宋体"/>
          <w:color w:val="000000"/>
          <w:szCs w:val="21"/>
          <w:highlight w:val="none"/>
        </w:rPr>
        <w:t>。</w:t>
      </w:r>
    </w:p>
    <w:p w14:paraId="704A8FF1">
      <w:pPr>
        <w:spacing w:line="400" w:lineRule="exact"/>
        <w:ind w:firstLine="420" w:firstLineChars="200"/>
        <w:rPr>
          <w:rFonts w:hint="eastAsia" w:ascii="Times New Roman" w:hAnsi="Times New Roman" w:eastAsia="宋体" w:cs="宋体"/>
          <w:color w:val="000000"/>
          <w:szCs w:val="21"/>
          <w:highlight w:val="none"/>
        </w:rPr>
      </w:pPr>
      <w:r>
        <w:rPr>
          <w:rFonts w:hint="eastAsia" w:ascii="Times New Roman" w:hAnsi="Times New Roman" w:eastAsia="宋体" w:cs="宋体"/>
          <w:color w:val="000000"/>
          <w:szCs w:val="21"/>
          <w:highlight w:val="none"/>
        </w:rPr>
        <w:t>8. 乙方提供的货物在免费保修期内，因设计、工艺或材料的缺陷和其它质量原因造成的问题，由乙方负责，费用从最后一笔支付的合同价款当中扣除，不足以扣除的，由乙方另行支付。</w:t>
      </w:r>
    </w:p>
    <w:p w14:paraId="4E6A56A3">
      <w:pPr>
        <w:spacing w:line="400" w:lineRule="exact"/>
        <w:ind w:firstLine="420" w:firstLineChars="200"/>
        <w:rPr>
          <w:rFonts w:hint="eastAsia" w:ascii="Times New Roman" w:hAnsi="Times New Roman" w:eastAsia="宋体" w:cs="宋体"/>
          <w:color w:val="000000"/>
          <w:szCs w:val="21"/>
          <w:highlight w:val="none"/>
        </w:rPr>
      </w:pPr>
      <w:r>
        <w:rPr>
          <w:rFonts w:hint="eastAsia" w:ascii="Times New Roman" w:hAnsi="Times New Roman" w:eastAsia="宋体" w:cs="宋体"/>
          <w:color w:val="000000"/>
          <w:szCs w:val="21"/>
          <w:highlight w:val="none"/>
        </w:rPr>
        <w:t>9.乙方提供的服务承诺和售后服务及免费保修期责任等其它具体约定事项。（见合同附件）</w:t>
      </w:r>
    </w:p>
    <w:p w14:paraId="746FE805">
      <w:pPr>
        <w:spacing w:line="400" w:lineRule="exact"/>
        <w:ind w:firstLine="420" w:firstLineChars="200"/>
        <w:rPr>
          <w:rFonts w:hint="eastAsia" w:ascii="Times New Roman" w:hAnsi="Times New Roman" w:eastAsia="宋体" w:cs="宋体"/>
          <w:color w:val="000000"/>
          <w:szCs w:val="21"/>
          <w:highlight w:val="none"/>
        </w:rPr>
      </w:pPr>
      <w:r>
        <w:rPr>
          <w:rFonts w:hint="eastAsia" w:ascii="Times New Roman" w:hAnsi="Times New Roman" w:eastAsia="宋体" w:cs="宋体"/>
          <w:color w:val="000000"/>
          <w:szCs w:val="21"/>
          <w:highlight w:val="none"/>
          <w:lang w:val="en-US" w:eastAsia="zh-CN"/>
        </w:rPr>
        <w:t>10.一氧化氮耗材≤39元/人。</w:t>
      </w:r>
    </w:p>
    <w:p w14:paraId="42164E64">
      <w:pPr>
        <w:snapToGrid w:val="0"/>
        <w:spacing w:line="360" w:lineRule="auto"/>
        <w:ind w:left="-61" w:leftChars="-29" w:firstLine="517" w:firstLineChars="245"/>
        <w:rPr>
          <w:rFonts w:hint="eastAsia" w:ascii="宋体" w:hAnsi="宋体" w:eastAsia="宋体" w:cs="宋体"/>
          <w:b/>
          <w:color w:val="000000"/>
          <w:sz w:val="21"/>
          <w:szCs w:val="21"/>
          <w:highlight w:val="none"/>
        </w:rPr>
      </w:pPr>
    </w:p>
    <w:p w14:paraId="6EB42485">
      <w:pPr>
        <w:snapToGrid w:val="0"/>
        <w:spacing w:line="360" w:lineRule="auto"/>
        <w:ind w:left="-61" w:leftChars="-29" w:firstLine="517" w:firstLineChars="245"/>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第十条　履约保证金</w:t>
      </w:r>
    </w:p>
    <w:p w14:paraId="73D5B147">
      <w:pPr>
        <w:autoSpaceDE w:val="0"/>
        <w:autoSpaceDN w:val="0"/>
        <w:snapToGrid w:val="0"/>
        <w:spacing w:line="360" w:lineRule="auto"/>
        <w:ind w:firstLine="424" w:firstLineChars="202"/>
        <w:textAlignment w:val="bottom"/>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1.履约保证金金额：本项目不收取履约保证金。</w:t>
      </w:r>
    </w:p>
    <w:p w14:paraId="2B72276B">
      <w:pPr>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第十一条　违约责任</w:t>
      </w:r>
    </w:p>
    <w:p w14:paraId="1D326C0F">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1.合同一方不履行合同义务、履行合同义务不符合约定或者违反合同项下所作保证的， 应向对方承担继续履行、采取修理、更换、退货等补救措施或者赔偿损失等违约责任。</w:t>
      </w:r>
    </w:p>
    <w:p w14:paraId="29FC24E0">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2.乙方延迟交付货物的，应向</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lang w:eastAsia="zh-CN"/>
        </w:rPr>
        <w:t>方支付延迟违约金。延迟违约金的计算方法如下：每延迟一天向对方偿付</w:t>
      </w:r>
      <w:r>
        <w:rPr>
          <w:rFonts w:hint="eastAsia" w:ascii="宋体" w:hAnsi="宋体" w:eastAsia="宋体" w:cs="宋体"/>
          <w:color w:val="000000"/>
          <w:sz w:val="21"/>
          <w:szCs w:val="21"/>
          <w:highlight w:val="none"/>
          <w:lang w:val="en-US" w:eastAsia="zh-CN"/>
        </w:rPr>
        <w:t>货款总</w:t>
      </w:r>
      <w:r>
        <w:rPr>
          <w:rFonts w:hint="eastAsia" w:ascii="宋体" w:hAnsi="宋体" w:eastAsia="宋体" w:cs="宋体"/>
          <w:color w:val="000000"/>
          <w:sz w:val="21"/>
          <w:szCs w:val="21"/>
          <w:highlight w:val="none"/>
          <w:lang w:eastAsia="zh-CN"/>
        </w:rPr>
        <w:t>额3‰违约金，超过30 天</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lang w:eastAsia="zh-CN"/>
        </w:rPr>
        <w:t>方有权解除合同，</w:t>
      </w:r>
      <w:r>
        <w:rPr>
          <w:rFonts w:hint="eastAsia" w:ascii="宋体" w:hAnsi="宋体" w:eastAsia="宋体" w:cs="宋体"/>
          <w:color w:val="000000"/>
          <w:sz w:val="21"/>
          <w:szCs w:val="21"/>
          <w:highlight w:val="none"/>
          <w:lang w:val="en-US" w:eastAsia="zh-CN"/>
        </w:rPr>
        <w:t>乙</w:t>
      </w:r>
      <w:r>
        <w:rPr>
          <w:rFonts w:hint="eastAsia" w:ascii="宋体" w:hAnsi="宋体" w:eastAsia="宋体" w:cs="宋体"/>
          <w:color w:val="000000"/>
          <w:sz w:val="21"/>
          <w:szCs w:val="21"/>
          <w:highlight w:val="none"/>
          <w:lang w:eastAsia="zh-CN"/>
        </w:rPr>
        <w:t>方承担因此给</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lang w:eastAsia="zh-CN"/>
        </w:rPr>
        <w:t>方造成的</w:t>
      </w:r>
      <w:r>
        <w:rPr>
          <w:rFonts w:hint="eastAsia" w:ascii="宋体" w:hAnsi="宋体" w:eastAsia="宋体" w:cs="宋体"/>
          <w:color w:val="000000"/>
          <w:sz w:val="21"/>
          <w:szCs w:val="21"/>
          <w:highlight w:val="none"/>
          <w:lang w:val="en-US" w:eastAsia="zh-CN"/>
        </w:rPr>
        <w:t>全部</w:t>
      </w:r>
      <w:r>
        <w:rPr>
          <w:rFonts w:hint="eastAsia" w:ascii="宋体" w:hAnsi="宋体" w:eastAsia="宋体" w:cs="宋体"/>
          <w:color w:val="000000"/>
          <w:sz w:val="21"/>
          <w:szCs w:val="21"/>
          <w:highlight w:val="none"/>
          <w:lang w:eastAsia="zh-CN"/>
        </w:rPr>
        <w:t>损失，</w:t>
      </w:r>
      <w:r>
        <w:rPr>
          <w:rFonts w:hint="eastAsia" w:ascii="宋体" w:hAnsi="宋体" w:eastAsia="宋体" w:cs="宋体"/>
          <w:color w:val="000000"/>
          <w:sz w:val="21"/>
          <w:szCs w:val="21"/>
          <w:highlight w:val="none"/>
          <w:lang w:val="en-US" w:eastAsia="zh-CN"/>
        </w:rPr>
        <w:t>并按照货款总额的15%向甲方支付违约金，且乙方应当退还甲方支付过的全部费用</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如延迟交付必然导致合同货物安装、调试、验收等工作推迟的，相关工作应相应顺延。</w:t>
      </w:r>
    </w:p>
    <w:p w14:paraId="53357820">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3.甲方未能按合同约定支付合同价款的，</w:t>
      </w:r>
      <w:r>
        <w:rPr>
          <w:rFonts w:hint="eastAsia" w:ascii="宋体" w:hAnsi="宋体" w:eastAsia="宋体" w:cs="宋体"/>
          <w:color w:val="000000"/>
          <w:sz w:val="21"/>
          <w:szCs w:val="21"/>
          <w:highlight w:val="none"/>
          <w:lang w:val="en-US" w:eastAsia="zh-CN"/>
        </w:rPr>
        <w:t>经乙方书面催告，甲方无正当理由在合理期限（不少于10个工作日）内仍未支付的，自合理期限届满之次日起，</w:t>
      </w:r>
      <w:r>
        <w:rPr>
          <w:rFonts w:hint="eastAsia" w:ascii="宋体" w:hAnsi="宋体" w:eastAsia="宋体" w:cs="宋体"/>
          <w:color w:val="000000"/>
          <w:sz w:val="21"/>
          <w:szCs w:val="21"/>
          <w:highlight w:val="none"/>
          <w:lang w:eastAsia="zh-CN"/>
        </w:rPr>
        <w:t>应向乙方支付延迟付款违约金。延迟付款违约金的计算方法如下：每延迟一天向乙方偿付</w:t>
      </w:r>
      <w:r>
        <w:rPr>
          <w:rFonts w:hint="eastAsia" w:ascii="宋体" w:hAnsi="宋体" w:eastAsia="宋体" w:cs="宋体"/>
          <w:color w:val="000000"/>
          <w:sz w:val="21"/>
          <w:szCs w:val="21"/>
          <w:highlight w:val="none"/>
          <w:lang w:val="en-US" w:eastAsia="zh-CN"/>
        </w:rPr>
        <w:t>当期应付未付金额0.</w:t>
      </w:r>
      <w:r>
        <w:rPr>
          <w:rFonts w:hint="eastAsia" w:ascii="宋体" w:hAnsi="宋体" w:eastAsia="宋体" w:cs="宋体"/>
          <w:color w:val="000000"/>
          <w:sz w:val="21"/>
          <w:szCs w:val="21"/>
          <w:highlight w:val="none"/>
          <w:lang w:eastAsia="zh-CN"/>
        </w:rPr>
        <w:t>3‰违约金，但违约金累计不得超过</w:t>
      </w:r>
      <w:r>
        <w:rPr>
          <w:rFonts w:hint="eastAsia" w:ascii="宋体" w:hAnsi="宋体" w:eastAsia="宋体" w:cs="宋体"/>
          <w:color w:val="000000"/>
          <w:sz w:val="21"/>
          <w:szCs w:val="21"/>
          <w:highlight w:val="none"/>
          <w:lang w:val="en-US" w:eastAsia="zh-CN"/>
        </w:rPr>
        <w:t>当期应付未付总</w:t>
      </w:r>
      <w:r>
        <w:rPr>
          <w:rFonts w:hint="eastAsia" w:ascii="宋体" w:hAnsi="宋体" w:eastAsia="宋体" w:cs="宋体"/>
          <w:color w:val="000000"/>
          <w:sz w:val="21"/>
          <w:szCs w:val="21"/>
          <w:highlight w:val="none"/>
          <w:lang w:eastAsia="zh-CN"/>
        </w:rPr>
        <w:t>额的5%。</w:t>
      </w:r>
    </w:p>
    <w:p w14:paraId="459D9441">
      <w:pPr>
        <w:pStyle w:val="3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乙方提供的产品不符合本合同约定或存在质量问题的，乙方应当按照本合同约定以及甲方要求进行退换，并承担由此产生的一切费用，因退换导致逾期交货的，乙方应当按照本合同第十一条第2点的内容承担逾期交货违约责任；乙方拒绝退换的，甲方有权解除合同，乙方应当自行取回货物，甲方不承担任何保管义务，并且乙方应当按照合同总金额的15%向甲方支付违约金。</w:t>
      </w:r>
    </w:p>
    <w:p w14:paraId="737BE764">
      <w:pPr>
        <w:pStyle w:val="30"/>
        <w:snapToGrid w:val="0"/>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.乙方未按本合同和投标承诺提供售后服务的，</w:t>
      </w:r>
      <w:r>
        <w:rPr>
          <w:rFonts w:hint="eastAsia" w:ascii="宋体" w:hAnsi="宋体" w:eastAsia="宋体" w:cs="宋体"/>
          <w:color w:val="000000"/>
          <w:sz w:val="21"/>
          <w:szCs w:val="21"/>
          <w:highlight w:val="none"/>
          <w:lang w:val="en-US" w:eastAsia="zh-CN"/>
        </w:rPr>
        <w:t>经甲方书面催告1次仍不整改的，</w:t>
      </w:r>
      <w:r>
        <w:rPr>
          <w:rFonts w:hint="eastAsia" w:ascii="宋体" w:hAnsi="宋体" w:eastAsia="宋体" w:cs="宋体"/>
          <w:color w:val="000000"/>
          <w:sz w:val="21"/>
          <w:szCs w:val="21"/>
          <w:highlight w:val="none"/>
          <w:lang w:eastAsia="zh-CN"/>
        </w:rPr>
        <w:t>乙方应按本合同价款（报酬）的 5%向甲方支付违约金，</w:t>
      </w:r>
      <w:r>
        <w:rPr>
          <w:rFonts w:hint="eastAsia" w:ascii="宋体" w:hAnsi="宋体" w:eastAsia="宋体" w:cs="宋体"/>
          <w:color w:val="000000"/>
          <w:sz w:val="21"/>
          <w:szCs w:val="21"/>
          <w:highlight w:val="none"/>
          <w:lang w:val="en-US" w:eastAsia="zh-CN"/>
        </w:rPr>
        <w:t>同时甲方有权寻找第三方机构获得售后服务，全部费用由乙方承担，且无需经过乙方同意、确认。乙方经甲方书面催告3次仍不整改的，甲方有权解除合同，甲方解除合同的，无需向乙方支付任何设备使用费、折旧费以及其他补偿，乙方应当退还甲方支付过的费用，并自行取回货物，甲方不承担任何保管义务。</w:t>
      </w:r>
    </w:p>
    <w:p w14:paraId="7E314C5A">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eastAsia="zh-CN"/>
        </w:rPr>
        <w:t>.因某一方原因导致变更、中止或者终止政府采购合同的，该方应当对另一方受到的损失予以赔偿或者补偿。</w:t>
      </w:r>
    </w:p>
    <w:p w14:paraId="0172E796">
      <w:pPr>
        <w:pStyle w:val="3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lang w:eastAsia="zh-CN"/>
        </w:rPr>
        <w:t>.其它违约责任按《中华人民共和国民法典》处理。</w:t>
      </w:r>
    </w:p>
    <w:p w14:paraId="1C64F1DB">
      <w:pPr>
        <w:pStyle w:val="30"/>
        <w:snapToGrid w:val="0"/>
        <w:spacing w:line="360" w:lineRule="auto"/>
        <w:ind w:firstLine="413" w:firstLineChars="196"/>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w:t>
      </w:r>
      <w:r>
        <w:rPr>
          <w:rFonts w:hint="eastAsia" w:ascii="宋体" w:hAnsi="宋体" w:eastAsia="宋体" w:cs="宋体"/>
          <w:b/>
          <w:color w:val="000000"/>
          <w:sz w:val="21"/>
          <w:szCs w:val="21"/>
          <w:highlight w:val="none"/>
          <w:lang w:eastAsia="zh-CN"/>
        </w:rPr>
        <w:t>二</w:t>
      </w:r>
      <w:r>
        <w:rPr>
          <w:rFonts w:hint="eastAsia" w:ascii="宋体" w:hAnsi="宋体" w:eastAsia="宋体" w:cs="宋体"/>
          <w:b/>
          <w:color w:val="000000"/>
          <w:sz w:val="21"/>
          <w:szCs w:val="21"/>
          <w:highlight w:val="none"/>
        </w:rPr>
        <w:t>条  不可抗力事件处理</w:t>
      </w:r>
    </w:p>
    <w:p w14:paraId="04FB42FE">
      <w:pPr>
        <w:pStyle w:val="3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1.在合同有效期内，任何一方因不可抗力事件导致不能履行合同，则合同履行期可延长，其延长期与不可抗力影响期相同。</w:t>
      </w:r>
    </w:p>
    <w:p w14:paraId="4E7694E7">
      <w:pPr>
        <w:pStyle w:val="3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2.不可抗力事件发生后，应立即通知对方，并寄送有关权威机构出具的证明。</w:t>
      </w:r>
    </w:p>
    <w:p w14:paraId="3F9EEBE2">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3.不可抗力事件延续一百二十天以上，双方应通过友好协商，确定是否继续履行合同。</w:t>
      </w:r>
    </w:p>
    <w:p w14:paraId="2A4F1847">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第十三条  合同争议解决</w:t>
      </w:r>
    </w:p>
    <w:p w14:paraId="7D8DA3D5">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1.因货物质量问题发生争议的，应邀请国家认可的质量检测机构对货物质量进行鉴定</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鉴定工作由乙方负责，鉴定费用由乙方先行垫付</w:t>
      </w:r>
      <w:r>
        <w:rPr>
          <w:rFonts w:hint="eastAsia" w:ascii="宋体" w:hAnsi="宋体" w:eastAsia="宋体" w:cs="宋体"/>
          <w:color w:val="000000"/>
          <w:sz w:val="21"/>
          <w:szCs w:val="21"/>
          <w:highlight w:val="none"/>
        </w:rPr>
        <w:t>。货物符合标准的，鉴定费由甲方承担；货物不符合标准的，鉴定费由乙方承担。</w:t>
      </w:r>
    </w:p>
    <w:p w14:paraId="00A99B1C">
      <w:pPr>
        <w:autoSpaceDE w:val="0"/>
        <w:autoSpaceDN w:val="0"/>
        <w:adjustRightInd w:val="0"/>
        <w:spacing w:line="360" w:lineRule="auto"/>
        <w:ind w:left="100" w:right="42"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2.因履行本合同引起的或者与本合同有关的争议，甲乙双方应首先通过友好协商解决，如果协商不能解决，应向甲方所在地有管辖权的人民法院提起诉讼。</w:t>
      </w:r>
      <w:r>
        <w:rPr>
          <w:rFonts w:hint="eastAsia" w:ascii="宋体" w:hAnsi="宋体" w:eastAsia="宋体" w:cs="宋体"/>
          <w:color w:val="000000"/>
          <w:sz w:val="21"/>
          <w:szCs w:val="21"/>
          <w:highlight w:val="none"/>
          <w:lang w:val="en-US" w:eastAsia="zh-CN"/>
        </w:rPr>
        <w:t>守约方有权要求违约方支付因维护自身权益所支出的诉讼费、律师费、交通费、保险费、保全费、执行费等一切费用。</w:t>
      </w:r>
    </w:p>
    <w:p w14:paraId="41BCBBDB">
      <w:pPr>
        <w:autoSpaceDE w:val="0"/>
        <w:autoSpaceDN w:val="0"/>
        <w:adjustRightInd w:val="0"/>
        <w:spacing w:line="360" w:lineRule="auto"/>
        <w:ind w:left="100" w:right="42" w:firstLine="42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本合同所留单位地址为各方居住地址或者主要办事机构所在地址，本合同履行过程中发生任何纠纷，则前述地址视为法院邮寄法律文书及邮寄催收函、律师函、工作联系函等文件的法定送达地址。所留电话为文件邮寄的联系电话，邮件一旦邮寄，不管是否签收即视为送达，拒收或者退件，以拒收或者退件时间为送达时间。</w:t>
      </w:r>
    </w:p>
    <w:p w14:paraId="50376556">
      <w:pPr>
        <w:autoSpaceDE w:val="0"/>
        <w:autoSpaceDN w:val="0"/>
        <w:adjustRightInd w:val="0"/>
        <w:spacing w:line="360" w:lineRule="auto"/>
        <w:ind w:left="100" w:right="42" w:firstLine="42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第十四条　合同的变更、中止或者终止</w:t>
      </w:r>
    </w:p>
    <w:p w14:paraId="573883CF">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除《中华人民共和国政府采购法》第五十条规定的情形外，本合同一经签订，甲乙双方不得擅自变更、中止或者终止合同。</w:t>
      </w:r>
    </w:p>
    <w:p w14:paraId="13A3ABDC">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2.采购合同继续履行将损害国家利益和社会公共利益的，双方当事人应当变更、中止或者终止合同。有过错的一方应当承担赔偿责任，双方都有过错的，各自承担相应的责任。</w:t>
      </w:r>
    </w:p>
    <w:p w14:paraId="34BE1285">
      <w:pPr>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第十五条　知识产权、权利保证和保密要求</w:t>
      </w:r>
    </w:p>
    <w:p w14:paraId="4E8F4088">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1.甲方在履行合同过程中提供给乙方的全部图纸、文件和其他含有数据和信息的资料，其知识产权属于甲方。</w:t>
      </w:r>
    </w:p>
    <w:p w14:paraId="25B7601F">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2.除招标采购需求另有约定外，甲方不因签署和履行合同而享有乙方在履行合同过程中提供给甲方的图纸、文件、配套软件、电子辅助程序和其他含有数据和信息的资料的知识产权。</w:t>
      </w:r>
    </w:p>
    <w:p w14:paraId="210F6668">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336C9B3C">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4.如果甲方收到任何第三方有关知识产权</w:t>
      </w:r>
      <w:r>
        <w:rPr>
          <w:rFonts w:hint="eastAsia" w:ascii="宋体" w:hAnsi="宋体" w:eastAsia="宋体" w:cs="宋体"/>
          <w:color w:val="000000"/>
          <w:sz w:val="21"/>
          <w:szCs w:val="21"/>
          <w:highlight w:val="none"/>
          <w:lang w:val="en-US" w:eastAsia="zh-CN"/>
        </w:rPr>
        <w:t>或其他权利</w:t>
      </w:r>
      <w:r>
        <w:rPr>
          <w:rFonts w:hint="eastAsia" w:ascii="宋体" w:hAnsi="宋体" w:eastAsia="宋体" w:cs="宋体"/>
          <w:color w:val="000000"/>
          <w:sz w:val="21"/>
          <w:szCs w:val="21"/>
          <w:highlight w:val="none"/>
        </w:rPr>
        <w:t>的主张、索赔或诉讼，乙方在收到甲方通知后， 应以甲方名义并在甲方的协助下，自负费用处理与第三方的索赔或诉讼，并赔偿甲方因此发生的费用和遭受的损失。如果乙方拒绝处理前述索赔或诉讼或在收到甲方通知后</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日内未作表示，甲方可以自己的名义进行这些索赔或诉讼，因此发生的费用和遭受的损失均应由乙方承担</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包括但不限于支付给第三方的赔偿金、补偿金、因消除负面影响或舆情产生的全部费用、因涉纠纷发生的律师费、诉讼费、保全费、保全担保保险费、差旅费等</w:t>
      </w:r>
      <w:r>
        <w:rPr>
          <w:rFonts w:hint="eastAsia" w:ascii="宋体" w:hAnsi="宋体" w:eastAsia="宋体" w:cs="宋体"/>
          <w:color w:val="000000"/>
          <w:sz w:val="21"/>
          <w:szCs w:val="21"/>
          <w:highlight w:val="none"/>
        </w:rPr>
        <w:t>。</w:t>
      </w:r>
    </w:p>
    <w:p w14:paraId="678F6FE5">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3D8E543D">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6.乙方保证将要交付的货物的所有权完全属于乙方且无任何抵押、质押、查封等产权瑕疵。</w:t>
      </w:r>
    </w:p>
    <w:p w14:paraId="74978486">
      <w:pPr>
        <w:pStyle w:val="30"/>
        <w:snapToGrid w:val="0"/>
        <w:spacing w:line="360" w:lineRule="auto"/>
        <w:ind w:firstLine="413" w:firstLineChars="196"/>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w:t>
      </w:r>
      <w:r>
        <w:rPr>
          <w:rFonts w:hint="eastAsia" w:ascii="宋体" w:hAnsi="宋体" w:eastAsia="宋体" w:cs="宋体"/>
          <w:b/>
          <w:color w:val="000000"/>
          <w:sz w:val="21"/>
          <w:szCs w:val="21"/>
          <w:highlight w:val="none"/>
          <w:lang w:eastAsia="zh-CN"/>
        </w:rPr>
        <w:t>六</w:t>
      </w:r>
      <w:r>
        <w:rPr>
          <w:rFonts w:hint="eastAsia" w:ascii="宋体" w:hAnsi="宋体" w:eastAsia="宋体" w:cs="宋体"/>
          <w:b/>
          <w:color w:val="000000"/>
          <w:sz w:val="21"/>
          <w:szCs w:val="21"/>
          <w:highlight w:val="none"/>
        </w:rPr>
        <w:t>条  合同生效及其它</w:t>
      </w:r>
    </w:p>
    <w:p w14:paraId="0A8E54D2">
      <w:pPr>
        <w:pStyle w:val="3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1.合同经双方法定代表人或者委托代理人签字并加盖单位公章后生效（委托代理人签字的需后附授权委托书，格式自拟）。</w:t>
      </w:r>
    </w:p>
    <w:p w14:paraId="7AC4C907">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2.合同执行中涉及采购资金和采购内容修改或者补充的，并签书面补充协议，方可作为主合同不可分割的一部分。</w:t>
      </w:r>
    </w:p>
    <w:p w14:paraId="162C7E75">
      <w:pPr>
        <w:pStyle w:val="21"/>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3.合同生效后，甲乙双方不得因姓名、名称的变更或者法定代表人、负责人、承办人的变动而不履行合同义务。</w:t>
      </w:r>
    </w:p>
    <w:p w14:paraId="6F89D4FC">
      <w:pPr>
        <w:pStyle w:val="30"/>
        <w:snapToGrid w:val="0"/>
        <w:spacing w:line="360" w:lineRule="auto"/>
        <w:ind w:left="420" w:left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.本合同未尽事宜，遵照《中华人民共和国民法典》有关条文执行。</w:t>
      </w:r>
    </w:p>
    <w:p w14:paraId="4ABEFD95">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第十七条　签订本合同依据</w:t>
      </w:r>
    </w:p>
    <w:p w14:paraId="7506D4B5">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eastAsia="zh-CN"/>
        </w:rPr>
        <w:t>招标文件</w:t>
      </w:r>
      <w:r>
        <w:rPr>
          <w:rFonts w:hint="eastAsia" w:ascii="宋体" w:hAnsi="宋体" w:eastAsia="宋体" w:cs="宋体"/>
          <w:color w:val="000000"/>
          <w:sz w:val="21"/>
          <w:szCs w:val="21"/>
          <w:highlight w:val="none"/>
        </w:rPr>
        <w:t>；</w:t>
      </w:r>
    </w:p>
    <w:p w14:paraId="7B7584F6">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2.乙方提供的</w:t>
      </w:r>
      <w:r>
        <w:rPr>
          <w:rFonts w:hint="eastAsia" w:ascii="宋体" w:hAnsi="宋体" w:cs="宋体"/>
          <w:color w:val="000000"/>
          <w:sz w:val="21"/>
          <w:szCs w:val="21"/>
          <w:highlight w:val="none"/>
          <w:lang w:eastAsia="zh-CN"/>
        </w:rPr>
        <w:t>投标文件</w:t>
      </w:r>
      <w:r>
        <w:rPr>
          <w:rFonts w:hint="eastAsia" w:ascii="宋体" w:hAnsi="宋体" w:eastAsia="宋体" w:cs="宋体"/>
          <w:color w:val="000000"/>
          <w:sz w:val="21"/>
          <w:szCs w:val="21"/>
          <w:highlight w:val="none"/>
        </w:rPr>
        <w:t>；</w:t>
      </w:r>
    </w:p>
    <w:p w14:paraId="3226444D">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3.中标通知书。</w:t>
      </w:r>
    </w:p>
    <w:p w14:paraId="54B6CB2C">
      <w:pPr>
        <w:adjustRightInd w:val="0"/>
        <w:snapToGrid w:val="0"/>
        <w:spacing w:line="360" w:lineRule="auto"/>
        <w:ind w:firstLine="422" w:firstLineChars="200"/>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第十</w:t>
      </w:r>
      <w:r>
        <w:rPr>
          <w:rFonts w:hint="eastAsia" w:ascii="宋体" w:hAnsi="宋体" w:eastAsia="宋体" w:cs="宋体"/>
          <w:b/>
          <w:color w:val="000000"/>
          <w:sz w:val="21"/>
          <w:szCs w:val="21"/>
          <w:highlight w:val="none"/>
          <w:lang w:eastAsia="zh-CN"/>
        </w:rPr>
        <w:t>八</w:t>
      </w:r>
      <w:r>
        <w:rPr>
          <w:rFonts w:hint="eastAsia" w:ascii="宋体" w:hAnsi="宋体" w:eastAsia="宋体" w:cs="宋体"/>
          <w:b/>
          <w:color w:val="000000"/>
          <w:sz w:val="21"/>
          <w:szCs w:val="21"/>
          <w:highlight w:val="none"/>
        </w:rPr>
        <w:t>条　廉洁承诺</w:t>
      </w:r>
    </w:p>
    <w:p w14:paraId="214BD5C2">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为保证医疗设备购销领域活动的廉洁性，防止各类违法违纪案件的发生，乙方供货公司和所属人员庄严承诺如下：</w:t>
      </w:r>
    </w:p>
    <w:p w14:paraId="73779D06">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1．遵守国家的法律法规。依法处理医疗设备购销业务，保证不搞违法乱纪活动，自觉接受执法执纪部门的监督检查；</w:t>
      </w:r>
    </w:p>
    <w:p w14:paraId="7FD5FEC4">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2．在医疗设备购销领域中，保证不以任何形式给予医院工作人员回扣、好处费等；</w:t>
      </w:r>
    </w:p>
    <w:p w14:paraId="76610A55">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3．在正常业务交往中，保证不赠送各种礼金、有价证券和贵重物品，不给对方报销应由个人支付的费用；</w:t>
      </w:r>
    </w:p>
    <w:p w14:paraId="53B1D425">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4．维护正常的医疗秩序，保证不以宴请、高消费娱乐、提供国（境）外学术活动等手段影响医生的用药选择权；</w:t>
      </w:r>
    </w:p>
    <w:p w14:paraId="08612188">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5．乙方给医院的捐赠款物，保证严格按照《中华人民共和国公益事业捐赠法》和《卫生计生单位接受公益事业捐赠管理办法》（国卫财务发2015 77号）等法律法规执行；</w:t>
      </w:r>
    </w:p>
    <w:p w14:paraId="1D91EFFF">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严格对业务代表进行管理，不进入医院门诊、病区、科室向医护人员推销医疗产品，业务代表不得以任何理由让临床、设备、信息等有关人员统计医生处方和有关耗材的用量信息或要求相关人员为此提供便利；</w:t>
      </w:r>
    </w:p>
    <w:p w14:paraId="0BB65B56">
      <w:pPr>
        <w:pStyle w:val="30"/>
        <w:adjustRightInd w:val="0"/>
        <w:snapToGrid w:val="0"/>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以上承诺如有违反，乙方愿意按照《国家卫生计生委关于建立医药购销领域商业贿赂不良记录的规定》（国卫法制发〔2013〕50号）等相关规定处理。如果情节严重的移交司法机关处理。</w:t>
      </w:r>
    </w:p>
    <w:p w14:paraId="0185CBDA">
      <w:pPr>
        <w:adjustRightInd w:val="0"/>
        <w:snapToGrid w:val="0"/>
        <w:spacing w:line="360" w:lineRule="auto"/>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第十九条　</w:t>
      </w:r>
      <w:r>
        <w:rPr>
          <w:rFonts w:hint="eastAsia" w:ascii="宋体" w:hAnsi="宋体" w:eastAsia="宋体" w:cs="宋体"/>
          <w:color w:val="000000"/>
          <w:sz w:val="21"/>
          <w:szCs w:val="21"/>
          <w:highlight w:val="none"/>
        </w:rPr>
        <w:t>本合同一式陆份，具有同等法律效力。甲方肆份，乙方壹份，</w:t>
      </w:r>
      <w:r>
        <w:rPr>
          <w:rFonts w:hint="eastAsia" w:ascii="宋体" w:hAnsi="宋体" w:eastAsia="宋体" w:cs="宋体"/>
          <w:color w:val="000000"/>
          <w:spacing w:val="4"/>
          <w:sz w:val="21"/>
          <w:szCs w:val="21"/>
          <w:highlight w:val="none"/>
        </w:rPr>
        <w:t>采购代理机构</w:t>
      </w:r>
      <w:r>
        <w:rPr>
          <w:rFonts w:hint="eastAsia" w:ascii="宋体" w:hAnsi="宋体" w:eastAsia="宋体" w:cs="宋体"/>
          <w:color w:val="000000"/>
          <w:sz w:val="21"/>
          <w:szCs w:val="21"/>
          <w:highlight w:val="none"/>
        </w:rPr>
        <w:t>壹份。本合同经甲乙双方法定代表人或授权代表签字并加盖单位公章后生效。</w:t>
      </w:r>
    </w:p>
    <w:p w14:paraId="5F93E5F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w:t>
      </w:r>
    </w:p>
    <w:p w14:paraId="4393552A">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1.中标通知书</w:t>
      </w:r>
    </w:p>
    <w:p w14:paraId="7952FE78">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cs="宋体"/>
          <w:color w:val="000000"/>
          <w:sz w:val="21"/>
          <w:szCs w:val="21"/>
          <w:highlight w:val="none"/>
          <w:lang w:eastAsia="zh-CN"/>
        </w:rPr>
        <w:t>招标文件</w:t>
      </w:r>
      <w:r>
        <w:rPr>
          <w:rFonts w:hint="eastAsia" w:ascii="宋体" w:hAnsi="宋体" w:eastAsia="宋体" w:cs="宋体"/>
          <w:color w:val="000000"/>
          <w:sz w:val="21"/>
          <w:szCs w:val="21"/>
          <w:highlight w:val="none"/>
        </w:rPr>
        <w:t>技术、商务要求</w:t>
      </w:r>
    </w:p>
    <w:p w14:paraId="1F41CCAD">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3.乙方的投标声明、开标一览表、技术要求偏离表、商务要求偏离表、设备性能配置清单</w:t>
      </w:r>
      <w:r>
        <w:rPr>
          <w:rFonts w:hint="eastAsia" w:ascii="宋体" w:hAnsi="宋体" w:eastAsia="宋体" w:cs="宋体"/>
          <w:color w:val="000000"/>
          <w:sz w:val="21"/>
          <w:szCs w:val="21"/>
          <w:highlight w:val="none"/>
          <w:lang w:eastAsia="zh-CN"/>
        </w:rPr>
        <w:t>及参数</w:t>
      </w:r>
      <w:r>
        <w:rPr>
          <w:rFonts w:hint="eastAsia" w:ascii="宋体" w:hAnsi="宋体" w:eastAsia="宋体" w:cs="宋体"/>
          <w:color w:val="000000"/>
          <w:sz w:val="21"/>
          <w:szCs w:val="21"/>
          <w:highlight w:val="none"/>
        </w:rPr>
        <w:t>（如有）、售后服务方案（如有）、选配件、专用耗材、售后服务优惠表（如有）</w:t>
      </w:r>
    </w:p>
    <w:p w14:paraId="0C853158">
      <w:pPr>
        <w:adjustRightInd w:val="0"/>
        <w:snapToGrid w:val="0"/>
        <w:spacing w:line="360" w:lineRule="auto"/>
        <w:ind w:left="420" w:leftChars="200" w:firstLine="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4.乙方的营业执照等主体证明文件、医疗器械经营许可证（或医疗器械经营备案凭证）5.制造商授权书（如有）</w:t>
      </w:r>
    </w:p>
    <w:p w14:paraId="74E1259E">
      <w:pPr>
        <w:adjustRightInd w:val="0"/>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.制造商</w:t>
      </w:r>
      <w:r>
        <w:rPr>
          <w:rFonts w:hint="eastAsia" w:ascii="宋体" w:hAnsi="宋体" w:eastAsia="宋体" w:cs="宋体"/>
          <w:color w:val="000000"/>
          <w:sz w:val="21"/>
          <w:szCs w:val="21"/>
          <w:highlight w:val="none"/>
          <w:lang w:eastAsia="zh-CN"/>
        </w:rPr>
        <w:t>相关资质</w:t>
      </w:r>
      <w:r>
        <w:rPr>
          <w:rFonts w:hint="eastAsia" w:ascii="宋体" w:hAnsi="宋体" w:eastAsia="宋体" w:cs="宋体"/>
          <w:color w:val="000000"/>
          <w:sz w:val="21"/>
          <w:szCs w:val="21"/>
          <w:highlight w:val="none"/>
        </w:rPr>
        <w:t>及合同标的对应的医疗器械注册证复印件</w:t>
      </w:r>
      <w:r>
        <w:rPr>
          <w:rFonts w:hint="eastAsia" w:ascii="宋体" w:hAnsi="宋体" w:eastAsia="宋体" w:cs="宋体"/>
          <w:color w:val="000000"/>
          <w:sz w:val="21"/>
          <w:szCs w:val="21"/>
          <w:highlight w:val="none"/>
          <w:lang w:eastAsia="zh-CN"/>
        </w:rPr>
        <w:t>等</w:t>
      </w:r>
      <w:r>
        <w:rPr>
          <w:rFonts w:hint="eastAsia" w:ascii="宋体" w:hAnsi="宋体" w:eastAsia="宋体" w:cs="宋体"/>
          <w:color w:val="000000"/>
          <w:sz w:val="21"/>
          <w:szCs w:val="21"/>
          <w:highlight w:val="none"/>
        </w:rPr>
        <w:t>；</w:t>
      </w:r>
    </w:p>
    <w:p w14:paraId="50201EEF">
      <w:pPr>
        <w:adjustRightInd w:val="0"/>
        <w:snapToGrid w:val="0"/>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以下无正文，为签署页</w:t>
      </w:r>
      <w:r>
        <w:rPr>
          <w:rFonts w:hint="eastAsia" w:ascii="宋体" w:hAnsi="宋体" w:eastAsia="宋体" w:cs="宋体"/>
          <w:color w:val="000000"/>
          <w:sz w:val="21"/>
          <w:szCs w:val="21"/>
          <w:highlight w:val="none"/>
          <w:lang w:eastAsia="zh-CN"/>
        </w:rPr>
        <w:t>）</w:t>
      </w:r>
    </w:p>
    <w:tbl>
      <w:tblPr>
        <w:tblStyle w:val="55"/>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5"/>
        <w:gridCol w:w="4825"/>
      </w:tblGrid>
      <w:tr w14:paraId="6A6E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2569AD5E">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甲方（章）广西壮族自治区南溪山医院（广西壮族自治区第二人民医院）   </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41B57446">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乙方（章）</w:t>
            </w:r>
          </w:p>
        </w:tc>
      </w:tr>
      <w:tr w14:paraId="22CC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2969AD38">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单位地址：桂林市象山区崇信路46号</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04CE1A27">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单位地址： </w:t>
            </w:r>
          </w:p>
        </w:tc>
      </w:tr>
      <w:tr w14:paraId="7E05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0A16FE41">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法定代表人：</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3C7CFA66">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法定代表人： </w:t>
            </w:r>
          </w:p>
        </w:tc>
      </w:tr>
      <w:tr w14:paraId="1BDA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30725ACB">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委托代理人：</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0BA721EA">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 xml:space="preserve">委托代理人： </w:t>
            </w:r>
            <w:r>
              <w:rPr>
                <w:rFonts w:hint="eastAsia" w:ascii="宋体" w:hAnsi="宋体" w:eastAsia="宋体" w:cs="宋体"/>
                <w:color w:val="000000"/>
                <w:sz w:val="21"/>
                <w:szCs w:val="21"/>
                <w:highlight w:val="none"/>
                <w:lang w:val="en-US" w:eastAsia="zh-CN"/>
              </w:rPr>
              <w:t xml:space="preserve">             手机号：</w:t>
            </w:r>
          </w:p>
        </w:tc>
      </w:tr>
      <w:tr w14:paraId="211F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027DD9DE">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电话：0773-3831227</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2849AD9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电话：</w:t>
            </w:r>
          </w:p>
        </w:tc>
      </w:tr>
      <w:tr w14:paraId="3B9F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6507E285">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电子邮箱：nysbk3831227@163.com</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0C0C831A">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电子邮箱：</w:t>
            </w:r>
          </w:p>
        </w:tc>
      </w:tr>
      <w:tr w14:paraId="2850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55884E5B">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纳税人识别号： 12450000498502373N</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08EBE302">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纳税人识别号：</w:t>
            </w:r>
          </w:p>
        </w:tc>
      </w:tr>
      <w:tr w14:paraId="3646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0D2D0718">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开户银行：中国建设银行股份有限公司桂林城南支行</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74551CD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p>
        </w:tc>
      </w:tr>
      <w:tr w14:paraId="1817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31EAEF0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账号：45001635305059666666</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52A2B670">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w:t>
            </w:r>
          </w:p>
        </w:tc>
      </w:tr>
      <w:tr w14:paraId="79FA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4295" w:type="dxa"/>
            <w:tcBorders>
              <w:top w:val="single" w:color="auto" w:sz="4" w:space="0"/>
              <w:left w:val="single" w:color="auto" w:sz="4" w:space="0"/>
              <w:bottom w:val="single" w:color="auto" w:sz="4" w:space="0"/>
              <w:right w:val="single" w:color="auto" w:sz="4" w:space="0"/>
            </w:tcBorders>
            <w:noWrap w:val="0"/>
            <w:vAlign w:val="center"/>
          </w:tcPr>
          <w:p w14:paraId="5AE2D317">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邮政编码：541002</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2C43D590">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邮政编码：</w:t>
            </w:r>
          </w:p>
        </w:tc>
      </w:tr>
    </w:tbl>
    <w:p w14:paraId="35A720EB">
      <w:pPr>
        <w:snapToGrid w:val="0"/>
        <w:spacing w:line="360" w:lineRule="auto"/>
        <w:jc w:val="left"/>
        <w:rPr>
          <w:rFonts w:ascii="Arial" w:hAnsi="Arial" w:cs="Arial"/>
          <w:b/>
          <w:bCs/>
          <w:color w:val="000000" w:themeColor="text1"/>
          <w:szCs w:val="21"/>
          <w14:textFill>
            <w14:solidFill>
              <w14:schemeClr w14:val="tx1"/>
            </w14:solidFill>
          </w14:textFill>
        </w:rPr>
      </w:pPr>
      <w:bookmarkStart w:id="99" w:name="_Hlk77607667"/>
    </w:p>
    <w:bookmarkEnd w:id="99"/>
    <w:p w14:paraId="45A017CD">
      <w:pPr>
        <w:pStyle w:val="23"/>
        <w:ind w:firstLine="0" w:firstLineChars="0"/>
        <w:rPr>
          <w:rFonts w:ascii="Arial" w:hAnsi="Arial" w:eastAsia="宋体" w:cs="Arial"/>
          <w:color w:val="000000" w:themeColor="text1"/>
          <w14:textFill>
            <w14:solidFill>
              <w14:schemeClr w14:val="tx1"/>
            </w14:solidFill>
          </w14:textFill>
        </w:rPr>
      </w:pPr>
    </w:p>
    <w:p w14:paraId="48101BF9">
      <w:pPr>
        <w:rPr>
          <w:rFonts w:ascii="Arial" w:hAnsi="Arial" w:cs="Arial"/>
          <w:color w:val="000000" w:themeColor="text1"/>
          <w:sz w:val="32"/>
          <w:szCs w:val="32"/>
          <w14:textFill>
            <w14:solidFill>
              <w14:schemeClr w14:val="tx1"/>
            </w14:solidFill>
          </w14:textFill>
        </w:rPr>
      </w:pPr>
      <w:r>
        <w:rPr>
          <w:rFonts w:ascii="Arial" w:hAnsi="Arial" w:cs="Arial"/>
          <w:color w:val="000000" w:themeColor="text1"/>
          <w:sz w:val="32"/>
          <w:szCs w:val="32"/>
          <w14:textFill>
            <w14:solidFill>
              <w14:schemeClr w14:val="tx1"/>
            </w14:solidFill>
          </w14:textFill>
        </w:rPr>
        <w:br w:type="page"/>
      </w:r>
    </w:p>
    <w:p w14:paraId="3BEC8524">
      <w:pPr>
        <w:pStyle w:val="30"/>
        <w:snapToGrid w:val="0"/>
        <w:spacing w:before="120" w:after="120" w:line="320" w:lineRule="exact"/>
        <w:jc w:val="center"/>
        <w:outlineLvl w:val="0"/>
        <w:rPr>
          <w:rFonts w:ascii="Arial" w:hAnsi="Arial" w:cs="Arial"/>
          <w:color w:val="000000" w:themeColor="text1"/>
          <w:sz w:val="32"/>
          <w:szCs w:val="32"/>
          <w14:textFill>
            <w14:solidFill>
              <w14:schemeClr w14:val="tx1"/>
            </w14:solidFill>
          </w14:textFill>
        </w:rPr>
      </w:pPr>
      <w:bookmarkStart w:id="100" w:name="_Toc703"/>
      <w:r>
        <w:rPr>
          <w:rFonts w:ascii="Arial" w:hAnsi="Arial" w:cs="Arial"/>
          <w:color w:val="000000" w:themeColor="text1"/>
          <w:sz w:val="32"/>
          <w:szCs w:val="32"/>
          <w14:textFill>
            <w14:solidFill>
              <w14:schemeClr w14:val="tx1"/>
            </w14:solidFill>
          </w14:textFill>
        </w:rPr>
        <w:t>第六章  投标文件格式</w:t>
      </w:r>
      <w:bookmarkEnd w:id="100"/>
    </w:p>
    <w:p w14:paraId="486ADCF2">
      <w:pPr>
        <w:rPr>
          <w:rFonts w:ascii="Arial" w:hAnsi="Arial" w:cs="Arial"/>
          <w:color w:val="000000" w:themeColor="text1"/>
          <w:sz w:val="28"/>
          <w:szCs w:val="28"/>
          <w14:textFill>
            <w14:solidFill>
              <w14:schemeClr w14:val="tx1"/>
            </w14:solidFill>
          </w14:textFill>
        </w:rPr>
      </w:pPr>
    </w:p>
    <w:p w14:paraId="39E17061">
      <w:pPr>
        <w:rPr>
          <w:rFonts w:ascii="Arial" w:hAnsi="Arial" w:cs="Arial"/>
          <w:color w:val="000000" w:themeColor="text1"/>
          <w:sz w:val="28"/>
          <w:szCs w:val="28"/>
          <w14:textFill>
            <w14:solidFill>
              <w14:schemeClr w14:val="tx1"/>
            </w14:solidFill>
          </w14:textFill>
        </w:rPr>
      </w:pPr>
    </w:p>
    <w:p w14:paraId="2D6D35B8">
      <w:pPr>
        <w:spacing w:line="500" w:lineRule="exact"/>
        <w:ind w:firstLine="560" w:firstLineChars="200"/>
        <w:rPr>
          <w:rFonts w:ascii="Arial" w:hAnsi="Arial" w:cs="Arial"/>
          <w:color w:val="000000" w:themeColor="text1"/>
          <w:sz w:val="28"/>
          <w:szCs w:val="28"/>
          <w14:textFill>
            <w14:solidFill>
              <w14:schemeClr w14:val="tx1"/>
            </w14:solidFill>
          </w14:textFill>
        </w:rPr>
      </w:pPr>
      <w:bookmarkStart w:id="101" w:name="_Hlk19114175"/>
      <w:r>
        <w:rPr>
          <w:rFonts w:ascii="Arial" w:hAnsi="Arial" w:cs="Arial"/>
          <w:color w:val="000000" w:themeColor="text1"/>
          <w:sz w:val="28"/>
          <w:szCs w:val="28"/>
          <w14:textFill>
            <w14:solidFill>
              <w14:schemeClr w14:val="tx1"/>
            </w14:solidFill>
          </w14:textFill>
        </w:rPr>
        <w:t>注：本章标注“必须提供”的，应按要求必须提供；有签字、盖章要求的应按要求签字、盖章。未标注“必须提供”的，供应商可自行决定是否提供。</w:t>
      </w:r>
    </w:p>
    <w:bookmarkEnd w:id="101"/>
    <w:p w14:paraId="61CC4037">
      <w:pPr>
        <w:spacing w:line="500" w:lineRule="exact"/>
        <w:ind w:firstLine="480" w:firstLineChars="200"/>
        <w:rPr>
          <w:rFonts w:ascii="Arial" w:hAnsi="Arial" w:cs="Arial"/>
          <w:color w:val="000000" w:themeColor="text1"/>
          <w:sz w:val="24"/>
          <w14:textFill>
            <w14:solidFill>
              <w14:schemeClr w14:val="tx1"/>
            </w14:solidFill>
          </w14:textFill>
        </w:rPr>
      </w:pPr>
    </w:p>
    <w:p w14:paraId="40B8BBB8">
      <w:pPr>
        <w:spacing w:line="500" w:lineRule="exact"/>
        <w:ind w:firstLine="480" w:firstLineChars="200"/>
        <w:rPr>
          <w:rFonts w:ascii="Arial" w:hAnsi="Arial" w:cs="Arial"/>
          <w:bCs/>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br w:type="page"/>
      </w:r>
      <w:bookmarkEnd w:id="0"/>
      <w:bookmarkEnd w:id="1"/>
      <w:r>
        <w:rPr>
          <w:rFonts w:ascii="Arial" w:hAnsi="Arial" w:cs="Arial"/>
          <w:bCs/>
          <w:color w:val="000000" w:themeColor="text1"/>
          <w:sz w:val="24"/>
          <w14:textFill>
            <w14:solidFill>
              <w14:schemeClr w14:val="tx1"/>
            </w14:solidFill>
          </w14:textFill>
        </w:rPr>
        <w:t>一、投标文件第1个密封袋的包装封面参考格式：</w:t>
      </w:r>
    </w:p>
    <w:p w14:paraId="017671E2">
      <w:pPr>
        <w:rPr>
          <w:rFonts w:ascii="Arial" w:hAnsi="Arial" w:cs="Arial"/>
          <w:color w:val="000000" w:themeColor="text1"/>
          <w14:textFill>
            <w14:solidFill>
              <w14:schemeClr w14:val="tx1"/>
            </w14:solidFill>
          </w14:textFill>
        </w:rPr>
      </w:pPr>
    </w:p>
    <w:p w14:paraId="3EA256AE">
      <w:pPr>
        <w:snapToGrid w:val="0"/>
        <w:spacing w:before="120" w:beforeLines="50" w:after="50" w:line="440" w:lineRule="exact"/>
        <w:jc w:val="center"/>
        <w:rPr>
          <w:rFonts w:ascii="Arial" w:hAnsi="Arial" w:cs="Arial"/>
          <w:bCs/>
          <w:color w:val="000000" w:themeColor="text1"/>
          <w:sz w:val="24"/>
          <w14:textFill>
            <w14:solidFill>
              <w14:schemeClr w14:val="tx1"/>
            </w14:solidFill>
          </w14:textFill>
        </w:rPr>
      </w:pPr>
    </w:p>
    <w:p w14:paraId="07813D51">
      <w:pPr>
        <w:snapToGrid w:val="0"/>
        <w:spacing w:before="120" w:beforeLines="50" w:after="50" w:line="440" w:lineRule="exact"/>
        <w:jc w:val="center"/>
        <w:rPr>
          <w:rFonts w:ascii="Arial" w:hAnsi="Arial" w:cs="Arial"/>
          <w:b/>
          <w:bCs/>
          <w:color w:val="000000" w:themeColor="text1"/>
          <w:sz w:val="44"/>
          <w:szCs w:val="44"/>
          <w14:textFill>
            <w14:solidFill>
              <w14:schemeClr w14:val="tx1"/>
            </w14:solidFill>
          </w14:textFill>
        </w:rPr>
      </w:pPr>
      <w:r>
        <w:rPr>
          <w:rFonts w:ascii="Arial" w:hAnsi="Arial" w:cs="Arial"/>
          <w:b/>
          <w:bCs/>
          <w:color w:val="000000" w:themeColor="text1"/>
          <w:sz w:val="44"/>
          <w:szCs w:val="44"/>
          <w14:textFill>
            <w14:solidFill>
              <w14:schemeClr w14:val="tx1"/>
            </w14:solidFill>
          </w14:textFill>
        </w:rPr>
        <w:t>投 标 文 件</w:t>
      </w:r>
    </w:p>
    <w:p w14:paraId="0C8237C3">
      <w:pPr>
        <w:snapToGrid w:val="0"/>
        <w:spacing w:before="120" w:beforeLines="50" w:after="50" w:line="440" w:lineRule="exact"/>
        <w:rPr>
          <w:rFonts w:ascii="Arial" w:hAnsi="Arial" w:cs="Arial"/>
          <w:bCs/>
          <w:color w:val="000000" w:themeColor="text1"/>
          <w:sz w:val="24"/>
          <w14:textFill>
            <w14:solidFill>
              <w14:schemeClr w14:val="tx1"/>
            </w14:solidFill>
          </w14:textFill>
        </w:rPr>
      </w:pPr>
    </w:p>
    <w:p w14:paraId="0B260174">
      <w:pPr>
        <w:snapToGrid w:val="0"/>
        <w:spacing w:before="120" w:beforeLines="50" w:after="50" w:line="44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 xml:space="preserve">项目名称： </w:t>
      </w:r>
    </w:p>
    <w:p w14:paraId="0C372C63">
      <w:pPr>
        <w:snapToGrid w:val="0"/>
        <w:spacing w:before="120" w:beforeLines="50" w:after="50" w:line="44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 xml:space="preserve">项目编号： </w:t>
      </w:r>
    </w:p>
    <w:p w14:paraId="2F7D6482">
      <w:pPr>
        <w:snapToGrid w:val="0"/>
        <w:spacing w:before="120" w:beforeLines="50" w:after="50" w:line="44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分标号：（若无留空或写“/”）</w:t>
      </w:r>
    </w:p>
    <w:p w14:paraId="1FFAE1D4">
      <w:pPr>
        <w:pStyle w:val="7"/>
        <w:snapToGrid w:val="0"/>
        <w:spacing w:before="50" w:after="50" w:line="440" w:lineRule="exact"/>
        <w:ind w:left="718" w:leftChars="342" w:firstLine="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szCs w:val="24"/>
          <w14:textFill>
            <w14:solidFill>
              <w14:schemeClr w14:val="tx1"/>
            </w14:solidFill>
          </w14:textFill>
        </w:rPr>
        <w:t>投标文件名称：第一册</w:t>
      </w:r>
      <w:r>
        <w:rPr>
          <w:rFonts w:ascii="Arial" w:hAnsi="Arial" w:cs="Arial"/>
          <w:bCs/>
          <w:color w:val="000000" w:themeColor="text1"/>
          <w:sz w:val="24"/>
          <w14:textFill>
            <w14:solidFill>
              <w14:schemeClr w14:val="tx1"/>
            </w14:solidFill>
          </w14:textFill>
        </w:rPr>
        <w:t>资格审查文件、第二册</w:t>
      </w:r>
      <w:r>
        <w:rPr>
          <w:rFonts w:ascii="Arial" w:hAnsi="Arial" w:cs="Arial"/>
          <w:bCs/>
          <w:color w:val="000000" w:themeColor="text1"/>
          <w:sz w:val="24"/>
          <w:szCs w:val="24"/>
          <w14:textFill>
            <w14:solidFill>
              <w14:schemeClr w14:val="tx1"/>
            </w14:solidFill>
          </w14:textFill>
        </w:rPr>
        <w:t>商务技术报价文件</w:t>
      </w:r>
    </w:p>
    <w:p w14:paraId="238C82A0">
      <w:pPr>
        <w:pStyle w:val="23"/>
        <w:ind w:left="559" w:leftChars="133" w:hanging="280" w:hangingChars="100"/>
        <w:rPr>
          <w:rFonts w:ascii="Arial" w:hAnsi="Arial" w:eastAsia="宋体" w:cs="Arial"/>
          <w:bCs/>
          <w:color w:val="000000" w:themeColor="text1"/>
          <w:sz w:val="28"/>
          <w:szCs w:val="28"/>
          <w14:textFill>
            <w14:solidFill>
              <w14:schemeClr w14:val="tx1"/>
            </w14:solidFill>
          </w14:textFill>
        </w:rPr>
      </w:pPr>
      <w:bookmarkStart w:id="102" w:name="_Toc4932_WPSOffice_Level2"/>
      <w:bookmarkStart w:id="103" w:name="_Toc20319_WPSOffice_Level2"/>
    </w:p>
    <w:p w14:paraId="0BCEC1F2">
      <w:pPr>
        <w:pStyle w:val="23"/>
        <w:ind w:left="559" w:leftChars="133" w:hanging="280" w:hangingChars="100"/>
        <w:rPr>
          <w:rFonts w:ascii="Arial" w:hAnsi="Arial" w:eastAsia="宋体" w:cs="Arial"/>
          <w:bCs/>
          <w:color w:val="000000" w:themeColor="text1"/>
          <w:sz w:val="28"/>
          <w:szCs w:val="28"/>
          <w14:textFill>
            <w14:solidFill>
              <w14:schemeClr w14:val="tx1"/>
            </w14:solidFill>
          </w14:textFill>
        </w:rPr>
      </w:pPr>
    </w:p>
    <w:p w14:paraId="1A34FC79">
      <w:pPr>
        <w:pStyle w:val="23"/>
        <w:ind w:left="559" w:leftChars="133" w:hanging="280" w:hangingChars="100"/>
        <w:rPr>
          <w:rFonts w:ascii="Arial" w:hAnsi="Arial" w:eastAsia="宋体" w:cs="Arial"/>
          <w:bCs/>
          <w:color w:val="000000" w:themeColor="text1"/>
          <w:sz w:val="28"/>
          <w:szCs w:val="28"/>
          <w14:textFill>
            <w14:solidFill>
              <w14:schemeClr w14:val="tx1"/>
            </w14:solidFill>
          </w14:textFill>
        </w:rPr>
      </w:pPr>
    </w:p>
    <w:bookmarkEnd w:id="102"/>
    <w:bookmarkEnd w:id="103"/>
    <w:p w14:paraId="1511E64A">
      <w:pPr>
        <w:pStyle w:val="23"/>
        <w:spacing w:line="360" w:lineRule="auto"/>
        <w:ind w:firstLine="480" w:firstLineChars="200"/>
        <w:rPr>
          <w:rFonts w:ascii="Arial" w:hAnsi="Arial" w:eastAsia="宋体" w:cs="Arial"/>
          <w:bCs/>
          <w:color w:val="000000" w:themeColor="text1"/>
          <w:sz w:val="28"/>
          <w:szCs w:val="28"/>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供应商[公章(CA签章)]</w:t>
      </w:r>
      <w:r>
        <w:rPr>
          <w:rFonts w:ascii="Arial" w:hAnsi="Arial" w:eastAsia="宋体" w:cs="Arial"/>
          <w:bCs/>
          <w:color w:val="000000" w:themeColor="text1"/>
          <w:sz w:val="28"/>
          <w:szCs w:val="28"/>
          <w14:textFill>
            <w14:solidFill>
              <w14:schemeClr w14:val="tx1"/>
            </w14:solidFill>
          </w14:textFill>
        </w:rPr>
        <w:t>：</w:t>
      </w:r>
      <w:r>
        <w:rPr>
          <w:rFonts w:ascii="Arial" w:hAnsi="Arial" w:eastAsia="宋体" w:cs="Arial"/>
          <w:bCs/>
          <w:color w:val="000000" w:themeColor="text1"/>
          <w:sz w:val="28"/>
          <w:szCs w:val="28"/>
          <w:u w:val="single"/>
          <w14:textFill>
            <w14:solidFill>
              <w14:schemeClr w14:val="tx1"/>
            </w14:solidFill>
          </w14:textFill>
        </w:rPr>
        <w:t xml:space="preserve">                              </w:t>
      </w:r>
    </w:p>
    <w:p w14:paraId="70395099">
      <w:pPr>
        <w:pStyle w:val="23"/>
        <w:spacing w:line="360" w:lineRule="auto"/>
        <w:ind w:left="519" w:leftChars="247" w:firstLine="0" w:firstLineChars="0"/>
        <w:rPr>
          <w:rFonts w:ascii="Arial" w:hAnsi="Arial" w:eastAsia="宋体" w:cs="Arial"/>
          <w:color w:val="000000" w:themeColor="text1"/>
          <w:sz w:val="28"/>
          <w:szCs w:val="28"/>
          <w:u w:val="single"/>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法定代表人或相应的委托代理人签字[或盖章(CA签章)]</w:t>
      </w:r>
      <w:r>
        <w:rPr>
          <w:rFonts w:ascii="Arial" w:hAnsi="Arial" w:eastAsia="宋体" w:cs="Arial"/>
          <w:color w:val="000000" w:themeColor="text1"/>
          <w:sz w:val="28"/>
          <w:szCs w:val="28"/>
          <w14:textFill>
            <w14:solidFill>
              <w14:schemeClr w14:val="tx1"/>
            </w14:solidFill>
          </w14:textFill>
        </w:rPr>
        <w:t>：</w:t>
      </w:r>
      <w:r>
        <w:rPr>
          <w:rFonts w:ascii="Arial" w:hAnsi="Arial" w:eastAsia="宋体" w:cs="Arial"/>
          <w:color w:val="000000" w:themeColor="text1"/>
          <w:sz w:val="28"/>
          <w:szCs w:val="28"/>
          <w:u w:val="single"/>
          <w14:textFill>
            <w14:solidFill>
              <w14:schemeClr w14:val="tx1"/>
            </w14:solidFill>
          </w14:textFill>
        </w:rPr>
        <w:t xml:space="preserve">              </w:t>
      </w:r>
    </w:p>
    <w:p w14:paraId="4E9BFC86">
      <w:pPr>
        <w:pStyle w:val="23"/>
        <w:spacing w:line="360" w:lineRule="auto"/>
        <w:ind w:left="479" w:leftChars="228" w:firstLine="0" w:firstLineChars="0"/>
        <w:rPr>
          <w:rFonts w:ascii="Arial" w:hAnsi="Arial" w:eastAsia="宋体" w:cs="Arial"/>
          <w:bCs/>
          <w:color w:val="000000" w:themeColor="text1"/>
          <w:sz w:val="28"/>
          <w:szCs w:val="28"/>
          <w:u w:val="single"/>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联系电话</w:t>
      </w:r>
      <w:r>
        <w:rPr>
          <w:rFonts w:ascii="Arial" w:hAnsi="Arial" w:eastAsia="宋体" w:cs="Arial"/>
          <w:bCs/>
          <w:color w:val="000000" w:themeColor="text1"/>
          <w:sz w:val="28"/>
          <w:szCs w:val="28"/>
          <w14:textFill>
            <w14:solidFill>
              <w14:schemeClr w14:val="tx1"/>
            </w14:solidFill>
          </w14:textFill>
        </w:rPr>
        <w:t>：</w:t>
      </w:r>
      <w:r>
        <w:rPr>
          <w:rFonts w:ascii="Arial" w:hAnsi="Arial" w:eastAsia="宋体" w:cs="Arial"/>
          <w:bCs/>
          <w:color w:val="000000" w:themeColor="text1"/>
          <w:sz w:val="28"/>
          <w:szCs w:val="28"/>
          <w:u w:val="single"/>
          <w14:textFill>
            <w14:solidFill>
              <w14:schemeClr w14:val="tx1"/>
            </w14:solidFill>
          </w14:textFill>
        </w:rPr>
        <w:t xml:space="preserve">                                                </w:t>
      </w:r>
    </w:p>
    <w:p w14:paraId="7596B559">
      <w:pPr>
        <w:pStyle w:val="23"/>
        <w:spacing w:line="360" w:lineRule="auto"/>
        <w:ind w:left="479" w:leftChars="228" w:firstLine="0" w:firstLineChars="0"/>
        <w:rPr>
          <w:rFonts w:ascii="Arial" w:hAnsi="Arial" w:eastAsia="宋体" w:cs="Arial"/>
          <w:bCs/>
          <w:color w:val="000000" w:themeColor="text1"/>
          <w:sz w:val="24"/>
          <w:szCs w:val="24"/>
          <w14:textFill>
            <w14:solidFill>
              <w14:schemeClr w14:val="tx1"/>
            </w14:solidFill>
          </w14:textFill>
        </w:rPr>
      </w:pPr>
      <w:bookmarkStart w:id="104" w:name="_Toc26465_WPSOffice_Level2"/>
      <w:bookmarkStart w:id="105" w:name="_Toc15933_WPSOffice_Level2"/>
      <w:r>
        <w:rPr>
          <w:rFonts w:ascii="Arial" w:hAnsi="Arial" w:eastAsia="宋体" w:cs="Arial"/>
          <w:bCs/>
          <w:color w:val="000000" w:themeColor="text1"/>
          <w:sz w:val="24"/>
          <w:szCs w:val="24"/>
          <w14:textFill>
            <w14:solidFill>
              <w14:schemeClr w14:val="tx1"/>
            </w14:solidFill>
          </w14:textFill>
        </w:rPr>
        <w:t>日期：</w:t>
      </w:r>
      <w:r>
        <w:rPr>
          <w:rFonts w:ascii="Arial" w:hAnsi="Arial" w:eastAsia="宋体" w:cs="Arial"/>
          <w:bCs/>
          <w:color w:val="000000" w:themeColor="text1"/>
          <w:sz w:val="28"/>
          <w:szCs w:val="28"/>
          <w:u w:val="single"/>
          <w14:textFill>
            <w14:solidFill>
              <w14:schemeClr w14:val="tx1"/>
            </w14:solidFill>
          </w14:textFill>
        </w:rPr>
        <w:t xml:space="preserve">      </w:t>
      </w:r>
      <w:r>
        <w:rPr>
          <w:rFonts w:ascii="Arial" w:hAnsi="Arial" w:eastAsia="宋体" w:cs="Arial"/>
          <w:bCs/>
          <w:color w:val="000000" w:themeColor="text1"/>
          <w:sz w:val="24"/>
          <w:szCs w:val="24"/>
          <w14:textFill>
            <w14:solidFill>
              <w14:schemeClr w14:val="tx1"/>
            </w14:solidFill>
          </w14:textFill>
        </w:rPr>
        <w:t>年</w:t>
      </w:r>
      <w:r>
        <w:rPr>
          <w:rFonts w:ascii="Arial" w:hAnsi="Arial" w:eastAsia="宋体" w:cs="Arial"/>
          <w:bCs/>
          <w:color w:val="000000" w:themeColor="text1"/>
          <w:sz w:val="28"/>
          <w:szCs w:val="28"/>
          <w:u w:val="single"/>
          <w14:textFill>
            <w14:solidFill>
              <w14:schemeClr w14:val="tx1"/>
            </w14:solidFill>
          </w14:textFill>
        </w:rPr>
        <w:t xml:space="preserve">      </w:t>
      </w:r>
      <w:r>
        <w:rPr>
          <w:rFonts w:ascii="Arial" w:hAnsi="Arial" w:eastAsia="宋体" w:cs="Arial"/>
          <w:bCs/>
          <w:color w:val="000000" w:themeColor="text1"/>
          <w:sz w:val="24"/>
          <w:szCs w:val="24"/>
          <w14:textFill>
            <w14:solidFill>
              <w14:schemeClr w14:val="tx1"/>
            </w14:solidFill>
          </w14:textFill>
        </w:rPr>
        <w:t>月</w:t>
      </w:r>
      <w:r>
        <w:rPr>
          <w:rFonts w:ascii="Arial" w:hAnsi="Arial" w:eastAsia="宋体" w:cs="Arial"/>
          <w:bCs/>
          <w:color w:val="000000" w:themeColor="text1"/>
          <w:sz w:val="28"/>
          <w:szCs w:val="28"/>
          <w:u w:val="single"/>
          <w14:textFill>
            <w14:solidFill>
              <w14:schemeClr w14:val="tx1"/>
            </w14:solidFill>
          </w14:textFill>
        </w:rPr>
        <w:t xml:space="preserve">      </w:t>
      </w:r>
      <w:r>
        <w:rPr>
          <w:rFonts w:ascii="Arial" w:hAnsi="Arial" w:eastAsia="宋体" w:cs="Arial"/>
          <w:bCs/>
          <w:color w:val="000000" w:themeColor="text1"/>
          <w:sz w:val="24"/>
          <w:szCs w:val="24"/>
          <w14:textFill>
            <w14:solidFill>
              <w14:schemeClr w14:val="tx1"/>
            </w14:solidFill>
          </w14:textFill>
        </w:rPr>
        <w:t>日</w:t>
      </w:r>
      <w:bookmarkEnd w:id="104"/>
      <w:bookmarkEnd w:id="105"/>
    </w:p>
    <w:p w14:paraId="262511F4">
      <w:pPr>
        <w:pStyle w:val="7"/>
        <w:snapToGrid w:val="0"/>
        <w:spacing w:before="50" w:after="50" w:line="360" w:lineRule="auto"/>
        <w:ind w:left="718" w:leftChars="342" w:firstLine="0"/>
        <w:rPr>
          <w:rFonts w:ascii="Arial" w:hAnsi="Arial" w:cs="Arial"/>
          <w:bCs/>
          <w:color w:val="000000" w:themeColor="text1"/>
          <w:sz w:val="24"/>
          <w14:textFill>
            <w14:solidFill>
              <w14:schemeClr w14:val="tx1"/>
            </w14:solidFill>
          </w14:textFill>
        </w:rPr>
      </w:pPr>
    </w:p>
    <w:p w14:paraId="619A9244">
      <w:pPr>
        <w:snapToGrid w:val="0"/>
        <w:spacing w:before="120" w:beforeLines="50" w:after="50" w:line="440" w:lineRule="exact"/>
        <w:jc w:val="left"/>
        <w:outlineLvl w:val="1"/>
        <w:rPr>
          <w:rFonts w:ascii="Arial" w:hAnsi="Arial" w:cs="Arial"/>
          <w:bCs/>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br w:type="page"/>
      </w:r>
      <w:r>
        <w:rPr>
          <w:rFonts w:ascii="Arial" w:hAnsi="Arial" w:cs="Arial"/>
          <w:bCs/>
          <w:color w:val="000000" w:themeColor="text1"/>
          <w:sz w:val="24"/>
          <w14:textFill>
            <w14:solidFill>
              <w14:schemeClr w14:val="tx1"/>
            </w14:solidFill>
          </w14:textFill>
        </w:rPr>
        <w:t xml:space="preserve">1．投标文件第一册封面参考格式： </w:t>
      </w:r>
    </w:p>
    <w:p w14:paraId="75B912F7">
      <w:pPr>
        <w:snapToGrid w:val="0"/>
        <w:spacing w:before="120" w:beforeLines="50" w:after="50" w:line="360" w:lineRule="exact"/>
        <w:rPr>
          <w:rFonts w:ascii="Arial" w:hAnsi="Arial" w:cs="Arial"/>
          <w:color w:val="000000" w:themeColor="text1"/>
          <w:sz w:val="24"/>
          <w14:textFill>
            <w14:solidFill>
              <w14:schemeClr w14:val="tx1"/>
            </w14:solidFill>
          </w14:textFill>
        </w:rPr>
      </w:pPr>
    </w:p>
    <w:p w14:paraId="7C03DEE8">
      <w:pPr>
        <w:snapToGrid w:val="0"/>
        <w:spacing w:before="120" w:beforeLines="50" w:after="50" w:line="360" w:lineRule="exact"/>
        <w:jc w:val="center"/>
        <w:rPr>
          <w:rFonts w:ascii="Arial" w:hAnsi="Arial" w:cs="Arial"/>
          <w:bCs/>
          <w:color w:val="000000" w:themeColor="text1"/>
          <w:sz w:val="24"/>
          <w14:textFill>
            <w14:solidFill>
              <w14:schemeClr w14:val="tx1"/>
            </w14:solidFill>
          </w14:textFill>
        </w:rPr>
      </w:pPr>
    </w:p>
    <w:p w14:paraId="14261D0A">
      <w:pPr>
        <w:pStyle w:val="30"/>
        <w:rPr>
          <w:rFonts w:ascii="Arial" w:hAnsi="Arial" w:cs="Arial"/>
          <w:color w:val="000000" w:themeColor="text1"/>
          <w14:textFill>
            <w14:solidFill>
              <w14:schemeClr w14:val="tx1"/>
            </w14:solidFill>
          </w14:textFill>
        </w:rPr>
      </w:pPr>
    </w:p>
    <w:p w14:paraId="5AE30E9D">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r>
        <w:rPr>
          <w:rFonts w:ascii="Arial" w:hAnsi="Arial" w:cs="Arial"/>
          <w:b/>
          <w:bCs/>
          <w:color w:val="000000" w:themeColor="text1"/>
          <w:sz w:val="44"/>
          <w:szCs w:val="44"/>
          <w14:textFill>
            <w14:solidFill>
              <w14:schemeClr w14:val="tx1"/>
            </w14:solidFill>
          </w14:textFill>
        </w:rPr>
        <w:t>投标文件</w:t>
      </w:r>
    </w:p>
    <w:p w14:paraId="521B5ACE">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p>
    <w:p w14:paraId="2FC69A98">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p>
    <w:p w14:paraId="21DA1951">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r>
        <w:rPr>
          <w:rFonts w:ascii="Arial" w:hAnsi="Arial" w:cs="Arial"/>
          <w:b/>
          <w:bCs/>
          <w:color w:val="000000" w:themeColor="text1"/>
          <w:sz w:val="44"/>
          <w:szCs w:val="44"/>
          <w14:textFill>
            <w14:solidFill>
              <w14:schemeClr w14:val="tx1"/>
            </w14:solidFill>
          </w14:textFill>
        </w:rPr>
        <w:t>第一册  资格审查文件</w:t>
      </w:r>
    </w:p>
    <w:p w14:paraId="42747369">
      <w:pPr>
        <w:snapToGrid w:val="0"/>
        <w:spacing w:before="120" w:beforeLines="50" w:after="50" w:line="360" w:lineRule="exact"/>
        <w:rPr>
          <w:rFonts w:ascii="Arial" w:hAnsi="Arial" w:cs="Arial"/>
          <w:bCs/>
          <w:color w:val="000000" w:themeColor="text1"/>
          <w:sz w:val="24"/>
          <w14:textFill>
            <w14:solidFill>
              <w14:schemeClr w14:val="tx1"/>
            </w14:solidFill>
          </w14:textFill>
        </w:rPr>
      </w:pPr>
    </w:p>
    <w:p w14:paraId="5E09E420">
      <w:pPr>
        <w:snapToGrid w:val="0"/>
        <w:spacing w:before="120" w:beforeLines="50" w:after="50" w:line="360" w:lineRule="exact"/>
        <w:rPr>
          <w:rFonts w:ascii="Arial" w:hAnsi="Arial" w:cs="Arial"/>
          <w:bCs/>
          <w:color w:val="000000" w:themeColor="text1"/>
          <w:sz w:val="24"/>
          <w14:textFill>
            <w14:solidFill>
              <w14:schemeClr w14:val="tx1"/>
            </w14:solidFill>
          </w14:textFill>
        </w:rPr>
      </w:pPr>
    </w:p>
    <w:p w14:paraId="23ADCF76">
      <w:pPr>
        <w:snapToGrid w:val="0"/>
        <w:spacing w:before="120" w:beforeLines="50" w:after="50" w:line="360" w:lineRule="exact"/>
        <w:rPr>
          <w:rFonts w:ascii="Arial" w:hAnsi="Arial" w:cs="Arial"/>
          <w:bCs/>
          <w:color w:val="000000" w:themeColor="text1"/>
          <w:sz w:val="24"/>
          <w14:textFill>
            <w14:solidFill>
              <w14:schemeClr w14:val="tx1"/>
            </w14:solidFill>
          </w14:textFill>
        </w:rPr>
      </w:pPr>
    </w:p>
    <w:p w14:paraId="494E7717">
      <w:pPr>
        <w:snapToGrid w:val="0"/>
        <w:spacing w:before="120" w:beforeLines="50" w:after="50" w:line="36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 xml:space="preserve">项目名称： </w:t>
      </w:r>
    </w:p>
    <w:p w14:paraId="6B2B4DBE">
      <w:pPr>
        <w:snapToGrid w:val="0"/>
        <w:spacing w:before="120" w:beforeLines="50" w:after="50" w:line="36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项目编号：</w:t>
      </w:r>
    </w:p>
    <w:p w14:paraId="12FDDC6E">
      <w:pPr>
        <w:snapToGrid w:val="0"/>
        <w:spacing w:before="120" w:beforeLines="50" w:after="50" w:line="36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分标号：（若无留空或写“/”）</w:t>
      </w:r>
    </w:p>
    <w:p w14:paraId="6005D1FB">
      <w:pPr>
        <w:pStyle w:val="23"/>
        <w:spacing w:line="360" w:lineRule="auto"/>
        <w:ind w:firstLine="0" w:firstLineChars="0"/>
        <w:rPr>
          <w:rFonts w:ascii="Arial" w:hAnsi="Arial" w:eastAsia="宋体" w:cs="Arial"/>
          <w:bCs/>
          <w:color w:val="000000" w:themeColor="text1"/>
          <w:sz w:val="24"/>
          <w:szCs w:val="24"/>
          <w14:textFill>
            <w14:solidFill>
              <w14:schemeClr w14:val="tx1"/>
            </w14:solidFill>
          </w14:textFill>
        </w:rPr>
      </w:pPr>
    </w:p>
    <w:p w14:paraId="57537C4E">
      <w:pPr>
        <w:pStyle w:val="23"/>
        <w:spacing w:line="360" w:lineRule="auto"/>
        <w:ind w:firstLine="480" w:firstLineChars="200"/>
        <w:rPr>
          <w:rFonts w:ascii="Arial" w:hAnsi="Arial" w:eastAsia="宋体" w:cs="Arial"/>
          <w:bCs/>
          <w:color w:val="000000" w:themeColor="text1"/>
          <w:sz w:val="28"/>
          <w:szCs w:val="28"/>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供应商[公章(CA签章)]</w:t>
      </w:r>
      <w:r>
        <w:rPr>
          <w:rFonts w:ascii="Arial" w:hAnsi="Arial" w:eastAsia="宋体" w:cs="Arial"/>
          <w:bCs/>
          <w:color w:val="000000" w:themeColor="text1"/>
          <w:sz w:val="28"/>
          <w:szCs w:val="28"/>
          <w14:textFill>
            <w14:solidFill>
              <w14:schemeClr w14:val="tx1"/>
            </w14:solidFill>
          </w14:textFill>
        </w:rPr>
        <w:t>：</w:t>
      </w:r>
      <w:r>
        <w:rPr>
          <w:rFonts w:ascii="Arial" w:hAnsi="Arial" w:eastAsia="宋体" w:cs="Arial"/>
          <w:bCs/>
          <w:color w:val="000000" w:themeColor="text1"/>
          <w:sz w:val="28"/>
          <w:szCs w:val="28"/>
          <w:u w:val="single"/>
          <w14:textFill>
            <w14:solidFill>
              <w14:schemeClr w14:val="tx1"/>
            </w14:solidFill>
          </w14:textFill>
        </w:rPr>
        <w:t xml:space="preserve">                              </w:t>
      </w:r>
    </w:p>
    <w:p w14:paraId="29296BE8">
      <w:pPr>
        <w:pStyle w:val="23"/>
        <w:spacing w:line="360" w:lineRule="auto"/>
        <w:ind w:left="519" w:leftChars="247" w:firstLine="0" w:firstLineChars="0"/>
        <w:rPr>
          <w:rFonts w:ascii="Arial" w:hAnsi="Arial" w:eastAsia="宋体" w:cs="Arial"/>
          <w:color w:val="000000" w:themeColor="text1"/>
          <w:sz w:val="28"/>
          <w:szCs w:val="28"/>
          <w:u w:val="single"/>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法定代表人或相应的委托代理人签字[或盖章(CA签章)]</w:t>
      </w:r>
      <w:r>
        <w:rPr>
          <w:rFonts w:ascii="Arial" w:hAnsi="Arial" w:eastAsia="宋体" w:cs="Arial"/>
          <w:color w:val="000000" w:themeColor="text1"/>
          <w:sz w:val="28"/>
          <w:szCs w:val="28"/>
          <w14:textFill>
            <w14:solidFill>
              <w14:schemeClr w14:val="tx1"/>
            </w14:solidFill>
          </w14:textFill>
        </w:rPr>
        <w:t>：</w:t>
      </w:r>
      <w:r>
        <w:rPr>
          <w:rFonts w:ascii="Arial" w:hAnsi="Arial" w:eastAsia="宋体" w:cs="Arial"/>
          <w:color w:val="000000" w:themeColor="text1"/>
          <w:sz w:val="28"/>
          <w:szCs w:val="28"/>
          <w:u w:val="single"/>
          <w14:textFill>
            <w14:solidFill>
              <w14:schemeClr w14:val="tx1"/>
            </w14:solidFill>
          </w14:textFill>
        </w:rPr>
        <w:t xml:space="preserve">              </w:t>
      </w:r>
    </w:p>
    <w:p w14:paraId="502A8009">
      <w:pPr>
        <w:pStyle w:val="23"/>
        <w:spacing w:line="360" w:lineRule="auto"/>
        <w:ind w:left="479" w:leftChars="228" w:firstLine="0" w:firstLineChars="0"/>
        <w:rPr>
          <w:rFonts w:ascii="Arial" w:hAnsi="Arial" w:eastAsia="宋体" w:cs="Arial"/>
          <w:bCs/>
          <w:color w:val="000000" w:themeColor="text1"/>
          <w:sz w:val="28"/>
          <w:szCs w:val="28"/>
          <w:u w:val="single"/>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联系电话</w:t>
      </w:r>
      <w:r>
        <w:rPr>
          <w:rFonts w:ascii="Arial" w:hAnsi="Arial" w:eastAsia="宋体" w:cs="Arial"/>
          <w:bCs/>
          <w:color w:val="000000" w:themeColor="text1"/>
          <w:sz w:val="28"/>
          <w:szCs w:val="28"/>
          <w14:textFill>
            <w14:solidFill>
              <w14:schemeClr w14:val="tx1"/>
            </w14:solidFill>
          </w14:textFill>
        </w:rPr>
        <w:t>：</w:t>
      </w:r>
      <w:r>
        <w:rPr>
          <w:rFonts w:ascii="Arial" w:hAnsi="Arial" w:eastAsia="宋体" w:cs="Arial"/>
          <w:bCs/>
          <w:color w:val="000000" w:themeColor="text1"/>
          <w:sz w:val="28"/>
          <w:szCs w:val="28"/>
          <w:u w:val="single"/>
          <w14:textFill>
            <w14:solidFill>
              <w14:schemeClr w14:val="tx1"/>
            </w14:solidFill>
          </w14:textFill>
        </w:rPr>
        <w:t xml:space="preserve">                                                </w:t>
      </w:r>
    </w:p>
    <w:p w14:paraId="477DB862">
      <w:pPr>
        <w:snapToGrid w:val="0"/>
        <w:spacing w:before="120" w:beforeLines="50" w:after="50" w:line="360" w:lineRule="exact"/>
        <w:jc w:val="center"/>
        <w:rPr>
          <w:rFonts w:ascii="Arial" w:hAnsi="Arial" w:cs="Arial"/>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日期：</w:t>
      </w:r>
      <w:r>
        <w:rPr>
          <w:rFonts w:ascii="Arial" w:hAnsi="Arial" w:cs="Arial"/>
          <w:bCs/>
          <w:color w:val="000000" w:themeColor="text1"/>
          <w:sz w:val="28"/>
          <w:szCs w:val="28"/>
          <w:u w:val="single"/>
          <w14:textFill>
            <w14:solidFill>
              <w14:schemeClr w14:val="tx1"/>
            </w14:solidFill>
          </w14:textFill>
        </w:rPr>
        <w:t xml:space="preserve">      </w:t>
      </w:r>
      <w:r>
        <w:rPr>
          <w:rFonts w:ascii="Arial" w:hAnsi="Arial" w:cs="Arial"/>
          <w:bCs/>
          <w:color w:val="000000" w:themeColor="text1"/>
          <w:sz w:val="24"/>
          <w14:textFill>
            <w14:solidFill>
              <w14:schemeClr w14:val="tx1"/>
            </w14:solidFill>
          </w14:textFill>
        </w:rPr>
        <w:t>年</w:t>
      </w:r>
      <w:r>
        <w:rPr>
          <w:rFonts w:ascii="Arial" w:hAnsi="Arial" w:cs="Arial"/>
          <w:bCs/>
          <w:color w:val="000000" w:themeColor="text1"/>
          <w:sz w:val="28"/>
          <w:szCs w:val="28"/>
          <w:u w:val="single"/>
          <w14:textFill>
            <w14:solidFill>
              <w14:schemeClr w14:val="tx1"/>
            </w14:solidFill>
          </w14:textFill>
        </w:rPr>
        <w:t xml:space="preserve">      </w:t>
      </w:r>
      <w:r>
        <w:rPr>
          <w:rFonts w:ascii="Arial" w:hAnsi="Arial" w:cs="Arial"/>
          <w:bCs/>
          <w:color w:val="000000" w:themeColor="text1"/>
          <w:sz w:val="24"/>
          <w14:textFill>
            <w14:solidFill>
              <w14:schemeClr w14:val="tx1"/>
            </w14:solidFill>
          </w14:textFill>
        </w:rPr>
        <w:t>月</w:t>
      </w:r>
      <w:r>
        <w:rPr>
          <w:rFonts w:ascii="Arial" w:hAnsi="Arial" w:cs="Arial"/>
          <w:bCs/>
          <w:color w:val="000000" w:themeColor="text1"/>
          <w:sz w:val="28"/>
          <w:szCs w:val="28"/>
          <w:u w:val="single"/>
          <w14:textFill>
            <w14:solidFill>
              <w14:schemeClr w14:val="tx1"/>
            </w14:solidFill>
          </w14:textFill>
        </w:rPr>
        <w:t xml:space="preserve">      </w:t>
      </w:r>
      <w:r>
        <w:rPr>
          <w:rFonts w:ascii="Arial" w:hAnsi="Arial" w:cs="Arial"/>
          <w:bCs/>
          <w:color w:val="000000" w:themeColor="text1"/>
          <w:sz w:val="24"/>
          <w14:textFill>
            <w14:solidFill>
              <w14:schemeClr w14:val="tx1"/>
            </w14:solidFill>
          </w14:textFill>
        </w:rPr>
        <w:t>日</w:t>
      </w:r>
    </w:p>
    <w:p w14:paraId="35B98817">
      <w:pPr>
        <w:rPr>
          <w:rFonts w:ascii="Arial" w:hAnsi="Arial" w:cs="Arial"/>
          <w:color w:val="000000" w:themeColor="text1"/>
          <w14:textFill>
            <w14:solidFill>
              <w14:schemeClr w14:val="tx1"/>
            </w14:solidFill>
          </w14:textFill>
        </w:rPr>
      </w:pPr>
      <w:bookmarkStart w:id="106" w:name="_Toc254970698"/>
      <w:bookmarkStart w:id="107" w:name="_Toc254970557"/>
      <w:r>
        <w:rPr>
          <w:rFonts w:ascii="Arial" w:hAnsi="Arial" w:cs="Arial"/>
          <w:color w:val="000000" w:themeColor="text1"/>
          <w14:textFill>
            <w14:solidFill>
              <w14:schemeClr w14:val="tx1"/>
            </w14:solidFill>
          </w14:textFill>
        </w:rPr>
        <w:br w:type="page"/>
      </w:r>
      <w:bookmarkEnd w:id="106"/>
      <w:bookmarkEnd w:id="107"/>
      <w:r>
        <w:rPr>
          <w:rFonts w:ascii="Arial" w:hAnsi="Arial" w:cs="Arial"/>
          <w:b/>
          <w:bCs/>
          <w:color w:val="000000" w:themeColor="text1"/>
          <w14:textFill>
            <w14:solidFill>
              <w14:schemeClr w14:val="tx1"/>
            </w14:solidFill>
          </w14:textFill>
        </w:rPr>
        <w:t xml:space="preserve"> </w:t>
      </w:r>
    </w:p>
    <w:p w14:paraId="720A7C26">
      <w:pPr>
        <w:snapToGrid w:val="0"/>
        <w:spacing w:before="50" w:after="50" w:line="440" w:lineRule="exact"/>
        <w:ind w:firstLine="138" w:firstLineChars="49"/>
        <w:jc w:val="center"/>
        <w:rPr>
          <w:rFonts w:ascii="Arial" w:hAnsi="Arial" w:cs="Arial"/>
          <w:b/>
          <w:color w:val="000000" w:themeColor="text1"/>
          <w:sz w:val="28"/>
          <w:szCs w:val="28"/>
          <w14:textFill>
            <w14:solidFill>
              <w14:schemeClr w14:val="tx1"/>
            </w14:solidFill>
          </w14:textFill>
        </w:rPr>
      </w:pPr>
      <w:r>
        <w:rPr>
          <w:rFonts w:ascii="Arial" w:hAnsi="Arial" w:cs="Arial"/>
          <w:b/>
          <w:color w:val="000000" w:themeColor="text1"/>
          <w:sz w:val="28"/>
          <w:szCs w:val="28"/>
          <w14:textFill>
            <w14:solidFill>
              <w14:schemeClr w14:val="tx1"/>
            </w14:solidFill>
          </w14:textFill>
        </w:rPr>
        <w:t>目录</w:t>
      </w:r>
    </w:p>
    <w:p w14:paraId="19B9776A">
      <w:pPr>
        <w:snapToGrid w:val="0"/>
        <w:spacing w:before="50" w:after="50" w:line="440" w:lineRule="exact"/>
        <w:ind w:firstLine="118" w:firstLineChars="49"/>
        <w:jc w:val="center"/>
        <w:rPr>
          <w:rFonts w:ascii="Arial" w:hAnsi="Arial" w:cs="Arial"/>
          <w:b/>
          <w:color w:val="000000" w:themeColor="text1"/>
          <w:sz w:val="24"/>
          <w14:textFill>
            <w14:solidFill>
              <w14:schemeClr w14:val="tx1"/>
            </w14:solidFill>
          </w14:textFill>
        </w:rPr>
      </w:pPr>
      <w:r>
        <w:rPr>
          <w:rFonts w:ascii="Arial" w:hAnsi="Arial" w:cs="Arial"/>
          <w:b/>
          <w:color w:val="000000" w:themeColor="text1"/>
          <w:sz w:val="24"/>
          <w14:textFill>
            <w14:solidFill>
              <w14:schemeClr w14:val="tx1"/>
            </w14:solidFill>
          </w14:textFill>
        </w:rPr>
        <w:t>（应有页码）</w:t>
      </w:r>
    </w:p>
    <w:p w14:paraId="6737176C">
      <w:pPr>
        <w:snapToGrid w:val="0"/>
        <w:spacing w:before="50" w:after="50" w:line="440" w:lineRule="exact"/>
        <w:ind w:firstLine="118" w:firstLineChars="49"/>
        <w:jc w:val="center"/>
        <w:rPr>
          <w:rFonts w:ascii="Arial" w:hAnsi="Arial" w:cs="Arial"/>
          <w:b/>
          <w:color w:val="000000" w:themeColor="text1"/>
          <w:sz w:val="24"/>
          <w14:textFill>
            <w14:solidFill>
              <w14:schemeClr w14:val="tx1"/>
            </w14:solidFill>
          </w14:textFill>
        </w:rPr>
      </w:pPr>
      <w:r>
        <w:rPr>
          <w:rFonts w:ascii="Arial" w:hAnsi="Arial" w:cs="Arial"/>
          <w:b/>
          <w:color w:val="000000" w:themeColor="text1"/>
          <w:sz w:val="24"/>
          <w14:textFill>
            <w14:solidFill>
              <w14:schemeClr w14:val="tx1"/>
            </w14:solidFill>
          </w14:textFill>
        </w:rPr>
        <w:br w:type="page"/>
      </w:r>
    </w:p>
    <w:p w14:paraId="5F15F1F8">
      <w:pPr>
        <w:snapToGrid w:val="0"/>
        <w:spacing w:before="50" w:after="50" w:line="440" w:lineRule="exact"/>
        <w:jc w:val="left"/>
        <w:rPr>
          <w:rFonts w:ascii="Arial" w:hAnsi="Arial" w:cs="Arial"/>
          <w:b/>
          <w:color w:val="000000" w:themeColor="text1"/>
          <w:szCs w:val="21"/>
          <w14:textFill>
            <w14:solidFill>
              <w14:schemeClr w14:val="tx1"/>
            </w14:solidFill>
          </w14:textFill>
        </w:rPr>
      </w:pPr>
      <w:bookmarkStart w:id="108" w:name="_Hlk19114217"/>
      <w:r>
        <w:rPr>
          <w:rFonts w:ascii="Arial" w:hAnsi="Arial" w:cs="Arial"/>
          <w:b/>
          <w:color w:val="000000" w:themeColor="text1"/>
          <w:szCs w:val="21"/>
          <w14:textFill>
            <w14:solidFill>
              <w14:schemeClr w14:val="tx1"/>
            </w14:solidFill>
          </w14:textFill>
        </w:rPr>
        <w:t>1．投标声明书格式（必须提供）：</w:t>
      </w:r>
    </w:p>
    <w:p w14:paraId="6D19975B">
      <w:pPr>
        <w:snapToGrid w:val="0"/>
        <w:spacing w:before="120" w:beforeLines="50" w:after="50" w:line="360" w:lineRule="exact"/>
        <w:jc w:val="center"/>
        <w:rPr>
          <w:rFonts w:ascii="Arial" w:hAnsi="Arial" w:cs="Arial"/>
          <w:b/>
          <w:color w:val="000000" w:themeColor="text1"/>
          <w:szCs w:val="21"/>
          <w14:textFill>
            <w14:solidFill>
              <w14:schemeClr w14:val="tx1"/>
            </w14:solidFill>
          </w14:textFill>
        </w:rPr>
      </w:pPr>
    </w:p>
    <w:p w14:paraId="428BA516">
      <w:pPr>
        <w:snapToGrid w:val="0"/>
        <w:spacing w:before="120" w:beforeLines="50" w:after="50" w:line="36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投标声明书</w:t>
      </w:r>
    </w:p>
    <w:p w14:paraId="237B8966">
      <w:pPr>
        <w:snapToGrid w:val="0"/>
        <w:spacing w:before="120" w:beforeLines="50" w:after="50" w:line="360" w:lineRule="exact"/>
        <w:jc w:val="center"/>
        <w:rPr>
          <w:rFonts w:ascii="Arial" w:hAnsi="Arial" w:cs="Arial"/>
          <w:color w:val="000000" w:themeColor="text1"/>
          <w:szCs w:val="21"/>
          <w14:textFill>
            <w14:solidFill>
              <w14:schemeClr w14:val="tx1"/>
            </w14:solidFill>
          </w14:textFill>
        </w:rPr>
      </w:pPr>
    </w:p>
    <w:p w14:paraId="6517A623">
      <w:pPr>
        <w:snapToGrid w:val="0"/>
        <w:spacing w:before="120" w:beforeLines="50" w:after="50" w:line="36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致：</w:t>
      </w:r>
      <w:r>
        <w:rPr>
          <w:rFonts w:ascii="Arial" w:hAnsi="Arial" w:cs="Arial"/>
          <w:i/>
          <w:iCs/>
          <w:color w:val="000000" w:themeColor="text1"/>
          <w:szCs w:val="21"/>
          <w:u w:val="single"/>
          <w14:textFill>
            <w14:solidFill>
              <w14:schemeClr w14:val="tx1"/>
            </w14:solidFill>
          </w14:textFill>
        </w:rPr>
        <w:t>（采购人名称）</w:t>
      </w:r>
      <w:r>
        <w:rPr>
          <w:rFonts w:ascii="Arial" w:hAnsi="Arial" w:cs="Arial"/>
          <w:color w:val="000000" w:themeColor="text1"/>
          <w:szCs w:val="21"/>
          <w14:textFill>
            <w14:solidFill>
              <w14:schemeClr w14:val="tx1"/>
            </w14:solidFill>
          </w14:textFill>
        </w:rPr>
        <w:t>：</w:t>
      </w:r>
    </w:p>
    <w:p w14:paraId="69BDFAE4">
      <w:pPr>
        <w:snapToGrid w:val="0"/>
        <w:spacing w:before="120" w:beforeLines="50" w:after="50" w:line="360" w:lineRule="exact"/>
        <w:ind w:firstLine="630" w:firstLineChars="300"/>
        <w:rPr>
          <w:rFonts w:ascii="Arial" w:hAnsi="Arial" w:cs="Arial"/>
          <w:color w:val="000000" w:themeColor="text1"/>
          <w:szCs w:val="21"/>
          <w14:textFill>
            <w14:solidFill>
              <w14:schemeClr w14:val="tx1"/>
            </w14:solidFill>
          </w14:textFill>
        </w:rPr>
      </w:pPr>
      <w:r>
        <w:rPr>
          <w:rFonts w:ascii="Arial" w:hAnsi="Arial" w:cs="Arial"/>
          <w:i/>
          <w:iCs/>
          <w:color w:val="000000" w:themeColor="text1"/>
          <w:szCs w:val="21"/>
          <w:u w:val="single"/>
          <w14:textFill>
            <w14:solidFill>
              <w14:schemeClr w14:val="tx1"/>
            </w14:solidFill>
          </w14:textFill>
        </w:rPr>
        <w:t>（供应商名称）</w:t>
      </w:r>
      <w:r>
        <w:rPr>
          <w:rFonts w:ascii="Arial" w:hAnsi="Arial" w:cs="Arial"/>
          <w:color w:val="000000" w:themeColor="text1"/>
          <w:szCs w:val="21"/>
          <w14:textFill>
            <w14:solidFill>
              <w14:schemeClr w14:val="tx1"/>
            </w14:solidFill>
          </w14:textFill>
        </w:rPr>
        <w:t>系中华人民共和国合法企业，</w:t>
      </w:r>
      <w:r>
        <w:rPr>
          <w:rFonts w:ascii="Arial" w:hAnsi="Arial" w:cs="Arial"/>
          <w:color w:val="000000" w:themeColor="text1"/>
          <w:szCs w:val="21"/>
          <w:u w:val="single"/>
          <w14:textFill>
            <w14:solidFill>
              <w14:schemeClr w14:val="tx1"/>
            </w14:solidFill>
          </w14:textFill>
        </w:rPr>
        <w:t xml:space="preserve"> </w:t>
      </w:r>
      <w:r>
        <w:rPr>
          <w:rFonts w:ascii="Arial" w:hAnsi="Arial" w:cs="Arial"/>
          <w:i/>
          <w:iCs/>
          <w:color w:val="000000" w:themeColor="text1"/>
          <w:szCs w:val="21"/>
          <w:u w:val="single"/>
          <w14:textFill>
            <w14:solidFill>
              <w14:schemeClr w14:val="tx1"/>
            </w14:solidFill>
          </w14:textFill>
        </w:rPr>
        <w:t xml:space="preserve"> （经营地址）</w:t>
      </w:r>
      <w:r>
        <w:rPr>
          <w:rFonts w:ascii="Arial" w:hAnsi="Arial" w:cs="Arial"/>
          <w:color w:val="000000" w:themeColor="text1"/>
          <w:szCs w:val="21"/>
          <w14:textFill>
            <w14:solidFill>
              <w14:schemeClr w14:val="tx1"/>
            </w14:solidFill>
          </w14:textFill>
        </w:rPr>
        <w:t>。</w:t>
      </w:r>
    </w:p>
    <w:p w14:paraId="15E624A4">
      <w:pPr>
        <w:snapToGrid w:val="0"/>
        <w:spacing w:before="120" w:beforeLines="50" w:after="50" w:line="360" w:lineRule="exact"/>
        <w:ind w:firstLine="64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我</w:t>
      </w:r>
      <w:r>
        <w:rPr>
          <w:rFonts w:ascii="Arial" w:hAnsi="Arial" w:cs="Arial"/>
          <w:i/>
          <w:iCs/>
          <w:color w:val="000000" w:themeColor="text1"/>
          <w:szCs w:val="21"/>
          <w:u w:val="single"/>
          <w14:textFill>
            <w14:solidFill>
              <w14:schemeClr w14:val="tx1"/>
            </w14:solidFill>
          </w14:textFill>
        </w:rPr>
        <w:t xml:space="preserve">（姓名） </w:t>
      </w:r>
      <w:r>
        <w:rPr>
          <w:rFonts w:ascii="Arial" w:hAnsi="Arial" w:cs="Arial"/>
          <w:color w:val="000000" w:themeColor="text1"/>
          <w:szCs w:val="21"/>
          <w14:textFill>
            <w14:solidFill>
              <w14:schemeClr w14:val="tx1"/>
            </w14:solidFill>
          </w14:textFill>
        </w:rPr>
        <w:t>系</w:t>
      </w:r>
      <w:r>
        <w:rPr>
          <w:rFonts w:ascii="Arial" w:hAnsi="Arial" w:cs="Arial"/>
          <w:i/>
          <w:iCs/>
          <w:color w:val="000000" w:themeColor="text1"/>
          <w:szCs w:val="21"/>
          <w:u w:val="single"/>
          <w14:textFill>
            <w14:solidFill>
              <w14:schemeClr w14:val="tx1"/>
            </w14:solidFill>
          </w14:textFill>
        </w:rPr>
        <w:t>（供应商名称）</w:t>
      </w:r>
      <w:r>
        <w:rPr>
          <w:rFonts w:ascii="Arial" w:hAnsi="Arial" w:cs="Arial"/>
          <w:color w:val="000000" w:themeColor="text1"/>
          <w:szCs w:val="21"/>
          <w14:textFill>
            <w14:solidFill>
              <w14:schemeClr w14:val="tx1"/>
            </w14:solidFill>
          </w14:textFill>
        </w:rPr>
        <w:t xml:space="preserve">的法定代表人，我方愿意参加贵方组织的 </w:t>
      </w:r>
      <w:r>
        <w:rPr>
          <w:rFonts w:ascii="Arial" w:hAnsi="Arial" w:cs="Arial"/>
          <w:i/>
          <w:iCs/>
          <w:color w:val="000000" w:themeColor="text1"/>
          <w:szCs w:val="21"/>
          <w:u w:val="single"/>
          <w14:textFill>
            <w14:solidFill>
              <w14:schemeClr w14:val="tx1"/>
            </w14:solidFill>
          </w14:textFill>
        </w:rPr>
        <w:t xml:space="preserve">（项目名称） </w:t>
      </w:r>
      <w:r>
        <w:rPr>
          <w:rFonts w:ascii="Arial" w:hAnsi="Arial" w:cs="Arial"/>
          <w:color w:val="000000" w:themeColor="text1"/>
          <w:szCs w:val="21"/>
          <w14:textFill>
            <w14:solidFill>
              <w14:schemeClr w14:val="tx1"/>
            </w14:solidFill>
          </w14:textFill>
        </w:rPr>
        <w:t>项目的投标，为便于贵方公正、择优地确定中标供应商及其投标产品和服务，我方就本次投标有关事项郑重声明如下：</w:t>
      </w:r>
    </w:p>
    <w:p w14:paraId="790DDDEF">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（1）我方向贵方提交的所有投标文件、资料都是准确的和真实的。</w:t>
      </w:r>
    </w:p>
    <w:p w14:paraId="690A5AEE">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（2）我方不是采购人的附属机构；也不是为本项目提供整体设计、规范编制或者项目管理、监理、检测等服务的供应商或其附属机构。</w:t>
      </w:r>
    </w:p>
    <w:p w14:paraId="23063627">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（3）我方承诺在参加本政府采购项目活动前，没有被纳入政府部门或银行认定的失信名单，我方具有良好的商业信誉。</w:t>
      </w:r>
    </w:p>
    <w:p w14:paraId="466A6E5F">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我方及本人承诺在参加本政府采购项目活动前三年内，在经营活动中没有重大违法记录及不良信用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1F1707B3">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（5）我方承诺具有履行本项目合同所必需的设备和专业技术能力。</w:t>
      </w:r>
    </w:p>
    <w:p w14:paraId="451CA6F9">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我方承诺未被列入失信被执行人、重大税收违法失信主体、政府采购严重违法失信行为记录名单，如我方提供的声明不实，则接受本次投标作为否决投标的处理，并根据财库〔2016〕125号《财政部关于在政府采购活动中查询及使用信用记录有关问题的通知》规定接受失信联合惩戒。</w:t>
      </w:r>
    </w:p>
    <w:p w14:paraId="1D0AC3FC">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（7）我方承诺中标后按规定缴纳代理服务费。</w:t>
      </w:r>
    </w:p>
    <w:p w14:paraId="3CF031B6">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我方对以上声明负全部法律责任。如有虚假或隐瞒，我方愿意承担一切后果，并不再寻求任何旨在减轻或免除法律责任的辩解。</w:t>
      </w:r>
    </w:p>
    <w:bookmarkEnd w:id="108"/>
    <w:p w14:paraId="210E70FE">
      <w:pPr>
        <w:snapToGrid w:val="0"/>
        <w:spacing w:before="120" w:beforeLines="50" w:line="360" w:lineRule="exact"/>
        <w:ind w:firstLine="420" w:firstLineChars="200"/>
        <w:rPr>
          <w:rFonts w:ascii="Arial" w:hAnsi="Arial" w:cs="Arial"/>
          <w:color w:val="000000" w:themeColor="text1"/>
          <w:szCs w:val="21"/>
          <w14:textFill>
            <w14:solidFill>
              <w14:schemeClr w14:val="tx1"/>
            </w14:solidFill>
          </w14:textFill>
        </w:rPr>
      </w:pPr>
    </w:p>
    <w:p w14:paraId="48F185F2">
      <w:pPr>
        <w:snapToGrid w:val="0"/>
        <w:spacing w:before="120" w:beforeLines="50" w:line="360" w:lineRule="exact"/>
        <w:ind w:firstLine="3509" w:firstLineChars="1671"/>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法定代表人签字或个人CA签章：</w:t>
      </w:r>
    </w:p>
    <w:p w14:paraId="758C4224">
      <w:pPr>
        <w:snapToGrid w:val="0"/>
        <w:spacing w:before="120" w:beforeLines="50" w:after="50" w:line="360" w:lineRule="exact"/>
        <w:ind w:firstLine="3570" w:firstLineChars="1700"/>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供应商公章（CA签章）：</w:t>
      </w:r>
      <w:r>
        <w:rPr>
          <w:rFonts w:ascii="Arial" w:hAnsi="Arial" w:cs="Arial"/>
          <w:color w:val="000000" w:themeColor="text1"/>
          <w:szCs w:val="21"/>
          <w:u w:val="single"/>
          <w14:textFill>
            <w14:solidFill>
              <w14:schemeClr w14:val="tx1"/>
            </w14:solidFill>
          </w14:textFill>
        </w:rPr>
        <w:t xml:space="preserve">       </w:t>
      </w:r>
    </w:p>
    <w:p w14:paraId="0BC788F2">
      <w:pPr>
        <w:snapToGrid w:val="0"/>
        <w:spacing w:before="120" w:beforeLines="50" w:after="50" w:line="360" w:lineRule="exact"/>
        <w:ind w:firstLine="3990" w:firstLineChars="19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  年月日</w:t>
      </w:r>
    </w:p>
    <w:p w14:paraId="77E02F37">
      <w:pPr>
        <w:snapToGrid w:val="0"/>
        <w:spacing w:before="120" w:beforeLines="50" w:after="50" w:line="288"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br w:type="page"/>
      </w:r>
      <w:r>
        <w:rPr>
          <w:rFonts w:ascii="Arial" w:hAnsi="Arial" w:cs="Arial"/>
          <w:color w:val="000000" w:themeColor="text1"/>
          <w:szCs w:val="21"/>
          <w14:textFill>
            <w14:solidFill>
              <w14:schemeClr w14:val="tx1"/>
            </w14:solidFill>
          </w14:textFill>
        </w:rPr>
        <w:t>2．供应商有效的“营业执照”或“事业单位法人证书”或“自然人的身份证明”副本复印件（加盖供应商CA签章）。供应商是企业则审查营业执照（副本）复印件；供应商是事业单位，则审查事业单位法人证书（副本）复印件；供应商是非企业专业服务机构的，则审查执业许可证等证明文件复印件；供应商是个体工商户，则审查个体工商户营业执照复印件；供应商是自然人，则审查自然人身份证明复印件；如供应商不是以上所列的法人、组织、自然人的，则提供国家规定的相关证明材料。</w:t>
      </w:r>
      <w:r>
        <w:rPr>
          <w:rFonts w:ascii="Arial" w:hAnsi="Arial" w:cs="Arial"/>
          <w:b/>
          <w:color w:val="000000" w:themeColor="text1"/>
          <w:szCs w:val="21"/>
          <w14:textFill>
            <w14:solidFill>
              <w14:schemeClr w14:val="tx1"/>
            </w14:solidFill>
          </w14:textFill>
        </w:rPr>
        <w:t>（必须提供）</w:t>
      </w:r>
    </w:p>
    <w:p w14:paraId="30DE7199">
      <w:pPr>
        <w:snapToGrid w:val="0"/>
        <w:spacing w:before="120" w:beforeLines="50" w:after="50" w:line="288" w:lineRule="auto"/>
        <w:rPr>
          <w:rFonts w:ascii="Arial" w:hAnsi="Arial" w:cs="Arial"/>
          <w:color w:val="000000" w:themeColor="text1"/>
          <w:sz w:val="18"/>
          <w:szCs w:val="18"/>
          <w14:textFill>
            <w14:solidFill>
              <w14:schemeClr w14:val="tx1"/>
            </w14:solidFill>
          </w14:textFill>
        </w:rPr>
      </w:pPr>
    </w:p>
    <w:p w14:paraId="40220B24">
      <w:pPr>
        <w:snapToGrid w:val="0"/>
        <w:spacing w:before="120" w:beforeLines="50" w:after="50" w:line="288" w:lineRule="auto"/>
        <w:rPr>
          <w:rFonts w:hint="default" w:ascii="Arial" w:hAnsi="Arial" w:cs="Arial"/>
          <w:color w:val="000000" w:themeColor="text1"/>
          <w:szCs w:val="21"/>
          <w:lang w:val="en-US" w:eastAsia="zh-CN"/>
          <w14:textFill>
            <w14:solidFill>
              <w14:schemeClr w14:val="tx1"/>
            </w14:solidFill>
          </w14:textFill>
        </w:rPr>
      </w:pPr>
      <w:r>
        <w:rPr>
          <w:rFonts w:hint="eastAsia" w:ascii="Arial" w:hAnsi="Arial" w:cs="Arial"/>
          <w:color w:val="000000" w:themeColor="text1"/>
          <w:szCs w:val="21"/>
          <w:lang w:val="en-US" w:eastAsia="zh-CN"/>
          <w14:textFill>
            <w14:solidFill>
              <w14:schemeClr w14:val="tx1"/>
            </w14:solidFill>
          </w14:textFill>
        </w:rPr>
        <w:t>3</w:t>
      </w:r>
      <w:r>
        <w:rPr>
          <w:rFonts w:ascii="Arial" w:hAnsi="Arial" w:cs="Arial"/>
          <w:color w:val="000000" w:themeColor="text1"/>
          <w:szCs w:val="21"/>
          <w14:textFill>
            <w14:solidFill>
              <w14:schemeClr w14:val="tx1"/>
            </w14:solidFill>
          </w14:textFill>
        </w:rPr>
        <w:t>．</w:t>
      </w:r>
      <w:r>
        <w:rPr>
          <w:rFonts w:hint="eastAsia" w:ascii="Arial" w:hAnsi="Arial" w:cs="Arial"/>
          <w:color w:val="000000" w:themeColor="text1"/>
          <w:szCs w:val="21"/>
          <w:lang w:val="en-US" w:eastAsia="zh-CN"/>
          <w14:textFill>
            <w14:solidFill>
              <w14:schemeClr w14:val="tx1"/>
            </w14:solidFill>
          </w14:textFill>
        </w:rPr>
        <w:t>供应商具有药品监督管理的部门颁发有效的医疗器械经营许可或者备案（按《医疗器械监督管理条例》免于经营备案和无需办理医疗器械经营许可或者备案的情形除外），提供证明材料复印件。</w:t>
      </w:r>
    </w:p>
    <w:p w14:paraId="6EC0E0B7">
      <w:pPr>
        <w:pStyle w:val="21"/>
        <w:rPr>
          <w:rFonts w:ascii="Arial" w:hAnsi="Arial" w:cs="Arial"/>
          <w:color w:val="000000" w:themeColor="text1"/>
          <w:sz w:val="18"/>
          <w:szCs w:val="18"/>
          <w14:textFill>
            <w14:solidFill>
              <w14:schemeClr w14:val="tx1"/>
            </w14:solidFill>
          </w14:textFill>
        </w:rPr>
      </w:pPr>
    </w:p>
    <w:p w14:paraId="5B04F492">
      <w:pPr>
        <w:snapToGrid w:val="0"/>
        <w:spacing w:before="120" w:beforeLines="50" w:after="50" w:line="288" w:lineRule="auto"/>
        <w:rPr>
          <w:rFonts w:ascii="Arial" w:hAnsi="Arial" w:cs="Arial"/>
          <w:b/>
          <w:color w:val="000000" w:themeColor="text1"/>
          <w:szCs w:val="21"/>
          <w14:textFill>
            <w14:solidFill>
              <w14:schemeClr w14:val="tx1"/>
            </w14:solidFill>
          </w14:textFill>
        </w:rPr>
      </w:pPr>
      <w:r>
        <w:rPr>
          <w:rFonts w:hint="eastAsia" w:ascii="Arial" w:hAnsi="Arial" w:cs="Arial"/>
          <w:color w:val="000000" w:themeColor="text1"/>
          <w:szCs w:val="21"/>
          <w:lang w:val="en-US" w:eastAsia="zh-CN"/>
          <w14:textFill>
            <w14:solidFill>
              <w14:schemeClr w14:val="tx1"/>
            </w14:solidFill>
          </w14:textFill>
        </w:rPr>
        <w:t>4</w:t>
      </w:r>
      <w:r>
        <w:rPr>
          <w:rFonts w:ascii="Arial" w:hAnsi="Arial" w:cs="Arial"/>
          <w:color w:val="000000" w:themeColor="text1"/>
          <w:szCs w:val="21"/>
          <w14:textFill>
            <w14:solidFill>
              <w14:schemeClr w14:val="tx1"/>
            </w14:solidFill>
          </w14:textFill>
        </w:rPr>
        <w:t>．财务状况报告（表）复印件或银行出具的资信证明复印件。</w:t>
      </w:r>
      <w:r>
        <w:rPr>
          <w:rFonts w:ascii="Arial" w:hAnsi="Arial" w:cs="Arial"/>
          <w:color w:val="000000" w:themeColor="text1"/>
          <w14:textFill>
            <w14:solidFill>
              <w14:schemeClr w14:val="tx1"/>
            </w14:solidFill>
          </w14:textFill>
        </w:rPr>
        <w:t>对于从取得营业执照时间起到截标时间为止不足1年的供应商，只需提交</w:t>
      </w:r>
      <w:r>
        <w:rPr>
          <w:rFonts w:ascii="Arial" w:hAnsi="Arial" w:cs="Arial"/>
          <w:color w:val="000000" w:themeColor="text1"/>
          <w:szCs w:val="21"/>
          <w14:textFill>
            <w14:solidFill>
              <w14:schemeClr w14:val="tx1"/>
            </w14:solidFill>
          </w14:textFill>
        </w:rPr>
        <w:t>截标时间前一个月的财务状况报告（表）复印件。（按“评标方法及评标标准” “资格审查表”规定提供）。（加盖供应商CA签章）。</w:t>
      </w:r>
      <w:r>
        <w:rPr>
          <w:rFonts w:ascii="Arial" w:hAnsi="Arial" w:cs="Arial"/>
          <w:b/>
          <w:color w:val="000000" w:themeColor="text1"/>
          <w:szCs w:val="21"/>
          <w14:textFill>
            <w14:solidFill>
              <w14:schemeClr w14:val="tx1"/>
            </w14:solidFill>
          </w14:textFill>
        </w:rPr>
        <w:t>（必须提供）</w:t>
      </w:r>
    </w:p>
    <w:p w14:paraId="6342F802">
      <w:pPr>
        <w:snapToGrid w:val="0"/>
        <w:spacing w:before="120" w:beforeLines="50" w:after="50" w:line="288" w:lineRule="auto"/>
        <w:rPr>
          <w:rFonts w:ascii="Arial" w:hAnsi="Arial" w:cs="Arial"/>
          <w:color w:val="000000" w:themeColor="text1"/>
          <w:szCs w:val="21"/>
          <w14:textFill>
            <w14:solidFill>
              <w14:schemeClr w14:val="tx1"/>
            </w14:solidFill>
          </w14:textFill>
        </w:rPr>
      </w:pPr>
    </w:p>
    <w:p w14:paraId="6955F870">
      <w:pPr>
        <w:snapToGrid w:val="0"/>
        <w:spacing w:before="120" w:beforeLines="50" w:after="50" w:line="288" w:lineRule="auto"/>
        <w:rPr>
          <w:rFonts w:ascii="Arial" w:hAnsi="Arial" w:cs="Arial"/>
          <w:color w:val="000000" w:themeColor="text1"/>
          <w14:textFill>
            <w14:solidFill>
              <w14:schemeClr w14:val="tx1"/>
            </w14:solidFill>
          </w14:textFill>
        </w:rPr>
      </w:pPr>
      <w:r>
        <w:rPr>
          <w:rFonts w:hint="eastAsia" w:ascii="Arial" w:hAnsi="Arial" w:cs="Arial"/>
          <w:color w:val="000000" w:themeColor="text1"/>
          <w:lang w:val="en-US" w:eastAsia="zh-CN"/>
          <w14:textFill>
            <w14:solidFill>
              <w14:schemeClr w14:val="tx1"/>
            </w14:solidFill>
          </w14:textFill>
        </w:rPr>
        <w:t>5</w:t>
      </w:r>
      <w:r>
        <w:rPr>
          <w:rFonts w:ascii="Arial" w:hAnsi="Arial" w:cs="Arial"/>
          <w:color w:val="000000" w:themeColor="text1"/>
          <w14:textFill>
            <w14:solidFill>
              <w14:schemeClr w14:val="tx1"/>
            </w14:solidFill>
          </w14:textFill>
        </w:rPr>
        <w:t>．依法缴纳税费证明和社会保险缴纳证明材料。供应商成立不足1个月的，无须提供缴纳税费证明及社保缴费证明。依法免税或不需要缴纳社会保障资金的供应商，须提供相应文件证明其依法免税或不需要缴纳社会保障资金。</w:t>
      </w:r>
      <w:r>
        <w:rPr>
          <w:rFonts w:ascii="Arial" w:hAnsi="Arial" w:cs="Arial"/>
          <w:color w:val="000000" w:themeColor="text1"/>
          <w:szCs w:val="21"/>
          <w14:textFill>
            <w14:solidFill>
              <w14:schemeClr w14:val="tx1"/>
            </w14:solidFill>
          </w14:textFill>
        </w:rPr>
        <w:t>（按“评标方法及评标标准” “资格审查表”规定提供）（加盖供应商CA签章）。</w:t>
      </w:r>
      <w:r>
        <w:rPr>
          <w:rFonts w:ascii="Arial" w:hAnsi="Arial" w:cs="Arial"/>
          <w:b/>
          <w:color w:val="000000" w:themeColor="text1"/>
          <w:szCs w:val="21"/>
          <w14:textFill>
            <w14:solidFill>
              <w14:schemeClr w14:val="tx1"/>
            </w14:solidFill>
          </w14:textFill>
        </w:rPr>
        <w:t>（必须提供）</w:t>
      </w:r>
    </w:p>
    <w:p w14:paraId="64E508B9">
      <w:pPr>
        <w:snapToGrid w:val="0"/>
        <w:spacing w:before="120" w:beforeLines="50" w:after="50" w:line="288" w:lineRule="auto"/>
        <w:rPr>
          <w:rFonts w:ascii="Arial" w:hAnsi="Arial" w:cs="Arial"/>
          <w:color w:val="000000" w:themeColor="text1"/>
          <w:szCs w:val="21"/>
          <w14:textFill>
            <w14:solidFill>
              <w14:schemeClr w14:val="tx1"/>
            </w14:solidFill>
          </w14:textFill>
        </w:rPr>
      </w:pPr>
    </w:p>
    <w:p w14:paraId="3506754A">
      <w:pPr>
        <w:snapToGrid w:val="0"/>
        <w:spacing w:before="50" w:after="120" w:afterLines="50" w:line="288" w:lineRule="auto"/>
        <w:jc w:val="left"/>
        <w:rPr>
          <w:rFonts w:ascii="Arial" w:hAnsi="Arial" w:cs="Arial"/>
          <w:b/>
          <w:color w:val="000000" w:themeColor="text1"/>
          <w:szCs w:val="21"/>
          <w14:textFill>
            <w14:solidFill>
              <w14:schemeClr w14:val="tx1"/>
            </w14:solidFill>
          </w14:textFill>
        </w:rPr>
      </w:pPr>
      <w:r>
        <w:rPr>
          <w:rFonts w:hint="eastAsia" w:ascii="Arial" w:hAnsi="Arial" w:cs="Arial"/>
          <w:color w:val="000000" w:themeColor="text1"/>
          <w:szCs w:val="21"/>
          <w:lang w:val="en-US" w:eastAsia="zh-CN"/>
          <w14:textFill>
            <w14:solidFill>
              <w14:schemeClr w14:val="tx1"/>
            </w14:solidFill>
          </w14:textFill>
        </w:rPr>
        <w:t>6</w:t>
      </w:r>
      <w:r>
        <w:rPr>
          <w:rFonts w:ascii="Arial" w:hAnsi="Arial" w:cs="Arial"/>
          <w:color w:val="000000" w:themeColor="text1"/>
          <w:szCs w:val="21"/>
          <w14:textFill>
            <w14:solidFill>
              <w14:schemeClr w14:val="tx1"/>
            </w14:solidFill>
          </w14:textFill>
        </w:rPr>
        <w:t>．具备法律、行政法规规定的其他要求的证明材料</w:t>
      </w:r>
      <w:r>
        <w:rPr>
          <w:rFonts w:ascii="Arial" w:hAnsi="Arial" w:cs="Arial"/>
          <w:color w:val="000000" w:themeColor="text1"/>
          <w14:textFill>
            <w14:solidFill>
              <w14:schemeClr w14:val="tx1"/>
            </w14:solidFill>
          </w14:textFill>
        </w:rPr>
        <w:t>（</w:t>
      </w:r>
      <w:r>
        <w:rPr>
          <w:rFonts w:ascii="Arial" w:hAnsi="Arial" w:cs="Arial"/>
          <w:color w:val="000000" w:themeColor="text1"/>
          <w:szCs w:val="21"/>
          <w14:textFill>
            <w14:solidFill>
              <w14:schemeClr w14:val="tx1"/>
            </w14:solidFill>
          </w14:textFill>
        </w:rPr>
        <w:t>按“评标方法及评标标准” “资格性检查表”规定提供</w:t>
      </w:r>
      <w:r>
        <w:rPr>
          <w:rFonts w:ascii="Arial" w:hAnsi="Arial" w:cs="Arial"/>
          <w:color w:val="000000" w:themeColor="text1"/>
          <w14:textFill>
            <w14:solidFill>
              <w14:schemeClr w14:val="tx1"/>
            </w14:solidFill>
          </w14:textFill>
        </w:rPr>
        <w:t>）。</w:t>
      </w:r>
      <w:r>
        <w:rPr>
          <w:rFonts w:ascii="Arial" w:hAnsi="Arial" w:cs="Arial"/>
          <w:b/>
          <w:color w:val="000000" w:themeColor="text1"/>
          <w:szCs w:val="21"/>
          <w14:textFill>
            <w14:solidFill>
              <w14:schemeClr w14:val="tx1"/>
            </w14:solidFill>
          </w14:textFill>
        </w:rPr>
        <w:t>（如招标文件有要求，则必须提供）</w:t>
      </w:r>
    </w:p>
    <w:p w14:paraId="17E34B00">
      <w:pPr>
        <w:snapToGrid w:val="0"/>
        <w:spacing w:before="50" w:after="120" w:afterLines="50" w:line="288" w:lineRule="auto"/>
        <w:jc w:val="left"/>
        <w:rPr>
          <w:rFonts w:ascii="Arial" w:hAnsi="Arial" w:cs="Arial"/>
          <w:color w:val="000000" w:themeColor="text1"/>
          <w14:textFill>
            <w14:solidFill>
              <w14:schemeClr w14:val="tx1"/>
            </w14:solidFill>
          </w14:textFill>
        </w:rPr>
      </w:pPr>
    </w:p>
    <w:p w14:paraId="34BAF7C9">
      <w:pPr>
        <w:snapToGrid w:val="0"/>
        <w:spacing w:before="50" w:after="120" w:afterLines="50" w:line="288" w:lineRule="auto"/>
        <w:jc w:val="left"/>
        <w:rPr>
          <w:rFonts w:ascii="Arial" w:hAnsi="Arial" w:cs="Arial"/>
          <w:color w:val="000000" w:themeColor="text1"/>
          <w:szCs w:val="21"/>
          <w14:textFill>
            <w14:solidFill>
              <w14:schemeClr w14:val="tx1"/>
            </w14:solidFill>
          </w14:textFill>
        </w:rPr>
      </w:pPr>
    </w:p>
    <w:p w14:paraId="74FF6A6F">
      <w:pPr>
        <w:snapToGrid w:val="0"/>
        <w:spacing w:before="50" w:after="120" w:afterLines="50" w:line="440" w:lineRule="exact"/>
        <w:jc w:val="left"/>
        <w:rPr>
          <w:rFonts w:ascii="Arial" w:hAnsi="Arial" w:cs="Arial"/>
          <w:b/>
          <w:bCs/>
          <w:color w:val="000000" w:themeColor="text1"/>
          <w:szCs w:val="21"/>
          <w14:textFill>
            <w14:solidFill>
              <w14:schemeClr w14:val="tx1"/>
            </w14:solidFill>
          </w14:textFill>
        </w:rPr>
      </w:pPr>
      <w:bookmarkStart w:id="109" w:name="_Hlk132792497"/>
      <w:bookmarkStart w:id="110" w:name="_Hlk19115874"/>
      <w:r>
        <w:rPr>
          <w:rFonts w:hint="eastAsia" w:ascii="Arial" w:hAnsi="Arial" w:cs="Arial"/>
          <w:color w:val="000000" w:themeColor="text1"/>
          <w:szCs w:val="21"/>
          <w:lang w:val="en-US" w:eastAsia="zh-CN"/>
          <w14:textFill>
            <w14:solidFill>
              <w14:schemeClr w14:val="tx1"/>
            </w14:solidFill>
          </w14:textFill>
        </w:rPr>
        <w:t>7</w:t>
      </w:r>
      <w:r>
        <w:rPr>
          <w:rFonts w:ascii="Arial" w:hAnsi="Arial" w:cs="Arial"/>
          <w:color w:val="000000" w:themeColor="text1"/>
          <w:szCs w:val="21"/>
          <w14:textFill>
            <w14:solidFill>
              <w14:schemeClr w14:val="tx1"/>
            </w14:solidFill>
          </w14:textFill>
        </w:rPr>
        <w:t>．满足供应商特定资格条件的其他证明材料加盖供应商CA签章（按“评标方法及评标标准” “资格性检查表”“ 供应商应符合的特定资格条件”规定提供）。</w:t>
      </w:r>
      <w:r>
        <w:rPr>
          <w:rFonts w:ascii="Arial" w:hAnsi="Arial" w:cs="Arial"/>
          <w:b/>
          <w:bCs/>
          <w:color w:val="000000" w:themeColor="text1"/>
          <w:szCs w:val="21"/>
          <w14:textFill>
            <w14:solidFill>
              <w14:schemeClr w14:val="tx1"/>
            </w14:solidFill>
          </w14:textFill>
        </w:rPr>
        <w:t>（如招标文件有要求，则必须提供）</w:t>
      </w:r>
    </w:p>
    <w:bookmarkEnd w:id="109"/>
    <w:bookmarkEnd w:id="110"/>
    <w:p w14:paraId="512662CD">
      <w:pPr>
        <w:snapToGrid w:val="0"/>
        <w:spacing w:before="50" w:after="120" w:afterLines="50" w:line="288" w:lineRule="auto"/>
        <w:jc w:val="left"/>
        <w:rPr>
          <w:rFonts w:ascii="Arial" w:hAnsi="Arial" w:cs="Arial"/>
          <w:b/>
          <w:bCs/>
          <w:color w:val="000000" w:themeColor="text1"/>
          <w:szCs w:val="21"/>
          <w14:textFill>
            <w14:solidFill>
              <w14:schemeClr w14:val="tx1"/>
            </w14:solidFill>
          </w14:textFill>
        </w:rPr>
      </w:pPr>
    </w:p>
    <w:p w14:paraId="1F233432">
      <w:pPr>
        <w:snapToGrid w:val="0"/>
        <w:spacing w:before="50" w:after="120" w:afterLines="50" w:line="288" w:lineRule="auto"/>
        <w:jc w:val="left"/>
        <w:rPr>
          <w:rFonts w:ascii="Arial" w:hAnsi="Arial" w:cs="Arial"/>
          <w:color w:val="000000" w:themeColor="text1"/>
          <w:szCs w:val="21"/>
          <w14:textFill>
            <w14:solidFill>
              <w14:schemeClr w14:val="tx1"/>
            </w14:solidFill>
          </w14:textFill>
        </w:rPr>
      </w:pPr>
    </w:p>
    <w:p w14:paraId="54B0B02D">
      <w:pPr>
        <w:snapToGrid w:val="0"/>
        <w:spacing w:before="50" w:after="120" w:afterLines="50" w:line="288" w:lineRule="auto"/>
        <w:jc w:val="left"/>
        <w:rPr>
          <w:rFonts w:ascii="Arial" w:hAnsi="Arial" w:cs="Arial"/>
          <w:color w:val="000000" w:themeColor="text1"/>
          <w:szCs w:val="21"/>
          <w14:textFill>
            <w14:solidFill>
              <w14:schemeClr w14:val="tx1"/>
            </w14:solidFill>
          </w14:textFill>
        </w:rPr>
      </w:pPr>
    </w:p>
    <w:p w14:paraId="0919FC47">
      <w:pPr>
        <w:snapToGrid w:val="0"/>
        <w:spacing w:before="50" w:after="120" w:afterLines="50" w:line="288" w:lineRule="auto"/>
        <w:jc w:val="left"/>
        <w:rPr>
          <w:rFonts w:ascii="Arial" w:hAnsi="Arial" w:cs="Arial"/>
          <w:b/>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br w:type="page"/>
      </w:r>
      <w:r>
        <w:rPr>
          <w:rFonts w:hint="eastAsia" w:ascii="Arial" w:hAnsi="Arial" w:cs="Arial"/>
          <w:color w:val="000000" w:themeColor="text1"/>
          <w:szCs w:val="21"/>
          <w:lang w:val="en-US" w:eastAsia="zh-CN"/>
          <w14:textFill>
            <w14:solidFill>
              <w14:schemeClr w14:val="tx1"/>
            </w14:solidFill>
          </w14:textFill>
        </w:rPr>
        <w:t>8</w:t>
      </w:r>
      <w:r>
        <w:rPr>
          <w:rFonts w:ascii="Arial" w:hAnsi="Arial" w:cs="Arial"/>
          <w:color w:val="000000" w:themeColor="text1"/>
          <w:szCs w:val="21"/>
          <w14:textFill>
            <w14:solidFill>
              <w14:schemeClr w14:val="tx1"/>
            </w14:solidFill>
          </w14:textFill>
        </w:rPr>
        <w:t>．</w:t>
      </w:r>
      <w:r>
        <w:rPr>
          <w:rFonts w:ascii="Arial" w:hAnsi="Arial" w:cs="Arial"/>
          <w:color w:val="000000" w:themeColor="text1"/>
          <w14:textFill>
            <w14:solidFill>
              <w14:schemeClr w14:val="tx1"/>
            </w14:solidFill>
          </w14:textFill>
        </w:rPr>
        <w:t>满足供应商特定资格条件的其他证明材料</w:t>
      </w:r>
      <w:r>
        <w:rPr>
          <w:rFonts w:ascii="Arial" w:hAnsi="Arial" w:cs="Arial"/>
          <w:color w:val="000000" w:themeColor="text1"/>
          <w:szCs w:val="21"/>
          <w14:textFill>
            <w14:solidFill>
              <w14:schemeClr w14:val="tx1"/>
            </w14:solidFill>
          </w14:textFill>
        </w:rPr>
        <w:t>加盖供应商CA签章</w:t>
      </w:r>
      <w:r>
        <w:rPr>
          <w:rFonts w:ascii="Arial" w:hAnsi="Arial" w:cs="Arial"/>
          <w:color w:val="000000" w:themeColor="text1"/>
          <w14:textFill>
            <w14:solidFill>
              <w14:schemeClr w14:val="tx1"/>
            </w14:solidFill>
          </w14:textFill>
        </w:rPr>
        <w:t>（</w:t>
      </w:r>
      <w:r>
        <w:rPr>
          <w:rFonts w:ascii="Arial" w:hAnsi="Arial" w:cs="Arial"/>
          <w:color w:val="000000" w:themeColor="text1"/>
          <w:szCs w:val="21"/>
          <w14:textFill>
            <w14:solidFill>
              <w14:schemeClr w14:val="tx1"/>
            </w14:solidFill>
          </w14:textFill>
        </w:rPr>
        <w:t>按“评标方法及评标标准” “资格性检查表”“</w:t>
      </w:r>
      <w:r>
        <w:rPr>
          <w:rFonts w:ascii="Arial" w:hAnsi="Arial" w:cs="Arial"/>
          <w:color w:val="000000" w:themeColor="text1"/>
          <w:szCs w:val="21"/>
          <w:lang w:val="zh-CN"/>
          <w14:textFill>
            <w14:solidFill>
              <w14:schemeClr w14:val="tx1"/>
            </w14:solidFill>
          </w14:textFill>
        </w:rPr>
        <w:t xml:space="preserve"> 供应商应符合的</w:t>
      </w:r>
      <w:r>
        <w:rPr>
          <w:rFonts w:ascii="Arial" w:hAnsi="Arial" w:cs="Arial"/>
          <w:color w:val="000000" w:themeColor="text1"/>
          <w:szCs w:val="21"/>
          <w14:textFill>
            <w14:solidFill>
              <w14:schemeClr w14:val="tx1"/>
            </w14:solidFill>
          </w14:textFill>
        </w:rPr>
        <w:t>特定资格条件”规定提供</w:t>
      </w:r>
      <w:r>
        <w:rPr>
          <w:rFonts w:ascii="Arial" w:hAnsi="Arial" w:cs="Arial"/>
          <w:color w:val="000000" w:themeColor="text1"/>
          <w14:textFill>
            <w14:solidFill>
              <w14:schemeClr w14:val="tx1"/>
            </w14:solidFill>
          </w14:textFill>
        </w:rPr>
        <w:t>）。</w:t>
      </w:r>
      <w:r>
        <w:rPr>
          <w:rFonts w:ascii="Arial" w:hAnsi="Arial" w:cs="Arial"/>
          <w:b/>
          <w:color w:val="000000" w:themeColor="text1"/>
          <w:szCs w:val="21"/>
          <w14:textFill>
            <w14:solidFill>
              <w14:schemeClr w14:val="tx1"/>
            </w14:solidFill>
          </w14:textFill>
        </w:rPr>
        <w:t>（如招标文件有要求，则必须提供）</w:t>
      </w:r>
    </w:p>
    <w:p w14:paraId="740FAEE5">
      <w:pPr>
        <w:snapToGrid w:val="0"/>
        <w:spacing w:before="50" w:after="120" w:afterLines="50" w:line="360" w:lineRule="auto"/>
        <w:jc w:val="left"/>
        <w:rPr>
          <w:rFonts w:ascii="Arial" w:hAnsi="Arial" w:cs="Arial"/>
          <w:color w:val="000000" w:themeColor="text1"/>
          <w:szCs w:val="21"/>
          <w14:textFill>
            <w14:solidFill>
              <w14:schemeClr w14:val="tx1"/>
            </w14:solidFill>
          </w14:textFill>
        </w:rPr>
      </w:pPr>
      <w:r>
        <w:rPr>
          <w:rFonts w:hint="eastAsia" w:ascii="Arial" w:hAnsi="Arial" w:cs="Arial"/>
          <w:color w:val="000000" w:themeColor="text1"/>
          <w:szCs w:val="21"/>
          <w:lang w:val="en-US" w:eastAsia="zh-CN"/>
          <w14:textFill>
            <w14:solidFill>
              <w14:schemeClr w14:val="tx1"/>
            </w14:solidFill>
          </w14:textFill>
        </w:rPr>
        <w:t>8</w:t>
      </w:r>
      <w:r>
        <w:rPr>
          <w:rFonts w:ascii="Arial" w:hAnsi="Arial" w:cs="Arial"/>
          <w:color w:val="000000" w:themeColor="text1"/>
          <w:szCs w:val="21"/>
          <w14:textFill>
            <w14:solidFill>
              <w14:schemeClr w14:val="tx1"/>
            </w14:solidFill>
          </w14:textFill>
        </w:rPr>
        <w:t>.1投标人直接控股股东信息表</w:t>
      </w:r>
    </w:p>
    <w:tbl>
      <w:tblPr>
        <w:tblStyle w:val="55"/>
        <w:tblW w:w="9476" w:type="dxa"/>
        <w:tblInd w:w="0" w:type="dxa"/>
        <w:tblLayout w:type="fixed"/>
        <w:tblCellMar>
          <w:top w:w="0" w:type="dxa"/>
          <w:left w:w="0" w:type="dxa"/>
          <w:bottom w:w="0" w:type="dxa"/>
          <w:right w:w="0" w:type="dxa"/>
        </w:tblCellMar>
      </w:tblPr>
      <w:tblGrid>
        <w:gridCol w:w="828"/>
        <w:gridCol w:w="2269"/>
        <w:gridCol w:w="1239"/>
        <w:gridCol w:w="3722"/>
        <w:gridCol w:w="1418"/>
      </w:tblGrid>
      <w:tr w14:paraId="24A6A520">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ECC7A0A">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44C1301">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1DAFE86">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1DA3112">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3C391C8">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备注</w:t>
            </w:r>
          </w:p>
        </w:tc>
      </w:tr>
      <w:tr w14:paraId="1F26205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A73C736">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9CCAB05">
            <w:pPr>
              <w:spacing w:line="360" w:lineRule="auto"/>
              <w:jc w:val="center"/>
              <w:rPr>
                <w:rFonts w:ascii="Arial" w:hAnsi="Arial" w:cs="Arial"/>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325ACF3">
            <w:pPr>
              <w:spacing w:line="360" w:lineRule="auto"/>
              <w:jc w:val="center"/>
              <w:rPr>
                <w:rFonts w:ascii="Arial" w:hAnsi="Arial" w:cs="Arial"/>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5ACE894">
            <w:pPr>
              <w:spacing w:line="360" w:lineRule="auto"/>
              <w:jc w:val="center"/>
              <w:rPr>
                <w:rFonts w:ascii="Arial" w:hAnsi="Arial" w:cs="Arial"/>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756C53">
            <w:pPr>
              <w:spacing w:line="360" w:lineRule="auto"/>
              <w:jc w:val="center"/>
              <w:rPr>
                <w:rFonts w:ascii="Arial" w:hAnsi="Arial" w:cs="Arial"/>
                <w:color w:val="000000" w:themeColor="text1"/>
                <w:szCs w:val="21"/>
                <w14:textFill>
                  <w14:solidFill>
                    <w14:schemeClr w14:val="tx1"/>
                  </w14:solidFill>
                </w14:textFill>
              </w:rPr>
            </w:pPr>
          </w:p>
        </w:tc>
      </w:tr>
      <w:tr w14:paraId="1C2202A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AE01BF3">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80DA3C5">
            <w:pPr>
              <w:spacing w:line="360" w:lineRule="auto"/>
              <w:jc w:val="center"/>
              <w:rPr>
                <w:rFonts w:ascii="Arial" w:hAnsi="Arial" w:cs="Arial"/>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1405CF">
            <w:pPr>
              <w:spacing w:line="360" w:lineRule="auto"/>
              <w:jc w:val="center"/>
              <w:rPr>
                <w:rFonts w:ascii="Arial" w:hAnsi="Arial" w:cs="Arial"/>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3D2687B">
            <w:pPr>
              <w:spacing w:line="360" w:lineRule="auto"/>
              <w:jc w:val="center"/>
              <w:rPr>
                <w:rFonts w:ascii="Arial" w:hAnsi="Arial" w:cs="Arial"/>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FFF104B">
            <w:pPr>
              <w:spacing w:line="360" w:lineRule="auto"/>
              <w:jc w:val="center"/>
              <w:rPr>
                <w:rFonts w:ascii="Arial" w:hAnsi="Arial" w:cs="Arial"/>
                <w:color w:val="000000" w:themeColor="text1"/>
                <w:szCs w:val="21"/>
                <w14:textFill>
                  <w14:solidFill>
                    <w14:schemeClr w14:val="tx1"/>
                  </w14:solidFill>
                </w14:textFill>
              </w:rPr>
            </w:pPr>
          </w:p>
        </w:tc>
      </w:tr>
      <w:tr w14:paraId="1C8DCBD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282967D">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0A16DF">
            <w:pPr>
              <w:spacing w:line="360" w:lineRule="auto"/>
              <w:jc w:val="center"/>
              <w:rPr>
                <w:rFonts w:ascii="Arial" w:hAnsi="Arial" w:cs="Arial"/>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4F97FB">
            <w:pPr>
              <w:spacing w:line="360" w:lineRule="auto"/>
              <w:jc w:val="center"/>
              <w:rPr>
                <w:rFonts w:ascii="Arial" w:hAnsi="Arial" w:cs="Arial"/>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99650D">
            <w:pPr>
              <w:spacing w:line="360" w:lineRule="auto"/>
              <w:jc w:val="center"/>
              <w:rPr>
                <w:rFonts w:ascii="Arial" w:hAnsi="Arial" w:cs="Arial"/>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768637D">
            <w:pPr>
              <w:spacing w:line="360" w:lineRule="auto"/>
              <w:jc w:val="center"/>
              <w:rPr>
                <w:rFonts w:ascii="Arial" w:hAnsi="Arial" w:cs="Arial"/>
                <w:color w:val="000000" w:themeColor="text1"/>
                <w:szCs w:val="21"/>
                <w14:textFill>
                  <w14:solidFill>
                    <w14:schemeClr w14:val="tx1"/>
                  </w14:solidFill>
                </w14:textFill>
              </w:rPr>
            </w:pPr>
          </w:p>
        </w:tc>
      </w:tr>
      <w:tr w14:paraId="55CD5F2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97E27DF">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DE15258">
            <w:pPr>
              <w:spacing w:line="360" w:lineRule="auto"/>
              <w:jc w:val="center"/>
              <w:rPr>
                <w:rFonts w:ascii="Arial" w:hAnsi="Arial" w:cs="Arial"/>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817770">
            <w:pPr>
              <w:spacing w:line="360" w:lineRule="auto"/>
              <w:jc w:val="center"/>
              <w:rPr>
                <w:rFonts w:ascii="Arial" w:hAnsi="Arial" w:cs="Arial"/>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AA81F4">
            <w:pPr>
              <w:spacing w:line="360" w:lineRule="auto"/>
              <w:jc w:val="center"/>
              <w:rPr>
                <w:rFonts w:ascii="Arial" w:hAnsi="Arial" w:cs="Arial"/>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1F0AA3C">
            <w:pPr>
              <w:spacing w:line="360" w:lineRule="auto"/>
              <w:jc w:val="center"/>
              <w:rPr>
                <w:rFonts w:ascii="Arial" w:hAnsi="Arial" w:cs="Arial"/>
                <w:color w:val="000000" w:themeColor="text1"/>
                <w:szCs w:val="21"/>
                <w14:textFill>
                  <w14:solidFill>
                    <w14:schemeClr w14:val="tx1"/>
                  </w14:solidFill>
                </w14:textFill>
              </w:rPr>
            </w:pPr>
          </w:p>
        </w:tc>
      </w:tr>
    </w:tbl>
    <w:p w14:paraId="250D22FE">
      <w:pPr>
        <w:snapToGrid w:val="0"/>
        <w:spacing w:line="360" w:lineRule="auto"/>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w:t>
      </w:r>
    </w:p>
    <w:p w14:paraId="1037D938">
      <w:pPr>
        <w:snapToGrid w:val="0"/>
        <w:spacing w:line="360" w:lineRule="auto"/>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5CC8BEA">
      <w:pPr>
        <w:snapToGrid w:val="0"/>
        <w:spacing w:line="360" w:lineRule="auto"/>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2.本表所指的控股关系仅限于直接控股关系，不包括间接的控股关系。公司实际控制人与公司之间的关系不属于本表所指的直接控股关系。</w:t>
      </w:r>
    </w:p>
    <w:p w14:paraId="32D0BEBA">
      <w:pPr>
        <w:snapToGrid w:val="0"/>
        <w:spacing w:line="360" w:lineRule="auto"/>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3.供应商不存在直接控股股东的，则填“无”。</w:t>
      </w:r>
    </w:p>
    <w:p w14:paraId="3AD9A0AA">
      <w:pPr>
        <w:snapToGrid w:val="0"/>
        <w:spacing w:line="360" w:lineRule="auto"/>
        <w:jc w:val="left"/>
        <w:rPr>
          <w:rFonts w:ascii="Arial" w:hAnsi="Arial" w:cs="Arial"/>
          <w:color w:val="000000" w:themeColor="text1"/>
          <w:szCs w:val="21"/>
          <w14:textFill>
            <w14:solidFill>
              <w14:schemeClr w14:val="tx1"/>
            </w14:solidFill>
          </w14:textFill>
        </w:rPr>
      </w:pPr>
    </w:p>
    <w:p w14:paraId="07BE7A1E">
      <w:pPr>
        <w:snapToGrid w:val="0"/>
        <w:spacing w:line="360" w:lineRule="auto"/>
        <w:jc w:val="left"/>
        <w:rPr>
          <w:rFonts w:ascii="Arial" w:hAnsi="Arial" w:cs="Arial"/>
          <w:color w:val="000000" w:themeColor="text1"/>
          <w:szCs w:val="21"/>
          <w14:textFill>
            <w14:solidFill>
              <w14:schemeClr w14:val="tx1"/>
            </w14:solidFill>
          </w14:textFill>
        </w:rPr>
      </w:pPr>
    </w:p>
    <w:p w14:paraId="19675CFE">
      <w:pPr>
        <w:snapToGrid w:val="0"/>
        <w:spacing w:line="360" w:lineRule="auto"/>
        <w:jc w:val="left"/>
        <w:rPr>
          <w:rFonts w:ascii="Arial" w:hAnsi="Arial" w:cs="Arial"/>
          <w:color w:val="000000" w:themeColor="text1"/>
          <w:szCs w:val="21"/>
          <w14:textFill>
            <w14:solidFill>
              <w14:schemeClr w14:val="tx1"/>
            </w14:solidFill>
          </w14:textFill>
        </w:rPr>
      </w:pPr>
    </w:p>
    <w:p w14:paraId="6E860B88">
      <w:pPr>
        <w:snapToGrid w:val="0"/>
        <w:spacing w:line="360" w:lineRule="auto"/>
        <w:jc w:val="left"/>
        <w:rPr>
          <w:rFonts w:ascii="Arial" w:hAnsi="Arial" w:cs="Arial"/>
          <w:color w:val="000000" w:themeColor="text1"/>
          <w:szCs w:val="21"/>
          <w14:textFill>
            <w14:solidFill>
              <w14:schemeClr w14:val="tx1"/>
            </w14:solidFill>
          </w14:textFill>
        </w:rPr>
      </w:pPr>
    </w:p>
    <w:p w14:paraId="2203DE2E">
      <w:pPr>
        <w:snapToGrid w:val="0"/>
        <w:spacing w:line="360" w:lineRule="auto"/>
        <w:jc w:val="left"/>
        <w:rPr>
          <w:rFonts w:ascii="Arial" w:hAnsi="Arial" w:cs="Arial"/>
          <w:color w:val="000000" w:themeColor="text1"/>
          <w:szCs w:val="21"/>
          <w14:textFill>
            <w14:solidFill>
              <w14:schemeClr w14:val="tx1"/>
            </w14:solidFill>
          </w14:textFill>
        </w:rPr>
      </w:pPr>
    </w:p>
    <w:p w14:paraId="097FA1B0">
      <w:pPr>
        <w:snapToGrid w:val="0"/>
        <w:spacing w:line="360" w:lineRule="auto"/>
        <w:ind w:firstLine="4410" w:firstLineChars="21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供应商名称(电子签章)：</w:t>
      </w:r>
    </w:p>
    <w:p w14:paraId="7C987D35">
      <w:pPr>
        <w:snapToGrid w:val="0"/>
        <w:spacing w:line="360" w:lineRule="auto"/>
        <w:ind w:firstLine="4515" w:firstLineChars="215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日期：  年  月   日</w:t>
      </w:r>
    </w:p>
    <w:p w14:paraId="1DE6DDF6">
      <w:pPr>
        <w:snapToGrid w:val="0"/>
        <w:jc w:val="center"/>
        <w:rPr>
          <w:rFonts w:ascii="Arial" w:hAnsi="Arial" w:cs="Arial"/>
          <w:b/>
          <w:color w:val="000000" w:themeColor="text1"/>
          <w:sz w:val="28"/>
          <w:szCs w:val="28"/>
          <w14:textFill>
            <w14:solidFill>
              <w14:schemeClr w14:val="tx1"/>
            </w14:solidFill>
          </w14:textFill>
        </w:rPr>
      </w:pPr>
      <w:r>
        <w:rPr>
          <w:rFonts w:ascii="Arial" w:hAnsi="Arial" w:cs="Arial"/>
          <w:b/>
          <w:color w:val="000000" w:themeColor="text1"/>
          <w:sz w:val="28"/>
          <w:szCs w:val="28"/>
          <w14:textFill>
            <w14:solidFill>
              <w14:schemeClr w14:val="tx1"/>
            </w14:solidFill>
          </w14:textFill>
        </w:rPr>
        <w:br w:type="page"/>
      </w:r>
    </w:p>
    <w:p w14:paraId="695CD711">
      <w:pPr>
        <w:snapToGrid w:val="0"/>
        <w:spacing w:line="360" w:lineRule="auto"/>
        <w:jc w:val="left"/>
        <w:rPr>
          <w:rFonts w:ascii="Arial" w:hAnsi="Arial" w:cs="Arial"/>
          <w:color w:val="000000" w:themeColor="text1"/>
          <w:szCs w:val="21"/>
          <w14:textFill>
            <w14:solidFill>
              <w14:schemeClr w14:val="tx1"/>
            </w14:solidFill>
          </w14:textFill>
        </w:rPr>
      </w:pPr>
      <w:r>
        <w:rPr>
          <w:rFonts w:hint="eastAsia" w:ascii="Arial" w:hAnsi="Arial" w:cs="Arial"/>
          <w:color w:val="000000" w:themeColor="text1"/>
          <w:szCs w:val="21"/>
          <w:lang w:val="en-US" w:eastAsia="zh-CN"/>
          <w14:textFill>
            <w14:solidFill>
              <w14:schemeClr w14:val="tx1"/>
            </w14:solidFill>
          </w14:textFill>
        </w:rPr>
        <w:t>8</w:t>
      </w:r>
      <w:r>
        <w:rPr>
          <w:rFonts w:ascii="Arial" w:hAnsi="Arial" w:cs="Arial"/>
          <w:color w:val="000000" w:themeColor="text1"/>
          <w:szCs w:val="21"/>
          <w14:textFill>
            <w14:solidFill>
              <w14:schemeClr w14:val="tx1"/>
            </w14:solidFill>
          </w14:textFill>
        </w:rPr>
        <w:t>.2投标人直接管理关系信息表</w:t>
      </w:r>
    </w:p>
    <w:tbl>
      <w:tblPr>
        <w:tblStyle w:val="5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533870B6">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796586">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118274">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966C8D">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458BAC">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备注</w:t>
            </w:r>
          </w:p>
        </w:tc>
      </w:tr>
      <w:tr w14:paraId="339AD45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E5EE67">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BFF3B9">
            <w:pPr>
              <w:spacing w:line="360" w:lineRule="auto"/>
              <w:jc w:val="center"/>
              <w:rPr>
                <w:rFonts w:ascii="Arial" w:hAnsi="Arial" w:cs="Arial"/>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803D97">
            <w:pPr>
              <w:spacing w:line="360" w:lineRule="auto"/>
              <w:jc w:val="center"/>
              <w:rPr>
                <w:rFonts w:ascii="Arial" w:hAnsi="Arial" w:cs="Arial"/>
                <w:color w:val="000000" w:themeColor="text1"/>
                <w:szCs w:val="21"/>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E62F48">
            <w:pPr>
              <w:spacing w:line="360" w:lineRule="auto"/>
              <w:jc w:val="center"/>
              <w:rPr>
                <w:rFonts w:ascii="Arial" w:hAnsi="Arial" w:cs="Arial"/>
                <w:color w:val="000000" w:themeColor="text1"/>
                <w:szCs w:val="21"/>
                <w14:textFill>
                  <w14:solidFill>
                    <w14:schemeClr w14:val="tx1"/>
                  </w14:solidFill>
                </w14:textFill>
              </w:rPr>
            </w:pPr>
          </w:p>
        </w:tc>
      </w:tr>
      <w:tr w14:paraId="175CAC6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B2BE40">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131028">
            <w:pPr>
              <w:spacing w:line="360" w:lineRule="auto"/>
              <w:jc w:val="center"/>
              <w:rPr>
                <w:rFonts w:ascii="Arial" w:hAnsi="Arial" w:cs="Arial"/>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0C07BE">
            <w:pPr>
              <w:spacing w:line="360" w:lineRule="auto"/>
              <w:jc w:val="center"/>
              <w:rPr>
                <w:rFonts w:ascii="Arial" w:hAnsi="Arial" w:cs="Arial"/>
                <w:color w:val="000000" w:themeColor="text1"/>
                <w:szCs w:val="21"/>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101D9A">
            <w:pPr>
              <w:spacing w:line="360" w:lineRule="auto"/>
              <w:jc w:val="center"/>
              <w:rPr>
                <w:rFonts w:ascii="Arial" w:hAnsi="Arial" w:cs="Arial"/>
                <w:color w:val="000000" w:themeColor="text1"/>
                <w:szCs w:val="21"/>
                <w14:textFill>
                  <w14:solidFill>
                    <w14:schemeClr w14:val="tx1"/>
                  </w14:solidFill>
                </w14:textFill>
              </w:rPr>
            </w:pPr>
          </w:p>
        </w:tc>
      </w:tr>
      <w:tr w14:paraId="3D01016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3DEC61">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FE459F">
            <w:pPr>
              <w:spacing w:line="360" w:lineRule="auto"/>
              <w:jc w:val="center"/>
              <w:rPr>
                <w:rFonts w:ascii="Arial" w:hAnsi="Arial" w:cs="Arial"/>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9455DF">
            <w:pPr>
              <w:spacing w:line="360" w:lineRule="auto"/>
              <w:jc w:val="center"/>
              <w:rPr>
                <w:rFonts w:ascii="Arial" w:hAnsi="Arial" w:cs="Arial"/>
                <w:color w:val="000000" w:themeColor="text1"/>
                <w:szCs w:val="21"/>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B214E7">
            <w:pPr>
              <w:spacing w:line="360" w:lineRule="auto"/>
              <w:jc w:val="center"/>
              <w:rPr>
                <w:rFonts w:ascii="Arial" w:hAnsi="Arial" w:cs="Arial"/>
                <w:color w:val="000000" w:themeColor="text1"/>
                <w:szCs w:val="21"/>
                <w14:textFill>
                  <w14:solidFill>
                    <w14:schemeClr w14:val="tx1"/>
                  </w14:solidFill>
                </w14:textFill>
              </w:rPr>
            </w:pPr>
          </w:p>
        </w:tc>
      </w:tr>
      <w:tr w14:paraId="571F8D8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172165">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3B030D">
            <w:pPr>
              <w:spacing w:line="360" w:lineRule="auto"/>
              <w:jc w:val="center"/>
              <w:rPr>
                <w:rFonts w:ascii="Arial" w:hAnsi="Arial" w:cs="Arial"/>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DC727E">
            <w:pPr>
              <w:spacing w:line="360" w:lineRule="auto"/>
              <w:jc w:val="center"/>
              <w:rPr>
                <w:rFonts w:ascii="Arial" w:hAnsi="Arial" w:cs="Arial"/>
                <w:color w:val="000000" w:themeColor="text1"/>
                <w:szCs w:val="21"/>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77EF0D">
            <w:pPr>
              <w:spacing w:line="360" w:lineRule="auto"/>
              <w:jc w:val="center"/>
              <w:rPr>
                <w:rFonts w:ascii="Arial" w:hAnsi="Arial" w:cs="Arial"/>
                <w:color w:val="000000" w:themeColor="text1"/>
                <w:szCs w:val="21"/>
                <w14:textFill>
                  <w14:solidFill>
                    <w14:schemeClr w14:val="tx1"/>
                  </w14:solidFill>
                </w14:textFill>
              </w:rPr>
            </w:pPr>
          </w:p>
        </w:tc>
      </w:tr>
    </w:tbl>
    <w:p w14:paraId="49CD495A">
      <w:pPr>
        <w:snapToGrid w:val="0"/>
        <w:spacing w:line="360" w:lineRule="auto"/>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w:t>
      </w:r>
    </w:p>
    <w:p w14:paraId="426A259B">
      <w:pPr>
        <w:snapToGrid w:val="0"/>
        <w:spacing w:line="360"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1.管理关系：是指不具有出资持股关系的其他单位之间存在的管理与被管理关系，如一些上下级关系的事业单位和团体组织。</w:t>
      </w:r>
    </w:p>
    <w:p w14:paraId="5EE404FA">
      <w:pPr>
        <w:snapToGrid w:val="0"/>
        <w:spacing w:line="360"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2.本表所指的管理关系仅限于直接管理关系，不包括间接的管理关系。</w:t>
      </w:r>
    </w:p>
    <w:p w14:paraId="50F84785">
      <w:pPr>
        <w:snapToGrid w:val="0"/>
        <w:spacing w:line="360" w:lineRule="auto"/>
        <w:ind w:firstLine="420" w:firstLineChars="2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3.供应商不存在直接管理关系的，则填“无”。</w:t>
      </w:r>
    </w:p>
    <w:p w14:paraId="6F47CD70">
      <w:pPr>
        <w:snapToGrid w:val="0"/>
        <w:spacing w:line="360" w:lineRule="auto"/>
        <w:jc w:val="left"/>
        <w:rPr>
          <w:rFonts w:ascii="Arial" w:hAnsi="Arial" w:cs="Arial"/>
          <w:color w:val="000000" w:themeColor="text1"/>
          <w:szCs w:val="21"/>
          <w14:textFill>
            <w14:solidFill>
              <w14:schemeClr w14:val="tx1"/>
            </w14:solidFill>
          </w14:textFill>
        </w:rPr>
      </w:pPr>
    </w:p>
    <w:p w14:paraId="59D0D629">
      <w:pPr>
        <w:snapToGrid w:val="0"/>
        <w:spacing w:line="360" w:lineRule="auto"/>
        <w:jc w:val="left"/>
        <w:rPr>
          <w:rFonts w:ascii="Arial" w:hAnsi="Arial" w:cs="Arial"/>
          <w:color w:val="000000" w:themeColor="text1"/>
          <w:szCs w:val="21"/>
          <w14:textFill>
            <w14:solidFill>
              <w14:schemeClr w14:val="tx1"/>
            </w14:solidFill>
          </w14:textFill>
        </w:rPr>
      </w:pPr>
    </w:p>
    <w:p w14:paraId="6B308E6D">
      <w:pPr>
        <w:snapToGrid w:val="0"/>
        <w:spacing w:line="360" w:lineRule="auto"/>
        <w:ind w:firstLine="4410" w:firstLineChars="21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供应商名称(电子签章)：</w:t>
      </w:r>
    </w:p>
    <w:p w14:paraId="62CD6421">
      <w:pPr>
        <w:snapToGrid w:val="0"/>
        <w:spacing w:line="360" w:lineRule="auto"/>
        <w:ind w:firstLine="4515" w:firstLineChars="215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日期：  年  月   日</w:t>
      </w:r>
    </w:p>
    <w:p w14:paraId="1E866E6F">
      <w:pPr>
        <w:snapToGrid w:val="0"/>
        <w:spacing w:before="50" w:after="120" w:afterLines="50" w:line="440" w:lineRule="exact"/>
        <w:jc w:val="left"/>
        <w:rPr>
          <w:rFonts w:ascii="Arial" w:hAnsi="Arial" w:cs="Arial"/>
          <w:color w:val="000000" w:themeColor="text1"/>
          <w:szCs w:val="21"/>
          <w14:textFill>
            <w14:solidFill>
              <w14:schemeClr w14:val="tx1"/>
            </w14:solidFill>
          </w14:textFill>
        </w:rPr>
      </w:pPr>
    </w:p>
    <w:p w14:paraId="44F3D564">
      <w:pPr>
        <w:snapToGrid w:val="0"/>
        <w:spacing w:before="120" w:beforeLines="50" w:after="50" w:line="360" w:lineRule="exact"/>
        <w:rPr>
          <w:rFonts w:ascii="Arial" w:hAnsi="Arial" w:cs="Arial"/>
          <w:color w:val="000000" w:themeColor="text1"/>
          <w:szCs w:val="21"/>
          <w14:textFill>
            <w14:solidFill>
              <w14:schemeClr w14:val="tx1"/>
            </w14:solidFill>
          </w14:textFill>
        </w:rPr>
      </w:pPr>
    </w:p>
    <w:p w14:paraId="6E2613F9">
      <w:pPr>
        <w:snapToGrid w:val="0"/>
        <w:spacing w:before="50" w:after="120" w:afterLines="50"/>
        <w:jc w:val="left"/>
        <w:rPr>
          <w:rFonts w:ascii="Arial" w:hAnsi="Arial" w:cs="Arial"/>
          <w:color w:val="000000" w:themeColor="text1"/>
          <w:szCs w:val="21"/>
          <w14:textFill>
            <w14:solidFill>
              <w14:schemeClr w14:val="tx1"/>
            </w14:solidFill>
          </w14:textFill>
        </w:rPr>
      </w:pPr>
      <w:bookmarkStart w:id="111" w:name="_Hlk93048232"/>
      <w:r>
        <w:rPr>
          <w:rFonts w:hint="eastAsia" w:ascii="Arial" w:hAnsi="Arial" w:cs="Arial"/>
          <w:color w:val="000000" w:themeColor="text1"/>
          <w:szCs w:val="21"/>
          <w:lang w:val="en-US" w:eastAsia="zh-CN"/>
          <w14:textFill>
            <w14:solidFill>
              <w14:schemeClr w14:val="tx1"/>
            </w14:solidFill>
          </w14:textFill>
        </w:rPr>
        <w:t>9</w:t>
      </w:r>
      <w:r>
        <w:rPr>
          <w:rFonts w:ascii="Arial" w:hAnsi="Arial" w:cs="Arial"/>
          <w:color w:val="000000" w:themeColor="text1"/>
          <w:szCs w:val="21"/>
          <w14:textFill>
            <w14:solidFill>
              <w14:schemeClr w14:val="tx1"/>
            </w14:solidFill>
          </w14:textFill>
        </w:rPr>
        <w:t>．供应商认为应当要提交的其他资格证明材料。</w:t>
      </w:r>
      <w:r>
        <w:rPr>
          <w:rFonts w:ascii="Arial" w:hAnsi="Arial" w:cs="Arial"/>
          <w:bCs/>
          <w:color w:val="000000" w:themeColor="text1"/>
          <w:sz w:val="24"/>
          <w14:textFill>
            <w14:solidFill>
              <w14:schemeClr w14:val="tx1"/>
            </w14:solidFill>
          </w14:textFill>
        </w:rPr>
        <w:t xml:space="preserve"> </w:t>
      </w:r>
    </w:p>
    <w:p w14:paraId="06B48D8A">
      <w:pPr>
        <w:snapToGrid w:val="0"/>
        <w:spacing w:before="120" w:beforeLines="50" w:after="50" w:line="440" w:lineRule="exact"/>
        <w:jc w:val="left"/>
        <w:outlineLvl w:val="1"/>
        <w:rPr>
          <w:rFonts w:ascii="Arial" w:hAnsi="Arial" w:cs="Arial"/>
          <w:bCs/>
          <w:color w:val="000000" w:themeColor="text1"/>
          <w:sz w:val="24"/>
          <w14:textFill>
            <w14:solidFill>
              <w14:schemeClr w14:val="tx1"/>
            </w14:solidFill>
          </w14:textFill>
        </w:rPr>
      </w:pPr>
      <w:r>
        <w:rPr>
          <w:rFonts w:ascii="Arial" w:hAnsi="Arial" w:cs="Arial"/>
          <w:color w:val="000000" w:themeColor="text1"/>
          <w:szCs w:val="21"/>
          <w14:textFill>
            <w14:solidFill>
              <w14:schemeClr w14:val="tx1"/>
            </w14:solidFill>
          </w14:textFill>
        </w:rPr>
        <w:br w:type="page"/>
      </w:r>
      <w:bookmarkEnd w:id="111"/>
      <w:r>
        <w:rPr>
          <w:rFonts w:ascii="Arial" w:hAnsi="Arial" w:cs="Arial"/>
          <w:bCs/>
          <w:color w:val="000000" w:themeColor="text1"/>
          <w:sz w:val="24"/>
          <w14:textFill>
            <w14:solidFill>
              <w14:schemeClr w14:val="tx1"/>
            </w14:solidFill>
          </w14:textFill>
        </w:rPr>
        <w:t xml:space="preserve">2．投标文件第二册封面参考格式： </w:t>
      </w:r>
    </w:p>
    <w:p w14:paraId="2E20820B">
      <w:pPr>
        <w:snapToGrid w:val="0"/>
        <w:spacing w:before="50" w:after="120" w:afterLines="50" w:line="400" w:lineRule="exact"/>
        <w:jc w:val="left"/>
        <w:rPr>
          <w:rFonts w:ascii="Arial" w:hAnsi="Arial" w:cs="Arial"/>
          <w:bCs/>
          <w:color w:val="000000" w:themeColor="text1"/>
          <w:sz w:val="24"/>
          <w14:textFill>
            <w14:solidFill>
              <w14:schemeClr w14:val="tx1"/>
            </w14:solidFill>
          </w14:textFill>
        </w:rPr>
      </w:pPr>
    </w:p>
    <w:p w14:paraId="382C383E">
      <w:pPr>
        <w:snapToGrid w:val="0"/>
        <w:spacing w:before="120" w:beforeLines="50" w:after="50" w:line="360" w:lineRule="exact"/>
        <w:rPr>
          <w:rFonts w:ascii="Arial" w:hAnsi="Arial" w:cs="Arial"/>
          <w:color w:val="000000" w:themeColor="text1"/>
          <w:sz w:val="24"/>
          <w14:textFill>
            <w14:solidFill>
              <w14:schemeClr w14:val="tx1"/>
            </w14:solidFill>
          </w14:textFill>
        </w:rPr>
      </w:pPr>
    </w:p>
    <w:p w14:paraId="60D32043">
      <w:pPr>
        <w:snapToGrid w:val="0"/>
        <w:spacing w:before="120" w:beforeLines="50" w:after="50" w:line="360" w:lineRule="exact"/>
        <w:jc w:val="center"/>
        <w:rPr>
          <w:rFonts w:ascii="Arial" w:hAnsi="Arial" w:cs="Arial"/>
          <w:bCs/>
          <w:color w:val="000000" w:themeColor="text1"/>
          <w:sz w:val="24"/>
          <w14:textFill>
            <w14:solidFill>
              <w14:schemeClr w14:val="tx1"/>
            </w14:solidFill>
          </w14:textFill>
        </w:rPr>
      </w:pPr>
    </w:p>
    <w:p w14:paraId="66D69AB1">
      <w:pPr>
        <w:pStyle w:val="30"/>
        <w:rPr>
          <w:rFonts w:ascii="Arial" w:hAnsi="Arial" w:cs="Arial"/>
          <w:color w:val="000000" w:themeColor="text1"/>
          <w14:textFill>
            <w14:solidFill>
              <w14:schemeClr w14:val="tx1"/>
            </w14:solidFill>
          </w14:textFill>
        </w:rPr>
      </w:pPr>
    </w:p>
    <w:p w14:paraId="06D018C2">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r>
        <w:rPr>
          <w:rFonts w:ascii="Arial" w:hAnsi="Arial" w:cs="Arial"/>
          <w:b/>
          <w:bCs/>
          <w:color w:val="000000" w:themeColor="text1"/>
          <w:sz w:val="44"/>
          <w:szCs w:val="44"/>
          <w14:textFill>
            <w14:solidFill>
              <w14:schemeClr w14:val="tx1"/>
            </w14:solidFill>
          </w14:textFill>
        </w:rPr>
        <w:t>投标文件</w:t>
      </w:r>
    </w:p>
    <w:p w14:paraId="36E24BA8">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p>
    <w:p w14:paraId="284DC9C1">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p>
    <w:p w14:paraId="58E10909">
      <w:pPr>
        <w:snapToGrid w:val="0"/>
        <w:spacing w:before="120" w:beforeLines="50" w:after="50" w:line="360" w:lineRule="exact"/>
        <w:jc w:val="center"/>
        <w:rPr>
          <w:rFonts w:ascii="Arial" w:hAnsi="Arial" w:cs="Arial"/>
          <w:b/>
          <w:bCs/>
          <w:color w:val="000000" w:themeColor="text1"/>
          <w:sz w:val="44"/>
          <w:szCs w:val="44"/>
          <w14:textFill>
            <w14:solidFill>
              <w14:schemeClr w14:val="tx1"/>
            </w14:solidFill>
          </w14:textFill>
        </w:rPr>
      </w:pPr>
      <w:r>
        <w:rPr>
          <w:rFonts w:ascii="Arial" w:hAnsi="Arial" w:cs="Arial"/>
          <w:b/>
          <w:bCs/>
          <w:color w:val="000000" w:themeColor="text1"/>
          <w:sz w:val="44"/>
          <w:szCs w:val="44"/>
          <w14:textFill>
            <w14:solidFill>
              <w14:schemeClr w14:val="tx1"/>
            </w14:solidFill>
          </w14:textFill>
        </w:rPr>
        <w:t>第二册  商务技术报价文件</w:t>
      </w:r>
    </w:p>
    <w:p w14:paraId="75E391BA">
      <w:pPr>
        <w:snapToGrid w:val="0"/>
        <w:spacing w:before="120" w:beforeLines="50" w:after="50" w:line="360" w:lineRule="exact"/>
        <w:rPr>
          <w:rFonts w:ascii="Arial" w:hAnsi="Arial" w:cs="Arial"/>
          <w:bCs/>
          <w:color w:val="000000" w:themeColor="text1"/>
          <w:sz w:val="24"/>
          <w14:textFill>
            <w14:solidFill>
              <w14:schemeClr w14:val="tx1"/>
            </w14:solidFill>
          </w14:textFill>
        </w:rPr>
      </w:pPr>
    </w:p>
    <w:p w14:paraId="220DE722">
      <w:pPr>
        <w:snapToGrid w:val="0"/>
        <w:spacing w:before="120" w:beforeLines="50" w:after="50" w:line="360" w:lineRule="exact"/>
        <w:rPr>
          <w:rFonts w:ascii="Arial" w:hAnsi="Arial" w:cs="Arial"/>
          <w:bCs/>
          <w:color w:val="000000" w:themeColor="text1"/>
          <w:sz w:val="24"/>
          <w14:textFill>
            <w14:solidFill>
              <w14:schemeClr w14:val="tx1"/>
            </w14:solidFill>
          </w14:textFill>
        </w:rPr>
      </w:pPr>
    </w:p>
    <w:p w14:paraId="7F601238">
      <w:pPr>
        <w:snapToGrid w:val="0"/>
        <w:spacing w:before="120" w:beforeLines="50" w:after="50" w:line="360" w:lineRule="exact"/>
        <w:rPr>
          <w:rFonts w:ascii="Arial" w:hAnsi="Arial" w:cs="Arial"/>
          <w:bCs/>
          <w:color w:val="000000" w:themeColor="text1"/>
          <w:sz w:val="24"/>
          <w14:textFill>
            <w14:solidFill>
              <w14:schemeClr w14:val="tx1"/>
            </w14:solidFill>
          </w14:textFill>
        </w:rPr>
      </w:pPr>
    </w:p>
    <w:p w14:paraId="567A3620">
      <w:pPr>
        <w:snapToGrid w:val="0"/>
        <w:spacing w:before="120" w:beforeLines="50" w:after="50" w:line="36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 xml:space="preserve">项目名称： </w:t>
      </w:r>
    </w:p>
    <w:p w14:paraId="0761E2E6">
      <w:pPr>
        <w:snapToGrid w:val="0"/>
        <w:spacing w:before="120" w:beforeLines="50" w:after="50" w:line="36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项目编号：</w:t>
      </w:r>
    </w:p>
    <w:p w14:paraId="6DA1F388">
      <w:pPr>
        <w:snapToGrid w:val="0"/>
        <w:spacing w:before="120" w:beforeLines="50" w:after="50" w:line="36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分标号：（若无留空或写“/”）</w:t>
      </w:r>
    </w:p>
    <w:p w14:paraId="3A4FA698">
      <w:pPr>
        <w:pStyle w:val="23"/>
        <w:spacing w:line="360" w:lineRule="auto"/>
        <w:ind w:firstLine="480" w:firstLineChars="200"/>
        <w:rPr>
          <w:rFonts w:ascii="Arial" w:hAnsi="Arial" w:eastAsia="宋体" w:cs="Arial"/>
          <w:bCs/>
          <w:color w:val="000000" w:themeColor="text1"/>
          <w:sz w:val="24"/>
          <w:szCs w:val="24"/>
          <w14:textFill>
            <w14:solidFill>
              <w14:schemeClr w14:val="tx1"/>
            </w14:solidFill>
          </w14:textFill>
        </w:rPr>
      </w:pPr>
    </w:p>
    <w:p w14:paraId="0E2CBF62">
      <w:pPr>
        <w:pStyle w:val="23"/>
        <w:spacing w:line="360" w:lineRule="auto"/>
        <w:ind w:firstLine="480" w:firstLineChars="200"/>
        <w:rPr>
          <w:rFonts w:ascii="Arial" w:hAnsi="Arial" w:eastAsia="宋体" w:cs="Arial"/>
          <w:bCs/>
          <w:color w:val="000000" w:themeColor="text1"/>
          <w:sz w:val="28"/>
          <w:szCs w:val="28"/>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供应商[公章(CA签章)]</w:t>
      </w:r>
      <w:r>
        <w:rPr>
          <w:rFonts w:ascii="Arial" w:hAnsi="Arial" w:eastAsia="宋体" w:cs="Arial"/>
          <w:bCs/>
          <w:color w:val="000000" w:themeColor="text1"/>
          <w:sz w:val="28"/>
          <w:szCs w:val="28"/>
          <w14:textFill>
            <w14:solidFill>
              <w14:schemeClr w14:val="tx1"/>
            </w14:solidFill>
          </w14:textFill>
        </w:rPr>
        <w:t>：</w:t>
      </w:r>
      <w:r>
        <w:rPr>
          <w:rFonts w:ascii="Arial" w:hAnsi="Arial" w:eastAsia="宋体" w:cs="Arial"/>
          <w:bCs/>
          <w:color w:val="000000" w:themeColor="text1"/>
          <w:sz w:val="28"/>
          <w:szCs w:val="28"/>
          <w:u w:val="single"/>
          <w14:textFill>
            <w14:solidFill>
              <w14:schemeClr w14:val="tx1"/>
            </w14:solidFill>
          </w14:textFill>
        </w:rPr>
        <w:t xml:space="preserve">                              </w:t>
      </w:r>
    </w:p>
    <w:p w14:paraId="42EEBE5A">
      <w:pPr>
        <w:pStyle w:val="23"/>
        <w:spacing w:line="360" w:lineRule="auto"/>
        <w:ind w:left="519" w:leftChars="247" w:firstLine="0" w:firstLineChars="0"/>
        <w:rPr>
          <w:rFonts w:ascii="Arial" w:hAnsi="Arial" w:eastAsia="宋体" w:cs="Arial"/>
          <w:color w:val="000000" w:themeColor="text1"/>
          <w:sz w:val="28"/>
          <w:szCs w:val="28"/>
          <w:u w:val="single"/>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法定代表人或相应的委托代理人签字[或盖章(CA签章)]</w:t>
      </w:r>
      <w:r>
        <w:rPr>
          <w:rFonts w:ascii="Arial" w:hAnsi="Arial" w:eastAsia="宋体" w:cs="Arial"/>
          <w:color w:val="000000" w:themeColor="text1"/>
          <w:sz w:val="28"/>
          <w:szCs w:val="28"/>
          <w14:textFill>
            <w14:solidFill>
              <w14:schemeClr w14:val="tx1"/>
            </w14:solidFill>
          </w14:textFill>
        </w:rPr>
        <w:t>：</w:t>
      </w:r>
      <w:r>
        <w:rPr>
          <w:rFonts w:ascii="Arial" w:hAnsi="Arial" w:eastAsia="宋体" w:cs="Arial"/>
          <w:color w:val="000000" w:themeColor="text1"/>
          <w:sz w:val="28"/>
          <w:szCs w:val="28"/>
          <w:u w:val="single"/>
          <w14:textFill>
            <w14:solidFill>
              <w14:schemeClr w14:val="tx1"/>
            </w14:solidFill>
          </w14:textFill>
        </w:rPr>
        <w:t xml:space="preserve">              </w:t>
      </w:r>
    </w:p>
    <w:p w14:paraId="72F0C060">
      <w:pPr>
        <w:pStyle w:val="23"/>
        <w:spacing w:line="360" w:lineRule="auto"/>
        <w:ind w:left="479" w:leftChars="228" w:firstLine="0" w:firstLineChars="0"/>
        <w:rPr>
          <w:rFonts w:ascii="Arial" w:hAnsi="Arial" w:eastAsia="宋体" w:cs="Arial"/>
          <w:bCs/>
          <w:color w:val="000000" w:themeColor="text1"/>
          <w:sz w:val="28"/>
          <w:szCs w:val="28"/>
          <w:u w:val="single"/>
          <w14:textFill>
            <w14:solidFill>
              <w14:schemeClr w14:val="tx1"/>
            </w14:solidFill>
          </w14:textFill>
        </w:rPr>
      </w:pPr>
      <w:r>
        <w:rPr>
          <w:rFonts w:ascii="Arial" w:hAnsi="Arial" w:eastAsia="宋体" w:cs="Arial"/>
          <w:bCs/>
          <w:color w:val="000000" w:themeColor="text1"/>
          <w:sz w:val="24"/>
          <w:szCs w:val="24"/>
          <w14:textFill>
            <w14:solidFill>
              <w14:schemeClr w14:val="tx1"/>
            </w14:solidFill>
          </w14:textFill>
        </w:rPr>
        <w:t>联系电话</w:t>
      </w:r>
      <w:r>
        <w:rPr>
          <w:rFonts w:ascii="Arial" w:hAnsi="Arial" w:eastAsia="宋体" w:cs="Arial"/>
          <w:bCs/>
          <w:color w:val="000000" w:themeColor="text1"/>
          <w:sz w:val="28"/>
          <w:szCs w:val="28"/>
          <w14:textFill>
            <w14:solidFill>
              <w14:schemeClr w14:val="tx1"/>
            </w14:solidFill>
          </w14:textFill>
        </w:rPr>
        <w:t>：</w:t>
      </w:r>
      <w:r>
        <w:rPr>
          <w:rFonts w:ascii="Arial" w:hAnsi="Arial" w:eastAsia="宋体" w:cs="Arial"/>
          <w:bCs/>
          <w:color w:val="000000" w:themeColor="text1"/>
          <w:sz w:val="28"/>
          <w:szCs w:val="28"/>
          <w:u w:val="single"/>
          <w14:textFill>
            <w14:solidFill>
              <w14:schemeClr w14:val="tx1"/>
            </w14:solidFill>
          </w14:textFill>
        </w:rPr>
        <w:t xml:space="preserve">                                                </w:t>
      </w:r>
    </w:p>
    <w:p w14:paraId="4B1725AB">
      <w:pPr>
        <w:snapToGrid w:val="0"/>
        <w:spacing w:before="120" w:beforeLines="50" w:after="50" w:line="360" w:lineRule="exact"/>
        <w:ind w:firstLine="720" w:firstLineChars="300"/>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日期：</w:t>
      </w:r>
      <w:r>
        <w:rPr>
          <w:rFonts w:ascii="Arial" w:hAnsi="Arial" w:cs="Arial"/>
          <w:bCs/>
          <w:color w:val="000000" w:themeColor="text1"/>
          <w:sz w:val="28"/>
          <w:szCs w:val="28"/>
          <w:u w:val="single"/>
          <w14:textFill>
            <w14:solidFill>
              <w14:schemeClr w14:val="tx1"/>
            </w14:solidFill>
          </w14:textFill>
        </w:rPr>
        <w:t xml:space="preserve">      </w:t>
      </w:r>
      <w:r>
        <w:rPr>
          <w:rFonts w:ascii="Arial" w:hAnsi="Arial" w:cs="Arial"/>
          <w:bCs/>
          <w:color w:val="000000" w:themeColor="text1"/>
          <w:sz w:val="24"/>
          <w14:textFill>
            <w14:solidFill>
              <w14:schemeClr w14:val="tx1"/>
            </w14:solidFill>
          </w14:textFill>
        </w:rPr>
        <w:t>年</w:t>
      </w:r>
      <w:r>
        <w:rPr>
          <w:rFonts w:ascii="Arial" w:hAnsi="Arial" w:cs="Arial"/>
          <w:bCs/>
          <w:color w:val="000000" w:themeColor="text1"/>
          <w:sz w:val="28"/>
          <w:szCs w:val="28"/>
          <w:u w:val="single"/>
          <w14:textFill>
            <w14:solidFill>
              <w14:schemeClr w14:val="tx1"/>
            </w14:solidFill>
          </w14:textFill>
        </w:rPr>
        <w:t xml:space="preserve">      </w:t>
      </w:r>
      <w:r>
        <w:rPr>
          <w:rFonts w:ascii="Arial" w:hAnsi="Arial" w:cs="Arial"/>
          <w:bCs/>
          <w:color w:val="000000" w:themeColor="text1"/>
          <w:sz w:val="24"/>
          <w14:textFill>
            <w14:solidFill>
              <w14:schemeClr w14:val="tx1"/>
            </w14:solidFill>
          </w14:textFill>
        </w:rPr>
        <w:t>月</w:t>
      </w:r>
      <w:r>
        <w:rPr>
          <w:rFonts w:ascii="Arial" w:hAnsi="Arial" w:cs="Arial"/>
          <w:bCs/>
          <w:color w:val="000000" w:themeColor="text1"/>
          <w:sz w:val="28"/>
          <w:szCs w:val="28"/>
          <w:u w:val="single"/>
          <w14:textFill>
            <w14:solidFill>
              <w14:schemeClr w14:val="tx1"/>
            </w14:solidFill>
          </w14:textFill>
        </w:rPr>
        <w:t xml:space="preserve">      </w:t>
      </w:r>
      <w:r>
        <w:rPr>
          <w:rFonts w:ascii="Arial" w:hAnsi="Arial" w:cs="Arial"/>
          <w:bCs/>
          <w:color w:val="000000" w:themeColor="text1"/>
          <w:sz w:val="24"/>
          <w14:textFill>
            <w14:solidFill>
              <w14:schemeClr w14:val="tx1"/>
            </w14:solidFill>
          </w14:textFill>
        </w:rPr>
        <w:t>日</w:t>
      </w:r>
    </w:p>
    <w:p w14:paraId="7BCF7938">
      <w:pPr>
        <w:pStyle w:val="7"/>
        <w:snapToGrid w:val="0"/>
        <w:spacing w:before="50" w:after="50" w:line="360" w:lineRule="exact"/>
        <w:ind w:firstLine="960" w:firstLineChars="400"/>
        <w:rPr>
          <w:rFonts w:ascii="Arial" w:hAnsi="Arial" w:cs="Arial"/>
          <w:bCs/>
          <w:color w:val="000000" w:themeColor="text1"/>
          <w:sz w:val="24"/>
          <w:szCs w:val="24"/>
          <w14:textFill>
            <w14:solidFill>
              <w14:schemeClr w14:val="tx1"/>
            </w14:solidFill>
          </w14:textFill>
        </w:rPr>
      </w:pPr>
    </w:p>
    <w:p w14:paraId="41A138B8">
      <w:pP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br w:type="page"/>
      </w:r>
    </w:p>
    <w:p w14:paraId="38992880">
      <w:pPr>
        <w:snapToGrid w:val="0"/>
        <w:spacing w:before="50" w:after="50" w:line="440" w:lineRule="exact"/>
        <w:ind w:firstLine="138" w:firstLineChars="49"/>
        <w:jc w:val="center"/>
        <w:rPr>
          <w:rFonts w:ascii="Arial" w:hAnsi="Arial" w:cs="Arial"/>
          <w:b/>
          <w:color w:val="000000" w:themeColor="text1"/>
          <w:sz w:val="28"/>
          <w:szCs w:val="28"/>
          <w14:textFill>
            <w14:solidFill>
              <w14:schemeClr w14:val="tx1"/>
            </w14:solidFill>
          </w14:textFill>
        </w:rPr>
      </w:pPr>
      <w:r>
        <w:rPr>
          <w:rFonts w:ascii="Arial" w:hAnsi="Arial" w:cs="Arial"/>
          <w:b/>
          <w:color w:val="000000" w:themeColor="text1"/>
          <w:sz w:val="28"/>
          <w:szCs w:val="28"/>
          <w14:textFill>
            <w14:solidFill>
              <w14:schemeClr w14:val="tx1"/>
            </w14:solidFill>
          </w14:textFill>
        </w:rPr>
        <w:t>目录</w:t>
      </w:r>
    </w:p>
    <w:p w14:paraId="3B3F237D">
      <w:pPr>
        <w:snapToGrid w:val="0"/>
        <w:spacing w:before="50" w:after="50" w:line="440" w:lineRule="exact"/>
        <w:ind w:firstLine="118" w:firstLineChars="49"/>
        <w:jc w:val="center"/>
        <w:rPr>
          <w:rFonts w:ascii="Arial" w:hAnsi="Arial" w:cs="Arial"/>
          <w:b/>
          <w:color w:val="000000" w:themeColor="text1"/>
          <w:sz w:val="24"/>
          <w14:textFill>
            <w14:solidFill>
              <w14:schemeClr w14:val="tx1"/>
            </w14:solidFill>
          </w14:textFill>
        </w:rPr>
      </w:pPr>
      <w:r>
        <w:rPr>
          <w:rFonts w:ascii="Arial" w:hAnsi="Arial" w:cs="Arial"/>
          <w:b/>
          <w:color w:val="000000" w:themeColor="text1"/>
          <w:sz w:val="24"/>
          <w14:textFill>
            <w14:solidFill>
              <w14:schemeClr w14:val="tx1"/>
            </w14:solidFill>
          </w14:textFill>
        </w:rPr>
        <w:t>（应有页码）</w:t>
      </w:r>
    </w:p>
    <w:p w14:paraId="48E2D8FC">
      <w:pPr>
        <w:rPr>
          <w:rFonts w:ascii="Arial" w:hAnsi="Arial" w:cs="Arial"/>
          <w:b/>
          <w:color w:val="000000" w:themeColor="text1"/>
          <w:szCs w:val="21"/>
          <w14:textFill>
            <w14:solidFill>
              <w14:schemeClr w14:val="tx1"/>
            </w14:solidFill>
          </w14:textFill>
        </w:rPr>
      </w:pPr>
      <w:r>
        <w:rPr>
          <w:rFonts w:ascii="Arial" w:hAnsi="Arial" w:cs="Arial"/>
          <w:color w:val="000000" w:themeColor="text1"/>
          <w14:textFill>
            <w14:solidFill>
              <w14:schemeClr w14:val="tx1"/>
            </w14:solidFill>
          </w14:textFill>
        </w:rPr>
        <w:br w:type="page"/>
      </w:r>
      <w:bookmarkStart w:id="112" w:name="_Toc462320613"/>
      <w:bookmarkStart w:id="113" w:name="_Toc462223472"/>
      <w:bookmarkStart w:id="114" w:name="_Toc455309222"/>
      <w:bookmarkStart w:id="115" w:name="_Hlk19114325"/>
      <w:r>
        <w:rPr>
          <w:rFonts w:ascii="Arial" w:hAnsi="Arial" w:cs="Arial"/>
          <w:color w:val="000000" w:themeColor="text1"/>
          <w:szCs w:val="21"/>
          <w14:textFill>
            <w14:solidFill>
              <w14:schemeClr w14:val="tx1"/>
            </w14:solidFill>
          </w14:textFill>
        </w:rPr>
        <w:t>1．法定代表人身份证明</w:t>
      </w:r>
      <w:r>
        <w:rPr>
          <w:rFonts w:ascii="Arial" w:hAnsi="Arial" w:cs="Arial"/>
          <w:b/>
          <w:color w:val="000000" w:themeColor="text1"/>
          <w:szCs w:val="21"/>
          <w14:textFill>
            <w14:solidFill>
              <w14:schemeClr w14:val="tx1"/>
            </w14:solidFill>
          </w14:textFill>
        </w:rPr>
        <w:t>（无授权代表时必须提供）：</w:t>
      </w:r>
    </w:p>
    <w:p w14:paraId="3CA663D5">
      <w:pPr>
        <w:snapToGrid w:val="0"/>
        <w:spacing w:before="120" w:beforeLines="50" w:after="50" w:line="440" w:lineRule="exact"/>
        <w:jc w:val="center"/>
        <w:rPr>
          <w:rFonts w:ascii="Arial" w:hAnsi="Arial" w:cs="Arial"/>
          <w:color w:val="000000" w:themeColor="text1"/>
          <w:szCs w:val="21"/>
          <w14:textFill>
            <w14:solidFill>
              <w14:schemeClr w14:val="tx1"/>
            </w14:solidFill>
          </w14:textFill>
        </w:rPr>
      </w:pPr>
    </w:p>
    <w:p w14:paraId="0E2716DD">
      <w:pPr>
        <w:snapToGrid w:val="0"/>
        <w:spacing w:before="120" w:beforeLines="50" w:after="50" w:line="44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法定代表人身份证明</w:t>
      </w:r>
      <w:bookmarkEnd w:id="112"/>
      <w:bookmarkEnd w:id="113"/>
      <w:bookmarkEnd w:id="114"/>
    </w:p>
    <w:p w14:paraId="48853AAA">
      <w:pPr>
        <w:spacing w:line="360" w:lineRule="auto"/>
        <w:rPr>
          <w:rFonts w:ascii="Arial" w:hAnsi="Arial" w:cs="Arial"/>
          <w:color w:val="000000" w:themeColor="text1"/>
          <w14:textFill>
            <w14:solidFill>
              <w14:schemeClr w14:val="tx1"/>
            </w14:solidFill>
          </w14:textFill>
        </w:rPr>
      </w:pPr>
    </w:p>
    <w:p w14:paraId="711F34E4">
      <w:pPr>
        <w:spacing w:line="5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供应商名称： </w:t>
      </w:r>
      <w:r>
        <w:rPr>
          <w:rFonts w:ascii="Arial" w:hAnsi="Arial" w:cs="Arial"/>
          <w:color w:val="000000" w:themeColor="text1"/>
          <w:szCs w:val="21"/>
          <w:u w:val="single"/>
          <w14:textFill>
            <w14:solidFill>
              <w14:schemeClr w14:val="tx1"/>
            </w14:solidFill>
          </w14:textFill>
        </w:rPr>
        <w:t xml:space="preserve">               </w:t>
      </w:r>
    </w:p>
    <w:p w14:paraId="0D01518D">
      <w:pPr>
        <w:spacing w:line="5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单位性质：</w:t>
      </w:r>
      <w:r>
        <w:rPr>
          <w:rFonts w:ascii="Arial" w:hAnsi="Arial" w:cs="Arial"/>
          <w:color w:val="000000" w:themeColor="text1"/>
          <w:szCs w:val="21"/>
          <w:u w:val="single"/>
          <w14:textFill>
            <w14:solidFill>
              <w14:schemeClr w14:val="tx1"/>
            </w14:solidFill>
          </w14:textFill>
        </w:rPr>
        <w:t xml:space="preserve">               </w:t>
      </w:r>
    </w:p>
    <w:p w14:paraId="2BC232CA">
      <w:pPr>
        <w:spacing w:line="5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地址：</w:t>
      </w:r>
      <w:r>
        <w:rPr>
          <w:rFonts w:ascii="Arial" w:hAnsi="Arial" w:cs="Arial"/>
          <w:color w:val="000000" w:themeColor="text1"/>
          <w:szCs w:val="21"/>
          <w:u w:val="single"/>
          <w14:textFill>
            <w14:solidFill>
              <w14:schemeClr w14:val="tx1"/>
            </w14:solidFill>
          </w14:textFill>
        </w:rPr>
        <w:t xml:space="preserve">                     </w:t>
      </w:r>
    </w:p>
    <w:p w14:paraId="1CCCACEA">
      <w:pPr>
        <w:spacing w:line="540" w:lineRule="exact"/>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成立时间：</w:t>
      </w:r>
      <w:r>
        <w:rPr>
          <w:rFonts w:ascii="Arial" w:hAnsi="Arial" w:cs="Arial"/>
          <w:color w:val="000000" w:themeColor="text1"/>
          <w:szCs w:val="21"/>
          <w:u w:val="single"/>
          <w14:textFill>
            <w14:solidFill>
              <w14:schemeClr w14:val="tx1"/>
            </w14:solidFill>
          </w14:textFill>
        </w:rPr>
        <w:t>年      月     日</w:t>
      </w:r>
    </w:p>
    <w:p w14:paraId="106CD243">
      <w:pPr>
        <w:spacing w:line="5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经营期限：</w:t>
      </w:r>
    </w:p>
    <w:p w14:paraId="60AEEEA4">
      <w:pPr>
        <w:spacing w:line="5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姓名：；          性别：  </w:t>
      </w:r>
    </w:p>
    <w:p w14:paraId="6F713670">
      <w:pPr>
        <w:spacing w:line="5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年龄：；    职务：；    身份证：</w:t>
      </w:r>
    </w:p>
    <w:p w14:paraId="60C4E218">
      <w:pPr>
        <w:spacing w:line="5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系</w:t>
      </w:r>
      <w:r>
        <w:rPr>
          <w:rFonts w:ascii="Arial" w:hAnsi="Arial" w:cs="Arial"/>
          <w:color w:val="000000" w:themeColor="text1"/>
          <w:szCs w:val="21"/>
          <w:u w:val="single"/>
          <w14:textFill>
            <w14:solidFill>
              <w14:schemeClr w14:val="tx1"/>
            </w14:solidFill>
          </w14:textFill>
        </w:rPr>
        <w:t>（ 供应商名称）</w:t>
      </w:r>
      <w:r>
        <w:rPr>
          <w:rFonts w:ascii="Arial" w:hAnsi="Arial" w:cs="Arial"/>
          <w:color w:val="000000" w:themeColor="text1"/>
          <w:szCs w:val="21"/>
          <w14:textFill>
            <w14:solidFill>
              <w14:schemeClr w14:val="tx1"/>
            </w14:solidFill>
          </w14:textFill>
        </w:rPr>
        <w:t>的法定代表人。</w:t>
      </w:r>
    </w:p>
    <w:p w14:paraId="62959C17">
      <w:pPr>
        <w:spacing w:line="540" w:lineRule="exact"/>
        <w:rPr>
          <w:rFonts w:ascii="Arial" w:hAnsi="Arial" w:cs="Arial"/>
          <w:color w:val="000000" w:themeColor="text1"/>
          <w:szCs w:val="21"/>
          <w14:textFill>
            <w14:solidFill>
              <w14:schemeClr w14:val="tx1"/>
            </w14:solidFill>
          </w14:textFill>
        </w:rPr>
      </w:pPr>
    </w:p>
    <w:p w14:paraId="3A947E64">
      <w:pPr>
        <w:spacing w:line="54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特此证明。</w:t>
      </w:r>
    </w:p>
    <w:p w14:paraId="2F2EC58A">
      <w:pPr>
        <w:spacing w:line="360" w:lineRule="auto"/>
        <w:ind w:firstLine="4830" w:firstLineChars="23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供应商公章（CA签章）：</w:t>
      </w:r>
      <w:r>
        <w:rPr>
          <w:rFonts w:ascii="Arial" w:hAnsi="Arial" w:cs="Arial"/>
          <w:color w:val="000000" w:themeColor="text1"/>
          <w:szCs w:val="21"/>
          <w:u w:val="single"/>
          <w14:textFill>
            <w14:solidFill>
              <w14:schemeClr w14:val="tx1"/>
            </w14:solidFill>
          </w14:textFill>
        </w:rPr>
        <w:t xml:space="preserve"> </w:t>
      </w:r>
    </w:p>
    <w:p w14:paraId="3E2580CC">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年  月  日 </w:t>
      </w:r>
    </w:p>
    <w:p w14:paraId="33E8B03E">
      <w:pPr>
        <w:spacing w:line="360" w:lineRule="auto"/>
        <w:ind w:firstLine="420" w:firstLineChars="200"/>
        <w:rPr>
          <w:rFonts w:ascii="Arial" w:hAnsi="Arial" w:cs="Arial"/>
          <w:color w:val="000000" w:themeColor="text1"/>
          <w:szCs w:val="21"/>
          <w14:textFill>
            <w14:solidFill>
              <w14:schemeClr w14:val="tx1"/>
            </w14:solidFill>
          </w14:textFill>
        </w:rPr>
      </w:pPr>
    </w:p>
    <w:p w14:paraId="2B6DAFF5">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附件：法定代表人身份证复印件</w:t>
      </w:r>
    </w:p>
    <w:p w14:paraId="10DC059C">
      <w:pPr>
        <w:spacing w:line="360" w:lineRule="auto"/>
        <w:rPr>
          <w:rFonts w:ascii="Arial" w:hAnsi="Arial" w:cs="Arial"/>
          <w:color w:val="000000" w:themeColor="text1"/>
          <w:szCs w:val="21"/>
          <w14:textFill>
            <w14:solidFill>
              <w14:schemeClr w14:val="tx1"/>
            </w14:solidFill>
          </w14:textFill>
        </w:rPr>
      </w:pPr>
    </w:p>
    <w:p w14:paraId="4D6E1FAD">
      <w:pPr>
        <w:spacing w:line="360" w:lineRule="auto"/>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注：法定代表人亲自出席开标会议时，须随身携带本“法定代表人身份证明”原件一份以及身份证原件，以备核查。</w:t>
      </w:r>
    </w:p>
    <w:bookmarkEnd w:id="115"/>
    <w:p w14:paraId="037950E3">
      <w:pPr>
        <w:snapToGrid w:val="0"/>
        <w:spacing w:before="120" w:beforeLines="50" w:after="50" w:line="360" w:lineRule="exact"/>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br w:type="page"/>
      </w:r>
      <w:r>
        <w:rPr>
          <w:rFonts w:ascii="Arial" w:hAnsi="Arial" w:cs="Arial"/>
          <w:b/>
          <w:color w:val="000000" w:themeColor="text1"/>
          <w:szCs w:val="21"/>
          <w14:textFill>
            <w14:solidFill>
              <w14:schemeClr w14:val="tx1"/>
            </w14:solidFill>
          </w14:textFill>
        </w:rPr>
        <w:t>1．授权委托书（有授权代表时必须提供）：</w:t>
      </w:r>
    </w:p>
    <w:p w14:paraId="0EE7229A">
      <w:pPr>
        <w:snapToGrid w:val="0"/>
        <w:spacing w:before="120" w:beforeLines="50" w:after="50" w:line="440" w:lineRule="exact"/>
        <w:jc w:val="center"/>
        <w:rPr>
          <w:rFonts w:ascii="Arial" w:hAnsi="Arial" w:cs="Arial"/>
          <w:b/>
          <w:color w:val="000000" w:themeColor="text1"/>
          <w:szCs w:val="21"/>
          <w14:textFill>
            <w14:solidFill>
              <w14:schemeClr w14:val="tx1"/>
            </w14:solidFill>
          </w14:textFill>
        </w:rPr>
      </w:pPr>
    </w:p>
    <w:p w14:paraId="7DF1C519">
      <w:pPr>
        <w:snapToGrid w:val="0"/>
        <w:spacing w:before="120" w:beforeLines="50" w:after="50" w:line="440" w:lineRule="exact"/>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法定代表人授权委托书</w:t>
      </w:r>
    </w:p>
    <w:p w14:paraId="39057C35">
      <w:pPr>
        <w:snapToGrid w:val="0"/>
        <w:spacing w:before="120" w:beforeLines="50" w:after="50" w:line="440" w:lineRule="exact"/>
        <w:rPr>
          <w:rFonts w:ascii="Arial" w:hAnsi="Arial" w:cs="Arial"/>
          <w:b/>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致：</w:t>
      </w:r>
      <w:r>
        <w:rPr>
          <w:rFonts w:ascii="Arial" w:hAnsi="Arial" w:cs="Arial"/>
          <w:i/>
          <w:iCs/>
          <w:color w:val="000000" w:themeColor="text1"/>
          <w:szCs w:val="21"/>
          <w:u w:val="single"/>
          <w14:textFill>
            <w14:solidFill>
              <w14:schemeClr w14:val="tx1"/>
            </w14:solidFill>
          </w14:textFill>
        </w:rPr>
        <w:t>（采购人名称）</w:t>
      </w:r>
      <w:r>
        <w:rPr>
          <w:rFonts w:ascii="Arial" w:hAnsi="Arial" w:cs="Arial"/>
          <w:color w:val="000000" w:themeColor="text1"/>
          <w:szCs w:val="21"/>
          <w14:textFill>
            <w14:solidFill>
              <w14:schemeClr w14:val="tx1"/>
            </w14:solidFill>
          </w14:textFill>
        </w:rPr>
        <w:t>：</w:t>
      </w:r>
    </w:p>
    <w:p w14:paraId="345D9F2B">
      <w:pPr>
        <w:snapToGrid w:val="0"/>
        <w:spacing w:before="120" w:beforeLines="50" w:after="50" w:line="44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我__</w:t>
      </w:r>
      <w:r>
        <w:rPr>
          <w:rFonts w:ascii="Arial" w:hAnsi="Arial" w:cs="Arial"/>
          <w:i/>
          <w:iCs/>
          <w:color w:val="000000" w:themeColor="text1"/>
          <w:szCs w:val="21"/>
          <w:u w:val="single"/>
          <w14:textFill>
            <w14:solidFill>
              <w14:schemeClr w14:val="tx1"/>
            </w14:solidFill>
          </w14:textFill>
        </w:rPr>
        <w:t>（法定代表人姓名）</w:t>
      </w:r>
      <w:r>
        <w:rPr>
          <w:rFonts w:ascii="Arial" w:hAnsi="Arial" w:cs="Arial"/>
          <w:color w:val="000000" w:themeColor="text1"/>
          <w:szCs w:val="21"/>
          <w14:textFill>
            <w14:solidFill>
              <w14:schemeClr w14:val="tx1"/>
            </w14:solidFill>
          </w14:textFill>
        </w:rPr>
        <w:t>_系_</w:t>
      </w:r>
      <w:r>
        <w:rPr>
          <w:rFonts w:ascii="Arial" w:hAnsi="Arial" w:cs="Arial"/>
          <w:i/>
          <w:iCs/>
          <w:color w:val="000000" w:themeColor="text1"/>
          <w:szCs w:val="21"/>
          <w:u w:val="single"/>
          <w14:textFill>
            <w14:solidFill>
              <w14:schemeClr w14:val="tx1"/>
            </w14:solidFill>
          </w14:textFill>
        </w:rPr>
        <w:t>（供应商名称）</w:t>
      </w:r>
      <w:r>
        <w:rPr>
          <w:rFonts w:ascii="Arial" w:hAnsi="Arial" w:cs="Arial"/>
          <w:color w:val="000000" w:themeColor="text1"/>
          <w:szCs w:val="21"/>
          <w14:textFill>
            <w14:solidFill>
              <w14:schemeClr w14:val="tx1"/>
            </w14:solidFill>
          </w14:textFill>
        </w:rPr>
        <w:t>_的法定代表人，现授权委托本单位在职职工（姓名）以我方的名义参加</w:t>
      </w:r>
      <w:r>
        <w:rPr>
          <w:rFonts w:ascii="Arial" w:hAnsi="Arial" w:cs="Arial"/>
          <w:color w:val="000000" w:themeColor="text1"/>
          <w:szCs w:val="21"/>
          <w:u w:val="single"/>
          <w14:textFill>
            <w14:solidFill>
              <w14:schemeClr w14:val="tx1"/>
            </w14:solidFill>
          </w14:textFill>
        </w:rPr>
        <w:t xml:space="preserve"> </w:t>
      </w:r>
      <w:r>
        <w:rPr>
          <w:rFonts w:ascii="Arial" w:hAnsi="Arial" w:cs="Arial"/>
          <w:i/>
          <w:iCs/>
          <w:color w:val="000000" w:themeColor="text1"/>
          <w:szCs w:val="21"/>
          <w:u w:val="single"/>
          <w14:textFill>
            <w14:solidFill>
              <w14:schemeClr w14:val="tx1"/>
            </w14:solidFill>
          </w14:textFill>
        </w:rPr>
        <w:t>（项目名称）</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项目的投标活动，并代表我方全权办理针对上述项目的投标、开标、评标、签约等具体事务和签署相关文件。</w:t>
      </w:r>
    </w:p>
    <w:p w14:paraId="7F9592D4">
      <w:pPr>
        <w:snapToGrid w:val="0"/>
        <w:spacing w:before="120" w:beforeLines="50" w:after="50" w:line="4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我方对被授权人的签名事项负全部责任。</w:t>
      </w:r>
    </w:p>
    <w:p w14:paraId="339D5150">
      <w:pPr>
        <w:snapToGrid w:val="0"/>
        <w:spacing w:before="120" w:beforeLines="50" w:after="50" w:line="440" w:lineRule="exact"/>
        <w:ind w:firstLine="48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在撤销授权的书面通知以前，本授权书一直有效。被授权人在授权书有效期内签署的所有文件不因授权的撤销而失效。</w:t>
      </w:r>
    </w:p>
    <w:p w14:paraId="3D86BAD4">
      <w:pPr>
        <w:snapToGrid w:val="0"/>
        <w:spacing w:before="120" w:beforeLines="50" w:after="50" w:line="440" w:lineRule="exact"/>
        <w:ind w:firstLine="48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被授权人无转委托权，特此委托。</w:t>
      </w:r>
    </w:p>
    <w:p w14:paraId="14D663D0">
      <w:pPr>
        <w:snapToGrid w:val="0"/>
        <w:spacing w:before="120" w:beforeLines="50" w:after="50" w:line="440" w:lineRule="exact"/>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被授权人签字或个人CA签章：  法定代表人签字或个人CA签章：</w:t>
      </w:r>
    </w:p>
    <w:p w14:paraId="2ED7C052">
      <w:pPr>
        <w:snapToGrid w:val="0"/>
        <w:spacing w:before="120" w:beforeLines="50" w:after="50" w:line="4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职务：职务：</w:t>
      </w:r>
      <w:r>
        <w:rPr>
          <w:rFonts w:ascii="Arial" w:hAnsi="Arial" w:cs="Arial"/>
          <w:color w:val="000000" w:themeColor="text1"/>
          <w:szCs w:val="21"/>
          <w:u w:val="single"/>
          <w14:textFill>
            <w14:solidFill>
              <w14:schemeClr w14:val="tx1"/>
            </w14:solidFill>
          </w14:textFill>
        </w:rPr>
        <w:t xml:space="preserve">               </w:t>
      </w:r>
    </w:p>
    <w:p w14:paraId="1F1DD3A0">
      <w:pPr>
        <w:snapToGrid w:val="0"/>
        <w:spacing w:before="120" w:beforeLines="50" w:after="50" w:line="4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被授权人身份证号码：</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 xml:space="preserve">                   授权人身份证号码：</w:t>
      </w:r>
      <w:r>
        <w:rPr>
          <w:rFonts w:ascii="Arial" w:hAnsi="Arial" w:cs="Arial"/>
          <w:color w:val="000000" w:themeColor="text1"/>
          <w:szCs w:val="21"/>
          <w:u w:val="single"/>
          <w14:textFill>
            <w14:solidFill>
              <w14:schemeClr w14:val="tx1"/>
            </w14:solidFill>
          </w14:textFill>
        </w:rPr>
        <w:t xml:space="preserve">               </w:t>
      </w:r>
    </w:p>
    <w:p w14:paraId="1D6F76B3">
      <w:pPr>
        <w:snapToGrid w:val="0"/>
        <w:spacing w:before="120" w:beforeLines="50" w:after="50" w:line="4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被授权人邮箱：</w:t>
      </w:r>
    </w:p>
    <w:p w14:paraId="7465B6D6">
      <w:pPr>
        <w:snapToGrid w:val="0"/>
        <w:spacing w:before="120" w:beforeLines="50" w:after="50" w:line="440" w:lineRule="exact"/>
        <w:ind w:firstLine="5670" w:firstLineChars="2700"/>
        <w:rPr>
          <w:rFonts w:ascii="Arial" w:hAnsi="Arial" w:cs="Arial"/>
          <w:color w:val="000000" w:themeColor="text1"/>
          <w:szCs w:val="21"/>
          <w14:textFill>
            <w14:solidFill>
              <w14:schemeClr w14:val="tx1"/>
            </w14:solidFill>
          </w14:textFill>
        </w:rPr>
      </w:pPr>
    </w:p>
    <w:p w14:paraId="680FD893">
      <w:pPr>
        <w:snapToGrid w:val="0"/>
        <w:spacing w:before="120" w:beforeLines="50" w:after="50" w:line="440" w:lineRule="exact"/>
        <w:ind w:firstLine="5670" w:firstLineChars="27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供应商公章（CA签章）：</w:t>
      </w:r>
      <w:r>
        <w:rPr>
          <w:rFonts w:ascii="Arial" w:hAnsi="Arial" w:cs="Arial"/>
          <w:color w:val="000000" w:themeColor="text1"/>
          <w:szCs w:val="21"/>
          <w:u w:val="single"/>
          <w14:textFill>
            <w14:solidFill>
              <w14:schemeClr w14:val="tx1"/>
            </w14:solidFill>
          </w14:textFill>
        </w:rPr>
        <w:t xml:space="preserve"> </w:t>
      </w:r>
    </w:p>
    <w:p w14:paraId="13FF7EC4">
      <w:pPr>
        <w:snapToGrid w:val="0"/>
        <w:spacing w:before="120" w:beforeLines="50" w:after="50" w:line="4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年月日</w:t>
      </w:r>
    </w:p>
    <w:p w14:paraId="7ED68CD9">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附件：法定代表人身份证复印件及授权代表身份证复印件</w:t>
      </w:r>
    </w:p>
    <w:p w14:paraId="067A620C">
      <w:pPr>
        <w:spacing w:line="360" w:lineRule="auto"/>
        <w:rPr>
          <w:rFonts w:ascii="Arial" w:hAnsi="Arial" w:cs="Arial"/>
          <w:color w:val="000000" w:themeColor="text1"/>
          <w14:textFill>
            <w14:solidFill>
              <w14:schemeClr w14:val="tx1"/>
            </w14:solidFill>
          </w14:textFill>
        </w:rPr>
      </w:pPr>
    </w:p>
    <w:p w14:paraId="484C8CA9">
      <w:pPr>
        <w:spacing w:line="360" w:lineRule="auto"/>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注：授权代表出席开标会议时，须随身携带本“法定代表人授权委托书”原件一份以及本人身份证原件，以备核查。</w:t>
      </w:r>
    </w:p>
    <w:p w14:paraId="06899B5C">
      <w:pPr>
        <w:snapToGrid w:val="0"/>
        <w:spacing w:before="120" w:beforeLines="50" w:after="50" w:line="440" w:lineRule="exact"/>
        <w:jc w:val="center"/>
        <w:outlineLvl w:val="1"/>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br w:type="page"/>
      </w:r>
      <w:r>
        <w:rPr>
          <w:rFonts w:ascii="Arial" w:hAnsi="Arial" w:cs="Arial"/>
          <w:bCs/>
          <w:color w:val="000000" w:themeColor="text1"/>
          <w:sz w:val="24"/>
          <w14:textFill>
            <w14:solidFill>
              <w14:schemeClr w14:val="tx1"/>
            </w14:solidFill>
          </w14:textFill>
        </w:rPr>
        <w:t>第一部分 商务文件</w:t>
      </w:r>
    </w:p>
    <w:p w14:paraId="328CDB5C">
      <w:pPr>
        <w:jc w:val="center"/>
        <w:rPr>
          <w:rFonts w:ascii="Arial" w:hAnsi="Arial" w:cs="Arial"/>
          <w:bCs/>
          <w:color w:val="000000" w:themeColor="text1"/>
          <w:sz w:val="24"/>
          <w14:textFill>
            <w14:solidFill>
              <w14:schemeClr w14:val="tx1"/>
            </w14:solidFill>
          </w14:textFill>
        </w:rPr>
      </w:pPr>
      <w:r>
        <w:rPr>
          <w:rFonts w:ascii="Arial" w:hAnsi="Arial" w:cs="Arial"/>
          <w:color w:val="000000" w:themeColor="text1"/>
          <w14:textFill>
            <w14:solidFill>
              <w14:schemeClr w14:val="tx1"/>
            </w14:solidFill>
          </w14:textFill>
        </w:rPr>
        <w:t>（本商务文件除标注“必须提供”的部分外，其余部分供应商可自行编写，也可参照下述提纲编写）</w:t>
      </w:r>
    </w:p>
    <w:p w14:paraId="1ABD191E">
      <w:pPr>
        <w:snapToGrid w:val="0"/>
        <w:spacing w:before="50" w:after="120" w:afterLines="50" w:line="440" w:lineRule="exact"/>
        <w:jc w:val="left"/>
        <w:rPr>
          <w:rFonts w:ascii="Arial" w:hAnsi="Arial" w:cs="Arial"/>
          <w:color w:val="000000" w:themeColor="text1"/>
          <w:szCs w:val="21"/>
          <w14:textFill>
            <w14:solidFill>
              <w14:schemeClr w14:val="tx1"/>
            </w14:solidFill>
          </w14:textFill>
        </w:rPr>
      </w:pPr>
    </w:p>
    <w:p w14:paraId="1EF5E1CD">
      <w:pPr>
        <w:snapToGrid w:val="0"/>
        <w:spacing w:before="50" w:after="120" w:afterLines="50" w:line="44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1．对本项目第二章《项目采购需求》“本项目商务要求”的响应偏离表</w:t>
      </w:r>
      <w:r>
        <w:rPr>
          <w:rFonts w:ascii="Arial" w:hAnsi="Arial" w:cs="Arial"/>
          <w:b/>
          <w:color w:val="000000" w:themeColor="text1"/>
          <w:szCs w:val="21"/>
          <w14:textFill>
            <w14:solidFill>
              <w14:schemeClr w14:val="tx1"/>
            </w14:solidFill>
          </w14:textFill>
        </w:rPr>
        <w:t>（</w:t>
      </w:r>
      <w:r>
        <w:rPr>
          <w:rFonts w:ascii="Arial" w:hAnsi="Arial" w:cs="Arial"/>
          <w:b/>
          <w:color w:val="000000" w:themeColor="text1"/>
          <w14:textFill>
            <w14:solidFill>
              <w14:schemeClr w14:val="tx1"/>
            </w14:solidFill>
          </w14:textFill>
        </w:rPr>
        <w:t>必须提供</w:t>
      </w:r>
      <w:r>
        <w:rPr>
          <w:rFonts w:ascii="Arial" w:hAnsi="Arial" w:cs="Arial"/>
          <w:b/>
          <w:color w:val="000000" w:themeColor="text1"/>
          <w:szCs w:val="21"/>
          <w14:textFill>
            <w14:solidFill>
              <w14:schemeClr w14:val="tx1"/>
            </w14:solidFill>
          </w14:textFill>
        </w:rPr>
        <w:t>）</w:t>
      </w:r>
      <w:r>
        <w:rPr>
          <w:rFonts w:ascii="Arial" w:hAnsi="Arial" w:cs="Arial"/>
          <w:color w:val="000000" w:themeColor="text1"/>
          <w:szCs w:val="21"/>
          <w14:textFill>
            <w14:solidFill>
              <w14:schemeClr w14:val="tx1"/>
            </w14:solidFill>
          </w14:textFill>
        </w:rPr>
        <w:t>：</w:t>
      </w:r>
    </w:p>
    <w:tbl>
      <w:tblPr>
        <w:tblStyle w:val="55"/>
        <w:tblW w:w="8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0"/>
        <w:gridCol w:w="2122"/>
        <w:gridCol w:w="4657"/>
        <w:gridCol w:w="1349"/>
      </w:tblGrid>
      <w:tr w14:paraId="4C845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3C895136">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序号</w:t>
            </w:r>
          </w:p>
        </w:tc>
        <w:tc>
          <w:tcPr>
            <w:tcW w:w="2122" w:type="dxa"/>
            <w:tcBorders>
              <w:top w:val="single" w:color="auto" w:sz="4" w:space="0"/>
              <w:left w:val="single" w:color="auto" w:sz="4" w:space="0"/>
              <w:bottom w:val="single" w:color="auto" w:sz="4" w:space="0"/>
              <w:right w:val="single" w:color="auto" w:sz="4" w:space="0"/>
            </w:tcBorders>
            <w:vAlign w:val="center"/>
          </w:tcPr>
          <w:p w14:paraId="6CDBFB5D">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招标文件的商务要求</w:t>
            </w:r>
          </w:p>
        </w:tc>
        <w:tc>
          <w:tcPr>
            <w:tcW w:w="4657" w:type="dxa"/>
            <w:tcBorders>
              <w:top w:val="single" w:color="auto" w:sz="4" w:space="0"/>
              <w:left w:val="single" w:color="auto" w:sz="4" w:space="0"/>
              <w:bottom w:val="single" w:color="auto" w:sz="4" w:space="0"/>
              <w:right w:val="single" w:color="auto" w:sz="4" w:space="0"/>
            </w:tcBorders>
            <w:vAlign w:val="center"/>
          </w:tcPr>
          <w:p w14:paraId="3B6D5934">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投标文件响应内容（可注明所在页码）</w:t>
            </w:r>
          </w:p>
        </w:tc>
        <w:tc>
          <w:tcPr>
            <w:tcW w:w="1349" w:type="dxa"/>
            <w:tcBorders>
              <w:top w:val="single" w:color="auto" w:sz="4" w:space="0"/>
              <w:left w:val="single" w:color="auto" w:sz="4" w:space="0"/>
              <w:bottom w:val="single" w:color="auto" w:sz="4" w:space="0"/>
              <w:right w:val="single" w:color="auto" w:sz="4" w:space="0"/>
            </w:tcBorders>
            <w:vAlign w:val="center"/>
          </w:tcPr>
          <w:p w14:paraId="761A192F">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14:textFill>
                  <w14:solidFill>
                    <w14:schemeClr w14:val="tx1"/>
                  </w14:solidFill>
                </w14:textFill>
              </w:rPr>
              <w:t>偏离</w:t>
            </w:r>
            <w:r>
              <w:rPr>
                <w:rFonts w:ascii="Arial" w:hAnsi="Arial" w:cs="Arial"/>
                <w:color w:val="000000" w:themeColor="text1"/>
                <w:szCs w:val="21"/>
                <w14:textFill>
                  <w14:solidFill>
                    <w14:schemeClr w14:val="tx1"/>
                  </w14:solidFill>
                </w14:textFill>
              </w:rPr>
              <w:t>说明</w:t>
            </w:r>
          </w:p>
        </w:tc>
      </w:tr>
      <w:tr w14:paraId="03CF7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4" w:hRule="exact"/>
          <w:jc w:val="center"/>
        </w:trPr>
        <w:tc>
          <w:tcPr>
            <w:tcW w:w="750" w:type="dxa"/>
            <w:tcBorders>
              <w:top w:val="single" w:color="auto" w:sz="4" w:space="0"/>
              <w:left w:val="single" w:color="auto" w:sz="4" w:space="0"/>
              <w:bottom w:val="single" w:color="auto" w:sz="4" w:space="0"/>
              <w:right w:val="single" w:color="auto" w:sz="4" w:space="0"/>
            </w:tcBorders>
            <w:vAlign w:val="center"/>
          </w:tcPr>
          <w:p w14:paraId="35E03874">
            <w:pPr>
              <w:snapToGrid w:val="0"/>
              <w:spacing w:before="120" w:beforeLines="50"/>
              <w:jc w:val="center"/>
              <w:rPr>
                <w:rFonts w:ascii="Arial" w:hAnsi="Arial" w:cs="Arial"/>
                <w:color w:val="000000" w:themeColor="text1"/>
                <w:szCs w:val="21"/>
                <w14:textFill>
                  <w14:solidFill>
                    <w14:schemeClr w14:val="tx1"/>
                  </w14:solidFill>
                </w14:textFill>
              </w:rPr>
            </w:pPr>
          </w:p>
        </w:tc>
        <w:tc>
          <w:tcPr>
            <w:tcW w:w="2122" w:type="dxa"/>
            <w:tcBorders>
              <w:top w:val="single" w:color="auto" w:sz="4" w:space="0"/>
              <w:left w:val="single" w:color="auto" w:sz="4" w:space="0"/>
              <w:bottom w:val="single" w:color="auto" w:sz="4" w:space="0"/>
              <w:right w:val="single" w:color="auto" w:sz="4" w:space="0"/>
            </w:tcBorders>
            <w:vAlign w:val="center"/>
          </w:tcPr>
          <w:p w14:paraId="5F93DB5D">
            <w:pPr>
              <w:snapToGrid w:val="0"/>
              <w:spacing w:before="120" w:beforeLines="50"/>
              <w:jc w:val="center"/>
              <w:rPr>
                <w:rFonts w:ascii="Arial" w:hAnsi="Arial" w:cs="Arial"/>
                <w:color w:val="000000" w:themeColor="text1"/>
                <w:szCs w:val="21"/>
                <w14:textFill>
                  <w14:solidFill>
                    <w14:schemeClr w14:val="tx1"/>
                  </w14:solidFill>
                </w14:textFill>
              </w:rPr>
            </w:pPr>
          </w:p>
        </w:tc>
        <w:tc>
          <w:tcPr>
            <w:tcW w:w="4657" w:type="dxa"/>
            <w:tcBorders>
              <w:top w:val="single" w:color="auto" w:sz="4" w:space="0"/>
              <w:left w:val="single" w:color="auto" w:sz="4" w:space="0"/>
              <w:bottom w:val="single" w:color="auto" w:sz="4" w:space="0"/>
              <w:right w:val="single" w:color="auto" w:sz="4" w:space="0"/>
            </w:tcBorders>
            <w:vAlign w:val="center"/>
          </w:tcPr>
          <w:p w14:paraId="1E3AF45B">
            <w:pPr>
              <w:snapToGrid w:val="0"/>
              <w:spacing w:before="120" w:beforeLines="50"/>
              <w:jc w:val="center"/>
              <w:rPr>
                <w:rFonts w:ascii="Arial" w:hAnsi="Arial" w:cs="Arial"/>
                <w:color w:val="000000" w:themeColor="text1"/>
                <w:szCs w:val="21"/>
                <w14:textFill>
                  <w14:solidFill>
                    <w14:schemeClr w14:val="tx1"/>
                  </w14:solidFill>
                </w14:textFill>
              </w:rPr>
            </w:pPr>
          </w:p>
        </w:tc>
        <w:tc>
          <w:tcPr>
            <w:tcW w:w="1349" w:type="dxa"/>
            <w:tcBorders>
              <w:top w:val="single" w:color="auto" w:sz="4" w:space="0"/>
              <w:left w:val="single" w:color="auto" w:sz="4" w:space="0"/>
              <w:bottom w:val="single" w:color="auto" w:sz="4" w:space="0"/>
              <w:right w:val="single" w:color="auto" w:sz="4" w:space="0"/>
            </w:tcBorders>
            <w:vAlign w:val="center"/>
          </w:tcPr>
          <w:p w14:paraId="2A061457">
            <w:pPr>
              <w:snapToGrid w:val="0"/>
              <w:spacing w:before="120" w:beforeLines="50"/>
              <w:jc w:val="center"/>
              <w:rPr>
                <w:rFonts w:ascii="Arial" w:hAnsi="Arial" w:cs="Arial"/>
                <w:color w:val="000000" w:themeColor="text1"/>
                <w:szCs w:val="21"/>
                <w14:textFill>
                  <w14:solidFill>
                    <w14:schemeClr w14:val="tx1"/>
                  </w14:solidFill>
                </w14:textFill>
              </w:rPr>
            </w:pPr>
          </w:p>
        </w:tc>
      </w:tr>
      <w:tr w14:paraId="2134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4" w:hRule="exact"/>
          <w:jc w:val="center"/>
        </w:trPr>
        <w:tc>
          <w:tcPr>
            <w:tcW w:w="750" w:type="dxa"/>
            <w:tcBorders>
              <w:top w:val="single" w:color="auto" w:sz="4" w:space="0"/>
              <w:left w:val="single" w:color="auto" w:sz="4" w:space="0"/>
              <w:bottom w:val="single" w:color="auto" w:sz="4" w:space="0"/>
              <w:right w:val="single" w:color="auto" w:sz="4" w:space="0"/>
            </w:tcBorders>
            <w:vAlign w:val="center"/>
          </w:tcPr>
          <w:p w14:paraId="19F19C5D">
            <w:pPr>
              <w:snapToGrid w:val="0"/>
              <w:spacing w:before="120" w:beforeLines="50"/>
              <w:jc w:val="center"/>
              <w:rPr>
                <w:rFonts w:ascii="Arial" w:hAnsi="Arial" w:cs="Arial"/>
                <w:color w:val="000000" w:themeColor="text1"/>
                <w:szCs w:val="21"/>
                <w14:textFill>
                  <w14:solidFill>
                    <w14:schemeClr w14:val="tx1"/>
                  </w14:solidFill>
                </w14:textFill>
              </w:rPr>
            </w:pPr>
          </w:p>
        </w:tc>
        <w:tc>
          <w:tcPr>
            <w:tcW w:w="2122" w:type="dxa"/>
            <w:tcBorders>
              <w:top w:val="single" w:color="auto" w:sz="4" w:space="0"/>
              <w:left w:val="single" w:color="auto" w:sz="4" w:space="0"/>
              <w:bottom w:val="single" w:color="auto" w:sz="4" w:space="0"/>
              <w:right w:val="single" w:color="auto" w:sz="4" w:space="0"/>
            </w:tcBorders>
            <w:vAlign w:val="center"/>
          </w:tcPr>
          <w:p w14:paraId="35599510">
            <w:pPr>
              <w:snapToGrid w:val="0"/>
              <w:spacing w:before="120" w:beforeLines="50"/>
              <w:jc w:val="center"/>
              <w:rPr>
                <w:rFonts w:ascii="Arial" w:hAnsi="Arial" w:cs="Arial"/>
                <w:color w:val="000000" w:themeColor="text1"/>
                <w:szCs w:val="21"/>
                <w14:textFill>
                  <w14:solidFill>
                    <w14:schemeClr w14:val="tx1"/>
                  </w14:solidFill>
                </w14:textFill>
              </w:rPr>
            </w:pPr>
          </w:p>
        </w:tc>
        <w:tc>
          <w:tcPr>
            <w:tcW w:w="4657" w:type="dxa"/>
            <w:tcBorders>
              <w:top w:val="single" w:color="auto" w:sz="4" w:space="0"/>
              <w:left w:val="single" w:color="auto" w:sz="4" w:space="0"/>
              <w:bottom w:val="single" w:color="auto" w:sz="4" w:space="0"/>
              <w:right w:val="single" w:color="auto" w:sz="4" w:space="0"/>
            </w:tcBorders>
            <w:vAlign w:val="center"/>
          </w:tcPr>
          <w:p w14:paraId="61D462DE">
            <w:pPr>
              <w:snapToGrid w:val="0"/>
              <w:spacing w:before="120" w:beforeLines="50"/>
              <w:jc w:val="center"/>
              <w:rPr>
                <w:rFonts w:ascii="Arial" w:hAnsi="Arial" w:cs="Arial"/>
                <w:color w:val="000000" w:themeColor="text1"/>
                <w:szCs w:val="21"/>
                <w14:textFill>
                  <w14:solidFill>
                    <w14:schemeClr w14:val="tx1"/>
                  </w14:solidFill>
                </w14:textFill>
              </w:rPr>
            </w:pPr>
          </w:p>
        </w:tc>
        <w:tc>
          <w:tcPr>
            <w:tcW w:w="1349" w:type="dxa"/>
            <w:tcBorders>
              <w:top w:val="single" w:color="auto" w:sz="4" w:space="0"/>
              <w:left w:val="single" w:color="auto" w:sz="4" w:space="0"/>
              <w:bottom w:val="single" w:color="auto" w:sz="4" w:space="0"/>
              <w:right w:val="single" w:color="auto" w:sz="4" w:space="0"/>
            </w:tcBorders>
            <w:vAlign w:val="center"/>
          </w:tcPr>
          <w:p w14:paraId="15AB81E5">
            <w:pPr>
              <w:snapToGrid w:val="0"/>
              <w:spacing w:before="120" w:beforeLines="50"/>
              <w:jc w:val="center"/>
              <w:rPr>
                <w:rFonts w:ascii="Arial" w:hAnsi="Arial" w:cs="Arial"/>
                <w:color w:val="000000" w:themeColor="text1"/>
                <w:szCs w:val="21"/>
                <w14:textFill>
                  <w14:solidFill>
                    <w14:schemeClr w14:val="tx1"/>
                  </w14:solidFill>
                </w14:textFill>
              </w:rPr>
            </w:pPr>
          </w:p>
        </w:tc>
      </w:tr>
      <w:tr w14:paraId="47A92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exact"/>
          <w:jc w:val="center"/>
        </w:trPr>
        <w:tc>
          <w:tcPr>
            <w:tcW w:w="750" w:type="dxa"/>
            <w:tcBorders>
              <w:top w:val="single" w:color="auto" w:sz="4" w:space="0"/>
              <w:left w:val="single" w:color="auto" w:sz="4" w:space="0"/>
              <w:bottom w:val="single" w:color="auto" w:sz="4" w:space="0"/>
              <w:right w:val="single" w:color="auto" w:sz="4" w:space="0"/>
            </w:tcBorders>
            <w:vAlign w:val="center"/>
          </w:tcPr>
          <w:p w14:paraId="6C77AFB9">
            <w:pPr>
              <w:snapToGrid w:val="0"/>
              <w:spacing w:before="120" w:beforeLines="50"/>
              <w:jc w:val="center"/>
              <w:rPr>
                <w:rFonts w:ascii="Arial" w:hAnsi="Arial" w:cs="Arial"/>
                <w:color w:val="000000" w:themeColor="text1"/>
                <w:szCs w:val="21"/>
                <w14:textFill>
                  <w14:solidFill>
                    <w14:schemeClr w14:val="tx1"/>
                  </w14:solidFill>
                </w14:textFill>
              </w:rPr>
            </w:pPr>
          </w:p>
        </w:tc>
        <w:tc>
          <w:tcPr>
            <w:tcW w:w="2122" w:type="dxa"/>
            <w:tcBorders>
              <w:top w:val="single" w:color="auto" w:sz="4" w:space="0"/>
              <w:left w:val="single" w:color="auto" w:sz="4" w:space="0"/>
              <w:bottom w:val="single" w:color="auto" w:sz="4" w:space="0"/>
              <w:right w:val="single" w:color="auto" w:sz="4" w:space="0"/>
            </w:tcBorders>
            <w:vAlign w:val="center"/>
          </w:tcPr>
          <w:p w14:paraId="18436475">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w:t>
            </w:r>
          </w:p>
        </w:tc>
        <w:tc>
          <w:tcPr>
            <w:tcW w:w="4657" w:type="dxa"/>
            <w:tcBorders>
              <w:top w:val="single" w:color="auto" w:sz="4" w:space="0"/>
              <w:left w:val="single" w:color="auto" w:sz="4" w:space="0"/>
              <w:bottom w:val="single" w:color="auto" w:sz="4" w:space="0"/>
              <w:right w:val="single" w:color="auto" w:sz="4" w:space="0"/>
            </w:tcBorders>
            <w:vAlign w:val="center"/>
          </w:tcPr>
          <w:p w14:paraId="12168E81">
            <w:pPr>
              <w:snapToGrid w:val="0"/>
              <w:spacing w:before="120" w:beforeLines="50"/>
              <w:jc w:val="center"/>
              <w:rPr>
                <w:rFonts w:ascii="Arial" w:hAnsi="Arial" w:cs="Arial"/>
                <w:color w:val="000000" w:themeColor="text1"/>
                <w:szCs w:val="21"/>
                <w14:textFill>
                  <w14:solidFill>
                    <w14:schemeClr w14:val="tx1"/>
                  </w14:solidFill>
                </w14:textFill>
              </w:rPr>
            </w:pPr>
          </w:p>
        </w:tc>
        <w:tc>
          <w:tcPr>
            <w:tcW w:w="1349" w:type="dxa"/>
            <w:tcBorders>
              <w:top w:val="single" w:color="auto" w:sz="4" w:space="0"/>
              <w:left w:val="single" w:color="auto" w:sz="4" w:space="0"/>
              <w:bottom w:val="single" w:color="auto" w:sz="4" w:space="0"/>
              <w:right w:val="single" w:color="auto" w:sz="4" w:space="0"/>
            </w:tcBorders>
            <w:vAlign w:val="center"/>
          </w:tcPr>
          <w:p w14:paraId="2413F262">
            <w:pPr>
              <w:snapToGrid w:val="0"/>
              <w:spacing w:before="120" w:beforeLines="50"/>
              <w:jc w:val="center"/>
              <w:rPr>
                <w:rFonts w:ascii="Arial" w:hAnsi="Arial" w:cs="Arial"/>
                <w:color w:val="000000" w:themeColor="text1"/>
                <w:szCs w:val="21"/>
                <w14:textFill>
                  <w14:solidFill>
                    <w14:schemeClr w14:val="tx1"/>
                  </w14:solidFill>
                </w14:textFill>
              </w:rPr>
            </w:pPr>
          </w:p>
        </w:tc>
      </w:tr>
    </w:tbl>
    <w:p w14:paraId="3B1988B7">
      <w:pPr>
        <w:pStyle w:val="30"/>
        <w:tabs>
          <w:tab w:val="left" w:pos="2127"/>
        </w:tabs>
        <w:spacing w:line="340" w:lineRule="exact"/>
        <w:ind w:firstLine="420" w:firstLineChars="200"/>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注：（1）本表应对招标文件第二章《项目采购需求》中所列商务要求进行响应；</w:t>
      </w:r>
    </w:p>
    <w:p w14:paraId="1DCB3FC9">
      <w:pPr>
        <w:pStyle w:val="30"/>
        <w:tabs>
          <w:tab w:val="left" w:pos="2127"/>
        </w:tabs>
        <w:spacing w:line="340" w:lineRule="exact"/>
        <w:ind w:firstLine="420" w:firstLineChars="200"/>
        <w:jc w:val="left"/>
        <w:rPr>
          <w:rFonts w:ascii="Arial" w:hAnsi="Arial" w:cs="Arial"/>
          <w:color w:val="000000" w:themeColor="text1"/>
          <w14:textFill>
            <w14:solidFill>
              <w14:schemeClr w14:val="tx1"/>
            </w14:solidFill>
          </w14:textFill>
        </w:rPr>
      </w:pPr>
      <w:bookmarkStart w:id="116" w:name="_Hlk19049081"/>
      <w:r>
        <w:rPr>
          <w:rFonts w:ascii="Arial" w:hAnsi="Arial" w:cs="Arial"/>
          <w:color w:val="000000" w:themeColor="text1"/>
          <w14:textFill>
            <w14:solidFill>
              <w14:schemeClr w14:val="tx1"/>
            </w14:solidFill>
          </w14:textFill>
        </w:rPr>
        <w:t>（2）本表内容必须如实填写，并根据响应情况在“偏离说明”栏填写正偏离或负偏离及原因，完全符合的填写“无偏离”。填写“无偏离”时，如相应条款在投标文件其他部分描述明确不满足招标文件要求时，评标委员会将按不满足要求进行评审。</w:t>
      </w:r>
    </w:p>
    <w:bookmarkEnd w:id="116"/>
    <w:p w14:paraId="70CAFE51">
      <w:pPr>
        <w:pStyle w:val="30"/>
        <w:tabs>
          <w:tab w:val="left" w:pos="2127"/>
        </w:tabs>
        <w:spacing w:line="340" w:lineRule="exact"/>
        <w:ind w:firstLine="420" w:firstLineChars="200"/>
        <w:jc w:val="left"/>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（3）本表可扩展。</w:t>
      </w:r>
    </w:p>
    <w:p w14:paraId="14AADF52">
      <w:pPr>
        <w:snapToGrid w:val="0"/>
        <w:spacing w:before="50" w:after="50"/>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14:textFill>
            <w14:solidFill>
              <w14:schemeClr w14:val="tx1"/>
            </w14:solidFill>
          </w14:textFill>
        </w:rPr>
        <w:t>法定代表人或授权代表签字或</w:t>
      </w:r>
      <w:r>
        <w:rPr>
          <w:rFonts w:ascii="Arial" w:hAnsi="Arial" w:cs="Arial"/>
          <w:color w:val="000000" w:themeColor="text1"/>
          <w:szCs w:val="21"/>
          <w14:textFill>
            <w14:solidFill>
              <w14:schemeClr w14:val="tx1"/>
            </w14:solidFill>
          </w14:textFill>
        </w:rPr>
        <w:t>个人CA签章</w:t>
      </w:r>
      <w:r>
        <w:rPr>
          <w:rFonts w:ascii="Arial" w:hAnsi="Arial" w:cs="Arial"/>
          <w:color w:val="000000" w:themeColor="text1"/>
          <w:spacing w:val="20"/>
          <w:szCs w:val="21"/>
          <w14:textFill>
            <w14:solidFill>
              <w14:schemeClr w14:val="tx1"/>
            </w14:solidFill>
          </w14:textFill>
        </w:rPr>
        <w:t>：</w:t>
      </w:r>
      <w:r>
        <w:rPr>
          <w:rFonts w:ascii="Arial" w:hAnsi="Arial" w:cs="Arial"/>
          <w:color w:val="000000" w:themeColor="text1"/>
          <w:spacing w:val="20"/>
          <w:szCs w:val="21"/>
          <w:u w:val="single"/>
          <w14:textFill>
            <w14:solidFill>
              <w14:schemeClr w14:val="tx1"/>
            </w14:solidFill>
          </w14:textFill>
        </w:rPr>
        <w:t xml:space="preserve">                 </w:t>
      </w:r>
    </w:p>
    <w:p w14:paraId="3B8F00B1">
      <w:pPr>
        <w:snapToGrid w:val="0"/>
        <w:spacing w:before="50" w:after="120" w:afterLines="50"/>
        <w:jc w:val="left"/>
        <w:rPr>
          <w:rFonts w:ascii="Arial" w:hAnsi="Arial" w:cs="Arial"/>
          <w:color w:val="000000" w:themeColor="text1"/>
          <w:spacing w:val="20"/>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供应商公章</w:t>
      </w:r>
      <w:r>
        <w:rPr>
          <w:rFonts w:ascii="Arial" w:hAnsi="Arial" w:cs="Arial"/>
          <w:color w:val="000000" w:themeColor="text1"/>
          <w:szCs w:val="21"/>
          <w14:textFill>
            <w14:solidFill>
              <w14:schemeClr w14:val="tx1"/>
            </w14:solidFill>
          </w14:textFill>
        </w:rPr>
        <w:t>（CA签章）</w:t>
      </w:r>
      <w:r>
        <w:rPr>
          <w:rFonts w:ascii="Arial" w:hAnsi="Arial" w:cs="Arial"/>
          <w:color w:val="000000" w:themeColor="text1"/>
          <w:spacing w:val="20"/>
          <w:szCs w:val="21"/>
          <w14:textFill>
            <w14:solidFill>
              <w14:schemeClr w14:val="tx1"/>
            </w14:solidFill>
          </w14:textFill>
        </w:rPr>
        <w:t>：</w:t>
      </w:r>
    </w:p>
    <w:p w14:paraId="702DFB61">
      <w:pPr>
        <w:snapToGrid w:val="0"/>
        <w:spacing w:before="50" w:after="120" w:afterLines="50"/>
        <w:jc w:val="left"/>
        <w:rPr>
          <w:rFonts w:ascii="Arial" w:hAnsi="Arial" w:cs="Arial"/>
          <w:strike/>
          <w:color w:val="000000" w:themeColor="text1"/>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日  期：</w:t>
      </w:r>
    </w:p>
    <w:p w14:paraId="59D8209A">
      <w:pPr>
        <w:snapToGrid w:val="0"/>
        <w:spacing w:before="50" w:after="120" w:afterLines="50" w:line="440" w:lineRule="exact"/>
        <w:jc w:val="left"/>
        <w:rPr>
          <w:rFonts w:ascii="Arial" w:hAnsi="Arial" w:cs="Arial"/>
          <w:strike/>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2．售后服务机构概况</w:t>
      </w:r>
    </w:p>
    <w:tbl>
      <w:tblPr>
        <w:tblStyle w:val="55"/>
        <w:tblW w:w="73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54"/>
        <w:gridCol w:w="1439"/>
        <w:gridCol w:w="194"/>
        <w:gridCol w:w="1458"/>
        <w:gridCol w:w="899"/>
        <w:gridCol w:w="1455"/>
      </w:tblGrid>
      <w:tr w14:paraId="034189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23A1B234">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售后服务机构名称</w:t>
            </w:r>
          </w:p>
        </w:tc>
        <w:tc>
          <w:tcPr>
            <w:tcW w:w="5445" w:type="dxa"/>
            <w:gridSpan w:val="5"/>
            <w:tcBorders>
              <w:top w:val="single" w:color="auto" w:sz="4" w:space="0"/>
              <w:left w:val="single" w:color="auto" w:sz="4" w:space="0"/>
              <w:bottom w:val="single" w:color="auto" w:sz="4" w:space="0"/>
              <w:right w:val="single" w:color="auto" w:sz="4" w:space="0"/>
            </w:tcBorders>
          </w:tcPr>
          <w:p w14:paraId="76DC88C7">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6E5A62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6459F6A2">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地址</w:t>
            </w:r>
          </w:p>
        </w:tc>
        <w:tc>
          <w:tcPr>
            <w:tcW w:w="5445" w:type="dxa"/>
            <w:gridSpan w:val="5"/>
            <w:tcBorders>
              <w:top w:val="single" w:color="auto" w:sz="4" w:space="0"/>
              <w:left w:val="single" w:color="auto" w:sz="4" w:space="0"/>
              <w:bottom w:val="single" w:color="auto" w:sz="4" w:space="0"/>
              <w:right w:val="single" w:color="auto" w:sz="4" w:space="0"/>
            </w:tcBorders>
          </w:tcPr>
          <w:p w14:paraId="6F68C62F">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20E6B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0CA42C6F">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注册资本金</w:t>
            </w:r>
          </w:p>
        </w:tc>
        <w:tc>
          <w:tcPr>
            <w:tcW w:w="1439" w:type="dxa"/>
            <w:tcBorders>
              <w:top w:val="single" w:color="auto" w:sz="4" w:space="0"/>
              <w:left w:val="single" w:color="auto" w:sz="4" w:space="0"/>
              <w:bottom w:val="single" w:color="auto" w:sz="4" w:space="0"/>
              <w:right w:val="single" w:color="auto" w:sz="4" w:space="0"/>
            </w:tcBorders>
          </w:tcPr>
          <w:p w14:paraId="163ADC8E">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2551" w:type="dxa"/>
            <w:gridSpan w:val="3"/>
            <w:tcBorders>
              <w:top w:val="single" w:color="auto" w:sz="4" w:space="0"/>
              <w:left w:val="single" w:color="auto" w:sz="4" w:space="0"/>
              <w:bottom w:val="single" w:color="auto" w:sz="4" w:space="0"/>
              <w:right w:val="single" w:color="auto" w:sz="4" w:space="0"/>
            </w:tcBorders>
          </w:tcPr>
          <w:p w14:paraId="3E32E294">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其中：供应商出资比例</w:t>
            </w:r>
          </w:p>
        </w:tc>
        <w:tc>
          <w:tcPr>
            <w:tcW w:w="1455" w:type="dxa"/>
            <w:tcBorders>
              <w:top w:val="single" w:color="auto" w:sz="4" w:space="0"/>
              <w:left w:val="single" w:color="auto" w:sz="4" w:space="0"/>
              <w:bottom w:val="single" w:color="auto" w:sz="4" w:space="0"/>
              <w:right w:val="single" w:color="auto" w:sz="4" w:space="0"/>
            </w:tcBorders>
          </w:tcPr>
          <w:p w14:paraId="36FF21EE">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78D0B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6DA2F9D0">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员工总人数</w:t>
            </w:r>
          </w:p>
        </w:tc>
        <w:tc>
          <w:tcPr>
            <w:tcW w:w="1439" w:type="dxa"/>
            <w:tcBorders>
              <w:top w:val="single" w:color="auto" w:sz="4" w:space="0"/>
              <w:left w:val="single" w:color="auto" w:sz="4" w:space="0"/>
              <w:bottom w:val="single" w:color="auto" w:sz="4" w:space="0"/>
              <w:right w:val="single" w:color="auto" w:sz="4" w:space="0"/>
            </w:tcBorders>
          </w:tcPr>
          <w:p w14:paraId="38576B61">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2551" w:type="dxa"/>
            <w:gridSpan w:val="3"/>
            <w:tcBorders>
              <w:top w:val="single" w:color="auto" w:sz="4" w:space="0"/>
              <w:left w:val="single" w:color="auto" w:sz="4" w:space="0"/>
              <w:bottom w:val="single" w:color="auto" w:sz="4" w:space="0"/>
              <w:right w:val="single" w:color="auto" w:sz="4" w:space="0"/>
            </w:tcBorders>
          </w:tcPr>
          <w:p w14:paraId="467EC8E6">
            <w:pPr>
              <w:snapToGrid w:val="0"/>
              <w:spacing w:before="50" w:after="120" w:afterLines="50" w:line="400" w:lineRule="exact"/>
              <w:ind w:left="6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其中：技术人员数</w:t>
            </w:r>
          </w:p>
        </w:tc>
        <w:tc>
          <w:tcPr>
            <w:tcW w:w="1455" w:type="dxa"/>
            <w:tcBorders>
              <w:top w:val="single" w:color="auto" w:sz="4" w:space="0"/>
              <w:left w:val="single" w:color="auto" w:sz="4" w:space="0"/>
              <w:bottom w:val="single" w:color="auto" w:sz="4" w:space="0"/>
              <w:right w:val="single" w:color="auto" w:sz="4" w:space="0"/>
            </w:tcBorders>
          </w:tcPr>
          <w:p w14:paraId="77A8F807">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2B4E5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0873AD72">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经营期限</w:t>
            </w:r>
          </w:p>
        </w:tc>
        <w:tc>
          <w:tcPr>
            <w:tcW w:w="5445" w:type="dxa"/>
            <w:gridSpan w:val="5"/>
            <w:tcBorders>
              <w:top w:val="single" w:color="auto" w:sz="4" w:space="0"/>
              <w:left w:val="single" w:color="auto" w:sz="4" w:space="0"/>
              <w:bottom w:val="single" w:color="auto" w:sz="4" w:space="0"/>
              <w:right w:val="single" w:color="auto" w:sz="4" w:space="0"/>
            </w:tcBorders>
          </w:tcPr>
          <w:p w14:paraId="792CF2EC">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0F1ED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60215EAE">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售后服务协议</w:t>
            </w:r>
          </w:p>
        </w:tc>
        <w:tc>
          <w:tcPr>
            <w:tcW w:w="5445" w:type="dxa"/>
            <w:gridSpan w:val="5"/>
            <w:tcBorders>
              <w:top w:val="single" w:color="auto" w:sz="4" w:space="0"/>
              <w:left w:val="single" w:color="auto" w:sz="4" w:space="0"/>
              <w:bottom w:val="single" w:color="auto" w:sz="4" w:space="0"/>
              <w:right w:val="single" w:color="auto" w:sz="4" w:space="0"/>
            </w:tcBorders>
          </w:tcPr>
          <w:p w14:paraId="254B6488">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632AF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4267323A">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售后服务内容</w:t>
            </w:r>
          </w:p>
        </w:tc>
        <w:tc>
          <w:tcPr>
            <w:tcW w:w="5445" w:type="dxa"/>
            <w:gridSpan w:val="5"/>
            <w:tcBorders>
              <w:top w:val="single" w:color="auto" w:sz="4" w:space="0"/>
              <w:left w:val="single" w:color="auto" w:sz="4" w:space="0"/>
              <w:bottom w:val="single" w:color="auto" w:sz="4" w:space="0"/>
              <w:right w:val="single" w:color="auto" w:sz="4" w:space="0"/>
            </w:tcBorders>
          </w:tcPr>
          <w:p w14:paraId="0459EC38">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7FA575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1F4C66C4">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工作业绩</w:t>
            </w:r>
          </w:p>
        </w:tc>
        <w:tc>
          <w:tcPr>
            <w:tcW w:w="5445" w:type="dxa"/>
            <w:gridSpan w:val="5"/>
            <w:tcBorders>
              <w:top w:val="single" w:color="auto" w:sz="4" w:space="0"/>
              <w:left w:val="single" w:color="auto" w:sz="4" w:space="0"/>
              <w:bottom w:val="single" w:color="auto" w:sz="4" w:space="0"/>
              <w:right w:val="single" w:color="auto" w:sz="4" w:space="0"/>
            </w:tcBorders>
          </w:tcPr>
          <w:p w14:paraId="321A44D3">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05453B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3D390045">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服务承诺</w:t>
            </w:r>
          </w:p>
        </w:tc>
        <w:tc>
          <w:tcPr>
            <w:tcW w:w="5445" w:type="dxa"/>
            <w:gridSpan w:val="5"/>
            <w:tcBorders>
              <w:top w:val="single" w:color="auto" w:sz="4" w:space="0"/>
              <w:left w:val="single" w:color="auto" w:sz="4" w:space="0"/>
              <w:bottom w:val="single" w:color="auto" w:sz="4" w:space="0"/>
              <w:right w:val="single" w:color="auto" w:sz="4" w:space="0"/>
            </w:tcBorders>
          </w:tcPr>
          <w:p w14:paraId="3B2D2F3D">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7F6605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exact"/>
          <w:jc w:val="center"/>
        </w:trPr>
        <w:tc>
          <w:tcPr>
            <w:tcW w:w="1954" w:type="dxa"/>
            <w:tcBorders>
              <w:top w:val="single" w:color="auto" w:sz="4" w:space="0"/>
              <w:left w:val="single" w:color="auto" w:sz="4" w:space="0"/>
              <w:bottom w:val="single" w:color="auto" w:sz="4" w:space="0"/>
              <w:right w:val="single" w:color="auto" w:sz="4" w:space="0"/>
            </w:tcBorders>
          </w:tcPr>
          <w:p w14:paraId="6D473759">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业务咨询电话</w:t>
            </w:r>
          </w:p>
        </w:tc>
        <w:tc>
          <w:tcPr>
            <w:tcW w:w="1633" w:type="dxa"/>
            <w:gridSpan w:val="2"/>
            <w:tcBorders>
              <w:top w:val="single" w:color="auto" w:sz="4" w:space="0"/>
              <w:left w:val="single" w:color="auto" w:sz="4" w:space="0"/>
              <w:bottom w:val="single" w:color="auto" w:sz="4" w:space="0"/>
              <w:right w:val="single" w:color="auto" w:sz="2" w:space="0"/>
            </w:tcBorders>
          </w:tcPr>
          <w:p w14:paraId="0374A53C">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458" w:type="dxa"/>
            <w:tcBorders>
              <w:top w:val="single" w:color="auto" w:sz="4" w:space="0"/>
              <w:left w:val="single" w:color="auto" w:sz="2" w:space="0"/>
              <w:bottom w:val="single" w:color="auto" w:sz="4" w:space="0"/>
              <w:right w:val="single" w:color="auto" w:sz="2" w:space="0"/>
            </w:tcBorders>
          </w:tcPr>
          <w:p w14:paraId="57C1E819">
            <w:pPr>
              <w:snapToGrid w:val="0"/>
              <w:spacing w:before="50" w:after="120" w:afterLines="50" w:line="400" w:lineRule="exact"/>
              <w:ind w:firstLine="210" w:firstLineChars="10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传 真</w:t>
            </w:r>
          </w:p>
        </w:tc>
        <w:tc>
          <w:tcPr>
            <w:tcW w:w="2354" w:type="dxa"/>
            <w:gridSpan w:val="2"/>
            <w:tcBorders>
              <w:top w:val="single" w:color="auto" w:sz="4" w:space="0"/>
              <w:left w:val="single" w:color="auto" w:sz="2" w:space="0"/>
              <w:bottom w:val="single" w:color="auto" w:sz="4" w:space="0"/>
              <w:right w:val="single" w:color="auto" w:sz="2" w:space="0"/>
            </w:tcBorders>
          </w:tcPr>
          <w:p w14:paraId="2AEE4157">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5053F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exact"/>
          <w:jc w:val="center"/>
        </w:trPr>
        <w:tc>
          <w:tcPr>
            <w:tcW w:w="1954" w:type="dxa"/>
            <w:tcBorders>
              <w:top w:val="single" w:color="auto" w:sz="4" w:space="0"/>
              <w:left w:val="single" w:color="auto" w:sz="4" w:space="0"/>
              <w:bottom w:val="single" w:color="auto" w:sz="4" w:space="0"/>
              <w:right w:val="single" w:color="auto" w:sz="4" w:space="0"/>
            </w:tcBorders>
          </w:tcPr>
          <w:p w14:paraId="0C06CB19">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负责人</w:t>
            </w:r>
          </w:p>
        </w:tc>
        <w:tc>
          <w:tcPr>
            <w:tcW w:w="1633" w:type="dxa"/>
            <w:gridSpan w:val="2"/>
            <w:tcBorders>
              <w:top w:val="single" w:color="auto" w:sz="4" w:space="0"/>
              <w:left w:val="single" w:color="auto" w:sz="4" w:space="0"/>
              <w:bottom w:val="single" w:color="auto" w:sz="4" w:space="0"/>
              <w:right w:val="single" w:color="auto" w:sz="2" w:space="0"/>
            </w:tcBorders>
          </w:tcPr>
          <w:p w14:paraId="556D2A73">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458" w:type="dxa"/>
            <w:tcBorders>
              <w:top w:val="single" w:color="auto" w:sz="4" w:space="0"/>
              <w:left w:val="single" w:color="auto" w:sz="2" w:space="0"/>
              <w:bottom w:val="single" w:color="auto" w:sz="4" w:space="0"/>
              <w:right w:val="single" w:color="auto" w:sz="2" w:space="0"/>
            </w:tcBorders>
          </w:tcPr>
          <w:p w14:paraId="349B3A6D">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联系电话</w:t>
            </w:r>
          </w:p>
        </w:tc>
        <w:tc>
          <w:tcPr>
            <w:tcW w:w="2354" w:type="dxa"/>
            <w:gridSpan w:val="2"/>
            <w:tcBorders>
              <w:top w:val="single" w:color="auto" w:sz="4" w:space="0"/>
              <w:left w:val="single" w:color="auto" w:sz="2" w:space="0"/>
              <w:bottom w:val="single" w:color="auto" w:sz="4" w:space="0"/>
              <w:right w:val="single" w:color="auto" w:sz="4" w:space="0"/>
            </w:tcBorders>
          </w:tcPr>
          <w:p w14:paraId="5D49FA82">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bl>
    <w:p w14:paraId="74BF8D94">
      <w:pPr>
        <w:pStyle w:val="16"/>
        <w:snapToGrid w:val="0"/>
        <w:ind w:firstLine="630" w:firstLineChars="300"/>
        <w:rPr>
          <w:rFonts w:eastAsia="宋体"/>
          <w:color w:val="000000" w:themeColor="text1"/>
          <w:sz w:val="21"/>
          <w:szCs w:val="21"/>
          <w:u w:val="single"/>
          <w14:textFill>
            <w14:solidFill>
              <w14:schemeClr w14:val="tx1"/>
            </w14:solidFill>
          </w14:textFill>
        </w:rPr>
      </w:pPr>
      <w:r>
        <w:rPr>
          <w:rFonts w:eastAsia="宋体"/>
          <w:color w:val="000000" w:themeColor="text1"/>
          <w:sz w:val="21"/>
          <w:szCs w:val="21"/>
          <w14:textFill>
            <w14:solidFill>
              <w14:schemeClr w14:val="tx1"/>
            </w14:solidFill>
          </w14:textFill>
        </w:rPr>
        <w:t>法定代表人或授权代表签字或个人CA签章：</w:t>
      </w:r>
      <w:r>
        <w:rPr>
          <w:rFonts w:eastAsia="宋体"/>
          <w:color w:val="000000" w:themeColor="text1"/>
          <w:sz w:val="21"/>
          <w:szCs w:val="21"/>
          <w:u w:val="single"/>
          <w14:textFill>
            <w14:solidFill>
              <w14:schemeClr w14:val="tx1"/>
            </w14:solidFill>
          </w14:textFill>
        </w:rPr>
        <w:t>　　　　　</w:t>
      </w:r>
    </w:p>
    <w:p w14:paraId="720886B8">
      <w:pPr>
        <w:pStyle w:val="21"/>
        <w:snapToGrid w:val="0"/>
        <w:ind w:left="1260" w:hanging="420"/>
        <w:rPr>
          <w:rFonts w:ascii="Arial" w:hAnsi="Arial" w:cs="Arial"/>
          <w:color w:val="000000" w:themeColor="text1"/>
          <w:sz w:val="21"/>
          <w:szCs w:val="21"/>
          <w14:textFill>
            <w14:solidFill>
              <w14:schemeClr w14:val="tx1"/>
            </w14:solidFill>
          </w14:textFill>
        </w:rPr>
      </w:pPr>
      <w:r>
        <w:rPr>
          <w:rFonts w:ascii="Arial" w:hAnsi="Arial" w:cs="Arial"/>
          <w:color w:val="000000" w:themeColor="text1"/>
          <w:sz w:val="21"/>
          <w:szCs w:val="21"/>
          <w14:textFill>
            <w14:solidFill>
              <w14:schemeClr w14:val="tx1"/>
            </w14:solidFill>
          </w14:textFill>
        </w:rPr>
        <w:t>供应商公章（CA签章）： 　 年  月　 日</w:t>
      </w:r>
    </w:p>
    <w:p w14:paraId="7A653C99">
      <w:pPr>
        <w:snapToGrid w:val="0"/>
        <w:spacing w:before="50" w:after="120" w:afterLines="50" w:line="440" w:lineRule="exact"/>
        <w:jc w:val="left"/>
        <w:rPr>
          <w:rFonts w:ascii="Arial" w:hAnsi="Arial" w:cs="Arial"/>
          <w:color w:val="000000" w:themeColor="text1"/>
          <w:szCs w:val="21"/>
          <w14:textFill>
            <w14:solidFill>
              <w14:schemeClr w14:val="tx1"/>
            </w14:solidFill>
          </w14:textFill>
        </w:rPr>
      </w:pPr>
    </w:p>
    <w:p w14:paraId="48567CC7">
      <w:pPr>
        <w:snapToGrid w:val="0"/>
        <w:spacing w:before="50" w:after="120" w:afterLines="50" w:line="440" w:lineRule="exact"/>
        <w:jc w:val="left"/>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3．售后服务方案（如有，供应商自行编写）</w:t>
      </w:r>
    </w:p>
    <w:p w14:paraId="0260E042">
      <w:pPr>
        <w:snapToGrid w:val="0"/>
        <w:spacing w:before="50" w:after="120" w:afterLines="50" w:line="440" w:lineRule="exact"/>
        <w:jc w:val="left"/>
        <w:rPr>
          <w:rFonts w:ascii="Arial" w:hAnsi="Arial" w:cs="Arial"/>
          <w:color w:val="000000" w:themeColor="text1"/>
          <w:spacing w:val="20"/>
          <w:szCs w:val="21"/>
          <w:u w:val="single"/>
          <w14:textFill>
            <w14:solidFill>
              <w14:schemeClr w14:val="tx1"/>
            </w14:solidFill>
          </w14:textFill>
        </w:rPr>
        <w:sectPr>
          <w:headerReference r:id="rId14" w:type="first"/>
          <w:headerReference r:id="rId13" w:type="default"/>
          <w:footerReference r:id="rId15" w:type="default"/>
          <w:pgSz w:w="11906" w:h="16838"/>
          <w:pgMar w:top="1418" w:right="1028" w:bottom="1246" w:left="1418" w:header="851" w:footer="992" w:gutter="0"/>
          <w:cols w:space="720" w:num="1"/>
          <w:docGrid w:linePitch="312" w:charSpace="0"/>
        </w:sectPr>
      </w:pPr>
    </w:p>
    <w:p w14:paraId="5699DF35">
      <w:pPr>
        <w:snapToGrid w:val="0"/>
        <w:spacing w:before="50" w:after="120" w:afterLines="50"/>
        <w:jc w:val="left"/>
        <w:rPr>
          <w:rFonts w:ascii="Arial" w:hAnsi="Arial" w:cs="Arial"/>
          <w:b/>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4．近年供应商类似成功案例的业绩证明。</w:t>
      </w:r>
    </w:p>
    <w:p w14:paraId="60A41CC5">
      <w:pPr>
        <w:snapToGrid w:val="0"/>
        <w:spacing w:before="50" w:after="120" w:afterLines="50"/>
        <w:jc w:val="center"/>
        <w:rPr>
          <w:rFonts w:ascii="Arial" w:hAnsi="Arial" w:cs="Arial"/>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类似成功案例业绩一览表</w:t>
      </w:r>
    </w:p>
    <w:tbl>
      <w:tblPr>
        <w:tblStyle w:val="55"/>
        <w:tblW w:w="1416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93"/>
        <w:gridCol w:w="3895"/>
        <w:gridCol w:w="1230"/>
        <w:gridCol w:w="1230"/>
        <w:gridCol w:w="1640"/>
        <w:gridCol w:w="3181"/>
      </w:tblGrid>
      <w:tr w14:paraId="70C13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5" w:hRule="atLeast"/>
        </w:trPr>
        <w:tc>
          <w:tcPr>
            <w:tcW w:w="2993" w:type="dxa"/>
            <w:vMerge w:val="restart"/>
            <w:tcBorders>
              <w:top w:val="single" w:color="auto" w:sz="4" w:space="0"/>
              <w:left w:val="single" w:color="auto" w:sz="4" w:space="0"/>
              <w:bottom w:val="single" w:color="auto" w:sz="4" w:space="0"/>
              <w:right w:val="single" w:color="auto" w:sz="4" w:space="0"/>
            </w:tcBorders>
            <w:vAlign w:val="center"/>
          </w:tcPr>
          <w:p w14:paraId="10ACC47A">
            <w:pPr>
              <w:snapToGrid w:val="0"/>
              <w:spacing w:line="2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采购单位名称</w:t>
            </w:r>
          </w:p>
        </w:tc>
        <w:tc>
          <w:tcPr>
            <w:tcW w:w="3895" w:type="dxa"/>
            <w:vMerge w:val="restart"/>
            <w:tcBorders>
              <w:top w:val="single" w:color="auto" w:sz="4" w:space="0"/>
              <w:left w:val="single" w:color="auto" w:sz="4" w:space="0"/>
              <w:bottom w:val="single" w:color="auto" w:sz="4" w:space="0"/>
              <w:right w:val="single" w:color="auto" w:sz="4" w:space="0"/>
            </w:tcBorders>
            <w:vAlign w:val="center"/>
          </w:tcPr>
          <w:p w14:paraId="045B283C">
            <w:pPr>
              <w:snapToGrid w:val="0"/>
              <w:spacing w:line="2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产品或项目名称</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52078561">
            <w:pPr>
              <w:snapToGrid w:val="0"/>
              <w:spacing w:line="2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采购</w:t>
            </w:r>
          </w:p>
          <w:p w14:paraId="23A02082">
            <w:pPr>
              <w:snapToGrid w:val="0"/>
              <w:spacing w:line="2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数量</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20184FDB">
            <w:pPr>
              <w:snapToGrid w:val="0"/>
              <w:spacing w:line="2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单价（元）</w:t>
            </w:r>
          </w:p>
        </w:tc>
        <w:tc>
          <w:tcPr>
            <w:tcW w:w="1640" w:type="dxa"/>
            <w:vMerge w:val="restart"/>
            <w:tcBorders>
              <w:top w:val="single" w:color="auto" w:sz="4" w:space="0"/>
              <w:left w:val="single" w:color="auto" w:sz="4" w:space="0"/>
              <w:bottom w:val="single" w:color="auto" w:sz="4" w:space="0"/>
              <w:right w:val="single" w:color="auto" w:sz="4" w:space="0"/>
            </w:tcBorders>
            <w:vAlign w:val="center"/>
          </w:tcPr>
          <w:p w14:paraId="0F5162E1">
            <w:pPr>
              <w:snapToGrid w:val="0"/>
              <w:spacing w:line="2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合同总价（元）</w:t>
            </w:r>
          </w:p>
        </w:tc>
        <w:tc>
          <w:tcPr>
            <w:tcW w:w="3181" w:type="dxa"/>
            <w:vMerge w:val="restart"/>
            <w:tcBorders>
              <w:top w:val="single" w:color="auto" w:sz="4" w:space="0"/>
              <w:left w:val="single" w:color="auto" w:sz="4" w:space="0"/>
              <w:right w:val="single" w:color="auto" w:sz="4" w:space="0"/>
            </w:tcBorders>
            <w:vAlign w:val="center"/>
          </w:tcPr>
          <w:p w14:paraId="254FAC21">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采购单位联系人及联系电话</w:t>
            </w:r>
          </w:p>
        </w:tc>
      </w:tr>
      <w:tr w14:paraId="65A02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3" w:hRule="atLeast"/>
        </w:trPr>
        <w:tc>
          <w:tcPr>
            <w:tcW w:w="2993" w:type="dxa"/>
            <w:vMerge w:val="continue"/>
            <w:tcBorders>
              <w:top w:val="single" w:color="auto" w:sz="4" w:space="0"/>
              <w:left w:val="single" w:color="auto" w:sz="4" w:space="0"/>
              <w:bottom w:val="single" w:color="auto" w:sz="4" w:space="0"/>
              <w:right w:val="single" w:color="auto" w:sz="4" w:space="0"/>
            </w:tcBorders>
            <w:vAlign w:val="center"/>
          </w:tcPr>
          <w:p w14:paraId="147616FA">
            <w:pPr>
              <w:widowControl/>
              <w:jc w:val="left"/>
              <w:rPr>
                <w:rFonts w:ascii="Arial" w:hAnsi="Arial" w:cs="Arial"/>
                <w:color w:val="000000" w:themeColor="text1"/>
                <w:szCs w:val="21"/>
                <w14:textFill>
                  <w14:solidFill>
                    <w14:schemeClr w14:val="tx1"/>
                  </w14:solidFill>
                </w14:textFill>
              </w:rPr>
            </w:pPr>
          </w:p>
        </w:tc>
        <w:tc>
          <w:tcPr>
            <w:tcW w:w="3895" w:type="dxa"/>
            <w:vMerge w:val="continue"/>
            <w:tcBorders>
              <w:top w:val="single" w:color="auto" w:sz="4" w:space="0"/>
              <w:left w:val="single" w:color="auto" w:sz="4" w:space="0"/>
              <w:bottom w:val="single" w:color="auto" w:sz="4" w:space="0"/>
              <w:right w:val="single" w:color="auto" w:sz="4" w:space="0"/>
            </w:tcBorders>
            <w:vAlign w:val="center"/>
          </w:tcPr>
          <w:p w14:paraId="6E4C5797">
            <w:pPr>
              <w:widowControl/>
              <w:jc w:val="left"/>
              <w:rPr>
                <w:rFonts w:ascii="Arial" w:hAnsi="Arial" w:cs="Arial"/>
                <w:color w:val="000000" w:themeColor="text1"/>
                <w:szCs w:val="21"/>
                <w14:textFill>
                  <w14:solidFill>
                    <w14:schemeClr w14:val="tx1"/>
                  </w14:solidFill>
                </w14:textFill>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1E9C47F2">
            <w:pPr>
              <w:widowControl/>
              <w:jc w:val="left"/>
              <w:rPr>
                <w:rFonts w:ascii="Arial" w:hAnsi="Arial" w:cs="Arial"/>
                <w:color w:val="000000" w:themeColor="text1"/>
                <w:szCs w:val="21"/>
                <w14:textFill>
                  <w14:solidFill>
                    <w14:schemeClr w14:val="tx1"/>
                  </w14:solidFill>
                </w14:textFill>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00B0165E">
            <w:pPr>
              <w:widowControl/>
              <w:jc w:val="left"/>
              <w:rPr>
                <w:rFonts w:ascii="Arial" w:hAnsi="Arial" w:cs="Arial"/>
                <w:color w:val="000000" w:themeColor="text1"/>
                <w:szCs w:val="21"/>
                <w14:textFill>
                  <w14:solidFill>
                    <w14:schemeClr w14:val="tx1"/>
                  </w14:solidFill>
                </w14:textFill>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7E19C38">
            <w:pPr>
              <w:widowControl/>
              <w:jc w:val="left"/>
              <w:rPr>
                <w:rFonts w:ascii="Arial" w:hAnsi="Arial" w:cs="Arial"/>
                <w:color w:val="000000" w:themeColor="text1"/>
                <w:szCs w:val="21"/>
                <w14:textFill>
                  <w14:solidFill>
                    <w14:schemeClr w14:val="tx1"/>
                  </w14:solidFill>
                </w14:textFill>
              </w:rPr>
            </w:pPr>
          </w:p>
        </w:tc>
        <w:tc>
          <w:tcPr>
            <w:tcW w:w="3181" w:type="dxa"/>
            <w:vMerge w:val="continue"/>
            <w:tcBorders>
              <w:left w:val="single" w:color="auto" w:sz="4" w:space="0"/>
              <w:bottom w:val="single" w:color="auto" w:sz="4" w:space="0"/>
              <w:right w:val="single" w:color="auto" w:sz="4" w:space="0"/>
            </w:tcBorders>
          </w:tcPr>
          <w:p w14:paraId="31040CF2">
            <w:pPr>
              <w:snapToGrid w:val="0"/>
              <w:spacing w:line="240" w:lineRule="exact"/>
              <w:jc w:val="center"/>
              <w:rPr>
                <w:rFonts w:ascii="Arial" w:hAnsi="Arial" w:cs="Arial"/>
                <w:strike/>
                <w:color w:val="000000" w:themeColor="text1"/>
                <w:szCs w:val="21"/>
                <w14:textFill>
                  <w14:solidFill>
                    <w14:schemeClr w14:val="tx1"/>
                  </w14:solidFill>
                </w14:textFill>
              </w:rPr>
            </w:pPr>
          </w:p>
        </w:tc>
      </w:tr>
      <w:tr w14:paraId="7A15C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2993" w:type="dxa"/>
            <w:tcBorders>
              <w:top w:val="single" w:color="auto" w:sz="4" w:space="0"/>
              <w:left w:val="single" w:color="auto" w:sz="4" w:space="0"/>
              <w:bottom w:val="single" w:color="auto" w:sz="4" w:space="0"/>
              <w:right w:val="single" w:color="auto" w:sz="4" w:space="0"/>
            </w:tcBorders>
          </w:tcPr>
          <w:p w14:paraId="6A6BB447">
            <w:pPr>
              <w:snapToGrid w:val="0"/>
              <w:spacing w:line="240" w:lineRule="exact"/>
              <w:jc w:val="left"/>
              <w:rPr>
                <w:rFonts w:ascii="Arial" w:hAnsi="Arial" w:cs="Arial"/>
                <w:color w:val="000000" w:themeColor="text1"/>
                <w:szCs w:val="21"/>
                <w14:textFill>
                  <w14:solidFill>
                    <w14:schemeClr w14:val="tx1"/>
                  </w14:solidFill>
                </w14:textFill>
              </w:rPr>
            </w:pPr>
          </w:p>
        </w:tc>
        <w:tc>
          <w:tcPr>
            <w:tcW w:w="3895" w:type="dxa"/>
            <w:tcBorders>
              <w:top w:val="single" w:color="auto" w:sz="4" w:space="0"/>
              <w:left w:val="single" w:color="auto" w:sz="4" w:space="0"/>
              <w:bottom w:val="single" w:color="auto" w:sz="4" w:space="0"/>
              <w:right w:val="single" w:color="auto" w:sz="4" w:space="0"/>
            </w:tcBorders>
          </w:tcPr>
          <w:p w14:paraId="455FBE00">
            <w:pPr>
              <w:snapToGrid w:val="0"/>
              <w:spacing w:line="24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008C9C94">
            <w:pPr>
              <w:snapToGrid w:val="0"/>
              <w:spacing w:line="24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6047360C">
            <w:pPr>
              <w:snapToGrid w:val="0"/>
              <w:spacing w:line="240" w:lineRule="exact"/>
              <w:jc w:val="left"/>
              <w:rPr>
                <w:rFonts w:ascii="Arial" w:hAnsi="Arial" w:cs="Arial"/>
                <w:color w:val="000000" w:themeColor="text1"/>
                <w:szCs w:val="21"/>
                <w14:textFill>
                  <w14:solidFill>
                    <w14:schemeClr w14:val="tx1"/>
                  </w14:solidFill>
                </w14:textFill>
              </w:rPr>
            </w:pPr>
          </w:p>
        </w:tc>
        <w:tc>
          <w:tcPr>
            <w:tcW w:w="1640" w:type="dxa"/>
            <w:tcBorders>
              <w:top w:val="single" w:color="auto" w:sz="4" w:space="0"/>
              <w:left w:val="single" w:color="auto" w:sz="4" w:space="0"/>
              <w:bottom w:val="single" w:color="auto" w:sz="4" w:space="0"/>
              <w:right w:val="single" w:color="auto" w:sz="4" w:space="0"/>
            </w:tcBorders>
          </w:tcPr>
          <w:p w14:paraId="35797218">
            <w:pPr>
              <w:snapToGrid w:val="0"/>
              <w:spacing w:line="240" w:lineRule="exact"/>
              <w:jc w:val="left"/>
              <w:rPr>
                <w:rFonts w:ascii="Arial" w:hAnsi="Arial" w:cs="Arial"/>
                <w:color w:val="000000" w:themeColor="text1"/>
                <w:szCs w:val="21"/>
                <w14:textFill>
                  <w14:solidFill>
                    <w14:schemeClr w14:val="tx1"/>
                  </w14:solidFill>
                </w14:textFill>
              </w:rPr>
            </w:pPr>
          </w:p>
        </w:tc>
        <w:tc>
          <w:tcPr>
            <w:tcW w:w="3181" w:type="dxa"/>
            <w:tcBorders>
              <w:top w:val="single" w:color="auto" w:sz="4" w:space="0"/>
              <w:left w:val="single" w:color="auto" w:sz="4" w:space="0"/>
              <w:bottom w:val="single" w:color="auto" w:sz="4" w:space="0"/>
              <w:right w:val="single" w:color="auto" w:sz="4" w:space="0"/>
            </w:tcBorders>
          </w:tcPr>
          <w:p w14:paraId="3523AF97">
            <w:pPr>
              <w:snapToGrid w:val="0"/>
              <w:spacing w:line="240" w:lineRule="exact"/>
              <w:jc w:val="left"/>
              <w:rPr>
                <w:rFonts w:ascii="Arial" w:hAnsi="Arial" w:cs="Arial"/>
                <w:color w:val="000000" w:themeColor="text1"/>
                <w:szCs w:val="21"/>
                <w14:textFill>
                  <w14:solidFill>
                    <w14:schemeClr w14:val="tx1"/>
                  </w14:solidFill>
                </w14:textFill>
              </w:rPr>
            </w:pPr>
          </w:p>
        </w:tc>
      </w:tr>
      <w:tr w14:paraId="1B7B6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993" w:type="dxa"/>
            <w:tcBorders>
              <w:top w:val="single" w:color="auto" w:sz="4" w:space="0"/>
              <w:left w:val="single" w:color="auto" w:sz="4" w:space="0"/>
              <w:bottom w:val="single" w:color="auto" w:sz="4" w:space="0"/>
              <w:right w:val="single" w:color="auto" w:sz="4" w:space="0"/>
            </w:tcBorders>
          </w:tcPr>
          <w:p w14:paraId="1CDDF9D8">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895" w:type="dxa"/>
            <w:tcBorders>
              <w:top w:val="single" w:color="auto" w:sz="4" w:space="0"/>
              <w:left w:val="single" w:color="auto" w:sz="4" w:space="0"/>
              <w:bottom w:val="single" w:color="auto" w:sz="4" w:space="0"/>
              <w:right w:val="single" w:color="auto" w:sz="4" w:space="0"/>
            </w:tcBorders>
          </w:tcPr>
          <w:p w14:paraId="133BA1D5">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129F98A9">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14908F8D">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640" w:type="dxa"/>
            <w:tcBorders>
              <w:top w:val="single" w:color="auto" w:sz="4" w:space="0"/>
              <w:left w:val="single" w:color="auto" w:sz="4" w:space="0"/>
              <w:bottom w:val="single" w:color="auto" w:sz="4" w:space="0"/>
              <w:right w:val="single" w:color="auto" w:sz="4" w:space="0"/>
            </w:tcBorders>
          </w:tcPr>
          <w:p w14:paraId="7FB6CE46">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181" w:type="dxa"/>
            <w:tcBorders>
              <w:top w:val="single" w:color="auto" w:sz="4" w:space="0"/>
              <w:left w:val="single" w:color="auto" w:sz="4" w:space="0"/>
              <w:bottom w:val="single" w:color="auto" w:sz="4" w:space="0"/>
              <w:right w:val="single" w:color="auto" w:sz="4" w:space="0"/>
            </w:tcBorders>
          </w:tcPr>
          <w:p w14:paraId="3D0F2FBF">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76177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993" w:type="dxa"/>
            <w:tcBorders>
              <w:top w:val="single" w:color="auto" w:sz="4" w:space="0"/>
              <w:left w:val="single" w:color="auto" w:sz="4" w:space="0"/>
              <w:bottom w:val="single" w:color="auto" w:sz="4" w:space="0"/>
              <w:right w:val="single" w:color="auto" w:sz="4" w:space="0"/>
            </w:tcBorders>
          </w:tcPr>
          <w:p w14:paraId="51E05142">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895" w:type="dxa"/>
            <w:tcBorders>
              <w:top w:val="single" w:color="auto" w:sz="4" w:space="0"/>
              <w:left w:val="single" w:color="auto" w:sz="4" w:space="0"/>
              <w:bottom w:val="single" w:color="auto" w:sz="4" w:space="0"/>
              <w:right w:val="single" w:color="auto" w:sz="4" w:space="0"/>
            </w:tcBorders>
          </w:tcPr>
          <w:p w14:paraId="348C5B3F">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5C5A485A">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2F610D83">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640" w:type="dxa"/>
            <w:tcBorders>
              <w:top w:val="single" w:color="auto" w:sz="4" w:space="0"/>
              <w:left w:val="single" w:color="auto" w:sz="4" w:space="0"/>
              <w:bottom w:val="single" w:color="auto" w:sz="4" w:space="0"/>
              <w:right w:val="single" w:color="auto" w:sz="4" w:space="0"/>
            </w:tcBorders>
          </w:tcPr>
          <w:p w14:paraId="76AA9FB4">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181" w:type="dxa"/>
            <w:tcBorders>
              <w:top w:val="single" w:color="auto" w:sz="4" w:space="0"/>
              <w:left w:val="single" w:color="auto" w:sz="4" w:space="0"/>
              <w:bottom w:val="single" w:color="auto" w:sz="4" w:space="0"/>
              <w:right w:val="single" w:color="auto" w:sz="4" w:space="0"/>
            </w:tcBorders>
          </w:tcPr>
          <w:p w14:paraId="78BD6B8C">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7EC17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993" w:type="dxa"/>
            <w:tcBorders>
              <w:top w:val="single" w:color="auto" w:sz="4" w:space="0"/>
              <w:left w:val="single" w:color="auto" w:sz="4" w:space="0"/>
              <w:bottom w:val="single" w:color="auto" w:sz="4" w:space="0"/>
              <w:right w:val="single" w:color="auto" w:sz="4" w:space="0"/>
            </w:tcBorders>
          </w:tcPr>
          <w:p w14:paraId="4690A79E">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895" w:type="dxa"/>
            <w:tcBorders>
              <w:top w:val="single" w:color="auto" w:sz="4" w:space="0"/>
              <w:left w:val="single" w:color="auto" w:sz="4" w:space="0"/>
              <w:bottom w:val="single" w:color="auto" w:sz="4" w:space="0"/>
              <w:right w:val="single" w:color="auto" w:sz="4" w:space="0"/>
            </w:tcBorders>
          </w:tcPr>
          <w:p w14:paraId="0FC95017">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6201E1F5">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7B020438">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640" w:type="dxa"/>
            <w:tcBorders>
              <w:top w:val="single" w:color="auto" w:sz="4" w:space="0"/>
              <w:left w:val="single" w:color="auto" w:sz="4" w:space="0"/>
              <w:bottom w:val="single" w:color="auto" w:sz="4" w:space="0"/>
              <w:right w:val="single" w:color="auto" w:sz="4" w:space="0"/>
            </w:tcBorders>
          </w:tcPr>
          <w:p w14:paraId="4D2E409B">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181" w:type="dxa"/>
            <w:tcBorders>
              <w:top w:val="single" w:color="auto" w:sz="4" w:space="0"/>
              <w:left w:val="single" w:color="auto" w:sz="4" w:space="0"/>
              <w:bottom w:val="single" w:color="auto" w:sz="4" w:space="0"/>
              <w:right w:val="single" w:color="auto" w:sz="4" w:space="0"/>
            </w:tcBorders>
          </w:tcPr>
          <w:p w14:paraId="3A5C9CD9">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r w14:paraId="038BB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993" w:type="dxa"/>
            <w:tcBorders>
              <w:top w:val="single" w:color="auto" w:sz="4" w:space="0"/>
              <w:left w:val="single" w:color="auto" w:sz="4" w:space="0"/>
              <w:bottom w:val="single" w:color="auto" w:sz="4" w:space="0"/>
              <w:right w:val="single" w:color="auto" w:sz="4" w:space="0"/>
            </w:tcBorders>
          </w:tcPr>
          <w:p w14:paraId="42970F1B">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895" w:type="dxa"/>
            <w:tcBorders>
              <w:top w:val="single" w:color="auto" w:sz="4" w:space="0"/>
              <w:left w:val="single" w:color="auto" w:sz="4" w:space="0"/>
              <w:bottom w:val="single" w:color="auto" w:sz="4" w:space="0"/>
              <w:right w:val="single" w:color="auto" w:sz="4" w:space="0"/>
            </w:tcBorders>
          </w:tcPr>
          <w:p w14:paraId="49C25C99">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2D4CFFA3">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tcPr>
          <w:p w14:paraId="2A80C2C6">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1640" w:type="dxa"/>
            <w:tcBorders>
              <w:top w:val="single" w:color="auto" w:sz="4" w:space="0"/>
              <w:left w:val="single" w:color="auto" w:sz="4" w:space="0"/>
              <w:bottom w:val="single" w:color="auto" w:sz="4" w:space="0"/>
              <w:right w:val="single" w:color="auto" w:sz="4" w:space="0"/>
            </w:tcBorders>
          </w:tcPr>
          <w:p w14:paraId="37629767">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c>
          <w:tcPr>
            <w:tcW w:w="3181" w:type="dxa"/>
            <w:tcBorders>
              <w:top w:val="single" w:color="auto" w:sz="4" w:space="0"/>
              <w:left w:val="single" w:color="auto" w:sz="4" w:space="0"/>
              <w:bottom w:val="single" w:color="auto" w:sz="4" w:space="0"/>
              <w:right w:val="single" w:color="auto" w:sz="4" w:space="0"/>
            </w:tcBorders>
          </w:tcPr>
          <w:p w14:paraId="16B1E2BB">
            <w:pPr>
              <w:snapToGrid w:val="0"/>
              <w:spacing w:before="50" w:after="120" w:afterLines="50" w:line="400" w:lineRule="exact"/>
              <w:jc w:val="left"/>
              <w:rPr>
                <w:rFonts w:ascii="Arial" w:hAnsi="Arial" w:cs="Arial"/>
                <w:color w:val="000000" w:themeColor="text1"/>
                <w:szCs w:val="21"/>
                <w14:textFill>
                  <w14:solidFill>
                    <w14:schemeClr w14:val="tx1"/>
                  </w14:solidFill>
                </w14:textFill>
              </w:rPr>
            </w:pPr>
          </w:p>
        </w:tc>
      </w:tr>
    </w:tbl>
    <w:p w14:paraId="398033CA">
      <w:pPr>
        <w:pStyle w:val="16"/>
        <w:snapToGrid w:val="0"/>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注：</w:t>
      </w:r>
      <w:bookmarkStart w:id="117" w:name="_Hlk19049505"/>
      <w:r>
        <w:rPr>
          <w:rFonts w:eastAsia="宋体"/>
          <w:color w:val="000000" w:themeColor="text1"/>
          <w:sz w:val="21"/>
          <w:szCs w:val="21"/>
          <w14:textFill>
            <w14:solidFill>
              <w14:schemeClr w14:val="tx1"/>
            </w14:solidFill>
          </w14:textFill>
        </w:rPr>
        <w:t>本表可拓展并逐页签字及盖章。</w:t>
      </w:r>
      <w:bookmarkEnd w:id="117"/>
    </w:p>
    <w:p w14:paraId="30773898">
      <w:pPr>
        <w:pStyle w:val="16"/>
        <w:snapToGrid w:val="0"/>
        <w:rPr>
          <w:rFonts w:eastAsia="宋体"/>
          <w:color w:val="000000" w:themeColor="text1"/>
          <w:sz w:val="21"/>
          <w:szCs w:val="21"/>
          <w:u w:val="single"/>
          <w14:textFill>
            <w14:solidFill>
              <w14:schemeClr w14:val="tx1"/>
            </w14:solidFill>
          </w14:textFill>
        </w:rPr>
      </w:pPr>
      <w:r>
        <w:rPr>
          <w:rFonts w:eastAsia="宋体"/>
          <w:color w:val="000000" w:themeColor="text1"/>
          <w:sz w:val="21"/>
          <w:szCs w:val="21"/>
          <w14:textFill>
            <w14:solidFill>
              <w14:schemeClr w14:val="tx1"/>
            </w14:solidFill>
          </w14:textFill>
        </w:rPr>
        <w:t>法定代表人或授权代表签字或个人CA签章：</w:t>
      </w:r>
      <w:r>
        <w:rPr>
          <w:rFonts w:eastAsia="宋体"/>
          <w:color w:val="000000" w:themeColor="text1"/>
          <w:sz w:val="21"/>
          <w:szCs w:val="21"/>
          <w:u w:val="single"/>
          <w14:textFill>
            <w14:solidFill>
              <w14:schemeClr w14:val="tx1"/>
            </w14:solidFill>
          </w14:textFill>
        </w:rPr>
        <w:t>　　　　　</w:t>
      </w:r>
    </w:p>
    <w:p w14:paraId="1ED20904">
      <w:pPr>
        <w:snapToGrid w:val="0"/>
        <w:spacing w:before="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供应商公章（CA签章）：   年   月   日</w:t>
      </w:r>
    </w:p>
    <w:p w14:paraId="1AF99832">
      <w:pPr>
        <w:snapToGrid w:val="0"/>
        <w:spacing w:before="50"/>
        <w:jc w:val="left"/>
        <w:rPr>
          <w:rFonts w:ascii="Arial" w:hAnsi="Arial" w:cs="Arial"/>
          <w:color w:val="000000" w:themeColor="text1"/>
          <w:szCs w:val="21"/>
          <w14:textFill>
            <w14:solidFill>
              <w14:schemeClr w14:val="tx1"/>
            </w14:solidFill>
          </w14:textFill>
        </w:rPr>
      </w:pPr>
    </w:p>
    <w:p w14:paraId="4E202F8E">
      <w:pPr>
        <w:snapToGrid w:val="0"/>
        <w:spacing w:before="50"/>
        <w:jc w:val="left"/>
        <w:rPr>
          <w:rFonts w:ascii="Arial" w:hAnsi="Arial" w:cs="Arial"/>
          <w:color w:val="000000" w:themeColor="text1"/>
          <w:szCs w:val="21"/>
          <w14:textFill>
            <w14:solidFill>
              <w14:schemeClr w14:val="tx1"/>
            </w14:solidFill>
          </w14:textFill>
        </w:rPr>
        <w:sectPr>
          <w:pgSz w:w="16838" w:h="11906" w:orient="landscape"/>
          <w:pgMar w:top="1418" w:right="1418" w:bottom="1133" w:left="1246" w:header="851" w:footer="992" w:gutter="0"/>
          <w:cols w:space="720" w:num="1"/>
          <w:docGrid w:linePitch="312" w:charSpace="0"/>
        </w:sectPr>
      </w:pPr>
    </w:p>
    <w:p w14:paraId="1C12EE12">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5.符合政府采购政策加分条件证明材料。</w:t>
      </w:r>
    </w:p>
    <w:p w14:paraId="1FB991F0">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5.1列入节能产品政府采购品目清单及环境标志产品政府采购品目清单的货物清单。</w:t>
      </w:r>
      <w:r>
        <w:rPr>
          <w:rFonts w:ascii="Arial" w:hAnsi="Arial" w:cs="Arial"/>
          <w:b/>
          <w:color w:val="000000" w:themeColor="text1"/>
          <w:szCs w:val="21"/>
          <w14:textFill>
            <w14:solidFill>
              <w14:schemeClr w14:val="tx1"/>
            </w14:solidFill>
          </w14:textFill>
        </w:rPr>
        <w:t>（如有，须提供）</w:t>
      </w:r>
    </w:p>
    <w:p w14:paraId="018B3C28">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投标产品中如有列入节能产品政府采购品目清单及环境标志产品政府采购品目清单的货物，应按下表提供清单。</w:t>
      </w:r>
    </w:p>
    <w:p w14:paraId="4A33E7AD">
      <w:pPr>
        <w:spacing w:line="360" w:lineRule="auto"/>
        <w:jc w:val="center"/>
        <w:rPr>
          <w:rFonts w:ascii="Arial" w:hAnsi="Arial" w:cs="Arial"/>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C2C56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vAlign w:val="center"/>
          </w:tcPr>
          <w:p w14:paraId="5AC5526C">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序号</w:t>
            </w:r>
          </w:p>
        </w:tc>
        <w:tc>
          <w:tcPr>
            <w:tcW w:w="1134" w:type="dxa"/>
            <w:tcBorders>
              <w:top w:val="single" w:color="auto" w:sz="12" w:space="0"/>
              <w:left w:val="nil"/>
              <w:bottom w:val="single" w:color="auto" w:sz="8" w:space="0"/>
              <w:right w:val="single" w:color="auto" w:sz="4" w:space="0"/>
            </w:tcBorders>
            <w:vAlign w:val="center"/>
          </w:tcPr>
          <w:p w14:paraId="66D2D7B9">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类别</w:t>
            </w:r>
          </w:p>
        </w:tc>
        <w:tc>
          <w:tcPr>
            <w:tcW w:w="897" w:type="dxa"/>
            <w:tcBorders>
              <w:top w:val="single" w:color="auto" w:sz="12" w:space="0"/>
              <w:left w:val="single" w:color="auto" w:sz="4" w:space="0"/>
              <w:bottom w:val="single" w:color="auto" w:sz="8" w:space="0"/>
              <w:right w:val="single" w:color="auto" w:sz="8" w:space="0"/>
            </w:tcBorders>
            <w:vAlign w:val="center"/>
          </w:tcPr>
          <w:p w14:paraId="358AEF0B">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品目</w:t>
            </w:r>
          </w:p>
        </w:tc>
        <w:tc>
          <w:tcPr>
            <w:tcW w:w="1088" w:type="dxa"/>
            <w:tcBorders>
              <w:top w:val="single" w:color="auto" w:sz="12" w:space="0"/>
              <w:left w:val="nil"/>
              <w:bottom w:val="single" w:color="auto" w:sz="8" w:space="0"/>
              <w:right w:val="single" w:color="auto" w:sz="4" w:space="0"/>
            </w:tcBorders>
            <w:vAlign w:val="center"/>
          </w:tcPr>
          <w:p w14:paraId="4A04C7CA">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品牌</w:t>
            </w:r>
          </w:p>
        </w:tc>
        <w:tc>
          <w:tcPr>
            <w:tcW w:w="1409" w:type="dxa"/>
            <w:tcBorders>
              <w:top w:val="single" w:color="auto" w:sz="12" w:space="0"/>
              <w:left w:val="single" w:color="auto" w:sz="4" w:space="0"/>
              <w:bottom w:val="single" w:color="auto" w:sz="8" w:space="0"/>
              <w:right w:val="single" w:color="auto" w:sz="8" w:space="0"/>
            </w:tcBorders>
            <w:vAlign w:val="center"/>
          </w:tcPr>
          <w:p w14:paraId="1278C7B2">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规格型号</w:t>
            </w:r>
          </w:p>
        </w:tc>
        <w:tc>
          <w:tcPr>
            <w:tcW w:w="1851"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235DB588">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szCs w:val="21"/>
                <w:shd w:val="clear" w:color="auto" w:fill="FFFFFF"/>
                <w14:textFill>
                  <w14:solidFill>
                    <w14:schemeClr w14:val="tx1"/>
                  </w14:solidFill>
                </w14:textFill>
              </w:rPr>
              <w:t>生产者（制造商）</w:t>
            </w:r>
          </w:p>
        </w:tc>
        <w:tc>
          <w:tcPr>
            <w:tcW w:w="1412"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02D0FDD6">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证书编号及证书到期日期</w:t>
            </w:r>
          </w:p>
        </w:tc>
        <w:tc>
          <w:tcPr>
            <w:tcW w:w="770" w:type="dxa"/>
            <w:tcBorders>
              <w:top w:val="single" w:color="auto" w:sz="12" w:space="0"/>
              <w:left w:val="nil"/>
              <w:bottom w:val="single" w:color="auto" w:sz="8" w:space="0"/>
              <w:right w:val="single" w:color="auto" w:sz="12" w:space="0"/>
            </w:tcBorders>
            <w:tcMar>
              <w:top w:w="0" w:type="dxa"/>
              <w:left w:w="57" w:type="dxa"/>
              <w:bottom w:w="0" w:type="dxa"/>
              <w:right w:w="57" w:type="dxa"/>
            </w:tcMar>
            <w:vAlign w:val="center"/>
          </w:tcPr>
          <w:p w14:paraId="01CE29C3">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备注</w:t>
            </w:r>
          </w:p>
        </w:tc>
      </w:tr>
      <w:tr w14:paraId="311F4C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vAlign w:val="center"/>
          </w:tcPr>
          <w:p w14:paraId="1AF9954A">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1</w:t>
            </w:r>
          </w:p>
        </w:tc>
        <w:tc>
          <w:tcPr>
            <w:tcW w:w="1134" w:type="dxa"/>
            <w:tcBorders>
              <w:top w:val="nil"/>
              <w:left w:val="nil"/>
              <w:bottom w:val="single" w:color="auto" w:sz="8" w:space="0"/>
              <w:right w:val="single" w:color="auto" w:sz="4" w:space="0"/>
            </w:tcBorders>
            <w:vAlign w:val="center"/>
          </w:tcPr>
          <w:p w14:paraId="4E1478E6">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vAlign w:val="center"/>
          </w:tcPr>
          <w:p w14:paraId="72707B32">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088" w:type="dxa"/>
            <w:tcBorders>
              <w:top w:val="nil"/>
              <w:left w:val="nil"/>
              <w:bottom w:val="single" w:color="auto" w:sz="8" w:space="0"/>
              <w:right w:val="single" w:color="auto" w:sz="4" w:space="0"/>
            </w:tcBorders>
            <w:vAlign w:val="center"/>
          </w:tcPr>
          <w:p w14:paraId="5E8AFE7E">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vAlign w:val="center"/>
          </w:tcPr>
          <w:p w14:paraId="29AEA044">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D37181">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4C5C8DB5">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24658868">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r>
      <w:tr w14:paraId="08098E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vAlign w:val="center"/>
          </w:tcPr>
          <w:p w14:paraId="70CC9C73">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2</w:t>
            </w:r>
          </w:p>
        </w:tc>
        <w:tc>
          <w:tcPr>
            <w:tcW w:w="1134" w:type="dxa"/>
            <w:tcBorders>
              <w:top w:val="nil"/>
              <w:left w:val="nil"/>
              <w:bottom w:val="single" w:color="auto" w:sz="8" w:space="0"/>
              <w:right w:val="single" w:color="auto" w:sz="4" w:space="0"/>
            </w:tcBorders>
            <w:vAlign w:val="center"/>
          </w:tcPr>
          <w:p w14:paraId="014B54B7">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vAlign w:val="center"/>
          </w:tcPr>
          <w:p w14:paraId="46E2A482">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088" w:type="dxa"/>
            <w:tcBorders>
              <w:top w:val="nil"/>
              <w:left w:val="nil"/>
              <w:bottom w:val="single" w:color="auto" w:sz="8" w:space="0"/>
              <w:right w:val="single" w:color="auto" w:sz="4" w:space="0"/>
            </w:tcBorders>
            <w:vAlign w:val="center"/>
          </w:tcPr>
          <w:p w14:paraId="08171997">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vAlign w:val="center"/>
          </w:tcPr>
          <w:p w14:paraId="3972F24D">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082CE4A9">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2406ED90">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2A8A6211">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r>
      <w:tr w14:paraId="2F9303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vAlign w:val="center"/>
          </w:tcPr>
          <w:p w14:paraId="1178A518">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r>
              <w:rPr>
                <w:rFonts w:ascii="Arial" w:hAnsi="Arial" w:cs="Arial"/>
                <w:color w:val="000000" w:themeColor="text1"/>
                <w:kern w:val="0"/>
                <w:szCs w:val="21"/>
                <w14:textFill>
                  <w14:solidFill>
                    <w14:schemeClr w14:val="tx1"/>
                  </w14:solidFill>
                </w14:textFill>
              </w:rPr>
              <w:t>……</w:t>
            </w:r>
          </w:p>
        </w:tc>
        <w:tc>
          <w:tcPr>
            <w:tcW w:w="1134" w:type="dxa"/>
            <w:tcBorders>
              <w:top w:val="nil"/>
              <w:left w:val="nil"/>
              <w:bottom w:val="single" w:color="auto" w:sz="8" w:space="0"/>
              <w:right w:val="single" w:color="auto" w:sz="4" w:space="0"/>
            </w:tcBorders>
            <w:vAlign w:val="center"/>
          </w:tcPr>
          <w:p w14:paraId="1D521B71">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897" w:type="dxa"/>
            <w:tcBorders>
              <w:top w:val="nil"/>
              <w:left w:val="single" w:color="auto" w:sz="4" w:space="0"/>
              <w:bottom w:val="single" w:color="auto" w:sz="8" w:space="0"/>
              <w:right w:val="single" w:color="auto" w:sz="8" w:space="0"/>
            </w:tcBorders>
            <w:vAlign w:val="center"/>
          </w:tcPr>
          <w:p w14:paraId="22D0C662">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088" w:type="dxa"/>
            <w:tcBorders>
              <w:top w:val="nil"/>
              <w:left w:val="nil"/>
              <w:bottom w:val="single" w:color="auto" w:sz="8" w:space="0"/>
              <w:right w:val="single" w:color="auto" w:sz="4" w:space="0"/>
            </w:tcBorders>
            <w:vAlign w:val="center"/>
          </w:tcPr>
          <w:p w14:paraId="3830E52C">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409" w:type="dxa"/>
            <w:tcBorders>
              <w:top w:val="nil"/>
              <w:left w:val="single" w:color="auto" w:sz="4" w:space="0"/>
              <w:bottom w:val="single" w:color="auto" w:sz="8" w:space="0"/>
              <w:right w:val="single" w:color="auto" w:sz="8" w:space="0"/>
            </w:tcBorders>
            <w:vAlign w:val="center"/>
          </w:tcPr>
          <w:p w14:paraId="2D0A6AC1">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705240FD">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05A81740">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3B7D9351">
            <w:pPr>
              <w:widowControl/>
              <w:spacing w:before="100" w:beforeAutospacing="1" w:after="100" w:afterAutospacing="1" w:line="376" w:lineRule="atLeast"/>
              <w:jc w:val="center"/>
              <w:rPr>
                <w:rFonts w:ascii="Arial" w:hAnsi="Arial" w:cs="Arial"/>
                <w:color w:val="000000" w:themeColor="text1"/>
                <w:kern w:val="0"/>
                <w:szCs w:val="21"/>
                <w14:textFill>
                  <w14:solidFill>
                    <w14:schemeClr w14:val="tx1"/>
                  </w14:solidFill>
                </w14:textFill>
              </w:rPr>
            </w:pPr>
          </w:p>
        </w:tc>
      </w:tr>
    </w:tbl>
    <w:p w14:paraId="06550424">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注：类别填写节能或环境标志，品目填写编号及产品名称如A02010104台式计算机。</w:t>
      </w:r>
    </w:p>
    <w:p w14:paraId="3384F442">
      <w:pPr>
        <w:snapToGrid w:val="0"/>
        <w:spacing w:before="50" w:after="120" w:afterLines="50"/>
        <w:jc w:val="left"/>
        <w:rPr>
          <w:rFonts w:ascii="Arial" w:hAnsi="Arial" w:cs="Arial"/>
          <w:color w:val="000000" w:themeColor="text1"/>
          <w:szCs w:val="21"/>
          <w14:textFill>
            <w14:solidFill>
              <w14:schemeClr w14:val="tx1"/>
            </w14:solidFill>
          </w14:textFill>
        </w:rPr>
      </w:pPr>
      <w:bookmarkStart w:id="118" w:name="_Hlk19050322"/>
    </w:p>
    <w:p w14:paraId="6DF9535C">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6．无串标行为承诺函</w:t>
      </w:r>
    </w:p>
    <w:p w14:paraId="604B66D0">
      <w:pPr>
        <w:snapToGrid w:val="0"/>
        <w:spacing w:before="50" w:after="120" w:after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投标人参加本项目无围标串标行为的承诺函</w:t>
      </w:r>
    </w:p>
    <w:p w14:paraId="2F23A0B7">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一、我方承诺无下列相互串通投标的情形：</w:t>
      </w:r>
    </w:p>
    <w:p w14:paraId="01AC9EF3">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1.不同投标人的投标文件由同一单位或者个人编制；或者不同投标人报名的IP地址一致的；</w:t>
      </w:r>
    </w:p>
    <w:p w14:paraId="6F2AD94B">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2.不同投标人委托同一单位或者个人办理投标事宜；</w:t>
      </w:r>
    </w:p>
    <w:p w14:paraId="7C028ADA">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3.不同的投标人的投标文件载明的项目管理员为同一个人；</w:t>
      </w:r>
    </w:p>
    <w:p w14:paraId="5CDF73CC">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4.不同投标人的投标文件异常一致或者投标报价呈规律性差异；</w:t>
      </w:r>
    </w:p>
    <w:p w14:paraId="77FD63FC">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5.不同投标人的投标文件相互混装；</w:t>
      </w:r>
    </w:p>
    <w:p w14:paraId="68BFDF2A">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6.不同投标人的投标保证金从同一单位或者个人账户转出。</w:t>
      </w:r>
    </w:p>
    <w:p w14:paraId="73BBFE34">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二、我方承诺无下列恶意串通的情形：</w:t>
      </w:r>
    </w:p>
    <w:p w14:paraId="3404A5FC">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1.投标人直接或者间接从采购人或者采购代理机构处获得其他投标人的相关信息并修改其投标文件或者投标文件；</w:t>
      </w:r>
    </w:p>
    <w:p w14:paraId="1FC3B7C6">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2.投标人按照采购人或者采购代理机构的授意撤换、修改投标文件或者投标文件；</w:t>
      </w:r>
    </w:p>
    <w:p w14:paraId="51CAA502">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3.投标人之间协商报价、技术方案等投标文件或者投标文件的实质性内容；</w:t>
      </w:r>
    </w:p>
    <w:p w14:paraId="392A16C1">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4.属于同一集团、协会、商会等组织成员的投标人按照该组织要求协同参加政府采购活动；</w:t>
      </w:r>
    </w:p>
    <w:p w14:paraId="723EE908">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1EC1195C">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6.投标人之间商定部分投标人放弃参加政府采购活动或者放弃中标；</w:t>
      </w:r>
    </w:p>
    <w:p w14:paraId="339D6BEB">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7.投标人与采购人或者采购代理机构之间、投标人相互之间，为谋求特定投标人中标或者排斥其他投标人的其他串通行为。</w:t>
      </w:r>
    </w:p>
    <w:p w14:paraId="7CD95F91">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以上情形一经核查属实，我方愿意承担一切后果，并不再寻求任何旨在减轻或者免除法律责任的辩解。</w:t>
      </w:r>
    </w:p>
    <w:p w14:paraId="792BD50C">
      <w:pPr>
        <w:snapToGrid w:val="0"/>
        <w:spacing w:before="50" w:after="120" w:after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                                   供应商名称(电子签章)：</w:t>
      </w:r>
    </w:p>
    <w:p w14:paraId="7CB957D0">
      <w:pPr>
        <w:snapToGrid w:val="0"/>
        <w:spacing w:before="50" w:after="120" w:after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                                 日期：  年  月   日</w:t>
      </w:r>
    </w:p>
    <w:p w14:paraId="694CC647">
      <w:pPr>
        <w:snapToGrid w:val="0"/>
        <w:spacing w:before="50" w:after="120" w:afterLines="50"/>
        <w:jc w:val="left"/>
        <w:rPr>
          <w:rFonts w:ascii="Arial" w:hAnsi="Arial" w:cs="Arial"/>
          <w:color w:val="000000" w:themeColor="text1"/>
          <w:szCs w:val="21"/>
          <w14:textFill>
            <w14:solidFill>
              <w14:schemeClr w14:val="tx1"/>
            </w14:solidFill>
          </w14:textFill>
        </w:rPr>
      </w:pPr>
    </w:p>
    <w:p w14:paraId="2B6A1D1C">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7.供应商认为需提供的其他材料（根据招标文件编写）</w:t>
      </w:r>
    </w:p>
    <w:bookmarkEnd w:id="118"/>
    <w:p w14:paraId="561B3946">
      <w:pPr>
        <w:rPr>
          <w:rFonts w:ascii="Arial" w:hAnsi="Arial" w:cs="Arial"/>
          <w:b/>
          <w:bCs/>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br w:type="page"/>
      </w:r>
    </w:p>
    <w:p w14:paraId="71D7E898">
      <w:pPr>
        <w:snapToGrid w:val="0"/>
        <w:spacing w:before="120" w:beforeLines="50" w:after="50" w:line="440" w:lineRule="exact"/>
        <w:jc w:val="center"/>
        <w:outlineLvl w:val="1"/>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第二部分 技术文件</w:t>
      </w:r>
    </w:p>
    <w:p w14:paraId="6080AB83">
      <w:pPr>
        <w:jc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（本技术文件除标注“必须提供”的部分外，其余部分供应商可自行编写，也可参照下述提纲编写）</w:t>
      </w:r>
    </w:p>
    <w:p w14:paraId="2EE840A1">
      <w:pPr>
        <w:snapToGrid w:val="0"/>
        <w:spacing w:before="50" w:after="120" w:afterLines="50"/>
        <w:jc w:val="left"/>
        <w:rPr>
          <w:rFonts w:ascii="Arial" w:hAnsi="Arial" w:cs="Arial"/>
          <w:color w:val="000000" w:themeColor="text1"/>
          <w:szCs w:val="21"/>
          <w14:textFill>
            <w14:solidFill>
              <w14:schemeClr w14:val="tx1"/>
            </w14:solidFill>
          </w14:textFill>
        </w:rPr>
      </w:pPr>
    </w:p>
    <w:p w14:paraId="62C362A1">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1．对本项目第二章《项目采购需求》技术要求的响应偏离表</w:t>
      </w:r>
      <w:r>
        <w:rPr>
          <w:rFonts w:ascii="Arial" w:hAnsi="Arial" w:cs="Arial"/>
          <w:b/>
          <w:color w:val="000000" w:themeColor="text1"/>
          <w:szCs w:val="21"/>
          <w14:textFill>
            <w14:solidFill>
              <w14:schemeClr w14:val="tx1"/>
            </w14:solidFill>
          </w14:textFill>
        </w:rPr>
        <w:t>（</w:t>
      </w:r>
      <w:r>
        <w:rPr>
          <w:rFonts w:ascii="Arial" w:hAnsi="Arial" w:cs="Arial"/>
          <w:b/>
          <w:color w:val="000000" w:themeColor="text1"/>
          <w14:textFill>
            <w14:solidFill>
              <w14:schemeClr w14:val="tx1"/>
            </w14:solidFill>
          </w14:textFill>
        </w:rPr>
        <w:t>必须提供</w:t>
      </w:r>
      <w:r>
        <w:rPr>
          <w:rFonts w:ascii="Arial" w:hAnsi="Arial" w:cs="Arial"/>
          <w:b/>
          <w:color w:val="000000" w:themeColor="text1"/>
          <w:szCs w:val="21"/>
          <w14:textFill>
            <w14:solidFill>
              <w14:schemeClr w14:val="tx1"/>
            </w14:solidFill>
          </w14:textFill>
        </w:rPr>
        <w:t>）</w:t>
      </w:r>
      <w:r>
        <w:rPr>
          <w:rFonts w:ascii="Arial" w:hAnsi="Arial" w:cs="Arial"/>
          <w:color w:val="000000" w:themeColor="text1"/>
          <w:szCs w:val="21"/>
          <w14:textFill>
            <w14:solidFill>
              <w14:schemeClr w14:val="tx1"/>
            </w14:solidFill>
          </w14:textFill>
        </w:rPr>
        <w:t>：</w:t>
      </w:r>
    </w:p>
    <w:p w14:paraId="707CFB23">
      <w:pPr>
        <w:rPr>
          <w:rFonts w:ascii="Arial" w:hAnsi="Arial" w:cs="Arial"/>
          <w:color w:val="000000" w:themeColor="text1"/>
          <w:szCs w:val="21"/>
          <w14:textFill>
            <w14:solidFill>
              <w14:schemeClr w14:val="tx1"/>
            </w14:solidFill>
          </w14:textFill>
        </w:rPr>
      </w:pPr>
    </w:p>
    <w:p w14:paraId="3DAF8DE8">
      <w:pPr>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对照第二章《项目采购需求》</w:t>
      </w:r>
      <w:r>
        <w:rPr>
          <w:rFonts w:ascii="Arial" w:hAnsi="Arial" w:cs="Arial"/>
          <w:color w:val="000000" w:themeColor="text1"/>
          <w14:textFill>
            <w14:solidFill>
              <w14:schemeClr w14:val="tx1"/>
            </w14:solidFill>
          </w14:textFill>
        </w:rPr>
        <w:t>中所列的除 “商务要求”外的技术要求的响应偏表</w:t>
      </w:r>
    </w:p>
    <w:tbl>
      <w:tblPr>
        <w:tblStyle w:val="55"/>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7017E6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632547ED">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4BCC4648">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招标文件要求</w:t>
            </w:r>
          </w:p>
        </w:tc>
        <w:tc>
          <w:tcPr>
            <w:tcW w:w="3405" w:type="dxa"/>
            <w:tcBorders>
              <w:top w:val="single" w:color="auto" w:sz="4" w:space="0"/>
              <w:left w:val="single" w:color="auto" w:sz="4" w:space="0"/>
              <w:bottom w:val="single" w:color="auto" w:sz="4" w:space="0"/>
              <w:right w:val="single" w:color="auto" w:sz="4" w:space="0"/>
            </w:tcBorders>
            <w:vAlign w:val="center"/>
          </w:tcPr>
          <w:p w14:paraId="013767B9">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投标文件响应内容</w:t>
            </w:r>
          </w:p>
          <w:p w14:paraId="3E7B88BA">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（可注明证明材料所在页码）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58B3FCC1">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14:textFill>
                  <w14:solidFill>
                    <w14:schemeClr w14:val="tx1"/>
                  </w14:solidFill>
                </w14:textFill>
              </w:rPr>
              <w:t>偏离</w:t>
            </w:r>
            <w:r>
              <w:rPr>
                <w:rFonts w:ascii="Arial" w:hAnsi="Arial" w:cs="Arial"/>
                <w:color w:val="000000" w:themeColor="text1"/>
                <w:szCs w:val="21"/>
                <w14:textFill>
                  <w14:solidFill>
                    <w14:schemeClr w14:val="tx1"/>
                  </w14:solidFill>
                </w14:textFill>
              </w:rPr>
              <w:t>说明</w:t>
            </w:r>
          </w:p>
        </w:tc>
      </w:tr>
      <w:tr w14:paraId="58AC5E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877A432">
            <w:pPr>
              <w:snapToGrid w:val="0"/>
              <w:spacing w:before="120" w:beforeLines="50"/>
              <w:jc w:val="center"/>
              <w:rPr>
                <w:rFonts w:ascii="Arial" w:hAnsi="Arial" w:cs="Arial"/>
                <w:color w:val="000000" w:themeColor="text1"/>
                <w:szCs w:val="21"/>
                <w14:textFill>
                  <w14:solidFill>
                    <w14:schemeClr w14:val="tx1"/>
                  </w14:solidFill>
                </w14:textFill>
              </w:rPr>
            </w:pPr>
          </w:p>
        </w:tc>
        <w:tc>
          <w:tcPr>
            <w:tcW w:w="3595" w:type="dxa"/>
            <w:tcBorders>
              <w:top w:val="single" w:color="auto" w:sz="4" w:space="0"/>
              <w:left w:val="single" w:color="auto" w:sz="4" w:space="0"/>
              <w:bottom w:val="single" w:color="auto" w:sz="4" w:space="0"/>
              <w:right w:val="single" w:color="auto" w:sz="4" w:space="0"/>
            </w:tcBorders>
            <w:vAlign w:val="center"/>
          </w:tcPr>
          <w:p w14:paraId="0362A823">
            <w:pPr>
              <w:snapToGrid w:val="0"/>
              <w:spacing w:before="120" w:beforeLines="50"/>
              <w:jc w:val="center"/>
              <w:rPr>
                <w:rFonts w:ascii="Arial" w:hAnsi="Arial" w:cs="Arial"/>
                <w:color w:val="000000" w:themeColor="text1"/>
                <w:szCs w:val="21"/>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29510401">
            <w:pPr>
              <w:snapToGrid w:val="0"/>
              <w:spacing w:before="120" w:beforeLines="50"/>
              <w:jc w:val="center"/>
              <w:rPr>
                <w:rFonts w:ascii="Arial" w:hAnsi="Arial" w:cs="Arial"/>
                <w:color w:val="000000" w:themeColor="text1"/>
                <w:szCs w:val="21"/>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68D9B7FE">
            <w:pPr>
              <w:snapToGrid w:val="0"/>
              <w:spacing w:before="120" w:beforeLines="50"/>
              <w:jc w:val="center"/>
              <w:rPr>
                <w:rFonts w:ascii="Arial" w:hAnsi="Arial" w:cs="Arial"/>
                <w:color w:val="000000" w:themeColor="text1"/>
                <w:szCs w:val="21"/>
                <w14:textFill>
                  <w14:solidFill>
                    <w14:schemeClr w14:val="tx1"/>
                  </w14:solidFill>
                </w14:textFill>
              </w:rPr>
            </w:pPr>
          </w:p>
        </w:tc>
      </w:tr>
      <w:tr w14:paraId="08C411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E3D7798">
            <w:pPr>
              <w:snapToGrid w:val="0"/>
              <w:spacing w:before="120" w:beforeLines="50"/>
              <w:jc w:val="center"/>
              <w:rPr>
                <w:rFonts w:ascii="Arial" w:hAnsi="Arial" w:cs="Arial"/>
                <w:color w:val="000000" w:themeColor="text1"/>
                <w:szCs w:val="21"/>
                <w14:textFill>
                  <w14:solidFill>
                    <w14:schemeClr w14:val="tx1"/>
                  </w14:solidFill>
                </w14:textFill>
              </w:rPr>
            </w:pPr>
          </w:p>
        </w:tc>
        <w:tc>
          <w:tcPr>
            <w:tcW w:w="3595" w:type="dxa"/>
            <w:tcBorders>
              <w:top w:val="single" w:color="auto" w:sz="4" w:space="0"/>
              <w:left w:val="single" w:color="auto" w:sz="4" w:space="0"/>
              <w:bottom w:val="single" w:color="auto" w:sz="4" w:space="0"/>
              <w:right w:val="single" w:color="auto" w:sz="4" w:space="0"/>
            </w:tcBorders>
            <w:vAlign w:val="center"/>
          </w:tcPr>
          <w:p w14:paraId="4BFC7D1E">
            <w:pPr>
              <w:snapToGrid w:val="0"/>
              <w:spacing w:before="120" w:beforeLines="50"/>
              <w:jc w:val="center"/>
              <w:rPr>
                <w:rFonts w:ascii="Arial" w:hAnsi="Arial" w:cs="Arial"/>
                <w:color w:val="000000" w:themeColor="text1"/>
                <w:szCs w:val="21"/>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3F63950F">
            <w:pPr>
              <w:snapToGrid w:val="0"/>
              <w:spacing w:before="120" w:beforeLines="50"/>
              <w:jc w:val="center"/>
              <w:rPr>
                <w:rFonts w:ascii="Arial" w:hAnsi="Arial" w:cs="Arial"/>
                <w:color w:val="000000" w:themeColor="text1"/>
                <w:szCs w:val="21"/>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0CC4A89E">
            <w:pPr>
              <w:snapToGrid w:val="0"/>
              <w:spacing w:before="120" w:beforeLines="50"/>
              <w:jc w:val="center"/>
              <w:rPr>
                <w:rFonts w:ascii="Arial" w:hAnsi="Arial" w:cs="Arial"/>
                <w:color w:val="000000" w:themeColor="text1"/>
                <w:szCs w:val="21"/>
                <w14:textFill>
                  <w14:solidFill>
                    <w14:schemeClr w14:val="tx1"/>
                  </w14:solidFill>
                </w14:textFill>
              </w:rPr>
            </w:pPr>
          </w:p>
        </w:tc>
      </w:tr>
      <w:tr w14:paraId="329C5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2160DE4">
            <w:pPr>
              <w:snapToGrid w:val="0"/>
              <w:spacing w:before="120" w:beforeLines="50"/>
              <w:jc w:val="center"/>
              <w:rPr>
                <w:rFonts w:ascii="Arial" w:hAnsi="Arial" w:cs="Arial"/>
                <w:color w:val="000000" w:themeColor="text1"/>
                <w:szCs w:val="21"/>
                <w14:textFill>
                  <w14:solidFill>
                    <w14:schemeClr w14:val="tx1"/>
                  </w14:solidFill>
                </w14:textFill>
              </w:rPr>
            </w:pPr>
          </w:p>
        </w:tc>
        <w:tc>
          <w:tcPr>
            <w:tcW w:w="3595" w:type="dxa"/>
            <w:tcBorders>
              <w:top w:val="single" w:color="auto" w:sz="4" w:space="0"/>
              <w:left w:val="single" w:color="auto" w:sz="4" w:space="0"/>
              <w:bottom w:val="single" w:color="auto" w:sz="4" w:space="0"/>
              <w:right w:val="single" w:color="auto" w:sz="4" w:space="0"/>
            </w:tcBorders>
            <w:vAlign w:val="center"/>
          </w:tcPr>
          <w:p w14:paraId="3D390096">
            <w:pPr>
              <w:snapToGrid w:val="0"/>
              <w:spacing w:before="120" w:beforeLines="50"/>
              <w:jc w:val="center"/>
              <w:rPr>
                <w:rFonts w:ascii="Arial" w:hAnsi="Arial" w:cs="Arial"/>
                <w:color w:val="000000" w:themeColor="text1"/>
                <w:szCs w:val="21"/>
                <w14:textFill>
                  <w14:solidFill>
                    <w14:schemeClr w14:val="tx1"/>
                  </w14:solidFill>
                </w14:textFill>
              </w:rPr>
            </w:pPr>
          </w:p>
        </w:tc>
        <w:tc>
          <w:tcPr>
            <w:tcW w:w="3405" w:type="dxa"/>
            <w:tcBorders>
              <w:top w:val="single" w:color="auto" w:sz="4" w:space="0"/>
              <w:left w:val="single" w:color="auto" w:sz="4" w:space="0"/>
              <w:bottom w:val="single" w:color="auto" w:sz="4" w:space="0"/>
              <w:right w:val="single" w:color="auto" w:sz="4" w:space="0"/>
            </w:tcBorders>
            <w:vAlign w:val="center"/>
          </w:tcPr>
          <w:p w14:paraId="72C5A9E2">
            <w:pPr>
              <w:snapToGrid w:val="0"/>
              <w:spacing w:before="120" w:beforeLines="50"/>
              <w:jc w:val="center"/>
              <w:rPr>
                <w:rFonts w:ascii="Arial" w:hAnsi="Arial" w:cs="Arial"/>
                <w:color w:val="000000" w:themeColor="text1"/>
                <w:szCs w:val="21"/>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vAlign w:val="center"/>
          </w:tcPr>
          <w:p w14:paraId="30C7B5B7">
            <w:pPr>
              <w:snapToGrid w:val="0"/>
              <w:spacing w:before="120" w:beforeLines="50"/>
              <w:jc w:val="center"/>
              <w:rPr>
                <w:rFonts w:ascii="Arial" w:hAnsi="Arial" w:cs="Arial"/>
                <w:color w:val="000000" w:themeColor="text1"/>
                <w:szCs w:val="21"/>
                <w14:textFill>
                  <w14:solidFill>
                    <w14:schemeClr w14:val="tx1"/>
                  </w14:solidFill>
                </w14:textFill>
              </w:rPr>
            </w:pPr>
          </w:p>
        </w:tc>
      </w:tr>
      <w:tr w14:paraId="62014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2B0AF19">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w:t>
            </w:r>
          </w:p>
        </w:tc>
        <w:tc>
          <w:tcPr>
            <w:tcW w:w="3595" w:type="dxa"/>
            <w:tcBorders>
              <w:top w:val="single" w:color="auto" w:sz="4" w:space="0"/>
              <w:left w:val="single" w:color="auto" w:sz="4" w:space="0"/>
              <w:bottom w:val="single" w:color="auto" w:sz="4" w:space="0"/>
              <w:right w:val="single" w:color="auto" w:sz="4" w:space="0"/>
            </w:tcBorders>
            <w:vAlign w:val="center"/>
          </w:tcPr>
          <w:p w14:paraId="53B654BD">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w:t>
            </w:r>
          </w:p>
        </w:tc>
        <w:tc>
          <w:tcPr>
            <w:tcW w:w="3405" w:type="dxa"/>
            <w:tcBorders>
              <w:top w:val="single" w:color="auto" w:sz="4" w:space="0"/>
              <w:left w:val="single" w:color="auto" w:sz="4" w:space="0"/>
              <w:bottom w:val="single" w:color="auto" w:sz="4" w:space="0"/>
              <w:right w:val="single" w:color="auto" w:sz="4" w:space="0"/>
            </w:tcBorders>
            <w:vAlign w:val="center"/>
          </w:tcPr>
          <w:p w14:paraId="322ADEDA">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w:t>
            </w:r>
          </w:p>
        </w:tc>
        <w:tc>
          <w:tcPr>
            <w:tcW w:w="1082" w:type="dxa"/>
            <w:tcBorders>
              <w:top w:val="single" w:color="auto" w:sz="4" w:space="0"/>
              <w:left w:val="single" w:color="auto" w:sz="4" w:space="0"/>
              <w:bottom w:val="single" w:color="auto" w:sz="4" w:space="0"/>
              <w:right w:val="single" w:color="auto" w:sz="4" w:space="0"/>
            </w:tcBorders>
            <w:vAlign w:val="center"/>
          </w:tcPr>
          <w:p w14:paraId="794C5216">
            <w:pPr>
              <w:snapToGrid w:val="0"/>
              <w:spacing w:before="120" w:beforeLines="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w:t>
            </w:r>
          </w:p>
        </w:tc>
      </w:tr>
    </w:tbl>
    <w:p w14:paraId="678078E4">
      <w:pPr>
        <w:rPr>
          <w:rFonts w:ascii="Arial" w:hAnsi="Arial" w:cs="Arial"/>
          <w:color w:val="000000" w:themeColor="text1"/>
          <w:szCs w:val="21"/>
          <w14:textFill>
            <w14:solidFill>
              <w14:schemeClr w14:val="tx1"/>
            </w14:solidFill>
          </w14:textFill>
        </w:rPr>
      </w:pPr>
    </w:p>
    <w:p w14:paraId="34FE6E86">
      <w:pPr>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注：</w:t>
      </w:r>
      <w:r>
        <w:rPr>
          <w:rFonts w:ascii="Arial" w:hAnsi="Arial" w:cs="Arial"/>
          <w:color w:val="000000" w:themeColor="text1"/>
          <w14:textFill>
            <w14:solidFill>
              <w14:schemeClr w14:val="tx1"/>
            </w14:solidFill>
          </w14:textFill>
        </w:rPr>
        <w:t>（1）</w:t>
      </w:r>
      <w:r>
        <w:rPr>
          <w:rFonts w:ascii="Arial" w:hAnsi="Arial" w:cs="Arial"/>
          <w:color w:val="000000" w:themeColor="text1"/>
          <w:szCs w:val="21"/>
          <w14:textFill>
            <w14:solidFill>
              <w14:schemeClr w14:val="tx1"/>
            </w14:solidFill>
          </w14:textFill>
        </w:rPr>
        <w:t>供应商应根据投标设备的性能指标、对照第二章《项目采购需求》</w:t>
      </w:r>
      <w:r>
        <w:rPr>
          <w:rFonts w:ascii="Arial" w:hAnsi="Arial" w:cs="Arial"/>
          <w:color w:val="000000" w:themeColor="text1"/>
          <w14:textFill>
            <w14:solidFill>
              <w14:schemeClr w14:val="tx1"/>
            </w14:solidFill>
          </w14:textFill>
        </w:rPr>
        <w:t>中所列技术要求（除 “总体要求”、“核心产品”、质量保证”及“</w:t>
      </w:r>
      <w:r>
        <w:rPr>
          <w:rFonts w:ascii="Arial" w:hAnsi="Arial" w:cs="Arial"/>
          <w:color w:val="000000" w:themeColor="text1"/>
          <w:szCs w:val="21"/>
          <w14:textFill>
            <w14:solidFill>
              <w14:schemeClr w14:val="tx1"/>
            </w14:solidFill>
          </w14:textFill>
        </w:rPr>
        <w:t>备品备件及易损件</w:t>
      </w:r>
      <w:r>
        <w:rPr>
          <w:rFonts w:ascii="Arial" w:hAnsi="Arial" w:cs="Arial"/>
          <w:color w:val="000000" w:themeColor="text1"/>
          <w14:textFill>
            <w14:solidFill>
              <w14:schemeClr w14:val="tx1"/>
            </w14:solidFill>
          </w14:textFill>
        </w:rPr>
        <w:t>”外）</w:t>
      </w:r>
      <w:r>
        <w:rPr>
          <w:rFonts w:ascii="Arial" w:hAnsi="Arial" w:cs="Arial"/>
          <w:color w:val="000000" w:themeColor="text1"/>
          <w:szCs w:val="21"/>
          <w14:textFill>
            <w14:solidFill>
              <w14:schemeClr w14:val="tx1"/>
            </w14:solidFill>
          </w14:textFill>
        </w:rPr>
        <w:t>逐条在“偏离说明”栏注明</w:t>
      </w:r>
      <w:r>
        <w:rPr>
          <w:rFonts w:ascii="Arial" w:hAnsi="Arial" w:cs="Arial"/>
          <w:color w:val="000000" w:themeColor="text1"/>
          <w14:textFill>
            <w14:solidFill>
              <w14:schemeClr w14:val="tx1"/>
            </w14:solidFill>
          </w14:textFill>
        </w:rPr>
        <w:t>“正偏离”</w:t>
      </w:r>
      <w:r>
        <w:rPr>
          <w:rFonts w:ascii="Arial" w:hAnsi="Arial" w:cs="Arial"/>
          <w:color w:val="000000" w:themeColor="text1"/>
          <w:szCs w:val="21"/>
          <w14:textFill>
            <w14:solidFill>
              <w14:schemeClr w14:val="tx1"/>
            </w14:solidFill>
          </w14:textFill>
        </w:rPr>
        <w:t>、</w:t>
      </w:r>
      <w:r>
        <w:rPr>
          <w:rFonts w:ascii="Arial" w:hAnsi="Arial" w:cs="Arial"/>
          <w:color w:val="000000" w:themeColor="text1"/>
          <w14:textFill>
            <w14:solidFill>
              <w14:schemeClr w14:val="tx1"/>
            </w14:solidFill>
          </w14:textFill>
        </w:rPr>
        <w:t xml:space="preserve"> “负偏离”</w:t>
      </w:r>
      <w:r>
        <w:rPr>
          <w:rFonts w:ascii="Arial" w:hAnsi="Arial" w:cs="Arial"/>
          <w:color w:val="000000" w:themeColor="text1"/>
          <w:szCs w:val="21"/>
          <w14:textFill>
            <w14:solidFill>
              <w14:schemeClr w14:val="tx1"/>
            </w14:solidFill>
          </w14:textFill>
        </w:rPr>
        <w:t>或</w:t>
      </w:r>
      <w:r>
        <w:rPr>
          <w:rFonts w:ascii="Arial" w:hAnsi="Arial" w:cs="Arial"/>
          <w:color w:val="000000" w:themeColor="text1"/>
          <w14:textFill>
            <w14:solidFill>
              <w14:schemeClr w14:val="tx1"/>
            </w14:solidFill>
          </w14:textFill>
        </w:rPr>
        <w:t>“无偏离”</w:t>
      </w:r>
      <w:r>
        <w:rPr>
          <w:rFonts w:ascii="Arial" w:hAnsi="Arial" w:cs="Arial"/>
          <w:color w:val="000000" w:themeColor="text1"/>
          <w:szCs w:val="21"/>
          <w14:textFill>
            <w14:solidFill>
              <w14:schemeClr w14:val="tx1"/>
            </w14:solidFill>
          </w14:textFill>
        </w:rPr>
        <w:t>。</w:t>
      </w:r>
      <w:r>
        <w:rPr>
          <w:rFonts w:ascii="Arial" w:hAnsi="Arial" w:cs="Arial"/>
          <w:color w:val="000000" w:themeColor="text1"/>
          <w14:textFill>
            <w14:solidFill>
              <w14:schemeClr w14:val="tx1"/>
            </w14:solidFill>
          </w14:textFill>
        </w:rPr>
        <w:t>填写“正偏离”或“无偏离”时，如相应条款在投标文件其他部分描述明确不满足招标文件要求时，评标委员会将按不满足要求进行评审。（2）</w:t>
      </w:r>
      <w:r>
        <w:rPr>
          <w:rFonts w:ascii="Arial" w:hAnsi="Arial" w:cs="Arial"/>
          <w:color w:val="000000" w:themeColor="text1"/>
          <w:szCs w:val="21"/>
          <w14:textFill>
            <w14:solidFill>
              <w14:schemeClr w14:val="tx1"/>
            </w14:solidFill>
          </w14:textFill>
        </w:rPr>
        <w:t>投标技术规格与招标要求相同的为无偏离，投标技术规格高于招标要求的为正偏离，低于招标要求的为负偏离。</w:t>
      </w:r>
      <w:r>
        <w:rPr>
          <w:rFonts w:ascii="Arial" w:hAnsi="Arial" w:cs="Arial"/>
          <w:color w:val="000000" w:themeColor="text1"/>
          <w14:textFill>
            <w14:solidFill>
              <w14:schemeClr w14:val="tx1"/>
            </w14:solidFill>
          </w14:textFill>
        </w:rPr>
        <w:t>（3）本表可扩展。</w:t>
      </w:r>
    </w:p>
    <w:p w14:paraId="06A9FC7B">
      <w:pPr>
        <w:rPr>
          <w:rFonts w:ascii="Arial" w:hAnsi="Arial" w:cs="Arial"/>
          <w:color w:val="000000" w:themeColor="text1"/>
          <w:szCs w:val="21"/>
          <w14:textFill>
            <w14:solidFill>
              <w14:schemeClr w14:val="tx1"/>
            </w14:solidFill>
          </w14:textFill>
        </w:rPr>
      </w:pPr>
    </w:p>
    <w:p w14:paraId="334C259A">
      <w:pPr>
        <w:pStyle w:val="30"/>
        <w:rPr>
          <w:rFonts w:ascii="Arial" w:hAnsi="Arial" w:cs="Arial"/>
          <w:color w:val="000000" w:themeColor="text1"/>
          <w14:textFill>
            <w14:solidFill>
              <w14:schemeClr w14:val="tx1"/>
            </w14:solidFill>
          </w14:textFill>
        </w:rPr>
      </w:pPr>
    </w:p>
    <w:p w14:paraId="219886B2">
      <w:pPr>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法定代表人或授权代表签字或个人CA签章</w:t>
      </w:r>
      <w:r>
        <w:rPr>
          <w:rFonts w:ascii="Arial" w:hAnsi="Arial" w:cs="Arial"/>
          <w:color w:val="000000" w:themeColor="text1"/>
          <w:spacing w:val="20"/>
          <w:szCs w:val="21"/>
          <w14:textFill>
            <w14:solidFill>
              <w14:schemeClr w14:val="tx1"/>
            </w14:solidFill>
          </w14:textFill>
        </w:rPr>
        <w:t>：</w:t>
      </w:r>
    </w:p>
    <w:p w14:paraId="23810B37">
      <w:pPr>
        <w:rPr>
          <w:rFonts w:ascii="Arial" w:hAnsi="Arial" w:cs="Arial"/>
          <w:color w:val="000000" w:themeColor="text1"/>
          <w:spacing w:val="20"/>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供应商公章</w:t>
      </w:r>
      <w:r>
        <w:rPr>
          <w:rFonts w:ascii="Arial" w:hAnsi="Arial" w:cs="Arial"/>
          <w:color w:val="000000" w:themeColor="text1"/>
          <w:szCs w:val="21"/>
          <w14:textFill>
            <w14:solidFill>
              <w14:schemeClr w14:val="tx1"/>
            </w14:solidFill>
          </w14:textFill>
        </w:rPr>
        <w:t>（CA签章）</w:t>
      </w:r>
      <w:r>
        <w:rPr>
          <w:rFonts w:ascii="Arial" w:hAnsi="Arial" w:cs="Arial"/>
          <w:color w:val="000000" w:themeColor="text1"/>
          <w:spacing w:val="20"/>
          <w:szCs w:val="21"/>
          <w14:textFill>
            <w14:solidFill>
              <w14:schemeClr w14:val="tx1"/>
            </w14:solidFill>
          </w14:textFill>
        </w:rPr>
        <w:t xml:space="preserve">： </w:t>
      </w:r>
    </w:p>
    <w:p w14:paraId="0B03A888">
      <w:pPr>
        <w:rPr>
          <w:rFonts w:ascii="Arial" w:hAnsi="Arial" w:cs="Arial"/>
          <w:color w:val="000000" w:themeColor="text1"/>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日 期：</w:t>
      </w:r>
    </w:p>
    <w:p w14:paraId="576723F4">
      <w:pPr>
        <w:snapToGrid w:val="0"/>
        <w:spacing w:before="50" w:after="120" w:afterLines="50"/>
        <w:jc w:val="left"/>
        <w:rPr>
          <w:rFonts w:ascii="Arial" w:hAnsi="Arial" w:cs="Arial"/>
          <w:color w:val="000000" w:themeColor="text1"/>
          <w:szCs w:val="21"/>
          <w14:textFill>
            <w14:solidFill>
              <w14:schemeClr w14:val="tx1"/>
            </w14:solidFill>
          </w14:textFill>
        </w:rPr>
      </w:pPr>
    </w:p>
    <w:p w14:paraId="1944F05A">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2．货物或产品配置清单格式：</w:t>
      </w:r>
    </w:p>
    <w:tbl>
      <w:tblPr>
        <w:tblStyle w:val="55"/>
        <w:tblW w:w="88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8"/>
        <w:gridCol w:w="1665"/>
        <w:gridCol w:w="1163"/>
        <w:gridCol w:w="1152"/>
        <w:gridCol w:w="1581"/>
        <w:gridCol w:w="1679"/>
        <w:gridCol w:w="1069"/>
      </w:tblGrid>
      <w:tr w14:paraId="189DB4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548" w:type="dxa"/>
            <w:tcBorders>
              <w:top w:val="single" w:color="auto" w:sz="4" w:space="0"/>
              <w:left w:val="single" w:color="auto" w:sz="4" w:space="0"/>
              <w:bottom w:val="single" w:color="auto" w:sz="4" w:space="0"/>
              <w:right w:val="single" w:color="auto" w:sz="4" w:space="0"/>
            </w:tcBorders>
            <w:vAlign w:val="center"/>
          </w:tcPr>
          <w:p w14:paraId="34555DE1">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序号</w:t>
            </w:r>
          </w:p>
        </w:tc>
        <w:tc>
          <w:tcPr>
            <w:tcW w:w="1665" w:type="dxa"/>
            <w:tcBorders>
              <w:top w:val="single" w:color="auto" w:sz="4" w:space="0"/>
              <w:left w:val="single" w:color="auto" w:sz="4" w:space="0"/>
              <w:bottom w:val="single" w:color="auto" w:sz="4" w:space="0"/>
              <w:right w:val="single" w:color="auto" w:sz="4" w:space="0"/>
            </w:tcBorders>
            <w:vAlign w:val="center"/>
          </w:tcPr>
          <w:p w14:paraId="071BC1B5">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货物或产品</w:t>
            </w:r>
          </w:p>
          <w:p w14:paraId="0019600E">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名称</w:t>
            </w:r>
          </w:p>
        </w:tc>
        <w:tc>
          <w:tcPr>
            <w:tcW w:w="1163" w:type="dxa"/>
            <w:tcBorders>
              <w:top w:val="single" w:color="auto" w:sz="4" w:space="0"/>
              <w:left w:val="single" w:color="auto" w:sz="4" w:space="0"/>
              <w:bottom w:val="single" w:color="auto" w:sz="4" w:space="0"/>
              <w:right w:val="single" w:color="auto" w:sz="4" w:space="0"/>
            </w:tcBorders>
            <w:vAlign w:val="center"/>
          </w:tcPr>
          <w:p w14:paraId="10BFE76D">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品牌或制造商</w:t>
            </w:r>
          </w:p>
        </w:tc>
        <w:tc>
          <w:tcPr>
            <w:tcW w:w="1152" w:type="dxa"/>
            <w:tcBorders>
              <w:top w:val="single" w:color="auto" w:sz="4" w:space="0"/>
              <w:left w:val="single" w:color="auto" w:sz="4" w:space="0"/>
              <w:bottom w:val="single" w:color="auto" w:sz="4" w:space="0"/>
              <w:right w:val="single" w:color="auto" w:sz="4" w:space="0"/>
            </w:tcBorders>
            <w:vAlign w:val="center"/>
          </w:tcPr>
          <w:p w14:paraId="3834DBE5">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规格型号</w:t>
            </w:r>
          </w:p>
        </w:tc>
        <w:tc>
          <w:tcPr>
            <w:tcW w:w="1581" w:type="dxa"/>
            <w:tcBorders>
              <w:top w:val="single" w:color="auto" w:sz="4" w:space="0"/>
              <w:left w:val="single" w:color="auto" w:sz="4" w:space="0"/>
              <w:bottom w:val="single" w:color="auto" w:sz="4" w:space="0"/>
              <w:right w:val="single" w:color="auto" w:sz="4" w:space="0"/>
            </w:tcBorders>
            <w:vAlign w:val="center"/>
          </w:tcPr>
          <w:p w14:paraId="082E20AB">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单位及数量</w:t>
            </w:r>
          </w:p>
        </w:tc>
        <w:tc>
          <w:tcPr>
            <w:tcW w:w="1679" w:type="dxa"/>
            <w:tcBorders>
              <w:top w:val="single" w:color="auto" w:sz="4" w:space="0"/>
              <w:left w:val="single" w:color="auto" w:sz="4" w:space="0"/>
              <w:bottom w:val="single" w:color="auto" w:sz="4" w:space="0"/>
              <w:right w:val="single" w:color="auto" w:sz="4" w:space="0"/>
            </w:tcBorders>
            <w:vAlign w:val="center"/>
          </w:tcPr>
          <w:p w14:paraId="1E6A746C">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性能及指标</w:t>
            </w:r>
          </w:p>
        </w:tc>
        <w:tc>
          <w:tcPr>
            <w:tcW w:w="1069" w:type="dxa"/>
            <w:tcBorders>
              <w:top w:val="single" w:color="auto" w:sz="4" w:space="0"/>
              <w:left w:val="single" w:color="auto" w:sz="4" w:space="0"/>
              <w:bottom w:val="single" w:color="auto" w:sz="4" w:space="0"/>
              <w:right w:val="single" w:color="auto" w:sz="4" w:space="0"/>
            </w:tcBorders>
            <w:vAlign w:val="center"/>
          </w:tcPr>
          <w:p w14:paraId="558976CE">
            <w:pPr>
              <w:snapToGrid w:val="0"/>
              <w:spacing w:before="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产地</w:t>
            </w:r>
          </w:p>
        </w:tc>
      </w:tr>
      <w:tr w14:paraId="644E3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548" w:type="dxa"/>
            <w:tcBorders>
              <w:top w:val="single" w:color="auto" w:sz="4" w:space="0"/>
              <w:left w:val="single" w:color="auto" w:sz="4" w:space="0"/>
              <w:bottom w:val="single" w:color="auto" w:sz="4" w:space="0"/>
              <w:right w:val="single" w:color="auto" w:sz="4" w:space="0"/>
            </w:tcBorders>
            <w:vAlign w:val="center"/>
          </w:tcPr>
          <w:p w14:paraId="147FDB77">
            <w:pPr>
              <w:snapToGrid w:val="0"/>
              <w:spacing w:before="50" w:after="50"/>
              <w:jc w:val="center"/>
              <w:rPr>
                <w:rFonts w:ascii="Arial" w:hAnsi="Arial" w:cs="Arial"/>
                <w:color w:val="000000" w:themeColor="text1"/>
                <w:szCs w:val="2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14:paraId="638C6E22">
            <w:pPr>
              <w:snapToGrid w:val="0"/>
              <w:spacing w:before="50" w:after="50"/>
              <w:rPr>
                <w:rFonts w:ascii="Arial" w:hAnsi="Arial" w:cs="Arial"/>
                <w:color w:val="000000" w:themeColor="text1"/>
                <w:szCs w:val="21"/>
                <w14:textFill>
                  <w14:solidFill>
                    <w14:schemeClr w14:val="tx1"/>
                  </w14:solidFill>
                </w14:textFill>
              </w:rPr>
            </w:pPr>
          </w:p>
        </w:tc>
        <w:tc>
          <w:tcPr>
            <w:tcW w:w="1163" w:type="dxa"/>
            <w:tcBorders>
              <w:top w:val="single" w:color="auto" w:sz="4" w:space="0"/>
              <w:left w:val="single" w:color="auto" w:sz="4" w:space="0"/>
              <w:bottom w:val="single" w:color="auto" w:sz="4" w:space="0"/>
              <w:right w:val="single" w:color="auto" w:sz="4" w:space="0"/>
            </w:tcBorders>
            <w:vAlign w:val="center"/>
          </w:tcPr>
          <w:p w14:paraId="2D2B430F">
            <w:pPr>
              <w:snapToGrid w:val="0"/>
              <w:spacing w:before="50" w:after="50"/>
              <w:jc w:val="center"/>
              <w:rPr>
                <w:rFonts w:ascii="Arial" w:hAnsi="Arial" w:cs="Arial"/>
                <w:color w:val="000000" w:themeColor="text1"/>
                <w:szCs w:val="21"/>
                <w14:textFill>
                  <w14:solidFill>
                    <w14:schemeClr w14:val="tx1"/>
                  </w14:solidFill>
                </w14:textFill>
              </w:rPr>
            </w:pPr>
          </w:p>
        </w:tc>
        <w:tc>
          <w:tcPr>
            <w:tcW w:w="1152" w:type="dxa"/>
            <w:tcBorders>
              <w:top w:val="single" w:color="auto" w:sz="4" w:space="0"/>
              <w:left w:val="single" w:color="auto" w:sz="4" w:space="0"/>
              <w:bottom w:val="single" w:color="auto" w:sz="4" w:space="0"/>
              <w:right w:val="single" w:color="auto" w:sz="4" w:space="0"/>
            </w:tcBorders>
            <w:vAlign w:val="center"/>
          </w:tcPr>
          <w:p w14:paraId="3BEB27A3">
            <w:pPr>
              <w:snapToGrid w:val="0"/>
              <w:spacing w:before="50" w:after="50"/>
              <w:jc w:val="center"/>
              <w:rPr>
                <w:rFonts w:ascii="Arial" w:hAnsi="Arial" w:cs="Arial"/>
                <w:color w:val="000000" w:themeColor="text1"/>
                <w:szCs w:val="21"/>
                <w14:textFill>
                  <w14:solidFill>
                    <w14:schemeClr w14:val="tx1"/>
                  </w14:solidFill>
                </w14:textFill>
              </w:rPr>
            </w:pPr>
          </w:p>
        </w:tc>
        <w:tc>
          <w:tcPr>
            <w:tcW w:w="1581" w:type="dxa"/>
            <w:tcBorders>
              <w:top w:val="single" w:color="auto" w:sz="4" w:space="0"/>
              <w:left w:val="single" w:color="auto" w:sz="4" w:space="0"/>
              <w:bottom w:val="single" w:color="auto" w:sz="4" w:space="0"/>
              <w:right w:val="single" w:color="auto" w:sz="4" w:space="0"/>
            </w:tcBorders>
            <w:vAlign w:val="center"/>
          </w:tcPr>
          <w:p w14:paraId="0D0D43D1">
            <w:pPr>
              <w:snapToGrid w:val="0"/>
              <w:spacing w:before="50" w:after="50"/>
              <w:jc w:val="center"/>
              <w:rPr>
                <w:rFonts w:ascii="Arial" w:hAnsi="Arial" w:cs="Arial"/>
                <w:color w:val="000000" w:themeColor="text1"/>
                <w:szCs w:val="21"/>
                <w14:textFill>
                  <w14:solidFill>
                    <w14:schemeClr w14:val="tx1"/>
                  </w14:solidFill>
                </w14:textFill>
              </w:rPr>
            </w:pPr>
          </w:p>
        </w:tc>
        <w:tc>
          <w:tcPr>
            <w:tcW w:w="1679" w:type="dxa"/>
            <w:tcBorders>
              <w:top w:val="single" w:color="auto" w:sz="4" w:space="0"/>
              <w:left w:val="single" w:color="auto" w:sz="4" w:space="0"/>
              <w:bottom w:val="single" w:color="auto" w:sz="4" w:space="0"/>
              <w:right w:val="single" w:color="auto" w:sz="4" w:space="0"/>
            </w:tcBorders>
            <w:vAlign w:val="center"/>
          </w:tcPr>
          <w:p w14:paraId="1A19E334">
            <w:pPr>
              <w:snapToGrid w:val="0"/>
              <w:spacing w:before="50" w:after="50"/>
              <w:jc w:val="center"/>
              <w:rPr>
                <w:rFonts w:ascii="Arial" w:hAnsi="Arial" w:cs="Arial"/>
                <w:color w:val="000000" w:themeColor="text1"/>
                <w:szCs w:val="21"/>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vAlign w:val="center"/>
          </w:tcPr>
          <w:p w14:paraId="740F4FD6">
            <w:pPr>
              <w:snapToGrid w:val="0"/>
              <w:spacing w:before="50" w:after="50"/>
              <w:jc w:val="center"/>
              <w:rPr>
                <w:rFonts w:ascii="Arial" w:hAnsi="Arial" w:cs="Arial"/>
                <w:color w:val="000000" w:themeColor="text1"/>
                <w:szCs w:val="21"/>
                <w14:textFill>
                  <w14:solidFill>
                    <w14:schemeClr w14:val="tx1"/>
                  </w14:solidFill>
                </w14:textFill>
              </w:rPr>
            </w:pPr>
          </w:p>
        </w:tc>
      </w:tr>
      <w:tr w14:paraId="408B3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548" w:type="dxa"/>
            <w:tcBorders>
              <w:top w:val="single" w:color="auto" w:sz="4" w:space="0"/>
              <w:left w:val="single" w:color="auto" w:sz="4" w:space="0"/>
              <w:bottom w:val="single" w:color="auto" w:sz="4" w:space="0"/>
              <w:right w:val="single" w:color="auto" w:sz="4" w:space="0"/>
            </w:tcBorders>
            <w:vAlign w:val="center"/>
          </w:tcPr>
          <w:p w14:paraId="7024B7F4">
            <w:pPr>
              <w:snapToGrid w:val="0"/>
              <w:spacing w:before="50" w:after="50"/>
              <w:jc w:val="center"/>
              <w:rPr>
                <w:rFonts w:ascii="Arial" w:hAnsi="Arial" w:cs="Arial"/>
                <w:color w:val="000000" w:themeColor="text1"/>
                <w:szCs w:val="2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14:paraId="51160B38">
            <w:pPr>
              <w:snapToGrid w:val="0"/>
              <w:spacing w:before="50" w:after="50"/>
              <w:jc w:val="center"/>
              <w:rPr>
                <w:rFonts w:ascii="Arial" w:hAnsi="Arial" w:cs="Arial"/>
                <w:color w:val="000000" w:themeColor="text1"/>
                <w:szCs w:val="21"/>
                <w14:textFill>
                  <w14:solidFill>
                    <w14:schemeClr w14:val="tx1"/>
                  </w14:solidFill>
                </w14:textFill>
              </w:rPr>
            </w:pPr>
          </w:p>
        </w:tc>
        <w:tc>
          <w:tcPr>
            <w:tcW w:w="1163" w:type="dxa"/>
            <w:tcBorders>
              <w:top w:val="single" w:color="auto" w:sz="4" w:space="0"/>
              <w:left w:val="single" w:color="auto" w:sz="4" w:space="0"/>
              <w:bottom w:val="single" w:color="auto" w:sz="4" w:space="0"/>
              <w:right w:val="single" w:color="auto" w:sz="4" w:space="0"/>
            </w:tcBorders>
            <w:vAlign w:val="center"/>
          </w:tcPr>
          <w:p w14:paraId="21B34E70">
            <w:pPr>
              <w:snapToGrid w:val="0"/>
              <w:spacing w:before="50" w:after="50"/>
              <w:jc w:val="center"/>
              <w:rPr>
                <w:rFonts w:ascii="Arial" w:hAnsi="Arial" w:cs="Arial"/>
                <w:color w:val="000000" w:themeColor="text1"/>
                <w:szCs w:val="21"/>
                <w14:textFill>
                  <w14:solidFill>
                    <w14:schemeClr w14:val="tx1"/>
                  </w14:solidFill>
                </w14:textFill>
              </w:rPr>
            </w:pPr>
          </w:p>
        </w:tc>
        <w:tc>
          <w:tcPr>
            <w:tcW w:w="1152" w:type="dxa"/>
            <w:tcBorders>
              <w:top w:val="single" w:color="auto" w:sz="4" w:space="0"/>
              <w:left w:val="single" w:color="auto" w:sz="4" w:space="0"/>
              <w:bottom w:val="single" w:color="auto" w:sz="4" w:space="0"/>
              <w:right w:val="single" w:color="auto" w:sz="4" w:space="0"/>
            </w:tcBorders>
            <w:vAlign w:val="center"/>
          </w:tcPr>
          <w:p w14:paraId="111AAC54">
            <w:pPr>
              <w:snapToGrid w:val="0"/>
              <w:spacing w:before="50" w:after="50"/>
              <w:jc w:val="center"/>
              <w:rPr>
                <w:rFonts w:ascii="Arial" w:hAnsi="Arial" w:cs="Arial"/>
                <w:color w:val="000000" w:themeColor="text1"/>
                <w:szCs w:val="21"/>
                <w14:textFill>
                  <w14:solidFill>
                    <w14:schemeClr w14:val="tx1"/>
                  </w14:solidFill>
                </w14:textFill>
              </w:rPr>
            </w:pPr>
          </w:p>
        </w:tc>
        <w:tc>
          <w:tcPr>
            <w:tcW w:w="1581" w:type="dxa"/>
            <w:tcBorders>
              <w:top w:val="single" w:color="auto" w:sz="4" w:space="0"/>
              <w:left w:val="single" w:color="auto" w:sz="4" w:space="0"/>
              <w:bottom w:val="single" w:color="auto" w:sz="4" w:space="0"/>
              <w:right w:val="single" w:color="auto" w:sz="4" w:space="0"/>
            </w:tcBorders>
            <w:vAlign w:val="center"/>
          </w:tcPr>
          <w:p w14:paraId="04BFF7AA">
            <w:pPr>
              <w:snapToGrid w:val="0"/>
              <w:spacing w:before="50" w:after="50"/>
              <w:jc w:val="center"/>
              <w:rPr>
                <w:rFonts w:ascii="Arial" w:hAnsi="Arial" w:cs="Arial"/>
                <w:color w:val="000000" w:themeColor="text1"/>
                <w:szCs w:val="21"/>
                <w14:textFill>
                  <w14:solidFill>
                    <w14:schemeClr w14:val="tx1"/>
                  </w14:solidFill>
                </w14:textFill>
              </w:rPr>
            </w:pPr>
          </w:p>
        </w:tc>
        <w:tc>
          <w:tcPr>
            <w:tcW w:w="1679" w:type="dxa"/>
            <w:tcBorders>
              <w:top w:val="single" w:color="auto" w:sz="4" w:space="0"/>
              <w:left w:val="single" w:color="auto" w:sz="4" w:space="0"/>
              <w:bottom w:val="single" w:color="auto" w:sz="4" w:space="0"/>
              <w:right w:val="single" w:color="auto" w:sz="4" w:space="0"/>
            </w:tcBorders>
            <w:vAlign w:val="center"/>
          </w:tcPr>
          <w:p w14:paraId="3269DEC4">
            <w:pPr>
              <w:snapToGrid w:val="0"/>
              <w:spacing w:before="50" w:after="50"/>
              <w:jc w:val="center"/>
              <w:rPr>
                <w:rFonts w:ascii="Arial" w:hAnsi="Arial" w:cs="Arial"/>
                <w:color w:val="000000" w:themeColor="text1"/>
                <w:szCs w:val="21"/>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vAlign w:val="center"/>
          </w:tcPr>
          <w:p w14:paraId="71857A8C">
            <w:pPr>
              <w:snapToGrid w:val="0"/>
              <w:spacing w:before="50" w:after="50"/>
              <w:jc w:val="center"/>
              <w:rPr>
                <w:rFonts w:ascii="Arial" w:hAnsi="Arial" w:cs="Arial"/>
                <w:color w:val="000000" w:themeColor="text1"/>
                <w:szCs w:val="21"/>
                <w14:textFill>
                  <w14:solidFill>
                    <w14:schemeClr w14:val="tx1"/>
                  </w14:solidFill>
                </w14:textFill>
              </w:rPr>
            </w:pPr>
          </w:p>
        </w:tc>
      </w:tr>
      <w:tr w14:paraId="5FCC7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548" w:type="dxa"/>
            <w:tcBorders>
              <w:top w:val="single" w:color="auto" w:sz="4" w:space="0"/>
              <w:left w:val="single" w:color="auto" w:sz="4" w:space="0"/>
              <w:bottom w:val="single" w:color="auto" w:sz="4" w:space="0"/>
              <w:right w:val="single" w:color="auto" w:sz="4" w:space="0"/>
            </w:tcBorders>
            <w:vAlign w:val="center"/>
          </w:tcPr>
          <w:p w14:paraId="444BA074">
            <w:pPr>
              <w:snapToGrid w:val="0"/>
              <w:spacing w:before="50" w:after="50"/>
              <w:jc w:val="center"/>
              <w:rPr>
                <w:rFonts w:ascii="Arial" w:hAnsi="Arial" w:cs="Arial"/>
                <w:color w:val="000000" w:themeColor="text1"/>
                <w:szCs w:val="2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14:paraId="2CD59A5F">
            <w:pPr>
              <w:snapToGrid w:val="0"/>
              <w:spacing w:before="50" w:after="50"/>
              <w:jc w:val="center"/>
              <w:rPr>
                <w:rFonts w:ascii="Arial" w:hAnsi="Arial" w:cs="Arial"/>
                <w:color w:val="000000" w:themeColor="text1"/>
                <w:szCs w:val="21"/>
                <w14:textFill>
                  <w14:solidFill>
                    <w14:schemeClr w14:val="tx1"/>
                  </w14:solidFill>
                </w14:textFill>
              </w:rPr>
            </w:pPr>
          </w:p>
        </w:tc>
        <w:tc>
          <w:tcPr>
            <w:tcW w:w="1163" w:type="dxa"/>
            <w:tcBorders>
              <w:top w:val="single" w:color="auto" w:sz="4" w:space="0"/>
              <w:left w:val="single" w:color="auto" w:sz="4" w:space="0"/>
              <w:bottom w:val="single" w:color="auto" w:sz="4" w:space="0"/>
              <w:right w:val="single" w:color="auto" w:sz="4" w:space="0"/>
            </w:tcBorders>
            <w:vAlign w:val="center"/>
          </w:tcPr>
          <w:p w14:paraId="0A032B1F">
            <w:pPr>
              <w:snapToGrid w:val="0"/>
              <w:spacing w:before="50" w:after="50"/>
              <w:jc w:val="center"/>
              <w:rPr>
                <w:rFonts w:ascii="Arial" w:hAnsi="Arial" w:cs="Arial"/>
                <w:color w:val="000000" w:themeColor="text1"/>
                <w:szCs w:val="21"/>
                <w14:textFill>
                  <w14:solidFill>
                    <w14:schemeClr w14:val="tx1"/>
                  </w14:solidFill>
                </w14:textFill>
              </w:rPr>
            </w:pPr>
          </w:p>
        </w:tc>
        <w:tc>
          <w:tcPr>
            <w:tcW w:w="1152" w:type="dxa"/>
            <w:tcBorders>
              <w:top w:val="single" w:color="auto" w:sz="4" w:space="0"/>
              <w:left w:val="single" w:color="auto" w:sz="4" w:space="0"/>
              <w:bottom w:val="single" w:color="auto" w:sz="4" w:space="0"/>
              <w:right w:val="single" w:color="auto" w:sz="4" w:space="0"/>
            </w:tcBorders>
            <w:vAlign w:val="center"/>
          </w:tcPr>
          <w:p w14:paraId="21707931">
            <w:pPr>
              <w:snapToGrid w:val="0"/>
              <w:spacing w:before="50" w:after="50"/>
              <w:jc w:val="center"/>
              <w:rPr>
                <w:rFonts w:ascii="Arial" w:hAnsi="Arial" w:cs="Arial"/>
                <w:color w:val="000000" w:themeColor="text1"/>
                <w:szCs w:val="21"/>
                <w14:textFill>
                  <w14:solidFill>
                    <w14:schemeClr w14:val="tx1"/>
                  </w14:solidFill>
                </w14:textFill>
              </w:rPr>
            </w:pPr>
          </w:p>
        </w:tc>
        <w:tc>
          <w:tcPr>
            <w:tcW w:w="1581" w:type="dxa"/>
            <w:tcBorders>
              <w:top w:val="single" w:color="auto" w:sz="4" w:space="0"/>
              <w:left w:val="single" w:color="auto" w:sz="4" w:space="0"/>
              <w:bottom w:val="single" w:color="auto" w:sz="4" w:space="0"/>
              <w:right w:val="single" w:color="auto" w:sz="4" w:space="0"/>
            </w:tcBorders>
            <w:vAlign w:val="center"/>
          </w:tcPr>
          <w:p w14:paraId="40659721">
            <w:pPr>
              <w:snapToGrid w:val="0"/>
              <w:spacing w:before="50" w:after="50"/>
              <w:jc w:val="center"/>
              <w:rPr>
                <w:rFonts w:ascii="Arial" w:hAnsi="Arial" w:cs="Arial"/>
                <w:color w:val="000000" w:themeColor="text1"/>
                <w:szCs w:val="21"/>
                <w14:textFill>
                  <w14:solidFill>
                    <w14:schemeClr w14:val="tx1"/>
                  </w14:solidFill>
                </w14:textFill>
              </w:rPr>
            </w:pPr>
          </w:p>
        </w:tc>
        <w:tc>
          <w:tcPr>
            <w:tcW w:w="1679" w:type="dxa"/>
            <w:tcBorders>
              <w:top w:val="single" w:color="auto" w:sz="4" w:space="0"/>
              <w:left w:val="single" w:color="auto" w:sz="4" w:space="0"/>
              <w:bottom w:val="single" w:color="auto" w:sz="4" w:space="0"/>
              <w:right w:val="single" w:color="auto" w:sz="4" w:space="0"/>
            </w:tcBorders>
            <w:vAlign w:val="center"/>
          </w:tcPr>
          <w:p w14:paraId="5939E988">
            <w:pPr>
              <w:snapToGrid w:val="0"/>
              <w:spacing w:before="50" w:after="50"/>
              <w:jc w:val="center"/>
              <w:rPr>
                <w:rFonts w:ascii="Arial" w:hAnsi="Arial" w:cs="Arial"/>
                <w:color w:val="000000" w:themeColor="text1"/>
                <w:szCs w:val="21"/>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vAlign w:val="center"/>
          </w:tcPr>
          <w:p w14:paraId="34ED992A">
            <w:pPr>
              <w:snapToGrid w:val="0"/>
              <w:spacing w:before="50" w:after="50"/>
              <w:jc w:val="center"/>
              <w:rPr>
                <w:rFonts w:ascii="Arial" w:hAnsi="Arial" w:cs="Arial"/>
                <w:color w:val="000000" w:themeColor="text1"/>
                <w:szCs w:val="21"/>
                <w14:textFill>
                  <w14:solidFill>
                    <w14:schemeClr w14:val="tx1"/>
                  </w14:solidFill>
                </w14:textFill>
              </w:rPr>
            </w:pPr>
          </w:p>
        </w:tc>
      </w:tr>
    </w:tbl>
    <w:p w14:paraId="35C1C360">
      <w:pPr>
        <w:snapToGrid w:val="0"/>
        <w:spacing w:before="50" w:after="50" w:line="440" w:lineRule="exact"/>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法定代表人或授权代表签字或个人CA签章</w:t>
      </w:r>
      <w:r>
        <w:rPr>
          <w:rFonts w:ascii="Arial" w:hAnsi="Arial" w:cs="Arial"/>
          <w:color w:val="000000" w:themeColor="text1"/>
          <w:spacing w:val="20"/>
          <w:szCs w:val="21"/>
          <w14:textFill>
            <w14:solidFill>
              <w14:schemeClr w14:val="tx1"/>
            </w14:solidFill>
          </w14:textFill>
        </w:rPr>
        <w:t>：</w:t>
      </w:r>
    </w:p>
    <w:p w14:paraId="59C6D0BE">
      <w:pPr>
        <w:snapToGrid w:val="0"/>
        <w:spacing w:before="50" w:after="50" w:line="440" w:lineRule="exact"/>
        <w:rPr>
          <w:rFonts w:ascii="Arial" w:hAnsi="Arial" w:cs="Arial"/>
          <w:color w:val="000000" w:themeColor="text1"/>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供应商公章</w:t>
      </w:r>
      <w:r>
        <w:rPr>
          <w:rFonts w:ascii="Arial" w:hAnsi="Arial" w:cs="Arial"/>
          <w:color w:val="000000" w:themeColor="text1"/>
          <w:szCs w:val="21"/>
          <w14:textFill>
            <w14:solidFill>
              <w14:schemeClr w14:val="tx1"/>
            </w14:solidFill>
          </w14:textFill>
        </w:rPr>
        <w:t>（CA签章）</w:t>
      </w:r>
      <w:r>
        <w:rPr>
          <w:rFonts w:ascii="Arial" w:hAnsi="Arial" w:cs="Arial"/>
          <w:color w:val="000000" w:themeColor="text1"/>
          <w:spacing w:val="20"/>
          <w:szCs w:val="21"/>
          <w14:textFill>
            <w14:solidFill>
              <w14:schemeClr w14:val="tx1"/>
            </w14:solidFill>
          </w14:textFill>
        </w:rPr>
        <w:t>： 日  期：</w:t>
      </w:r>
    </w:p>
    <w:p w14:paraId="74845319">
      <w:pPr>
        <w:rPr>
          <w:rFonts w:ascii="Arial" w:hAnsi="Arial" w:cs="Arial"/>
          <w:color w:val="000000" w:themeColor="text1"/>
          <w:szCs w:val="21"/>
          <w14:textFill>
            <w14:solidFill>
              <w14:schemeClr w14:val="tx1"/>
            </w14:solidFill>
          </w14:textFill>
        </w:rPr>
      </w:pPr>
    </w:p>
    <w:p w14:paraId="2C44F544">
      <w:pPr>
        <w:rPr>
          <w:rFonts w:ascii="Arial" w:hAnsi="Arial" w:cs="Arial"/>
          <w:color w:val="000000" w:themeColor="text1"/>
          <w:szCs w:val="21"/>
          <w14:textFill>
            <w14:solidFill>
              <w14:schemeClr w14:val="tx1"/>
            </w14:solidFill>
          </w14:textFill>
        </w:rPr>
      </w:pPr>
      <w:bookmarkStart w:id="119" w:name="_Hlk19115689"/>
      <w:r>
        <w:rPr>
          <w:rFonts w:ascii="Arial" w:hAnsi="Arial" w:cs="Arial"/>
          <w:color w:val="000000" w:themeColor="text1"/>
          <w:szCs w:val="21"/>
          <w14:textFill>
            <w14:solidFill>
              <w14:schemeClr w14:val="tx1"/>
            </w14:solidFill>
          </w14:textFill>
        </w:rPr>
        <w:t>3．投标货物或产品的质量保证说明</w:t>
      </w:r>
    </w:p>
    <w:p w14:paraId="3B4C993A">
      <w:pPr>
        <w:rPr>
          <w:rFonts w:ascii="Arial" w:hAnsi="Arial" w:cs="Arial"/>
          <w:color w:val="000000" w:themeColor="text1"/>
          <w:szCs w:val="21"/>
          <w14:textFill>
            <w14:solidFill>
              <w14:schemeClr w14:val="tx1"/>
            </w14:solidFill>
          </w14:textFill>
        </w:rPr>
      </w:pPr>
    </w:p>
    <w:p w14:paraId="50338932">
      <w:pPr>
        <w:rPr>
          <w:rFonts w:ascii="Arial" w:hAnsi="Arial" w:cs="Arial"/>
          <w:color w:val="000000" w:themeColor="text1"/>
          <w:szCs w:val="21"/>
          <w14:textFill>
            <w14:solidFill>
              <w14:schemeClr w14:val="tx1"/>
            </w14:solidFill>
          </w14:textFill>
        </w:rPr>
      </w:pPr>
    </w:p>
    <w:p w14:paraId="79237175">
      <w:pPr>
        <w:jc w:val="left"/>
        <w:rPr>
          <w:rFonts w:ascii="Arial" w:hAnsi="Arial" w:cs="Arial"/>
          <w:color w:val="000000" w:themeColor="text1"/>
          <w:szCs w:val="21"/>
          <w14:textFill>
            <w14:solidFill>
              <w14:schemeClr w14:val="tx1"/>
            </w14:solidFill>
          </w14:textFill>
        </w:rPr>
      </w:pPr>
    </w:p>
    <w:p w14:paraId="1A19F549">
      <w:pPr>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4．质保期过后的优惠条件：供应商承诺给予采购人的各种优惠条件，包括货物或产品的售后服务、备品备件、专用耗材等方面的优惠条件。</w:t>
      </w:r>
    </w:p>
    <w:p w14:paraId="30F09D33">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常用的、容易损坏的备品备件及易损件的优惠价格清单</w:t>
      </w:r>
    </w:p>
    <w:tbl>
      <w:tblPr>
        <w:tblStyle w:val="55"/>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658C84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1D67DC3">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序号</w:t>
            </w:r>
          </w:p>
        </w:tc>
        <w:tc>
          <w:tcPr>
            <w:tcW w:w="3124" w:type="dxa"/>
            <w:tcBorders>
              <w:top w:val="single" w:color="auto" w:sz="4" w:space="0"/>
              <w:left w:val="single" w:color="auto" w:sz="4" w:space="0"/>
              <w:bottom w:val="single" w:color="auto" w:sz="2" w:space="0"/>
              <w:right w:val="single" w:color="auto" w:sz="4" w:space="0"/>
            </w:tcBorders>
            <w:vAlign w:val="center"/>
          </w:tcPr>
          <w:p w14:paraId="4649B2DA">
            <w:pPr>
              <w:snapToGrid w:val="0"/>
              <w:spacing w:before="50" w:after="50" w:line="440" w:lineRule="exact"/>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备品备件、专用耗材名称</w:t>
            </w:r>
          </w:p>
        </w:tc>
        <w:tc>
          <w:tcPr>
            <w:tcW w:w="2276" w:type="dxa"/>
            <w:tcBorders>
              <w:top w:val="single" w:color="auto" w:sz="4" w:space="0"/>
              <w:left w:val="single" w:color="auto" w:sz="4" w:space="0"/>
              <w:bottom w:val="single" w:color="auto" w:sz="2" w:space="0"/>
              <w:right w:val="single" w:color="auto" w:sz="4" w:space="0"/>
            </w:tcBorders>
            <w:vAlign w:val="center"/>
          </w:tcPr>
          <w:p w14:paraId="7D063A39">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适用于何种投标货物（产品）名称及规格型号</w:t>
            </w:r>
          </w:p>
        </w:tc>
        <w:tc>
          <w:tcPr>
            <w:tcW w:w="1639" w:type="dxa"/>
            <w:tcBorders>
              <w:top w:val="single" w:color="auto" w:sz="4" w:space="0"/>
              <w:left w:val="single" w:color="auto" w:sz="4" w:space="0"/>
              <w:bottom w:val="single" w:color="auto" w:sz="2" w:space="0"/>
              <w:right w:val="single" w:color="auto" w:sz="4" w:space="0"/>
            </w:tcBorders>
            <w:vAlign w:val="center"/>
          </w:tcPr>
          <w:p w14:paraId="726CAE7D">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优惠内容</w:t>
            </w:r>
          </w:p>
        </w:tc>
        <w:tc>
          <w:tcPr>
            <w:tcW w:w="1083"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3639F6D7">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优惠单价</w:t>
            </w:r>
          </w:p>
        </w:tc>
      </w:tr>
      <w:tr w14:paraId="5293A8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7DD195BF">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w:t>
            </w:r>
          </w:p>
        </w:tc>
        <w:tc>
          <w:tcPr>
            <w:tcW w:w="3124" w:type="dxa"/>
            <w:tcBorders>
              <w:top w:val="single" w:color="auto" w:sz="2" w:space="0"/>
              <w:left w:val="single" w:color="auto" w:sz="2" w:space="0"/>
              <w:bottom w:val="single" w:color="auto" w:sz="6" w:space="0"/>
              <w:right w:val="single" w:color="auto" w:sz="4" w:space="0"/>
            </w:tcBorders>
            <w:vAlign w:val="center"/>
          </w:tcPr>
          <w:p w14:paraId="4164D269">
            <w:pPr>
              <w:rPr>
                <w:rFonts w:ascii="Arial" w:hAnsi="Arial" w:cs="Arial"/>
                <w:color w:val="000000" w:themeColor="text1"/>
                <w:szCs w:val="21"/>
                <w14:textFill>
                  <w14:solidFill>
                    <w14:schemeClr w14:val="tx1"/>
                  </w14:solidFill>
                </w14:textFill>
              </w:rPr>
            </w:pPr>
          </w:p>
        </w:tc>
        <w:tc>
          <w:tcPr>
            <w:tcW w:w="2276" w:type="dxa"/>
            <w:tcBorders>
              <w:top w:val="single" w:color="auto" w:sz="2" w:space="0"/>
              <w:left w:val="single" w:color="auto" w:sz="4" w:space="0"/>
              <w:bottom w:val="single" w:color="auto" w:sz="6" w:space="0"/>
              <w:right w:val="single" w:color="auto" w:sz="6" w:space="0"/>
            </w:tcBorders>
            <w:vAlign w:val="center"/>
          </w:tcPr>
          <w:p w14:paraId="58B69B24">
            <w:pPr>
              <w:rPr>
                <w:rFonts w:ascii="Arial" w:hAnsi="Arial" w:cs="Arial"/>
                <w:color w:val="000000" w:themeColor="text1"/>
                <w:szCs w:val="21"/>
                <w14:textFill>
                  <w14:solidFill>
                    <w14:schemeClr w14:val="tx1"/>
                  </w14:solidFill>
                </w14:textFill>
              </w:rPr>
            </w:pPr>
          </w:p>
        </w:tc>
        <w:tc>
          <w:tcPr>
            <w:tcW w:w="1639" w:type="dxa"/>
            <w:tcBorders>
              <w:top w:val="single" w:color="auto" w:sz="2" w:space="0"/>
              <w:left w:val="single" w:color="auto" w:sz="6" w:space="0"/>
              <w:bottom w:val="single" w:color="auto" w:sz="6" w:space="0"/>
              <w:right w:val="single" w:color="auto" w:sz="6" w:space="0"/>
            </w:tcBorders>
          </w:tcPr>
          <w:p w14:paraId="2FE66E61">
            <w:pPr>
              <w:rPr>
                <w:rFonts w:ascii="Arial" w:hAnsi="Arial" w:cs="Arial"/>
                <w:color w:val="000000" w:themeColor="text1"/>
                <w:szCs w:val="21"/>
                <w14:textFill>
                  <w14:solidFill>
                    <w14:schemeClr w14:val="tx1"/>
                  </w14:solidFill>
                </w14:textFill>
              </w:rPr>
            </w:pPr>
          </w:p>
        </w:tc>
        <w:tc>
          <w:tcPr>
            <w:tcW w:w="1083"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59A89540">
            <w:pPr>
              <w:rPr>
                <w:rFonts w:ascii="Arial" w:hAnsi="Arial" w:cs="Arial"/>
                <w:color w:val="000000" w:themeColor="text1"/>
                <w:szCs w:val="21"/>
                <w14:textFill>
                  <w14:solidFill>
                    <w14:schemeClr w14:val="tx1"/>
                  </w14:solidFill>
                </w14:textFill>
              </w:rPr>
            </w:pPr>
          </w:p>
        </w:tc>
      </w:tr>
      <w:tr w14:paraId="60DD4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42C7F7A0">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w:t>
            </w:r>
          </w:p>
        </w:tc>
        <w:tc>
          <w:tcPr>
            <w:tcW w:w="3124" w:type="dxa"/>
            <w:tcBorders>
              <w:top w:val="single" w:color="auto" w:sz="6" w:space="0"/>
              <w:left w:val="single" w:color="auto" w:sz="2" w:space="0"/>
              <w:bottom w:val="single" w:color="auto" w:sz="6" w:space="0"/>
              <w:right w:val="single" w:color="auto" w:sz="4" w:space="0"/>
            </w:tcBorders>
            <w:vAlign w:val="center"/>
          </w:tcPr>
          <w:p w14:paraId="38A5C749">
            <w:pPr>
              <w:rPr>
                <w:rFonts w:ascii="Arial" w:hAnsi="Arial" w:cs="Arial"/>
                <w:color w:val="000000" w:themeColor="text1"/>
                <w:szCs w:val="21"/>
                <w14:textFill>
                  <w14:solidFill>
                    <w14:schemeClr w14:val="tx1"/>
                  </w14:solidFill>
                </w14:textFill>
              </w:rPr>
            </w:pPr>
          </w:p>
        </w:tc>
        <w:tc>
          <w:tcPr>
            <w:tcW w:w="2276" w:type="dxa"/>
            <w:tcBorders>
              <w:top w:val="single" w:color="auto" w:sz="6" w:space="0"/>
              <w:left w:val="single" w:color="auto" w:sz="4" w:space="0"/>
              <w:bottom w:val="single" w:color="auto" w:sz="6" w:space="0"/>
              <w:right w:val="single" w:color="auto" w:sz="6" w:space="0"/>
            </w:tcBorders>
            <w:vAlign w:val="center"/>
          </w:tcPr>
          <w:p w14:paraId="299760A8">
            <w:pPr>
              <w:rPr>
                <w:rFonts w:ascii="Arial" w:hAnsi="Arial" w:cs="Arial"/>
                <w:color w:val="000000" w:themeColor="text1"/>
                <w:szCs w:val="21"/>
                <w14:textFill>
                  <w14:solidFill>
                    <w14:schemeClr w14:val="tx1"/>
                  </w14:solidFill>
                </w14:textFill>
              </w:rPr>
            </w:pPr>
          </w:p>
        </w:tc>
        <w:tc>
          <w:tcPr>
            <w:tcW w:w="1639" w:type="dxa"/>
            <w:tcBorders>
              <w:top w:val="single" w:color="auto" w:sz="6" w:space="0"/>
              <w:left w:val="single" w:color="auto" w:sz="6" w:space="0"/>
              <w:bottom w:val="single" w:color="auto" w:sz="6" w:space="0"/>
              <w:right w:val="single" w:color="auto" w:sz="6" w:space="0"/>
            </w:tcBorders>
          </w:tcPr>
          <w:p w14:paraId="1C1F3A13">
            <w:pPr>
              <w:rPr>
                <w:rFonts w:ascii="Arial" w:hAnsi="Arial" w:cs="Arial"/>
                <w:color w:val="000000" w:themeColor="text1"/>
                <w:szCs w:val="21"/>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75006BBC">
            <w:pPr>
              <w:rPr>
                <w:rFonts w:ascii="Arial" w:hAnsi="Arial" w:cs="Arial"/>
                <w:color w:val="000000" w:themeColor="text1"/>
                <w:szCs w:val="21"/>
                <w14:textFill>
                  <w14:solidFill>
                    <w14:schemeClr w14:val="tx1"/>
                  </w14:solidFill>
                </w14:textFill>
              </w:rPr>
            </w:pPr>
          </w:p>
        </w:tc>
      </w:tr>
      <w:tr w14:paraId="315E62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773375E6">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w:t>
            </w:r>
          </w:p>
        </w:tc>
        <w:tc>
          <w:tcPr>
            <w:tcW w:w="3124" w:type="dxa"/>
            <w:tcBorders>
              <w:top w:val="single" w:color="auto" w:sz="6" w:space="0"/>
              <w:left w:val="single" w:color="auto" w:sz="2" w:space="0"/>
              <w:bottom w:val="single" w:color="auto" w:sz="6" w:space="0"/>
              <w:right w:val="single" w:color="auto" w:sz="4" w:space="0"/>
            </w:tcBorders>
            <w:vAlign w:val="center"/>
          </w:tcPr>
          <w:p w14:paraId="219AC613">
            <w:pPr>
              <w:rPr>
                <w:rFonts w:ascii="Arial" w:hAnsi="Arial" w:cs="Arial"/>
                <w:color w:val="000000" w:themeColor="text1"/>
                <w:szCs w:val="21"/>
                <w14:textFill>
                  <w14:solidFill>
                    <w14:schemeClr w14:val="tx1"/>
                  </w14:solidFill>
                </w14:textFill>
              </w:rPr>
            </w:pPr>
          </w:p>
        </w:tc>
        <w:tc>
          <w:tcPr>
            <w:tcW w:w="2276" w:type="dxa"/>
            <w:tcBorders>
              <w:top w:val="single" w:color="auto" w:sz="6" w:space="0"/>
              <w:left w:val="single" w:color="auto" w:sz="4" w:space="0"/>
              <w:bottom w:val="single" w:color="auto" w:sz="6" w:space="0"/>
              <w:right w:val="single" w:color="auto" w:sz="6" w:space="0"/>
            </w:tcBorders>
            <w:vAlign w:val="center"/>
          </w:tcPr>
          <w:p w14:paraId="3B0ADA6B">
            <w:pPr>
              <w:rPr>
                <w:rFonts w:ascii="Arial" w:hAnsi="Arial" w:cs="Arial"/>
                <w:color w:val="000000" w:themeColor="text1"/>
                <w:szCs w:val="21"/>
                <w14:textFill>
                  <w14:solidFill>
                    <w14:schemeClr w14:val="tx1"/>
                  </w14:solidFill>
                </w14:textFill>
              </w:rPr>
            </w:pPr>
          </w:p>
        </w:tc>
        <w:tc>
          <w:tcPr>
            <w:tcW w:w="1639" w:type="dxa"/>
            <w:tcBorders>
              <w:top w:val="single" w:color="auto" w:sz="6" w:space="0"/>
              <w:left w:val="single" w:color="auto" w:sz="6" w:space="0"/>
              <w:bottom w:val="single" w:color="auto" w:sz="6" w:space="0"/>
              <w:right w:val="single" w:color="auto" w:sz="6" w:space="0"/>
            </w:tcBorders>
          </w:tcPr>
          <w:p w14:paraId="5CD32579">
            <w:pPr>
              <w:rPr>
                <w:rFonts w:ascii="Arial" w:hAnsi="Arial" w:cs="Arial"/>
                <w:color w:val="000000" w:themeColor="text1"/>
                <w:szCs w:val="21"/>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79F97D07">
            <w:pPr>
              <w:rPr>
                <w:rFonts w:ascii="Arial" w:hAnsi="Arial" w:cs="Arial"/>
                <w:color w:val="000000" w:themeColor="text1"/>
                <w:szCs w:val="21"/>
                <w14:textFill>
                  <w14:solidFill>
                    <w14:schemeClr w14:val="tx1"/>
                  </w14:solidFill>
                </w14:textFill>
              </w:rPr>
            </w:pPr>
          </w:p>
        </w:tc>
      </w:tr>
    </w:tbl>
    <w:p w14:paraId="0AFA6D20">
      <w:pPr>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法定代表人或授权代表签字或个人CA签章</w:t>
      </w:r>
      <w:r>
        <w:rPr>
          <w:rFonts w:ascii="Arial" w:hAnsi="Arial" w:cs="Arial"/>
          <w:color w:val="000000" w:themeColor="text1"/>
          <w:spacing w:val="20"/>
          <w:szCs w:val="21"/>
          <w14:textFill>
            <w14:solidFill>
              <w14:schemeClr w14:val="tx1"/>
            </w14:solidFill>
          </w14:textFill>
        </w:rPr>
        <w:t>：</w:t>
      </w:r>
    </w:p>
    <w:p w14:paraId="16DC82E0">
      <w:pPr>
        <w:rPr>
          <w:rFonts w:ascii="Arial" w:hAnsi="Arial" w:cs="Arial"/>
          <w:color w:val="000000" w:themeColor="text1"/>
          <w:spacing w:val="20"/>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供应商公章</w:t>
      </w:r>
      <w:r>
        <w:rPr>
          <w:rFonts w:ascii="Arial" w:hAnsi="Arial" w:cs="Arial"/>
          <w:color w:val="000000" w:themeColor="text1"/>
          <w:szCs w:val="21"/>
          <w14:textFill>
            <w14:solidFill>
              <w14:schemeClr w14:val="tx1"/>
            </w14:solidFill>
          </w14:textFill>
        </w:rPr>
        <w:t>（CA签章）</w:t>
      </w:r>
      <w:r>
        <w:rPr>
          <w:rFonts w:ascii="Arial" w:hAnsi="Arial" w:cs="Arial"/>
          <w:color w:val="000000" w:themeColor="text1"/>
          <w:spacing w:val="20"/>
          <w:szCs w:val="21"/>
          <w14:textFill>
            <w14:solidFill>
              <w14:schemeClr w14:val="tx1"/>
            </w14:solidFill>
          </w14:textFill>
        </w:rPr>
        <w:t>：</w:t>
      </w:r>
    </w:p>
    <w:p w14:paraId="56FF2CD7">
      <w:pPr>
        <w:rPr>
          <w:rFonts w:ascii="Arial" w:hAnsi="Arial" w:cs="Arial"/>
          <w:color w:val="000000" w:themeColor="text1"/>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日 期：</w:t>
      </w:r>
    </w:p>
    <w:bookmarkEnd w:id="119"/>
    <w:p w14:paraId="54330A4C">
      <w:pPr>
        <w:rPr>
          <w:rFonts w:ascii="Arial" w:hAnsi="Arial" w:cs="Arial"/>
          <w:color w:val="000000" w:themeColor="text1"/>
          <w:szCs w:val="21"/>
          <w14:textFill>
            <w14:solidFill>
              <w14:schemeClr w14:val="tx1"/>
            </w14:solidFill>
          </w14:textFill>
        </w:rPr>
      </w:pPr>
    </w:p>
    <w:p w14:paraId="79806FFD">
      <w:pPr>
        <w:rPr>
          <w:rFonts w:ascii="Arial" w:hAnsi="Arial" w:cs="Arial"/>
          <w:color w:val="000000" w:themeColor="text1"/>
          <w:szCs w:val="21"/>
          <w14:textFill>
            <w14:solidFill>
              <w14:schemeClr w14:val="tx1"/>
            </w14:solidFill>
          </w14:textFill>
        </w:rPr>
      </w:pPr>
    </w:p>
    <w:p w14:paraId="467A4777">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5．产品出厂标准、质量检测报告。</w:t>
      </w:r>
    </w:p>
    <w:p w14:paraId="782B7A55">
      <w:pPr>
        <w:rPr>
          <w:rFonts w:ascii="Arial" w:hAnsi="Arial" w:cs="Arial"/>
          <w:color w:val="000000" w:themeColor="text1"/>
          <w:szCs w:val="21"/>
          <w14:textFill>
            <w14:solidFill>
              <w14:schemeClr w14:val="tx1"/>
            </w14:solidFill>
          </w14:textFill>
        </w:rPr>
      </w:pPr>
    </w:p>
    <w:p w14:paraId="5E57D1F2">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6．原厂出厂配置表及原厂中文使用说明书。</w:t>
      </w:r>
    </w:p>
    <w:p w14:paraId="7389691F">
      <w:pPr>
        <w:rPr>
          <w:rFonts w:ascii="Arial" w:hAnsi="Arial" w:cs="Arial"/>
          <w:color w:val="000000" w:themeColor="text1"/>
          <w:szCs w:val="21"/>
          <w14:textFill>
            <w14:solidFill>
              <w14:schemeClr w14:val="tx1"/>
            </w14:solidFill>
          </w14:textFill>
        </w:rPr>
      </w:pPr>
    </w:p>
    <w:p w14:paraId="74BB1269">
      <w:pPr>
        <w:rPr>
          <w:rFonts w:ascii="Arial" w:hAnsi="Arial" w:cs="Arial"/>
          <w:color w:val="000000" w:themeColor="text1"/>
          <w:szCs w:val="21"/>
          <w14:textFill>
            <w14:solidFill>
              <w14:schemeClr w14:val="tx1"/>
            </w14:solidFill>
          </w14:textFill>
        </w:rPr>
      </w:pPr>
    </w:p>
    <w:p w14:paraId="222194EE">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7．供应商建议的安装、调试、验收方法或方案。</w:t>
      </w:r>
    </w:p>
    <w:p w14:paraId="16EF883D">
      <w:pPr>
        <w:rPr>
          <w:rFonts w:ascii="Arial" w:hAnsi="Arial" w:cs="Arial"/>
          <w:color w:val="000000" w:themeColor="text1"/>
          <w:szCs w:val="21"/>
          <w14:textFill>
            <w14:solidFill>
              <w14:schemeClr w14:val="tx1"/>
            </w14:solidFill>
          </w14:textFill>
        </w:rPr>
      </w:pPr>
    </w:p>
    <w:p w14:paraId="596D6573">
      <w:pPr>
        <w:rPr>
          <w:rFonts w:ascii="Arial" w:hAnsi="Arial" w:cs="Arial"/>
          <w:color w:val="000000" w:themeColor="text1"/>
          <w:szCs w:val="21"/>
          <w14:textFill>
            <w14:solidFill>
              <w14:schemeClr w14:val="tx1"/>
            </w14:solidFill>
          </w14:textFill>
        </w:rPr>
      </w:pPr>
    </w:p>
    <w:p w14:paraId="07D9BEF9">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8．项目实施人员一览表。</w:t>
      </w:r>
    </w:p>
    <w:p w14:paraId="4EC21CF2">
      <w:pPr>
        <w:rPr>
          <w:rFonts w:ascii="Arial" w:hAnsi="Arial" w:cs="Arial"/>
          <w:color w:val="000000" w:themeColor="text1"/>
          <w:szCs w:val="21"/>
          <w14:textFill>
            <w14:solidFill>
              <w14:schemeClr w14:val="tx1"/>
            </w14:solidFill>
          </w14:textFill>
        </w:rPr>
      </w:pPr>
    </w:p>
    <w:p w14:paraId="698ABB9E">
      <w:pPr>
        <w:snapToGrid w:val="0"/>
        <w:spacing w:before="120" w:beforeLines="50" w:after="50" w:line="400" w:lineRule="exact"/>
        <w:jc w:val="center"/>
        <w:rPr>
          <w:rFonts w:ascii="Arial" w:hAnsi="Arial" w:cs="Arial"/>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项目实施人员（主要从业人员及其技术资格）一览表</w:t>
      </w:r>
    </w:p>
    <w:tbl>
      <w:tblPr>
        <w:tblStyle w:val="55"/>
        <w:tblW w:w="91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2EFD45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22E4A660">
            <w:pPr>
              <w:snapToGrid w:val="0"/>
              <w:spacing w:before="120" w:beforeLines="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70F27DA7">
            <w:pPr>
              <w:snapToGrid w:val="0"/>
              <w:spacing w:before="120" w:beforeLines="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06DFFE33">
            <w:pPr>
              <w:snapToGrid w:val="0"/>
              <w:spacing w:before="120" w:beforeLines="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14:paraId="3CB8D6B7">
            <w:pPr>
              <w:snapToGrid w:val="0"/>
              <w:spacing w:before="120" w:beforeLines="50" w:after="50"/>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证书编号</w:t>
            </w:r>
          </w:p>
        </w:tc>
        <w:tc>
          <w:tcPr>
            <w:tcW w:w="1620" w:type="dxa"/>
            <w:tcBorders>
              <w:top w:val="single" w:color="auto" w:sz="4" w:space="0"/>
              <w:left w:val="single" w:color="auto" w:sz="4" w:space="0"/>
              <w:bottom w:val="single" w:color="auto" w:sz="4" w:space="0"/>
              <w:right w:val="single" w:color="auto" w:sz="4" w:space="0"/>
            </w:tcBorders>
            <w:vAlign w:val="center"/>
          </w:tcPr>
          <w:p w14:paraId="65023AE3">
            <w:pPr>
              <w:snapToGrid w:val="0"/>
              <w:spacing w:before="120" w:beforeLines="50" w:after="50"/>
              <w:jc w:val="center"/>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参加本单位工作时间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25F6FF5C">
            <w:pPr>
              <w:snapToGrid w:val="0"/>
              <w:spacing w:before="120" w:beforeLines="50" w:after="50"/>
              <w:jc w:val="center"/>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劳动合同编号</w:t>
            </w:r>
          </w:p>
        </w:tc>
      </w:tr>
      <w:tr w14:paraId="31EEC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73ED42D2">
            <w:pPr>
              <w:snapToGrid w:val="0"/>
              <w:spacing w:before="120" w:beforeLines="50" w:after="50"/>
              <w:rPr>
                <w:rFonts w:ascii="Arial" w:hAnsi="Arial" w:cs="Arial"/>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AE80D33">
            <w:pPr>
              <w:snapToGrid w:val="0"/>
              <w:spacing w:before="120" w:beforeLines="50" w:after="50"/>
              <w:rPr>
                <w:rFonts w:ascii="Arial" w:hAnsi="Arial" w:cs="Arial"/>
                <w:color w:val="000000" w:themeColor="text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7FC77491">
            <w:pPr>
              <w:snapToGrid w:val="0"/>
              <w:spacing w:before="120" w:beforeLines="50" w:after="50"/>
              <w:rPr>
                <w:rFonts w:ascii="Arial" w:hAnsi="Arial" w:cs="Arial"/>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5E90FCE5">
            <w:pPr>
              <w:snapToGrid w:val="0"/>
              <w:spacing w:before="120" w:beforeLines="50" w:after="50"/>
              <w:rPr>
                <w:rFonts w:ascii="Arial" w:hAnsi="Arial" w:cs="Arial"/>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5D05307F">
            <w:pPr>
              <w:snapToGrid w:val="0"/>
              <w:spacing w:before="120" w:beforeLines="50" w:after="50"/>
              <w:rPr>
                <w:rFonts w:ascii="Arial" w:hAnsi="Arial" w:cs="Arial"/>
                <w:color w:val="000000" w:themeColor="text1"/>
                <w:szCs w:val="21"/>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5807E7C">
            <w:pPr>
              <w:snapToGrid w:val="0"/>
              <w:spacing w:before="120" w:beforeLines="50" w:after="50"/>
              <w:rPr>
                <w:rFonts w:ascii="Arial" w:hAnsi="Arial" w:cs="Arial"/>
                <w:color w:val="000000" w:themeColor="text1"/>
                <w:szCs w:val="21"/>
                <w14:textFill>
                  <w14:solidFill>
                    <w14:schemeClr w14:val="tx1"/>
                  </w14:solidFill>
                </w14:textFill>
              </w:rPr>
            </w:pPr>
          </w:p>
        </w:tc>
      </w:tr>
      <w:tr w14:paraId="753B96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84886F2">
            <w:pPr>
              <w:snapToGrid w:val="0"/>
              <w:spacing w:before="120" w:beforeLines="50" w:after="50"/>
              <w:rPr>
                <w:rFonts w:ascii="Arial" w:hAnsi="Arial" w:cs="Arial"/>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21177D77">
            <w:pPr>
              <w:snapToGrid w:val="0"/>
              <w:spacing w:before="120" w:beforeLines="50" w:after="50"/>
              <w:rPr>
                <w:rFonts w:ascii="Arial" w:hAnsi="Arial" w:cs="Arial"/>
                <w:color w:val="000000" w:themeColor="text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5DCD119E">
            <w:pPr>
              <w:snapToGrid w:val="0"/>
              <w:spacing w:before="120" w:beforeLines="50" w:after="50"/>
              <w:rPr>
                <w:rFonts w:ascii="Arial" w:hAnsi="Arial" w:cs="Arial"/>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5A06C214">
            <w:pPr>
              <w:snapToGrid w:val="0"/>
              <w:spacing w:before="120" w:beforeLines="50" w:after="50"/>
              <w:rPr>
                <w:rFonts w:ascii="Arial" w:hAnsi="Arial" w:cs="Arial"/>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6CD51920">
            <w:pPr>
              <w:snapToGrid w:val="0"/>
              <w:spacing w:before="120" w:beforeLines="50" w:after="50"/>
              <w:rPr>
                <w:rFonts w:ascii="Arial" w:hAnsi="Arial" w:cs="Arial"/>
                <w:color w:val="000000" w:themeColor="text1"/>
                <w:szCs w:val="21"/>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63A9C700">
            <w:pPr>
              <w:snapToGrid w:val="0"/>
              <w:spacing w:before="120" w:beforeLines="50" w:after="50"/>
              <w:rPr>
                <w:rFonts w:ascii="Arial" w:hAnsi="Arial" w:cs="Arial"/>
                <w:color w:val="000000" w:themeColor="text1"/>
                <w:szCs w:val="21"/>
                <w14:textFill>
                  <w14:solidFill>
                    <w14:schemeClr w14:val="tx1"/>
                  </w14:solidFill>
                </w14:textFill>
              </w:rPr>
            </w:pPr>
          </w:p>
        </w:tc>
      </w:tr>
      <w:tr w14:paraId="6EAD4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2A250CF7">
            <w:pPr>
              <w:snapToGrid w:val="0"/>
              <w:spacing w:before="120" w:beforeLines="50" w:after="50"/>
              <w:rPr>
                <w:rFonts w:ascii="Arial" w:hAnsi="Arial" w:cs="Arial"/>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25B3EF80">
            <w:pPr>
              <w:snapToGrid w:val="0"/>
              <w:spacing w:before="120" w:beforeLines="50" w:after="50"/>
              <w:rPr>
                <w:rFonts w:ascii="Arial" w:hAnsi="Arial" w:cs="Arial"/>
                <w:color w:val="000000" w:themeColor="text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1FA5E04A">
            <w:pPr>
              <w:pStyle w:val="32"/>
              <w:snapToGrid w:val="0"/>
              <w:spacing w:before="120" w:beforeLines="50" w:after="50"/>
              <w:ind w:left="5670" w:hanging="420"/>
              <w:rPr>
                <w:rFonts w:ascii="Arial" w:hAnsi="Arial" w:cs="Arial"/>
                <w:color w:val="000000" w:themeColor="text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6477464E">
            <w:pPr>
              <w:snapToGrid w:val="0"/>
              <w:spacing w:before="120" w:beforeLines="50" w:after="50"/>
              <w:rPr>
                <w:rFonts w:ascii="Arial" w:hAnsi="Arial" w:cs="Arial"/>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54FAA132">
            <w:pPr>
              <w:snapToGrid w:val="0"/>
              <w:spacing w:before="120" w:beforeLines="50" w:after="50"/>
              <w:rPr>
                <w:rFonts w:ascii="Arial" w:hAnsi="Arial" w:cs="Arial"/>
                <w:color w:val="000000" w:themeColor="text1"/>
                <w:szCs w:val="21"/>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BBA8849">
            <w:pPr>
              <w:snapToGrid w:val="0"/>
              <w:spacing w:before="120" w:beforeLines="50" w:after="50"/>
              <w:rPr>
                <w:rFonts w:ascii="Arial" w:hAnsi="Arial" w:cs="Arial"/>
                <w:color w:val="000000" w:themeColor="text1"/>
                <w:szCs w:val="21"/>
                <w14:textFill>
                  <w14:solidFill>
                    <w14:schemeClr w14:val="tx1"/>
                  </w14:solidFill>
                </w14:textFill>
              </w:rPr>
            </w:pPr>
          </w:p>
        </w:tc>
      </w:tr>
    </w:tbl>
    <w:p w14:paraId="4D4C8A2C">
      <w:pPr>
        <w:snapToGrid w:val="0"/>
        <w:spacing w:before="50" w:after="120" w:afterLines="50" w:line="440" w:lineRule="exact"/>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注：在填写时，如本表格不适合投标单位的实际情况，可根据本表格式自行划表填写。</w:t>
      </w:r>
    </w:p>
    <w:p w14:paraId="0EC2370E">
      <w:pPr>
        <w:snapToGrid w:val="0"/>
        <w:spacing w:before="50" w:after="50" w:line="440" w:lineRule="exact"/>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法定代表人或授权代表签字或个人CA签章</w:t>
      </w:r>
      <w:r>
        <w:rPr>
          <w:rFonts w:ascii="Arial" w:hAnsi="Arial" w:cs="Arial"/>
          <w:color w:val="000000" w:themeColor="text1"/>
          <w:spacing w:val="20"/>
          <w:szCs w:val="21"/>
          <w14:textFill>
            <w14:solidFill>
              <w14:schemeClr w14:val="tx1"/>
            </w14:solidFill>
          </w14:textFill>
        </w:rPr>
        <w:t>：</w:t>
      </w:r>
      <w:r>
        <w:rPr>
          <w:rFonts w:ascii="Arial" w:hAnsi="Arial" w:cs="Arial"/>
          <w:color w:val="000000" w:themeColor="text1"/>
          <w:spacing w:val="20"/>
          <w:szCs w:val="21"/>
          <w:u w:val="single"/>
          <w14:textFill>
            <w14:solidFill>
              <w14:schemeClr w14:val="tx1"/>
            </w14:solidFill>
          </w14:textFill>
        </w:rPr>
        <w:t xml:space="preserve">  </w:t>
      </w:r>
    </w:p>
    <w:p w14:paraId="632307CF">
      <w:pPr>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pacing w:val="20"/>
          <w:szCs w:val="21"/>
          <w14:textFill>
            <w14:solidFill>
              <w14:schemeClr w14:val="tx1"/>
            </w14:solidFill>
          </w14:textFill>
        </w:rPr>
        <w:t>供应商公章</w:t>
      </w:r>
      <w:r>
        <w:rPr>
          <w:rFonts w:ascii="Arial" w:hAnsi="Arial" w:cs="Arial"/>
          <w:color w:val="000000" w:themeColor="text1"/>
          <w:szCs w:val="21"/>
          <w14:textFill>
            <w14:solidFill>
              <w14:schemeClr w14:val="tx1"/>
            </w14:solidFill>
          </w14:textFill>
        </w:rPr>
        <w:t>（CA签章）</w:t>
      </w:r>
      <w:r>
        <w:rPr>
          <w:rFonts w:ascii="Arial" w:hAnsi="Arial" w:cs="Arial"/>
          <w:color w:val="000000" w:themeColor="text1"/>
          <w:spacing w:val="20"/>
          <w:szCs w:val="21"/>
          <w14:textFill>
            <w14:solidFill>
              <w14:schemeClr w14:val="tx1"/>
            </w14:solidFill>
          </w14:textFill>
        </w:rPr>
        <w:t>：日  期：</w:t>
      </w:r>
    </w:p>
    <w:p w14:paraId="7778A314">
      <w:pPr>
        <w:rPr>
          <w:rFonts w:ascii="Arial" w:hAnsi="Arial" w:cs="Arial"/>
          <w:color w:val="000000" w:themeColor="text1"/>
          <w:szCs w:val="21"/>
          <w14:textFill>
            <w14:solidFill>
              <w14:schemeClr w14:val="tx1"/>
            </w14:solidFill>
          </w14:textFill>
        </w:rPr>
      </w:pPr>
    </w:p>
    <w:p w14:paraId="553A55CB">
      <w:pPr>
        <w:rPr>
          <w:rFonts w:ascii="Arial" w:hAnsi="Arial" w:cs="Arial"/>
          <w:color w:val="000000" w:themeColor="text1"/>
          <w:szCs w:val="21"/>
          <w14:textFill>
            <w14:solidFill>
              <w14:schemeClr w14:val="tx1"/>
            </w14:solidFill>
          </w14:textFill>
        </w:rPr>
      </w:pPr>
    </w:p>
    <w:p w14:paraId="20B3DB18">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9．技术服务、技术培训、售后服务的内容和措施。</w:t>
      </w:r>
    </w:p>
    <w:p w14:paraId="02585956">
      <w:pPr>
        <w:rPr>
          <w:rFonts w:ascii="Arial" w:hAnsi="Arial" w:cs="Arial"/>
          <w:color w:val="000000" w:themeColor="text1"/>
          <w:szCs w:val="21"/>
          <w14:textFill>
            <w14:solidFill>
              <w14:schemeClr w14:val="tx1"/>
            </w14:solidFill>
          </w14:textFill>
        </w:rPr>
      </w:pPr>
    </w:p>
    <w:p w14:paraId="6C722CEB">
      <w:pPr>
        <w:rPr>
          <w:rFonts w:ascii="Arial" w:hAnsi="Arial" w:cs="Arial"/>
          <w:color w:val="000000" w:themeColor="text1"/>
          <w:szCs w:val="21"/>
          <w14:textFill>
            <w14:solidFill>
              <w14:schemeClr w14:val="tx1"/>
            </w14:solidFill>
          </w14:textFill>
        </w:rPr>
      </w:pPr>
    </w:p>
    <w:p w14:paraId="54CCE0D0">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10．供应商对本项目的合理化建议和改进措施。</w:t>
      </w:r>
    </w:p>
    <w:p w14:paraId="30F569E5">
      <w:pPr>
        <w:rPr>
          <w:rFonts w:ascii="Arial" w:hAnsi="Arial" w:cs="Arial"/>
          <w:color w:val="000000" w:themeColor="text1"/>
          <w:szCs w:val="21"/>
          <w14:textFill>
            <w14:solidFill>
              <w14:schemeClr w14:val="tx1"/>
            </w14:solidFill>
          </w14:textFill>
        </w:rPr>
      </w:pPr>
    </w:p>
    <w:p w14:paraId="21E16505">
      <w:pPr>
        <w:rPr>
          <w:rFonts w:ascii="Arial" w:hAnsi="Arial" w:cs="Arial"/>
          <w:color w:val="000000" w:themeColor="text1"/>
          <w:szCs w:val="21"/>
          <w14:textFill>
            <w14:solidFill>
              <w14:schemeClr w14:val="tx1"/>
            </w14:solidFill>
          </w14:textFill>
        </w:rPr>
      </w:pPr>
    </w:p>
    <w:p w14:paraId="5FBBDC03">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11．供应商需要说明的其他文件和说明。</w:t>
      </w:r>
    </w:p>
    <w:p w14:paraId="7F7D971C">
      <w:pPr>
        <w:jc w:val="center"/>
        <w:rPr>
          <w:rFonts w:ascii="Arial" w:hAnsi="Arial" w:cs="Arial"/>
          <w:b/>
          <w:bCs/>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br w:type="page"/>
      </w:r>
      <w:r>
        <w:rPr>
          <w:rFonts w:ascii="Arial" w:hAnsi="Arial" w:cs="Arial"/>
          <w:b/>
          <w:bCs/>
          <w:color w:val="000000" w:themeColor="text1"/>
          <w:szCs w:val="21"/>
          <w14:textFill>
            <w14:solidFill>
              <w14:schemeClr w14:val="tx1"/>
            </w14:solidFill>
          </w14:textFill>
        </w:rPr>
        <w:t xml:space="preserve"> </w:t>
      </w:r>
    </w:p>
    <w:p w14:paraId="34CDBCDA">
      <w:pPr>
        <w:snapToGrid w:val="0"/>
        <w:spacing w:before="120" w:beforeLines="50" w:after="50" w:line="440" w:lineRule="exact"/>
        <w:jc w:val="center"/>
        <w:outlineLvl w:val="1"/>
        <w:rPr>
          <w:rFonts w:ascii="Arial" w:hAnsi="Arial" w:cs="Arial"/>
          <w:bCs/>
          <w:color w:val="000000" w:themeColor="text1"/>
          <w:sz w:val="24"/>
          <w14:textFill>
            <w14:solidFill>
              <w14:schemeClr w14:val="tx1"/>
            </w14:solidFill>
          </w14:textFill>
        </w:rPr>
      </w:pPr>
      <w:r>
        <w:rPr>
          <w:rFonts w:ascii="Arial" w:hAnsi="Arial" w:cs="Arial"/>
          <w:bCs/>
          <w:color w:val="000000" w:themeColor="text1"/>
          <w:sz w:val="24"/>
          <w14:textFill>
            <w14:solidFill>
              <w14:schemeClr w14:val="tx1"/>
            </w14:solidFill>
          </w14:textFill>
        </w:rPr>
        <w:t>第三部分 报价文件</w:t>
      </w:r>
    </w:p>
    <w:p w14:paraId="6ED13413">
      <w:pPr>
        <w:jc w:val="center"/>
        <w:rPr>
          <w:rFonts w:ascii="Arial" w:hAnsi="Arial" w:cs="Arial"/>
          <w:b/>
          <w:bCs/>
          <w:color w:val="000000" w:themeColor="text1"/>
          <w:szCs w:val="21"/>
          <w14:textFill>
            <w14:solidFill>
              <w14:schemeClr w14:val="tx1"/>
            </w14:solidFill>
          </w14:textFill>
        </w:rPr>
      </w:pPr>
    </w:p>
    <w:p w14:paraId="20B49343">
      <w:pPr>
        <w:rPr>
          <w:rFonts w:ascii="Arial" w:hAnsi="Arial" w:cs="Arial"/>
          <w:color w:val="000000" w:themeColor="text1"/>
          <w14:textFill>
            <w14:solidFill>
              <w14:schemeClr w14:val="tx1"/>
            </w14:solidFill>
          </w14:textFill>
        </w:rPr>
      </w:pPr>
      <w:bookmarkStart w:id="120" w:name="_Hlk19115777"/>
      <w:r>
        <w:rPr>
          <w:rFonts w:ascii="Arial" w:hAnsi="Arial" w:cs="Arial"/>
          <w:color w:val="000000" w:themeColor="text1"/>
          <w14:textFill>
            <w14:solidFill>
              <w14:schemeClr w14:val="tx1"/>
            </w14:solidFill>
          </w14:textFill>
        </w:rPr>
        <w:t>1．投标函格式</w:t>
      </w:r>
      <w:r>
        <w:rPr>
          <w:rFonts w:ascii="Arial" w:hAnsi="Arial" w:cs="Arial"/>
          <w:b/>
          <w:color w:val="000000" w:themeColor="text1"/>
          <w14:textFill>
            <w14:solidFill>
              <w14:schemeClr w14:val="tx1"/>
            </w14:solidFill>
          </w14:textFill>
        </w:rPr>
        <w:t>（</w:t>
      </w:r>
      <w:r>
        <w:rPr>
          <w:rFonts w:ascii="Arial" w:hAnsi="Arial" w:cs="Arial"/>
          <w:b/>
          <w:color w:val="000000" w:themeColor="text1"/>
          <w:szCs w:val="21"/>
          <w14:textFill>
            <w14:solidFill>
              <w14:schemeClr w14:val="tx1"/>
            </w14:solidFill>
          </w14:textFill>
        </w:rPr>
        <w:t>必须提供</w:t>
      </w:r>
      <w:r>
        <w:rPr>
          <w:rFonts w:ascii="Arial" w:hAnsi="Arial" w:cs="Arial"/>
          <w:b/>
          <w:color w:val="000000" w:themeColor="text1"/>
          <w14:textFill>
            <w14:solidFill>
              <w14:schemeClr w14:val="tx1"/>
            </w14:solidFill>
          </w14:textFill>
        </w:rPr>
        <w:t>）</w:t>
      </w:r>
      <w:r>
        <w:rPr>
          <w:rFonts w:ascii="Arial" w:hAnsi="Arial" w:cs="Arial"/>
          <w:color w:val="000000" w:themeColor="text1"/>
          <w14:textFill>
            <w14:solidFill>
              <w14:schemeClr w14:val="tx1"/>
            </w14:solidFill>
          </w14:textFill>
        </w:rPr>
        <w:t>：</w:t>
      </w:r>
    </w:p>
    <w:p w14:paraId="3AFB6CDE">
      <w:pPr>
        <w:jc w:val="center"/>
        <w:rPr>
          <w:rFonts w:ascii="Arial" w:hAnsi="Arial" w:cs="Arial"/>
          <w:b/>
          <w:color w:val="000000" w:themeColor="text1"/>
          <w:szCs w:val="21"/>
          <w14:textFill>
            <w14:solidFill>
              <w14:schemeClr w14:val="tx1"/>
            </w14:solidFill>
          </w14:textFill>
        </w:rPr>
      </w:pPr>
    </w:p>
    <w:p w14:paraId="6A35753A">
      <w:pPr>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投 标 函</w:t>
      </w:r>
    </w:p>
    <w:p w14:paraId="4002C4BA">
      <w:pPr>
        <w:rPr>
          <w:rFonts w:ascii="Arial" w:hAnsi="Arial" w:cs="Arial"/>
          <w:b/>
          <w:color w:val="000000" w:themeColor="text1"/>
          <w:szCs w:val="21"/>
          <w14:textFill>
            <w14:solidFill>
              <w14:schemeClr w14:val="tx1"/>
            </w14:solidFill>
          </w14:textFill>
        </w:rPr>
      </w:pPr>
    </w:p>
    <w:p w14:paraId="5CE91C61">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致：</w:t>
      </w:r>
      <w:bookmarkStart w:id="121" w:name="_Hlk19051378"/>
      <w:r>
        <w:rPr>
          <w:rFonts w:ascii="Arial" w:hAnsi="Arial" w:cs="Arial"/>
          <w:color w:val="000000" w:themeColor="text1"/>
          <w:szCs w:val="21"/>
          <w14:textFill>
            <w14:solidFill>
              <w14:schemeClr w14:val="tx1"/>
            </w14:solidFill>
          </w14:textFill>
        </w:rPr>
        <w:t>_</w:t>
      </w:r>
      <w:r>
        <w:rPr>
          <w:rFonts w:ascii="Arial" w:hAnsi="Arial" w:cs="Arial"/>
          <w:i/>
          <w:iCs/>
          <w:color w:val="000000" w:themeColor="text1"/>
          <w:szCs w:val="21"/>
          <w:u w:val="single"/>
          <w14:textFill>
            <w14:solidFill>
              <w14:schemeClr w14:val="tx1"/>
            </w14:solidFill>
          </w14:textFill>
        </w:rPr>
        <w:t>（采购人名称）</w:t>
      </w:r>
      <w:r>
        <w:rPr>
          <w:rFonts w:ascii="Arial" w:hAnsi="Arial" w:cs="Arial"/>
          <w:i/>
          <w:iCs/>
          <w:color w:val="000000" w:themeColor="text1"/>
          <w:szCs w:val="21"/>
          <w14:textFill>
            <w14:solidFill>
              <w14:schemeClr w14:val="tx1"/>
            </w14:solidFill>
          </w14:textFill>
        </w:rPr>
        <w:t>_</w:t>
      </w:r>
      <w:bookmarkEnd w:id="121"/>
      <w:r>
        <w:rPr>
          <w:rFonts w:ascii="Arial" w:hAnsi="Arial" w:cs="Arial"/>
          <w:color w:val="000000" w:themeColor="text1"/>
          <w:szCs w:val="21"/>
          <w14:textFill>
            <w14:solidFill>
              <w14:schemeClr w14:val="tx1"/>
            </w14:solidFill>
          </w14:textFill>
        </w:rPr>
        <w:t>：</w:t>
      </w:r>
    </w:p>
    <w:p w14:paraId="198691A7">
      <w:pPr>
        <w:spacing w:line="360"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我方已仔细研究了</w:t>
      </w:r>
      <w:bookmarkStart w:id="122" w:name="_Hlk19051388"/>
      <w:r>
        <w:rPr>
          <w:rFonts w:ascii="Arial" w:hAnsi="Arial" w:cs="Arial"/>
          <w:i/>
          <w:iCs/>
          <w:color w:val="000000" w:themeColor="text1"/>
          <w:szCs w:val="21"/>
          <w:u w:val="single"/>
          <w14:textFill>
            <w14:solidFill>
              <w14:schemeClr w14:val="tx1"/>
            </w14:solidFill>
          </w14:textFill>
        </w:rPr>
        <w:t>（项目名称）</w:t>
      </w:r>
      <w:bookmarkEnd w:id="122"/>
      <w:r>
        <w:rPr>
          <w:rFonts w:ascii="Arial" w:hAnsi="Arial" w:cs="Arial"/>
          <w:color w:val="000000" w:themeColor="text1"/>
          <w:szCs w:val="21"/>
          <w14:textFill>
            <w14:solidFill>
              <w14:schemeClr w14:val="tx1"/>
            </w14:solidFill>
          </w14:textFill>
        </w:rPr>
        <w:t>的招标文件的全部内容。签字代表</w:t>
      </w:r>
      <w:bookmarkStart w:id="123" w:name="_Hlk19051393"/>
      <w:r>
        <w:rPr>
          <w:rFonts w:ascii="Arial" w:hAnsi="Arial" w:cs="Arial"/>
          <w:i/>
          <w:iCs/>
          <w:color w:val="000000" w:themeColor="text1"/>
          <w:szCs w:val="21"/>
          <w:u w:val="single"/>
          <w14:textFill>
            <w14:solidFill>
              <w14:schemeClr w14:val="tx1"/>
            </w14:solidFill>
          </w14:textFill>
        </w:rPr>
        <w:t>（授权代表姓名）</w:t>
      </w:r>
      <w:bookmarkEnd w:id="123"/>
      <w:r>
        <w:rPr>
          <w:rFonts w:ascii="Arial" w:hAnsi="Arial" w:cs="Arial"/>
          <w:color w:val="000000" w:themeColor="text1"/>
          <w:szCs w:val="21"/>
          <w14:textFill>
            <w14:solidFill>
              <w14:schemeClr w14:val="tx1"/>
            </w14:solidFill>
          </w14:textFill>
        </w:rPr>
        <w:t>经正式授权并代表供应商_</w:t>
      </w:r>
      <w:bookmarkStart w:id="124" w:name="_Hlk19051402"/>
      <w:r>
        <w:rPr>
          <w:rFonts w:ascii="Arial" w:hAnsi="Arial" w:cs="Arial"/>
          <w:i/>
          <w:iCs/>
          <w:color w:val="000000" w:themeColor="text1"/>
          <w:szCs w:val="21"/>
          <w:u w:val="single"/>
          <w14:textFill>
            <w14:solidFill>
              <w14:schemeClr w14:val="tx1"/>
            </w14:solidFill>
          </w14:textFill>
        </w:rPr>
        <w:t>（供应商名称）</w:t>
      </w:r>
      <w:bookmarkEnd w:id="124"/>
      <w:r>
        <w:rPr>
          <w:rFonts w:ascii="Arial" w:hAnsi="Arial" w:cs="Arial"/>
          <w:color w:val="000000" w:themeColor="text1"/>
          <w:szCs w:val="21"/>
          <w14:textFill>
            <w14:solidFill>
              <w14:schemeClr w14:val="tx1"/>
            </w14:solidFill>
          </w14:textFill>
        </w:rPr>
        <w:t>提交投标文件。</w:t>
      </w:r>
    </w:p>
    <w:p w14:paraId="5BC312E7">
      <w:pPr>
        <w:spacing w:line="360" w:lineRule="auto"/>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据此函，签字代表宣布同意如下：</w:t>
      </w:r>
    </w:p>
    <w:p w14:paraId="5D76E89F">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123C5CE0">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（2）我方在投标之前已经与贵方进行了充分的沟通，完全理解并接受招标文件的各项规定和要求，对招标文件的合理性、合法性不再有异议。</w:t>
      </w:r>
    </w:p>
    <w:p w14:paraId="76311604">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（3）本投标有效期自投标截止之日起</w:t>
      </w:r>
      <w:r>
        <w:rPr>
          <w:rFonts w:ascii="Arial" w:hAnsi="Arial" w:cs="Arial"/>
          <w:color w:val="000000" w:themeColor="text1"/>
          <w:szCs w:val="21"/>
          <w:u w:val="single"/>
          <w14:textFill>
            <w14:solidFill>
              <w14:schemeClr w14:val="tx1"/>
            </w14:solidFill>
          </w14:textFill>
        </w:rPr>
        <w:t xml:space="preserve"> 90  </w:t>
      </w:r>
      <w:r>
        <w:rPr>
          <w:rFonts w:ascii="Arial" w:hAnsi="Arial" w:cs="Arial"/>
          <w:color w:val="000000" w:themeColor="text1"/>
          <w:szCs w:val="21"/>
          <w14:textFill>
            <w14:solidFill>
              <w14:schemeClr w14:val="tx1"/>
            </w14:solidFill>
          </w14:textFill>
        </w:rPr>
        <w:t>天。</w:t>
      </w:r>
    </w:p>
    <w:p w14:paraId="3F9B3F7A">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（4）如中标，本投标文件至本项目合同履行完毕止均保持有效，我方将按“招标文件”及政府采购法律、法规的规定履行合同责任和义务，并承诺不分包及转包他人。</w:t>
      </w:r>
    </w:p>
    <w:p w14:paraId="77B99AEB">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（5）我方同意按照贵方要求提供与投标有关的一切数据或资料。</w:t>
      </w:r>
    </w:p>
    <w:p w14:paraId="742C004F">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（6）与本项目有关的一切正式往来信函请寄：</w:t>
      </w:r>
    </w:p>
    <w:p w14:paraId="1F04379C">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地址：</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邮编： 电话：</w:t>
      </w:r>
      <w:r>
        <w:rPr>
          <w:rFonts w:ascii="Arial" w:hAnsi="Arial" w:cs="Arial"/>
          <w:color w:val="000000" w:themeColor="text1"/>
          <w:szCs w:val="21"/>
          <w:u w:val="single"/>
          <w14:textFill>
            <w14:solidFill>
              <w14:schemeClr w14:val="tx1"/>
            </w14:solidFill>
          </w14:textFill>
        </w:rPr>
        <w:t xml:space="preserve">    </w:t>
      </w:r>
    </w:p>
    <w:p w14:paraId="5ACDDB23">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传真：</w:t>
      </w:r>
    </w:p>
    <w:p w14:paraId="5A96F38B">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供应商代表姓名 职务：邮箱：</w:t>
      </w:r>
    </w:p>
    <w:bookmarkEnd w:id="120"/>
    <w:p w14:paraId="021DC1A9">
      <w:pPr>
        <w:spacing w:line="360" w:lineRule="auto"/>
        <w:rPr>
          <w:rFonts w:ascii="Arial" w:hAnsi="Arial" w:cs="Arial"/>
          <w:color w:val="000000" w:themeColor="text1"/>
          <w:szCs w:val="21"/>
          <w14:textFill>
            <w14:solidFill>
              <w14:schemeClr w14:val="tx1"/>
            </w14:solidFill>
          </w14:textFill>
        </w:rPr>
      </w:pPr>
    </w:p>
    <w:p w14:paraId="38B00E4B">
      <w:pPr>
        <w:spacing w:line="360" w:lineRule="auto"/>
        <w:rPr>
          <w:rFonts w:ascii="Arial" w:hAnsi="Arial" w:cs="Arial"/>
          <w:color w:val="000000" w:themeColor="text1"/>
          <w:szCs w:val="21"/>
          <w14:textFill>
            <w14:solidFill>
              <w14:schemeClr w14:val="tx1"/>
            </w14:solidFill>
          </w14:textFill>
        </w:rPr>
      </w:pPr>
    </w:p>
    <w:p w14:paraId="39982A39">
      <w:pPr>
        <w:spacing w:line="360" w:lineRule="auto"/>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供应商名称(公章)（CA签章）：</w:t>
      </w:r>
    </w:p>
    <w:p w14:paraId="1816CEE1">
      <w:pPr>
        <w:spacing w:line="360" w:lineRule="auto"/>
        <w:rPr>
          <w:rFonts w:ascii="Arial" w:hAnsi="Arial" w:cs="Arial"/>
          <w:color w:val="000000" w:themeColor="text1"/>
          <w:szCs w:val="21"/>
          <w14:textFill>
            <w14:solidFill>
              <w14:schemeClr w14:val="tx1"/>
            </w14:solidFill>
          </w14:textFill>
        </w:rPr>
      </w:pPr>
    </w:p>
    <w:p w14:paraId="3216C81B">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法定代表人或授权代表签字或个人CA签章： </w:t>
      </w:r>
    </w:p>
    <w:p w14:paraId="56F7106E">
      <w:pPr>
        <w:spacing w:line="360" w:lineRule="auto"/>
        <w:rPr>
          <w:rFonts w:ascii="Arial" w:hAnsi="Arial" w:cs="Arial"/>
          <w:color w:val="000000" w:themeColor="text1"/>
          <w:szCs w:val="21"/>
          <w14:textFill>
            <w14:solidFill>
              <w14:schemeClr w14:val="tx1"/>
            </w14:solidFill>
          </w14:textFill>
        </w:rPr>
      </w:pPr>
    </w:p>
    <w:p w14:paraId="1D3BBB13">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日期：</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年</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月</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日</w:t>
      </w:r>
    </w:p>
    <w:p w14:paraId="37047CEB">
      <w:pPr>
        <w:rPr>
          <w:rFonts w:ascii="Arial" w:hAnsi="Arial" w:cs="Arial"/>
          <w:color w:val="000000" w:themeColor="text1"/>
          <w14:textFill>
            <w14:solidFill>
              <w14:schemeClr w14:val="tx1"/>
            </w14:solidFill>
          </w14:textFill>
        </w:rPr>
      </w:pPr>
      <w:r>
        <w:rPr>
          <w:rFonts w:ascii="Arial" w:hAnsi="Arial" w:cs="Arial"/>
          <w:b/>
          <w:color w:val="000000" w:themeColor="text1"/>
          <w:szCs w:val="21"/>
          <w14:textFill>
            <w14:solidFill>
              <w14:schemeClr w14:val="tx1"/>
            </w14:solidFill>
          </w14:textFill>
        </w:rPr>
        <w:br w:type="page"/>
      </w:r>
      <w:r>
        <w:rPr>
          <w:rFonts w:ascii="Arial" w:hAnsi="Arial" w:cs="Arial"/>
          <w:color w:val="000000" w:themeColor="text1"/>
          <w14:textFill>
            <w14:solidFill>
              <w14:schemeClr w14:val="tx1"/>
            </w14:solidFill>
          </w14:textFill>
        </w:rPr>
        <w:t>2．投标报价明细表格式：</w:t>
      </w:r>
    </w:p>
    <w:p w14:paraId="04CF715C">
      <w:pPr>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投标报价明细表</w:t>
      </w:r>
    </w:p>
    <w:p w14:paraId="6128DA15">
      <w:pPr>
        <w:ind w:firstLine="2415" w:firstLineChars="115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 金额单位：人民币（元）                  </w:t>
      </w:r>
    </w:p>
    <w:tbl>
      <w:tblPr>
        <w:tblStyle w:val="55"/>
        <w:tblW w:w="104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620"/>
        <w:gridCol w:w="1080"/>
        <w:gridCol w:w="1440"/>
        <w:gridCol w:w="1440"/>
        <w:gridCol w:w="1620"/>
        <w:gridCol w:w="1260"/>
        <w:gridCol w:w="1440"/>
      </w:tblGrid>
      <w:tr w14:paraId="5090B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36D52452">
            <w:pPr>
              <w:jc w:val="center"/>
              <w:rPr>
                <w:rFonts w:ascii="Arial" w:hAnsi="Arial" w:cs="Arial"/>
                <w:color w:val="000000" w:themeColor="text1"/>
                <w:spacing w:val="20"/>
                <w:szCs w:val="21"/>
                <w14:textFill>
                  <w14:solidFill>
                    <w14:schemeClr w14:val="tx1"/>
                  </w14:solidFill>
                </w14:textFill>
              </w:rPr>
            </w:pPr>
            <w:r>
              <w:rPr>
                <w:rFonts w:ascii="Arial" w:hAnsi="Arial" w:cs="Arial"/>
                <w:color w:val="000000" w:themeColor="text1"/>
                <w:szCs w:val="21"/>
                <w14:textFill>
                  <w14:solidFill>
                    <w14:schemeClr w14:val="tx1"/>
                  </w14:solidFill>
                </w14:textFill>
              </w:rPr>
              <w:t>序号</w:t>
            </w:r>
          </w:p>
        </w:tc>
        <w:tc>
          <w:tcPr>
            <w:tcW w:w="1620" w:type="dxa"/>
            <w:tcBorders>
              <w:top w:val="single" w:color="auto" w:sz="4" w:space="0"/>
              <w:left w:val="single" w:color="auto" w:sz="4" w:space="0"/>
              <w:bottom w:val="single" w:color="auto" w:sz="4" w:space="0"/>
              <w:right w:val="single" w:color="auto" w:sz="4" w:space="0"/>
            </w:tcBorders>
            <w:vAlign w:val="center"/>
          </w:tcPr>
          <w:p w14:paraId="365DFD1F">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产品名称</w:t>
            </w:r>
          </w:p>
        </w:tc>
        <w:tc>
          <w:tcPr>
            <w:tcW w:w="1080" w:type="dxa"/>
            <w:tcBorders>
              <w:top w:val="single" w:color="auto" w:sz="4" w:space="0"/>
              <w:left w:val="single" w:color="auto" w:sz="4" w:space="0"/>
              <w:bottom w:val="single" w:color="auto" w:sz="4" w:space="0"/>
              <w:right w:val="single" w:color="auto" w:sz="4" w:space="0"/>
            </w:tcBorders>
            <w:vAlign w:val="center"/>
          </w:tcPr>
          <w:p w14:paraId="64BA1DDD">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制造商</w:t>
            </w:r>
          </w:p>
        </w:tc>
        <w:tc>
          <w:tcPr>
            <w:tcW w:w="1440" w:type="dxa"/>
            <w:tcBorders>
              <w:top w:val="single" w:color="auto" w:sz="4" w:space="0"/>
              <w:left w:val="single" w:color="auto" w:sz="4" w:space="0"/>
              <w:bottom w:val="single" w:color="auto" w:sz="4" w:space="0"/>
              <w:right w:val="single" w:color="auto" w:sz="4" w:space="0"/>
            </w:tcBorders>
            <w:vAlign w:val="center"/>
          </w:tcPr>
          <w:p w14:paraId="165EB0E3">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品牌</w:t>
            </w:r>
          </w:p>
        </w:tc>
        <w:tc>
          <w:tcPr>
            <w:tcW w:w="1440" w:type="dxa"/>
            <w:tcBorders>
              <w:top w:val="single" w:color="auto" w:sz="4" w:space="0"/>
              <w:left w:val="single" w:color="auto" w:sz="4" w:space="0"/>
              <w:bottom w:val="single" w:color="auto" w:sz="4" w:space="0"/>
              <w:right w:val="single" w:color="auto" w:sz="4" w:space="0"/>
            </w:tcBorders>
            <w:vAlign w:val="center"/>
          </w:tcPr>
          <w:p w14:paraId="3538DC57">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14:paraId="32EA5E52">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单位及数量</w:t>
            </w:r>
          </w:p>
        </w:tc>
        <w:tc>
          <w:tcPr>
            <w:tcW w:w="1260" w:type="dxa"/>
            <w:tcBorders>
              <w:top w:val="single" w:color="auto" w:sz="4" w:space="0"/>
              <w:left w:val="single" w:color="auto" w:sz="4" w:space="0"/>
              <w:bottom w:val="single" w:color="auto" w:sz="4" w:space="0"/>
              <w:right w:val="single" w:color="auto" w:sz="4" w:space="0"/>
            </w:tcBorders>
            <w:vAlign w:val="center"/>
          </w:tcPr>
          <w:p w14:paraId="098D33B9">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单价</w:t>
            </w:r>
          </w:p>
        </w:tc>
        <w:tc>
          <w:tcPr>
            <w:tcW w:w="1440" w:type="dxa"/>
            <w:tcBorders>
              <w:top w:val="single" w:color="auto" w:sz="4" w:space="0"/>
              <w:left w:val="single" w:color="auto" w:sz="4" w:space="0"/>
              <w:bottom w:val="single" w:color="auto" w:sz="4" w:space="0"/>
              <w:right w:val="single" w:color="auto" w:sz="4" w:space="0"/>
            </w:tcBorders>
            <w:vAlign w:val="center"/>
          </w:tcPr>
          <w:p w14:paraId="62E6E9BF">
            <w:pPr>
              <w:jc w:val="cente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金额</w:t>
            </w:r>
          </w:p>
        </w:tc>
      </w:tr>
      <w:tr w14:paraId="753C0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6E27B482">
            <w:pPr>
              <w:jc w:val="center"/>
              <w:rPr>
                <w:rFonts w:ascii="Arial" w:hAnsi="Arial" w:cs="Arial"/>
                <w:color w:val="000000" w:themeColor="text1"/>
                <w:spacing w:val="20"/>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0535F2A4">
            <w:pPr>
              <w:jc w:val="center"/>
              <w:rPr>
                <w:rFonts w:ascii="Arial" w:hAnsi="Arial" w:cs="Arial"/>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08978034">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6F900AC3">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0C081EB0">
            <w:pPr>
              <w:jc w:val="center"/>
              <w:rPr>
                <w:rFonts w:ascii="Arial" w:hAnsi="Arial" w:cs="Arial"/>
                <w:color w:val="000000" w:themeColor="text1"/>
                <w:spacing w:val="20"/>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5F48A862">
            <w:pPr>
              <w:jc w:val="center"/>
              <w:rPr>
                <w:rFonts w:ascii="Arial" w:hAnsi="Arial" w:cs="Arial"/>
                <w:color w:val="000000" w:themeColor="text1"/>
                <w:spacing w:val="20"/>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2D3ED63">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79D949C8">
            <w:pPr>
              <w:jc w:val="center"/>
              <w:rPr>
                <w:rFonts w:ascii="Arial" w:hAnsi="Arial" w:cs="Arial"/>
                <w:color w:val="000000" w:themeColor="text1"/>
                <w:spacing w:val="20"/>
                <w:szCs w:val="21"/>
                <w14:textFill>
                  <w14:solidFill>
                    <w14:schemeClr w14:val="tx1"/>
                  </w14:solidFill>
                </w14:textFill>
              </w:rPr>
            </w:pPr>
          </w:p>
        </w:tc>
      </w:tr>
      <w:tr w14:paraId="3F4F6E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581B9EC8">
            <w:pPr>
              <w:jc w:val="center"/>
              <w:rPr>
                <w:rFonts w:ascii="Arial" w:hAnsi="Arial" w:cs="Arial"/>
                <w:color w:val="000000" w:themeColor="text1"/>
                <w:spacing w:val="20"/>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2954C97F">
            <w:pPr>
              <w:jc w:val="center"/>
              <w:rPr>
                <w:rFonts w:ascii="Arial" w:hAnsi="Arial" w:cs="Arial"/>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40703BC1">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4CA633E8">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2F9941BA">
            <w:pPr>
              <w:jc w:val="center"/>
              <w:rPr>
                <w:rFonts w:ascii="Arial" w:hAnsi="Arial" w:cs="Arial"/>
                <w:color w:val="000000" w:themeColor="text1"/>
                <w:spacing w:val="20"/>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307E1C68">
            <w:pPr>
              <w:jc w:val="center"/>
              <w:rPr>
                <w:rFonts w:ascii="Arial" w:hAnsi="Arial" w:cs="Arial"/>
                <w:color w:val="000000" w:themeColor="text1"/>
                <w:spacing w:val="20"/>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7AE4BC1">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6885AA0F">
            <w:pPr>
              <w:jc w:val="center"/>
              <w:rPr>
                <w:rFonts w:ascii="Arial" w:hAnsi="Arial" w:cs="Arial"/>
                <w:color w:val="000000" w:themeColor="text1"/>
                <w:spacing w:val="20"/>
                <w:szCs w:val="21"/>
                <w14:textFill>
                  <w14:solidFill>
                    <w14:schemeClr w14:val="tx1"/>
                  </w14:solidFill>
                </w14:textFill>
              </w:rPr>
            </w:pPr>
          </w:p>
        </w:tc>
      </w:tr>
      <w:tr w14:paraId="28881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3909D53A">
            <w:pPr>
              <w:jc w:val="center"/>
              <w:rPr>
                <w:rFonts w:ascii="Arial" w:hAnsi="Arial" w:cs="Arial"/>
                <w:color w:val="000000" w:themeColor="text1"/>
                <w:spacing w:val="20"/>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245FA000">
            <w:pPr>
              <w:jc w:val="center"/>
              <w:rPr>
                <w:rFonts w:ascii="Arial" w:hAnsi="Arial" w:cs="Arial"/>
                <w:color w:val="000000" w:themeColor="text1"/>
                <w:spacing w:val="20"/>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w:t>
            </w:r>
          </w:p>
        </w:tc>
        <w:tc>
          <w:tcPr>
            <w:tcW w:w="1080" w:type="dxa"/>
            <w:tcBorders>
              <w:top w:val="single" w:color="auto" w:sz="4" w:space="0"/>
              <w:left w:val="single" w:color="auto" w:sz="4" w:space="0"/>
              <w:bottom w:val="single" w:color="auto" w:sz="4" w:space="0"/>
              <w:right w:val="single" w:color="auto" w:sz="4" w:space="0"/>
            </w:tcBorders>
            <w:vAlign w:val="center"/>
          </w:tcPr>
          <w:p w14:paraId="4D5228B2">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6686E081">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3E80148A">
            <w:pPr>
              <w:jc w:val="center"/>
              <w:rPr>
                <w:rFonts w:ascii="Arial" w:hAnsi="Arial" w:cs="Arial"/>
                <w:color w:val="000000" w:themeColor="text1"/>
                <w:spacing w:val="20"/>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14:paraId="40653E7E">
            <w:pPr>
              <w:jc w:val="center"/>
              <w:rPr>
                <w:rFonts w:ascii="Arial" w:hAnsi="Arial" w:cs="Arial"/>
                <w:color w:val="000000" w:themeColor="text1"/>
                <w:spacing w:val="20"/>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6F9BDB3">
            <w:pPr>
              <w:jc w:val="center"/>
              <w:rPr>
                <w:rFonts w:ascii="Arial" w:hAnsi="Arial" w:cs="Arial"/>
                <w:color w:val="000000" w:themeColor="text1"/>
                <w:spacing w:val="20"/>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vAlign w:val="center"/>
          </w:tcPr>
          <w:p w14:paraId="5CF480A5">
            <w:pPr>
              <w:jc w:val="center"/>
              <w:rPr>
                <w:rFonts w:ascii="Arial" w:hAnsi="Arial" w:cs="Arial"/>
                <w:color w:val="000000" w:themeColor="text1"/>
                <w:spacing w:val="20"/>
                <w:szCs w:val="21"/>
                <w14:textFill>
                  <w14:solidFill>
                    <w14:schemeClr w14:val="tx1"/>
                  </w14:solidFill>
                </w14:textFill>
              </w:rPr>
            </w:pPr>
          </w:p>
        </w:tc>
      </w:tr>
      <w:tr w14:paraId="76057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10440" w:type="dxa"/>
            <w:gridSpan w:val="8"/>
            <w:tcBorders>
              <w:top w:val="single" w:color="auto" w:sz="4" w:space="0"/>
              <w:left w:val="single" w:color="auto" w:sz="4" w:space="0"/>
              <w:bottom w:val="single" w:color="auto" w:sz="4" w:space="0"/>
              <w:right w:val="single" w:color="auto" w:sz="4" w:space="0"/>
            </w:tcBorders>
            <w:vAlign w:val="center"/>
          </w:tcPr>
          <w:p w14:paraId="432CD2D6">
            <w:pPr>
              <w:jc w:val="left"/>
              <w:rPr>
                <w:rFonts w:ascii="Arial" w:hAnsi="Arial" w:cs="Arial"/>
                <w:color w:val="000000" w:themeColor="text1"/>
                <w:spacing w:val="20"/>
                <w:szCs w:val="21"/>
                <w14:textFill>
                  <w14:solidFill>
                    <w14:schemeClr w14:val="tx1"/>
                  </w14:solidFill>
                </w14:textFill>
              </w:rPr>
            </w:pPr>
            <w:r>
              <w:rPr>
                <w:rFonts w:ascii="Arial" w:hAnsi="Arial" w:cs="Arial"/>
                <w:color w:val="000000" w:themeColor="text1"/>
                <w:spacing w:val="20"/>
                <w:szCs w:val="21"/>
                <w14:textFill>
                  <w14:solidFill>
                    <w14:schemeClr w14:val="tx1"/>
                  </w14:solidFill>
                </w14:textFill>
              </w:rPr>
              <w:t>投标总价：大写                 小写</w:t>
            </w:r>
          </w:p>
        </w:tc>
      </w:tr>
    </w:tbl>
    <w:p w14:paraId="12E6A4C0">
      <w:pPr>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注：本表可扩展，并逐页签字及盖章</w:t>
      </w:r>
    </w:p>
    <w:p w14:paraId="6747906C">
      <w:pPr>
        <w:spacing w:line="360" w:lineRule="auto"/>
        <w:rPr>
          <w:rFonts w:ascii="Arial" w:hAnsi="Arial" w:cs="Arial"/>
          <w:color w:val="000000" w:themeColor="text1"/>
          <w:spacing w:val="20"/>
          <w:szCs w:val="21"/>
          <w14:textFill>
            <w14:solidFill>
              <w14:schemeClr w14:val="tx1"/>
            </w14:solidFill>
          </w14:textFill>
        </w:rPr>
      </w:pPr>
    </w:p>
    <w:p w14:paraId="48E8ECE1">
      <w:pPr>
        <w:spacing w:line="360" w:lineRule="auto"/>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法定代表人或授权代表（签字或个人CA签章）</w:t>
      </w:r>
      <w:r>
        <w:rPr>
          <w:rFonts w:ascii="Arial" w:hAnsi="Arial" w:cs="Arial"/>
          <w:color w:val="000000" w:themeColor="text1"/>
          <w:spacing w:val="20"/>
          <w:szCs w:val="21"/>
          <w14:textFill>
            <w14:solidFill>
              <w14:schemeClr w14:val="tx1"/>
            </w14:solidFill>
          </w14:textFill>
        </w:rPr>
        <w:t>：</w:t>
      </w:r>
      <w:r>
        <w:rPr>
          <w:rFonts w:ascii="Arial" w:hAnsi="Arial" w:cs="Arial"/>
          <w:color w:val="000000" w:themeColor="text1"/>
          <w:spacing w:val="20"/>
          <w:szCs w:val="21"/>
          <w:u w:val="single"/>
          <w14:textFill>
            <w14:solidFill>
              <w14:schemeClr w14:val="tx1"/>
            </w14:solidFill>
          </w14:textFill>
        </w:rPr>
        <w:t xml:space="preserve">           </w:t>
      </w:r>
    </w:p>
    <w:p w14:paraId="790F0C44">
      <w:pPr>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 xml:space="preserve">供应商名称（公章）（CA签章）： </w:t>
      </w:r>
      <w:r>
        <w:rPr>
          <w:rFonts w:ascii="Arial" w:hAnsi="Arial" w:cs="Arial"/>
          <w:color w:val="000000" w:themeColor="text1"/>
          <w:szCs w:val="21"/>
          <w:u w:val="single"/>
          <w14:textFill>
            <w14:solidFill>
              <w14:schemeClr w14:val="tx1"/>
            </w14:solidFill>
          </w14:textFill>
        </w:rPr>
        <w:t xml:space="preserve">           </w:t>
      </w:r>
    </w:p>
    <w:p w14:paraId="5436904F">
      <w:pPr>
        <w:spacing w:line="360" w:lineRule="auto"/>
        <w:rPr>
          <w:rFonts w:ascii="Arial" w:hAnsi="Arial" w:cs="Arial"/>
          <w:color w:val="000000" w:themeColor="text1"/>
          <w:spacing w:val="20"/>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 xml:space="preserve">日  期：   年  月   日 </w:t>
      </w:r>
    </w:p>
    <w:p w14:paraId="7C1EA771">
      <w:pPr>
        <w:snapToGrid w:val="0"/>
        <w:spacing w:before="50" w:after="120" w:afterLines="50"/>
        <w:jc w:val="lef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14:textFill>
            <w14:solidFill>
              <w14:schemeClr w14:val="tx1"/>
            </w14:solidFill>
          </w14:textFill>
        </w:rPr>
        <w:br w:type="page"/>
      </w:r>
      <w:bookmarkStart w:id="125" w:name="_Hlk19115862"/>
      <w:r>
        <w:rPr>
          <w:rFonts w:ascii="Arial" w:hAnsi="Arial" w:cs="Arial"/>
          <w:color w:val="000000" w:themeColor="text1"/>
          <w:szCs w:val="21"/>
          <w:highlight w:val="none"/>
          <w14:textFill>
            <w14:solidFill>
              <w14:schemeClr w14:val="tx1"/>
            </w14:solidFill>
          </w14:textFill>
        </w:rPr>
        <w:t>3．过低报价合理性的说明。（如有）</w:t>
      </w:r>
    </w:p>
    <w:bookmarkEnd w:id="125"/>
    <w:p w14:paraId="11EB573B">
      <w:pPr>
        <w:spacing w:line="360" w:lineRule="auto"/>
        <w:ind w:firstLine="420" w:firstLineChars="200"/>
        <w:rPr>
          <w:rFonts w:hint="eastAsia"/>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评审委员会认为的报价</w:t>
      </w:r>
      <w:r>
        <w:rPr>
          <w:rFonts w:hint="eastAsia"/>
          <w:color w:val="000000" w:themeColor="text1"/>
          <w:szCs w:val="21"/>
          <w:highlight w:val="none"/>
          <w:lang w:val="en-US" w:eastAsia="zh-CN"/>
          <w14:textFill>
            <w14:solidFill>
              <w14:schemeClr w14:val="tx1"/>
            </w14:solidFill>
          </w14:textFill>
        </w:rPr>
        <w:t>存在异常低价问题的情形</w:t>
      </w:r>
      <w:r>
        <w:rPr>
          <w:color w:val="000000" w:themeColor="text1"/>
          <w:szCs w:val="21"/>
          <w:highlight w:val="none"/>
          <w14:textFill>
            <w14:solidFill>
              <w14:schemeClr w14:val="tx1"/>
            </w14:solidFill>
          </w14:textFill>
        </w:rPr>
        <w:t>，供应商将被要求以书面方式提供</w:t>
      </w:r>
      <w:r>
        <w:rPr>
          <w:rFonts w:hint="eastAsia"/>
          <w:color w:val="000000" w:themeColor="text1"/>
          <w:szCs w:val="21"/>
          <w:highlight w:val="none"/>
          <w:lang w:val="en-US" w:eastAsia="zh-CN"/>
          <w14:textFill>
            <w14:solidFill>
              <w14:schemeClr w14:val="tx1"/>
            </w14:solidFill>
          </w14:textFill>
        </w:rPr>
        <w:t>项目具体成本测算等与报价合理性相关的书面说明及必要的证明材料</w:t>
      </w:r>
      <w:r>
        <w:rPr>
          <w:color w:val="000000" w:themeColor="text1"/>
          <w:szCs w:val="21"/>
          <w:highlight w:val="none"/>
          <w14:textFill>
            <w14:solidFill>
              <w14:schemeClr w14:val="tx1"/>
            </w14:solidFill>
          </w14:textFill>
        </w:rPr>
        <w:t>。为避免在评审现场因未能及时提供说明而导致被评审委员会作为无效投标，供应商</w:t>
      </w:r>
      <w:r>
        <w:rPr>
          <w:rFonts w:hint="eastAsia"/>
          <w:color w:val="000000" w:themeColor="text1"/>
          <w:highlight w:val="none"/>
          <w14:textFill>
            <w14:solidFill>
              <w14:schemeClr w14:val="tx1"/>
            </w14:solidFill>
          </w14:textFill>
        </w:rPr>
        <w:t>自行决定是否</w:t>
      </w:r>
      <w:r>
        <w:rPr>
          <w:color w:val="000000" w:themeColor="text1"/>
          <w:kern w:val="1"/>
          <w:szCs w:val="21"/>
          <w:highlight w:val="none"/>
          <w14:textFill>
            <w14:solidFill>
              <w14:schemeClr w14:val="tx1"/>
            </w14:solidFill>
          </w14:textFill>
        </w:rPr>
        <w:t>直接在</w:t>
      </w:r>
      <w:r>
        <w:rPr>
          <w:color w:val="000000" w:themeColor="text1"/>
          <w:szCs w:val="21"/>
          <w:highlight w:val="none"/>
          <w14:textFill>
            <w14:solidFill>
              <w14:schemeClr w14:val="tx1"/>
            </w14:solidFill>
          </w14:textFill>
        </w:rPr>
        <w:t>此处</w:t>
      </w:r>
      <w:r>
        <w:rPr>
          <w:rFonts w:hint="eastAsia"/>
          <w:color w:val="000000" w:themeColor="text1"/>
          <w:szCs w:val="21"/>
          <w:highlight w:val="none"/>
          <w14:textFill>
            <w14:solidFill>
              <w14:schemeClr w14:val="tx1"/>
            </w14:solidFill>
          </w14:textFill>
        </w:rPr>
        <w:t>进行陈述</w:t>
      </w:r>
      <w:r>
        <w:rPr>
          <w:color w:val="000000" w:themeColor="text1"/>
          <w:szCs w:val="21"/>
          <w:highlight w:val="none"/>
          <w14:textFill>
            <w14:solidFill>
              <w14:schemeClr w14:val="tx1"/>
            </w14:solidFill>
          </w14:textFill>
        </w:rPr>
        <w:t>。格式自拟。</w:t>
      </w:r>
      <w:r>
        <w:rPr>
          <w:rFonts w:hint="eastAsia"/>
          <w:color w:val="000000" w:themeColor="text1"/>
          <w:szCs w:val="21"/>
          <w:highlight w:val="none"/>
          <w14:textFill>
            <w14:solidFill>
              <w14:schemeClr w14:val="tx1"/>
            </w14:solidFill>
          </w14:textFill>
        </w:rPr>
        <w:t>（</w:t>
      </w:r>
      <w:r>
        <w:rPr>
          <w:rFonts w:hint="eastAsia"/>
          <w:color w:val="000000" w:themeColor="text1"/>
          <w:kern w:val="1"/>
          <w:szCs w:val="21"/>
          <w:highlight w:val="none"/>
          <w14:textFill>
            <w14:solidFill>
              <w14:schemeClr w14:val="tx1"/>
            </w14:solidFill>
          </w14:textFill>
        </w:rPr>
        <w:t>具体要求详见第四章评审方法及标准“过低报价合理性的审查”</w:t>
      </w:r>
      <w:r>
        <w:rPr>
          <w:rFonts w:hint="eastAsia"/>
          <w:color w:val="000000" w:themeColor="text1"/>
          <w:szCs w:val="21"/>
          <w:highlight w:val="none"/>
          <w14:textFill>
            <w14:solidFill>
              <w14:schemeClr w14:val="tx1"/>
            </w14:solidFill>
          </w14:textFill>
        </w:rPr>
        <w:t>）</w:t>
      </w:r>
    </w:p>
    <w:p w14:paraId="783E9B9E">
      <w:pPr>
        <w:pStyle w:val="202"/>
        <w:jc w:val="center"/>
        <w:rPr>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产品成本测算表（参考格式）</w:t>
      </w:r>
    </w:p>
    <w:p w14:paraId="2DB889C3">
      <w:pPr>
        <w:spacing w:line="360" w:lineRule="auto"/>
        <w:rPr>
          <w:color w:val="000000" w:themeColor="text1"/>
          <w:highlight w:val="none"/>
          <w14:textFill>
            <w14:solidFill>
              <w14:schemeClr w14:val="tx1"/>
            </w14:solidFill>
          </w14:textFill>
        </w:rPr>
      </w:pPr>
    </w:p>
    <w:tbl>
      <w:tblPr>
        <w:tblStyle w:val="55"/>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000000" w:themeColor="text1"/>
                <w:highlight w:val="none"/>
                <w14:textFill>
                  <w14:solidFill>
                    <w14:schemeClr w14:val="tx1"/>
                  </w14:solidFill>
                </w14:textFill>
              </w:rPr>
            </w:pPr>
            <w:r>
              <w:rPr>
                <w:rFonts w:hint="eastAsia" w:cs="仿宋_GB2312"/>
                <w:b/>
                <w:color w:val="000000" w:themeColor="text1"/>
                <w:szCs w:val="24"/>
                <w:highlight w:val="none"/>
                <w14:textFill>
                  <w14:solidFill>
                    <w14:schemeClr w14:val="tx1"/>
                  </w14:solidFill>
                </w14:textFill>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lang w:val="en-US" w:eastAsia="zh-CN"/>
                <w14:textFill>
                  <w14:solidFill>
                    <w14:schemeClr w14:val="tx1"/>
                  </w14:solidFill>
                </w14:textFill>
              </w:rPr>
              <w:t>报价</w:t>
            </w:r>
            <w:r>
              <w:rPr>
                <w:rFonts w:hint="eastAsia" w:cs="宋体"/>
                <w:b/>
                <w:color w:val="000000" w:themeColor="text1"/>
                <w:highlight w:val="none"/>
                <w14:textFill>
                  <w14:solidFill>
                    <w14:schemeClr w14:val="tx1"/>
                  </w14:solidFill>
                </w14:textFill>
              </w:rPr>
              <w:t>单价（</w:t>
            </w:r>
            <w:r>
              <w:rPr>
                <w:rFonts w:cs="宋体"/>
                <w:b/>
                <w:color w:val="000000" w:themeColor="text1"/>
                <w:highlight w:val="none"/>
                <w14:textFill>
                  <w14:solidFill>
                    <w14:schemeClr w14:val="tx1"/>
                  </w14:solidFill>
                </w14:textFill>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000000" w:themeColor="text1"/>
                <w:highlight w:val="none"/>
                <w:lang w:val="en-US" w:eastAsia="zh-CN"/>
                <w14:textFill>
                  <w14:solidFill>
                    <w14:schemeClr w14:val="tx1"/>
                  </w14:solidFill>
                </w14:textFill>
              </w:rPr>
            </w:pPr>
            <w:r>
              <w:rPr>
                <w:rFonts w:hint="eastAsia" w:cs="宋体"/>
                <w:b/>
                <w:color w:val="000000" w:themeColor="text1"/>
                <w:highlight w:val="none"/>
                <w:lang w:val="en-US" w:eastAsia="zh-CN"/>
                <w14:textFill>
                  <w14:solidFill>
                    <w14:schemeClr w14:val="tx1"/>
                  </w14:solidFill>
                </w14:textFill>
              </w:rPr>
              <w:t>成本项目</w:t>
            </w:r>
          </w:p>
          <w:p w14:paraId="5AD3EE4D">
            <w:pPr>
              <w:spacing w:line="360" w:lineRule="auto"/>
              <w:ind w:right="-65" w:rightChars="-31"/>
              <w:jc w:val="both"/>
              <w:rPr>
                <w:rFonts w:hint="default" w:cs="宋体"/>
                <w:b/>
                <w:color w:val="000000" w:themeColor="text1"/>
                <w:highlight w:val="none"/>
                <w:lang w:val="en-US" w:eastAsia="zh-CN"/>
                <w14:textFill>
                  <w14:solidFill>
                    <w14:schemeClr w14:val="tx1"/>
                  </w14:solidFill>
                </w14:textFill>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000000" w:themeColor="text1"/>
                <w:highlight w:val="none"/>
                <w:lang w:val="en-US" w:eastAsia="zh-CN"/>
                <w14:textFill>
                  <w14:solidFill>
                    <w14:schemeClr w14:val="tx1"/>
                  </w14:solidFill>
                </w14:textFill>
              </w:rPr>
            </w:pPr>
            <w:r>
              <w:rPr>
                <w:rFonts w:hint="eastAsia" w:cs="宋体"/>
                <w:b/>
                <w:color w:val="000000" w:themeColor="text1"/>
                <w:highlight w:val="none"/>
                <w:lang w:val="en-US" w:eastAsia="zh-CN"/>
                <w14:textFill>
                  <w14:solidFill>
                    <w14:schemeClr w14:val="tx1"/>
                  </w14:solidFill>
                </w14:textFill>
              </w:rPr>
              <w:t>具体明细</w:t>
            </w:r>
          </w:p>
          <w:p w14:paraId="7EF200FF">
            <w:pPr>
              <w:spacing w:line="360" w:lineRule="auto"/>
              <w:ind w:left="-48" w:leftChars="-23" w:right="-65" w:rightChars="-31"/>
              <w:jc w:val="center"/>
              <w:rPr>
                <w:rFonts w:hint="eastAsia" w:cs="宋体"/>
                <w:b/>
                <w:color w:val="000000" w:themeColor="text1"/>
                <w:highlight w:val="none"/>
                <w:lang w:val="en-US" w:eastAsia="zh-CN"/>
                <w14:textFill>
                  <w14:solidFill>
                    <w14:schemeClr w14:val="tx1"/>
                  </w14:solidFill>
                </w14:textFill>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000000" w:themeColor="text1"/>
                <w:highlight w:val="none"/>
                <w:lang w:val="en-US" w:eastAsia="zh-CN"/>
                <w14:textFill>
                  <w14:solidFill>
                    <w14:schemeClr w14:val="tx1"/>
                  </w14:solidFill>
                </w14:textFill>
              </w:rPr>
            </w:pPr>
            <w:r>
              <w:rPr>
                <w:rFonts w:hint="eastAsia" w:cs="宋体"/>
                <w:b/>
                <w:color w:val="000000" w:themeColor="text1"/>
                <w:highlight w:val="none"/>
                <w:lang w:val="en-US" w:eastAsia="zh-CN"/>
                <w14:textFill>
                  <w14:solidFill>
                    <w14:schemeClr w14:val="tx1"/>
                  </w14:solidFill>
                </w14:textFill>
              </w:rPr>
              <w:t>单位产品用量</w:t>
            </w:r>
          </w:p>
          <w:p w14:paraId="27DC558F">
            <w:pPr>
              <w:spacing w:line="360" w:lineRule="auto"/>
              <w:ind w:left="-48" w:leftChars="-23" w:right="-65" w:rightChars="-31"/>
              <w:jc w:val="center"/>
              <w:rPr>
                <w:rFonts w:hint="eastAsia" w:cs="宋体"/>
                <w:b/>
                <w:color w:val="000000" w:themeColor="text1"/>
                <w:highlight w:val="none"/>
                <w:lang w:val="en-US" w:eastAsia="zh-CN"/>
                <w14:textFill>
                  <w14:solidFill>
                    <w14:schemeClr w14:val="tx1"/>
                  </w14:solidFill>
                </w14:textFill>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000000" w:themeColor="text1"/>
                <w:highlight w:val="none"/>
                <w:lang w:val="en-US" w:eastAsia="zh-CN"/>
                <w14:textFill>
                  <w14:solidFill>
                    <w14:schemeClr w14:val="tx1"/>
                  </w14:solidFill>
                </w14:textFill>
              </w:rPr>
            </w:pPr>
            <w:r>
              <w:rPr>
                <w:rFonts w:hint="eastAsia" w:cs="宋体"/>
                <w:b/>
                <w:color w:val="000000" w:themeColor="text1"/>
                <w:highlight w:val="none"/>
                <w:lang w:val="en-US" w:eastAsia="zh-CN"/>
                <w14:textFill>
                  <w14:solidFill>
                    <w14:schemeClr w14:val="tx1"/>
                  </w14:solidFill>
                </w14:textFill>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000000" w:themeColor="text1"/>
                <w:highlight w:val="none"/>
                <w14:textFill>
                  <w14:solidFill>
                    <w14:schemeClr w14:val="tx1"/>
                  </w14:solidFill>
                </w14:textFill>
              </w:rPr>
            </w:pPr>
            <w:r>
              <w:rPr>
                <w:rFonts w:hint="eastAsia" w:cs="宋体"/>
                <w:b/>
                <w:color w:val="000000" w:themeColor="text1"/>
                <w:highlight w:val="none"/>
                <w14:textFill>
                  <w14:solidFill>
                    <w14:schemeClr w14:val="tx1"/>
                  </w14:solidFill>
                </w14:textFill>
              </w:rPr>
              <w:t>成本</w:t>
            </w:r>
            <w:r>
              <w:rPr>
                <w:rFonts w:cs="宋体"/>
                <w:b/>
                <w:color w:val="000000" w:themeColor="text1"/>
                <w:highlight w:val="none"/>
                <w14:textFill>
                  <w14:solidFill>
                    <w14:schemeClr w14:val="tx1"/>
                  </w14:solidFill>
                </w14:textFill>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000000" w:themeColor="text1"/>
                <w:highlight w:val="none"/>
                <w14:textFill>
                  <w14:solidFill>
                    <w14:schemeClr w14:val="tx1"/>
                  </w14:solidFill>
                </w14:textFill>
              </w:rPr>
            </w:pPr>
            <w:r>
              <w:rPr>
                <w:rFonts w:hint="eastAsia" w:cs="宋体"/>
                <w:b/>
                <w:color w:val="000000" w:themeColor="text1"/>
                <w:highlight w:val="none"/>
                <w:lang w:val="en-US" w:eastAsia="zh-CN"/>
                <w14:textFill>
                  <w14:solidFill>
                    <w14:schemeClr w14:val="tx1"/>
                  </w14:solidFill>
                </w14:textFill>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6"/>
              </w:numPr>
              <w:tabs>
                <w:tab w:val="left" w:pos="61"/>
              </w:tabs>
              <w:jc w:val="center"/>
              <w:rPr>
                <w:color w:val="000000" w:themeColor="text1"/>
                <w:highlight w:val="none"/>
                <w14:textFill>
                  <w14:solidFill>
                    <w14:schemeClr w14:val="tx1"/>
                  </w14:solidFill>
                </w14:textFill>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000000" w:themeColor="text1"/>
                <w:szCs w:val="24"/>
                <w:highlight w:val="none"/>
                <w14:textFill>
                  <w14:solidFill>
                    <w14:schemeClr w14:val="tx1"/>
                  </w14:solidFill>
                </w14:textFill>
              </w:rPr>
            </w:pPr>
            <w:r>
              <w:rPr>
                <w:rFonts w:cs="宋体"/>
                <w:color w:val="000000" w:themeColor="text1"/>
                <w:szCs w:val="24"/>
                <w:highlight w:val="none"/>
                <w:lang w:val="en-US" w:eastAsia="zh-CN"/>
                <w14:textFill>
                  <w14:solidFill>
                    <w14:schemeClr w14:val="tx1"/>
                  </w14:solidFill>
                </w14:textFill>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6"/>
              </w:numPr>
              <w:tabs>
                <w:tab w:val="left" w:pos="61"/>
              </w:tabs>
              <w:jc w:val="center"/>
              <w:rPr>
                <w:color w:val="000000" w:themeColor="text1"/>
                <w:highlight w:val="none"/>
                <w14:textFill>
                  <w14:solidFill>
                    <w14:schemeClr w14:val="tx1"/>
                  </w14:solidFill>
                </w14:textFill>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000000" w:themeColor="text1"/>
                <w:szCs w:val="24"/>
                <w:highlight w:val="none"/>
                <w14:textFill>
                  <w14:solidFill>
                    <w14:schemeClr w14:val="tx1"/>
                  </w14:solidFill>
                </w14:textFill>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000000" w:themeColor="text1"/>
                <w:szCs w:val="24"/>
                <w:highlight w:val="none"/>
                <w:lang w:val="en-US" w:eastAsia="zh-CN"/>
                <w14:textFill>
                  <w14:solidFill>
                    <w14:schemeClr w14:val="tx1"/>
                  </w14:solidFill>
                </w14:textFill>
              </w:rPr>
            </w:pPr>
            <w:r>
              <w:rPr>
                <w:rFonts w:hint="eastAsia" w:cs="宋体"/>
                <w:color w:val="000000" w:themeColor="text1"/>
                <w:szCs w:val="24"/>
                <w:highlight w:val="none"/>
                <w:lang w:val="en-US" w:eastAsia="zh-CN"/>
                <w14:textFill>
                  <w14:solidFill>
                    <w14:schemeClr w14:val="tx1"/>
                  </w14:solidFill>
                </w14:textFill>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000000" w:themeColor="text1"/>
                <w:highlight w:val="none"/>
                <w14:textFill>
                  <w14:solidFill>
                    <w14:schemeClr w14:val="tx1"/>
                  </w14:solidFill>
                </w14:textFill>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000000" w:themeColor="text1"/>
                <w:szCs w:val="24"/>
                <w:highlight w:val="none"/>
                <w14:textFill>
                  <w14:solidFill>
                    <w14:schemeClr w14:val="tx1"/>
                  </w14:solidFill>
                </w14:textFill>
              </w:rPr>
            </w:pPr>
            <w:r>
              <w:rPr>
                <w:rFonts w:cs="宋体"/>
                <w:color w:val="000000" w:themeColor="text1"/>
                <w:szCs w:val="24"/>
                <w:highlight w:val="none"/>
                <w:lang w:val="en-US" w:eastAsia="zh-CN"/>
                <w14:textFill>
                  <w14:solidFill>
                    <w14:schemeClr w14:val="tx1"/>
                  </w14:solidFill>
                </w14:textFill>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000000" w:themeColor="text1"/>
                <w:highlight w:val="none"/>
                <w14:textFill>
                  <w14:solidFill>
                    <w14:schemeClr w14:val="tx1"/>
                  </w14:solidFill>
                </w14:textFill>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000000" w:themeColor="text1"/>
                <w:szCs w:val="24"/>
                <w:highlight w:val="none"/>
                <w14:textFill>
                  <w14:solidFill>
                    <w14:schemeClr w14:val="tx1"/>
                  </w14:solidFill>
                </w14:textFill>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000000" w:themeColor="text1"/>
                <w:szCs w:val="24"/>
                <w:highlight w:val="none"/>
                <w:lang w:val="en-US" w:eastAsia="zh-CN"/>
                <w14:textFill>
                  <w14:solidFill>
                    <w14:schemeClr w14:val="tx1"/>
                  </w14:solidFill>
                </w14:textFill>
              </w:rPr>
            </w:pPr>
            <w:r>
              <w:rPr>
                <w:rFonts w:hint="eastAsia" w:cs="宋体"/>
                <w:color w:val="000000" w:themeColor="text1"/>
                <w:szCs w:val="24"/>
                <w:highlight w:val="none"/>
                <w:lang w:val="en-US" w:eastAsia="zh-CN"/>
                <w14:textFill>
                  <w14:solidFill>
                    <w14:schemeClr w14:val="tx1"/>
                  </w14:solidFill>
                </w14:textFill>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000000" w:themeColor="text1"/>
                <w:highlight w:val="none"/>
                <w14:textFill>
                  <w14:solidFill>
                    <w14:schemeClr w14:val="tx1"/>
                  </w14:solidFill>
                </w14:textFill>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000000" w:themeColor="text1"/>
                <w:szCs w:val="24"/>
                <w:highlight w:val="none"/>
                <w14:textFill>
                  <w14:solidFill>
                    <w14:schemeClr w14:val="tx1"/>
                  </w14:solidFill>
                </w14:textFill>
              </w:rPr>
            </w:pPr>
            <w:r>
              <w:rPr>
                <w:rFonts w:cs="宋体"/>
                <w:color w:val="000000" w:themeColor="text1"/>
                <w:szCs w:val="24"/>
                <w:highlight w:val="none"/>
                <w:lang w:val="en-US" w:eastAsia="zh-CN"/>
                <w14:textFill>
                  <w14:solidFill>
                    <w14:schemeClr w14:val="tx1"/>
                  </w14:solidFill>
                </w14:textFill>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000000" w:themeColor="text1"/>
                <w:szCs w:val="24"/>
                <w:highlight w:val="none"/>
                <w:lang w:val="en-US" w:eastAsia="zh-CN"/>
                <w14:textFill>
                  <w14:solidFill>
                    <w14:schemeClr w14:val="tx1"/>
                  </w14:solidFill>
                </w14:textFill>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000000" w:themeColor="text1"/>
                <w:highlight w:val="none"/>
                <w14:textFill>
                  <w14:solidFill>
                    <w14:schemeClr w14:val="tx1"/>
                  </w14:solidFill>
                </w14:textFill>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000000" w:themeColor="text1"/>
                <w:szCs w:val="24"/>
                <w:highlight w:val="none"/>
                <w14:textFill>
                  <w14:solidFill>
                    <w14:schemeClr w14:val="tx1"/>
                  </w14:solidFill>
                </w14:textFill>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000000" w:themeColor="text1"/>
                <w:szCs w:val="24"/>
                <w:highlight w:val="none"/>
                <w:lang w:val="en-US" w:eastAsia="zh-CN"/>
                <w14:textFill>
                  <w14:solidFill>
                    <w14:schemeClr w14:val="tx1"/>
                  </w14:solidFill>
                </w14:textFill>
              </w:rPr>
            </w:pPr>
            <w:r>
              <w:rPr>
                <w:rFonts w:hint="eastAsia" w:cs="宋体"/>
                <w:color w:val="000000" w:themeColor="text1"/>
                <w:szCs w:val="24"/>
                <w:highlight w:val="none"/>
                <w:lang w:val="en-US" w:eastAsia="zh-CN"/>
                <w14:textFill>
                  <w14:solidFill>
                    <w14:schemeClr w14:val="tx1"/>
                  </w14:solidFill>
                </w14:textFill>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000000" w:themeColor="text1"/>
                <w:szCs w:val="24"/>
                <w:highlight w:val="none"/>
                <w:lang w:val="en-US" w:eastAsia="zh-CN"/>
                <w14:textFill>
                  <w14:solidFill>
                    <w14:schemeClr w14:val="tx1"/>
                  </w14:solidFill>
                </w14:textFill>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000000" w:themeColor="text1"/>
                <w:highlight w:val="none"/>
                <w14:textFill>
                  <w14:solidFill>
                    <w14:schemeClr w14:val="tx1"/>
                  </w14:solidFill>
                </w14:textFill>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000000" w:themeColor="text1"/>
                <w:szCs w:val="24"/>
                <w:highlight w:val="none"/>
                <w:lang w:val="en-US" w:eastAsia="zh-CN"/>
                <w14:textFill>
                  <w14:solidFill>
                    <w14:schemeClr w14:val="tx1"/>
                  </w14:solidFill>
                </w14:textFill>
              </w:rPr>
            </w:pPr>
            <w:r>
              <w:rPr>
                <w:rFonts w:hint="eastAsia" w:cs="宋体"/>
                <w:color w:val="000000" w:themeColor="text1"/>
                <w:szCs w:val="24"/>
                <w:highlight w:val="none"/>
                <w:lang w:val="en-US" w:eastAsia="zh-CN"/>
                <w14:textFill>
                  <w14:solidFill>
                    <w14:schemeClr w14:val="tx1"/>
                  </w14:solidFill>
                </w14:textFill>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000000" w:themeColor="text1"/>
                <w:szCs w:val="24"/>
                <w:highlight w:val="none"/>
                <w:lang w:val="en-US" w:eastAsia="zh-CN"/>
                <w14:textFill>
                  <w14:solidFill>
                    <w14:schemeClr w14:val="tx1"/>
                  </w14:solidFill>
                </w14:textFill>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000000" w:themeColor="text1"/>
                <w:szCs w:val="24"/>
                <w:highlight w:val="none"/>
                <w:lang w:val="en-US" w:eastAsia="zh-CN"/>
                <w14:textFill>
                  <w14:solidFill>
                    <w14:schemeClr w14:val="tx1"/>
                  </w14:solidFill>
                </w14:textFill>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p>
        </w:tc>
        <w:tc>
          <w:tcPr>
            <w:tcW w:w="201" w:type="pct"/>
            <w:shd w:val="clear" w:color="auto" w:fill="auto"/>
            <w:vAlign w:val="center"/>
          </w:tcPr>
          <w:p w14:paraId="2637B63F">
            <w:pPr>
              <w:tabs>
                <w:tab w:val="left" w:pos="0"/>
                <w:tab w:val="left" w:pos="56"/>
              </w:tabs>
              <w:ind w:left="547" w:hanging="478" w:hangingChars="228"/>
              <w:jc w:val="center"/>
              <w:rPr>
                <w:color w:val="000000" w:themeColor="text1"/>
                <w:highlight w:val="none"/>
                <w14:textFill>
                  <w14:solidFill>
                    <w14:schemeClr w14:val="tx1"/>
                  </w14:solidFill>
                </w14:textFill>
              </w:rPr>
            </w:pPr>
          </w:p>
        </w:tc>
        <w:tc>
          <w:tcPr>
            <w:tcW w:w="380" w:type="pct"/>
            <w:shd w:val="clear" w:color="auto" w:fill="auto"/>
            <w:vAlign w:val="center"/>
          </w:tcPr>
          <w:p w14:paraId="2118CF07">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000000" w:themeColor="text1"/>
                <w:szCs w:val="24"/>
                <w:highlight w:val="none"/>
                <w14:textFill>
                  <w14:solidFill>
                    <w14:schemeClr w14:val="tx1"/>
                  </w14:solidFill>
                </w14:textFill>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p w14:paraId="56BF2198">
            <w:pPr>
              <w:rPr>
                <w:color w:val="000000" w:themeColor="text1"/>
                <w:highlight w:val="none"/>
                <w14:textFill>
                  <w14:solidFill>
                    <w14:schemeClr w14:val="tx1"/>
                  </w14:solidFill>
                </w14:textFill>
              </w:rPr>
            </w:pPr>
          </w:p>
        </w:tc>
        <w:tc>
          <w:tcPr>
            <w:tcW w:w="606" w:type="pct"/>
            <w:tcBorders>
              <w:left w:val="single" w:color="auto" w:sz="4" w:space="0"/>
              <w:bottom w:val="single" w:color="auto" w:sz="4" w:space="0"/>
            </w:tcBorders>
            <w:shd w:val="clear" w:color="auto" w:fill="auto"/>
            <w:vAlign w:val="center"/>
          </w:tcPr>
          <w:p w14:paraId="6DA7B2EB">
            <w:pPr>
              <w:rPr>
                <w:color w:val="000000" w:themeColor="text1"/>
                <w:highlight w:val="none"/>
                <w14:textFill>
                  <w14:solidFill>
                    <w14:schemeClr w14:val="tx1"/>
                  </w14:solidFill>
                </w14:textFill>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000000" w:themeColor="text1"/>
                <w:szCs w:val="24"/>
                <w:highlight w:val="none"/>
                <w14:textFill>
                  <w14:solidFill>
                    <w14:schemeClr w14:val="tx1"/>
                  </w14:solidFill>
                </w14:textFill>
              </w:rPr>
            </w:pPr>
          </w:p>
        </w:tc>
      </w:tr>
    </w:tbl>
    <w:p w14:paraId="474E7602">
      <w:pPr>
        <w:spacing w:line="360" w:lineRule="auto"/>
        <w:jc w:val="left"/>
        <w:rPr>
          <w:color w:val="000000" w:themeColor="text1"/>
          <w:szCs w:val="21"/>
          <w:highlight w:val="none"/>
          <w14:textFill>
            <w14:solidFill>
              <w14:schemeClr w14:val="tx1"/>
            </w14:solidFill>
          </w14:textFill>
        </w:rPr>
      </w:pPr>
    </w:p>
    <w:p w14:paraId="752808A1">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供应商名称（</w:t>
      </w:r>
      <w:r>
        <w:rPr>
          <w:rFonts w:hint="eastAsia"/>
          <w:color w:val="000000" w:themeColor="text1"/>
          <w:szCs w:val="21"/>
          <w:highlight w:val="none"/>
          <w14:textFill>
            <w14:solidFill>
              <w14:schemeClr w14:val="tx1"/>
            </w14:solidFill>
          </w14:textFill>
        </w:rPr>
        <w:t>电子签章</w:t>
      </w:r>
      <w:r>
        <w:rPr>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p>
    <w:p w14:paraId="334743E0">
      <w:pPr>
        <w:spacing w:line="360" w:lineRule="auto"/>
        <w:ind w:firstLine="6090" w:firstLineChars="2900"/>
        <w:jc w:val="left"/>
        <w:rPr>
          <w:color w:val="000000" w:themeColor="text1"/>
          <w:szCs w:val="21"/>
          <w:highlight w:val="none"/>
          <w14:textFill>
            <w14:solidFill>
              <w14:schemeClr w14:val="tx1"/>
            </w14:solidFill>
          </w14:textFill>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000000" w:themeColor="text1"/>
          <w:szCs w:val="21"/>
          <w:highlight w:val="none"/>
          <w14:textFill>
            <w14:solidFill>
              <w14:schemeClr w14:val="tx1"/>
            </w14:solidFill>
          </w14:textFill>
        </w:rPr>
        <w:t>日  期</w:t>
      </w:r>
      <w:r>
        <w:rPr>
          <w:rFonts w:hint="eastAsia" w:eastAsia="宋体"/>
          <w:color w:val="000000" w:themeColor="text1"/>
          <w:szCs w:val="21"/>
          <w:highlight w:val="none"/>
          <w:lang w:eastAsia="zh-CN"/>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日 </w:t>
      </w:r>
    </w:p>
    <w:p w14:paraId="738B1451">
      <w:pPr>
        <w:rPr>
          <w:rFonts w:ascii="Arial" w:hAnsi="Arial" w:cs="Arial"/>
          <w:b/>
          <w:color w:val="000000" w:themeColor="text1"/>
          <w:szCs w:val="21"/>
          <w14:textFill>
            <w14:solidFill>
              <w14:schemeClr w14:val="tx1"/>
            </w14:solidFill>
          </w14:textFill>
        </w:rPr>
      </w:pPr>
    </w:p>
    <w:p w14:paraId="524B0FAA">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4．符合政府采购政策价格扣除证明材料。</w:t>
      </w:r>
    </w:p>
    <w:p w14:paraId="0C6A3324">
      <w:pPr>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4.1</w:t>
      </w:r>
      <w:r>
        <w:rPr>
          <w:rFonts w:ascii="Arial" w:hAnsi="Arial" w:cs="Arial"/>
          <w:bCs/>
          <w:color w:val="000000" w:themeColor="text1"/>
          <w:szCs w:val="21"/>
          <w14:textFill>
            <w14:solidFill>
              <w14:schemeClr w14:val="tx1"/>
            </w14:solidFill>
          </w14:textFill>
        </w:rPr>
        <w:t>符合小型、微型企业</w:t>
      </w:r>
      <w:r>
        <w:rPr>
          <w:rFonts w:ascii="Arial" w:hAnsi="Arial" w:cs="Arial"/>
          <w:color w:val="000000" w:themeColor="text1"/>
          <w:szCs w:val="21"/>
          <w14:textFill>
            <w14:solidFill>
              <w14:schemeClr w14:val="tx1"/>
            </w14:solidFill>
          </w14:textFill>
        </w:rPr>
        <w:t>政府采购政策证明材料。（非小型、微型企业无需提供）。</w:t>
      </w:r>
    </w:p>
    <w:p w14:paraId="68BD602E">
      <w:pPr>
        <w:spacing w:line="360" w:lineRule="auto"/>
        <w:ind w:firstLine="3584" w:firstLineChars="1700"/>
        <w:rPr>
          <w:rFonts w:ascii="Arial" w:hAnsi="Arial" w:cs="Arial"/>
          <w:b/>
          <w:color w:val="000000" w:themeColor="text1"/>
          <w:szCs w:val="21"/>
          <w14:textFill>
            <w14:solidFill>
              <w14:schemeClr w14:val="tx1"/>
            </w14:solidFill>
          </w14:textFill>
        </w:rPr>
      </w:pPr>
    </w:p>
    <w:p w14:paraId="1E234ED2">
      <w:pPr>
        <w:spacing w:line="360" w:lineRule="auto"/>
        <w:ind w:firstLine="3584" w:firstLineChars="1700"/>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中小企业声明函（货物）</w:t>
      </w:r>
    </w:p>
    <w:p w14:paraId="2A6BC0E1">
      <w:pPr>
        <w:spacing w:line="360" w:lineRule="auto"/>
        <w:ind w:firstLine="42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本公司（联合体）郑重声明，根据《政府采购促进中小企业发展管理办法》（财库﹝2020﹞46 号）的规定，本公司（联合体）参加</w:t>
      </w:r>
      <w:r>
        <w:rPr>
          <w:rFonts w:ascii="Arial" w:hAnsi="Arial" w:cs="Arial"/>
          <w:bCs/>
          <w:color w:val="000000" w:themeColor="text1"/>
          <w:szCs w:val="21"/>
          <w:u w:val="single"/>
          <w14:textFill>
            <w14:solidFill>
              <w14:schemeClr w14:val="tx1"/>
            </w14:solidFill>
          </w14:textFill>
        </w:rPr>
        <w:t>（单位名称）</w:t>
      </w:r>
      <w:r>
        <w:rPr>
          <w:rFonts w:ascii="Arial" w:hAnsi="Arial" w:cs="Arial"/>
          <w:bCs/>
          <w:color w:val="000000" w:themeColor="text1"/>
          <w:szCs w:val="21"/>
          <w14:textFill>
            <w14:solidFill>
              <w14:schemeClr w14:val="tx1"/>
            </w14:solidFill>
          </w14:textFill>
        </w:rPr>
        <w:t>的</w:t>
      </w:r>
      <w:r>
        <w:rPr>
          <w:rFonts w:ascii="Arial" w:hAnsi="Arial" w:cs="Arial"/>
          <w:bCs/>
          <w:color w:val="000000" w:themeColor="text1"/>
          <w:szCs w:val="21"/>
          <w:u w:val="single"/>
          <w14:textFill>
            <w14:solidFill>
              <w14:schemeClr w14:val="tx1"/>
            </w14:solidFill>
          </w14:textFill>
        </w:rPr>
        <w:t>（项目名称）</w:t>
      </w:r>
      <w:r>
        <w:rPr>
          <w:rFonts w:ascii="Arial" w:hAnsi="Arial" w:cs="Arial"/>
          <w:bCs/>
          <w:color w:val="000000" w:themeColor="text1"/>
          <w:szCs w:val="21"/>
          <w14:textFill>
            <w14:solidFill>
              <w14:schemeClr w14:val="tx1"/>
            </w14:solidFill>
          </w14:textFill>
        </w:rPr>
        <w:t>采购活动，提供的货物全部由符合政策要求的中小企业制造。相关企业（含联合体中的中小企业、签订分包意向协议的中小企业） 的具体情况如下：</w:t>
      </w:r>
    </w:p>
    <w:p w14:paraId="280A53C0">
      <w:pPr>
        <w:spacing w:line="360" w:lineRule="auto"/>
        <w:ind w:firstLine="42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1.</w:t>
      </w:r>
      <w:r>
        <w:rPr>
          <w:rFonts w:ascii="Arial" w:hAnsi="Arial" w:cs="Arial"/>
          <w:bCs/>
          <w:color w:val="000000" w:themeColor="text1"/>
          <w:szCs w:val="21"/>
          <w:u w:val="single"/>
          <w14:textFill>
            <w14:solidFill>
              <w14:schemeClr w14:val="tx1"/>
            </w14:solidFill>
          </w14:textFill>
        </w:rPr>
        <w:t>（标的名称）</w:t>
      </w:r>
      <w:r>
        <w:rPr>
          <w:rFonts w:ascii="Arial" w:hAnsi="Arial" w:cs="Arial"/>
          <w:bCs/>
          <w:color w:val="000000" w:themeColor="text1"/>
          <w:szCs w:val="21"/>
          <w14:textFill>
            <w14:solidFill>
              <w14:schemeClr w14:val="tx1"/>
            </w14:solidFill>
          </w14:textFill>
        </w:rPr>
        <w:t>，属于</w:t>
      </w:r>
      <w:r>
        <w:rPr>
          <w:rFonts w:ascii="Arial" w:hAnsi="Arial" w:cs="Arial"/>
          <w:bCs/>
          <w:color w:val="000000" w:themeColor="text1"/>
          <w:szCs w:val="21"/>
          <w:u w:val="single"/>
          <w14:textFill>
            <w14:solidFill>
              <w14:schemeClr w14:val="tx1"/>
            </w14:solidFill>
          </w14:textFill>
        </w:rPr>
        <w:t>（招标文件中明确的所属行业）</w:t>
      </w:r>
      <w:r>
        <w:rPr>
          <w:rFonts w:ascii="Arial" w:hAnsi="Arial" w:cs="Arial"/>
          <w:bCs/>
          <w:color w:val="000000" w:themeColor="text1"/>
          <w:szCs w:val="21"/>
          <w14:textFill>
            <w14:solidFill>
              <w14:schemeClr w14:val="tx1"/>
            </w14:solidFill>
          </w14:textFill>
        </w:rPr>
        <w:t>行业；制造商为</w:t>
      </w:r>
      <w:r>
        <w:rPr>
          <w:rFonts w:ascii="Arial" w:hAnsi="Arial" w:cs="Arial"/>
          <w:bCs/>
          <w:color w:val="000000" w:themeColor="text1"/>
          <w:szCs w:val="21"/>
          <w:u w:val="single"/>
          <w14:textFill>
            <w14:solidFill>
              <w14:schemeClr w14:val="tx1"/>
            </w14:solidFill>
          </w14:textFill>
        </w:rPr>
        <w:t>（企业名称）</w:t>
      </w:r>
      <w:r>
        <w:rPr>
          <w:rFonts w:ascii="Arial" w:hAnsi="Arial" w:cs="Arial"/>
          <w:bCs/>
          <w:color w:val="000000" w:themeColor="text1"/>
          <w:szCs w:val="21"/>
          <w14:textFill>
            <w14:solidFill>
              <w14:schemeClr w14:val="tx1"/>
            </w14:solidFill>
          </w14:textFill>
        </w:rPr>
        <w:t>，从业人员</w:t>
      </w:r>
      <w:r>
        <w:rPr>
          <w:rFonts w:ascii="Arial" w:hAnsi="Arial" w:cs="Arial"/>
          <w:bCs/>
          <w:color w:val="000000" w:themeColor="text1"/>
          <w:szCs w:val="21"/>
          <w:u w:val="single"/>
          <w14:textFill>
            <w14:solidFill>
              <w14:schemeClr w14:val="tx1"/>
            </w14:solidFill>
          </w14:textFill>
        </w:rPr>
        <w:t xml:space="preserve">    </w:t>
      </w:r>
      <w:r>
        <w:rPr>
          <w:rFonts w:ascii="Arial" w:hAnsi="Arial" w:cs="Arial"/>
          <w:bCs/>
          <w:color w:val="000000" w:themeColor="text1"/>
          <w:szCs w:val="21"/>
          <w14:textFill>
            <w14:solidFill>
              <w14:schemeClr w14:val="tx1"/>
            </w14:solidFill>
          </w14:textFill>
        </w:rPr>
        <w:t>人，营业收入为</w:t>
      </w:r>
      <w:r>
        <w:rPr>
          <w:rFonts w:ascii="Arial" w:hAnsi="Arial" w:cs="Arial"/>
          <w:bCs/>
          <w:color w:val="000000" w:themeColor="text1"/>
          <w:szCs w:val="21"/>
          <w:u w:val="single"/>
          <w14:textFill>
            <w14:solidFill>
              <w14:schemeClr w14:val="tx1"/>
            </w14:solidFill>
          </w14:textFill>
        </w:rPr>
        <w:t xml:space="preserve">    </w:t>
      </w:r>
      <w:r>
        <w:rPr>
          <w:rFonts w:ascii="Arial" w:hAnsi="Arial" w:cs="Arial"/>
          <w:bCs/>
          <w:color w:val="000000" w:themeColor="text1"/>
          <w:szCs w:val="21"/>
          <w14:textFill>
            <w14:solidFill>
              <w14:schemeClr w14:val="tx1"/>
            </w14:solidFill>
          </w14:textFill>
        </w:rPr>
        <w:t>万元，资产总额为</w:t>
      </w:r>
      <w:r>
        <w:rPr>
          <w:rFonts w:ascii="Arial" w:hAnsi="Arial" w:cs="Arial"/>
          <w:bCs/>
          <w:color w:val="000000" w:themeColor="text1"/>
          <w:szCs w:val="21"/>
          <w:u w:val="single"/>
          <w14:textFill>
            <w14:solidFill>
              <w14:schemeClr w14:val="tx1"/>
            </w14:solidFill>
          </w14:textFill>
        </w:rPr>
        <w:t xml:space="preserve">    </w:t>
      </w:r>
      <w:r>
        <w:rPr>
          <w:rFonts w:ascii="Arial" w:hAnsi="Arial" w:cs="Arial"/>
          <w:bCs/>
          <w:color w:val="000000" w:themeColor="text1"/>
          <w:szCs w:val="21"/>
          <w14:textFill>
            <w14:solidFill>
              <w14:schemeClr w14:val="tx1"/>
            </w14:solidFill>
          </w14:textFill>
        </w:rPr>
        <w:t>万元，属于</w:t>
      </w:r>
      <w:r>
        <w:rPr>
          <w:rFonts w:ascii="Arial" w:hAnsi="Arial" w:cs="Arial"/>
          <w:bCs/>
          <w:color w:val="000000" w:themeColor="text1"/>
          <w:szCs w:val="21"/>
          <w:u w:val="single"/>
          <w14:textFill>
            <w14:solidFill>
              <w14:schemeClr w14:val="tx1"/>
            </w14:solidFill>
          </w14:textFill>
        </w:rPr>
        <w:t>（中型企业、小型企业、微型企业）</w:t>
      </w:r>
      <w:r>
        <w:rPr>
          <w:rFonts w:ascii="Arial" w:hAnsi="Arial" w:cs="Arial"/>
          <w:bCs/>
          <w:color w:val="000000" w:themeColor="text1"/>
          <w:szCs w:val="21"/>
          <w14:textFill>
            <w14:solidFill>
              <w14:schemeClr w14:val="tx1"/>
            </w14:solidFill>
          </w14:textFill>
        </w:rPr>
        <w:t>；</w:t>
      </w:r>
    </w:p>
    <w:p w14:paraId="01CAD518">
      <w:pPr>
        <w:spacing w:line="360" w:lineRule="auto"/>
        <w:ind w:firstLine="42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2.</w:t>
      </w:r>
      <w:r>
        <w:rPr>
          <w:rFonts w:ascii="Arial" w:hAnsi="Arial" w:cs="Arial"/>
          <w:bCs/>
          <w:color w:val="000000" w:themeColor="text1"/>
          <w:szCs w:val="21"/>
          <w:u w:val="single"/>
          <w14:textFill>
            <w14:solidFill>
              <w14:schemeClr w14:val="tx1"/>
            </w14:solidFill>
          </w14:textFill>
        </w:rPr>
        <w:t>（标的名称）</w:t>
      </w:r>
      <w:r>
        <w:rPr>
          <w:rFonts w:ascii="Arial" w:hAnsi="Arial" w:cs="Arial"/>
          <w:bCs/>
          <w:color w:val="000000" w:themeColor="text1"/>
          <w:szCs w:val="21"/>
          <w14:textFill>
            <w14:solidFill>
              <w14:schemeClr w14:val="tx1"/>
            </w14:solidFill>
          </w14:textFill>
        </w:rPr>
        <w:t>，属于</w:t>
      </w:r>
      <w:r>
        <w:rPr>
          <w:rFonts w:ascii="Arial" w:hAnsi="Arial" w:cs="Arial"/>
          <w:bCs/>
          <w:color w:val="000000" w:themeColor="text1"/>
          <w:szCs w:val="21"/>
          <w:u w:val="single"/>
          <w14:textFill>
            <w14:solidFill>
              <w14:schemeClr w14:val="tx1"/>
            </w14:solidFill>
          </w14:textFill>
        </w:rPr>
        <w:t>（招标文件中明确的所属行业）</w:t>
      </w:r>
      <w:r>
        <w:rPr>
          <w:rFonts w:ascii="Arial" w:hAnsi="Arial" w:cs="Arial"/>
          <w:bCs/>
          <w:color w:val="000000" w:themeColor="text1"/>
          <w:szCs w:val="21"/>
          <w14:textFill>
            <w14:solidFill>
              <w14:schemeClr w14:val="tx1"/>
            </w14:solidFill>
          </w14:textFill>
        </w:rPr>
        <w:t>行业；制造商为</w:t>
      </w:r>
      <w:r>
        <w:rPr>
          <w:rFonts w:ascii="Arial" w:hAnsi="Arial" w:cs="Arial"/>
          <w:bCs/>
          <w:color w:val="000000" w:themeColor="text1"/>
          <w:szCs w:val="21"/>
          <w:u w:val="single"/>
          <w14:textFill>
            <w14:solidFill>
              <w14:schemeClr w14:val="tx1"/>
            </w14:solidFill>
          </w14:textFill>
        </w:rPr>
        <w:t>（企业名称）</w:t>
      </w:r>
      <w:r>
        <w:rPr>
          <w:rFonts w:ascii="Arial" w:hAnsi="Arial" w:cs="Arial"/>
          <w:bCs/>
          <w:color w:val="000000" w:themeColor="text1"/>
          <w:szCs w:val="21"/>
          <w14:textFill>
            <w14:solidFill>
              <w14:schemeClr w14:val="tx1"/>
            </w14:solidFill>
          </w14:textFill>
        </w:rPr>
        <w:t>，从业人员</w:t>
      </w:r>
      <w:r>
        <w:rPr>
          <w:rFonts w:ascii="Arial" w:hAnsi="Arial" w:cs="Arial"/>
          <w:bCs/>
          <w:color w:val="000000" w:themeColor="text1"/>
          <w:szCs w:val="21"/>
          <w:u w:val="single"/>
          <w14:textFill>
            <w14:solidFill>
              <w14:schemeClr w14:val="tx1"/>
            </w14:solidFill>
          </w14:textFill>
        </w:rPr>
        <w:t xml:space="preserve">       </w:t>
      </w:r>
      <w:r>
        <w:rPr>
          <w:rFonts w:ascii="Arial" w:hAnsi="Arial" w:cs="Arial"/>
          <w:bCs/>
          <w:color w:val="000000" w:themeColor="text1"/>
          <w:szCs w:val="21"/>
          <w14:textFill>
            <w14:solidFill>
              <w14:schemeClr w14:val="tx1"/>
            </w14:solidFill>
          </w14:textFill>
        </w:rPr>
        <w:t>人，营业收入为</w:t>
      </w:r>
      <w:r>
        <w:rPr>
          <w:rFonts w:ascii="Arial" w:hAnsi="Arial" w:cs="Arial"/>
          <w:bCs/>
          <w:color w:val="000000" w:themeColor="text1"/>
          <w:szCs w:val="21"/>
          <w:u w:val="single"/>
          <w14:textFill>
            <w14:solidFill>
              <w14:schemeClr w14:val="tx1"/>
            </w14:solidFill>
          </w14:textFill>
        </w:rPr>
        <w:t xml:space="preserve">     </w:t>
      </w:r>
      <w:r>
        <w:rPr>
          <w:rFonts w:ascii="Arial" w:hAnsi="Arial" w:cs="Arial"/>
          <w:bCs/>
          <w:color w:val="000000" w:themeColor="text1"/>
          <w:szCs w:val="21"/>
          <w14:textFill>
            <w14:solidFill>
              <w14:schemeClr w14:val="tx1"/>
            </w14:solidFill>
          </w14:textFill>
        </w:rPr>
        <w:t>万元，资产总额为</w:t>
      </w:r>
      <w:r>
        <w:rPr>
          <w:rFonts w:ascii="Arial" w:hAnsi="Arial" w:cs="Arial"/>
          <w:bCs/>
          <w:color w:val="000000" w:themeColor="text1"/>
          <w:szCs w:val="21"/>
          <w:u w:val="single"/>
          <w14:textFill>
            <w14:solidFill>
              <w14:schemeClr w14:val="tx1"/>
            </w14:solidFill>
          </w14:textFill>
        </w:rPr>
        <w:t xml:space="preserve">       </w:t>
      </w:r>
      <w:r>
        <w:rPr>
          <w:rFonts w:ascii="Arial" w:hAnsi="Arial" w:cs="Arial"/>
          <w:bCs/>
          <w:color w:val="000000" w:themeColor="text1"/>
          <w:szCs w:val="21"/>
          <w14:textFill>
            <w14:solidFill>
              <w14:schemeClr w14:val="tx1"/>
            </w14:solidFill>
          </w14:textFill>
        </w:rPr>
        <w:t>万元，属于</w:t>
      </w:r>
      <w:r>
        <w:rPr>
          <w:rFonts w:ascii="Arial" w:hAnsi="Arial" w:cs="Arial"/>
          <w:bCs/>
          <w:color w:val="000000" w:themeColor="text1"/>
          <w:szCs w:val="21"/>
          <w:u w:val="single"/>
          <w14:textFill>
            <w14:solidFill>
              <w14:schemeClr w14:val="tx1"/>
            </w14:solidFill>
          </w14:textFill>
        </w:rPr>
        <w:t>（中型企业、小型企业、微型企业）</w:t>
      </w:r>
      <w:r>
        <w:rPr>
          <w:rFonts w:ascii="Arial" w:hAnsi="Arial" w:cs="Arial"/>
          <w:bCs/>
          <w:color w:val="000000" w:themeColor="text1"/>
          <w:szCs w:val="21"/>
          <w14:textFill>
            <w14:solidFill>
              <w14:schemeClr w14:val="tx1"/>
            </w14:solidFill>
          </w14:textFill>
        </w:rPr>
        <w:t>；</w:t>
      </w:r>
    </w:p>
    <w:p w14:paraId="5438CCB2">
      <w:pPr>
        <w:spacing w:line="360" w:lineRule="auto"/>
        <w:ind w:firstLine="42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w:t>
      </w:r>
    </w:p>
    <w:p w14:paraId="54528269">
      <w:pPr>
        <w:spacing w:line="360" w:lineRule="auto"/>
        <w:ind w:firstLine="42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以上企业，不属于大企业的分支机构，不存在控股股东为大企业的情形，也不存在与大企业的负责人为同一人的情形。</w:t>
      </w:r>
    </w:p>
    <w:p w14:paraId="46EF7A9C">
      <w:pPr>
        <w:spacing w:line="360" w:lineRule="auto"/>
        <w:ind w:firstLine="42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本企业对上述声明内容的真实性负责。如有虚假，将依法承担相应责任。</w:t>
      </w:r>
    </w:p>
    <w:p w14:paraId="729629AA">
      <w:pPr>
        <w:spacing w:line="360" w:lineRule="auto"/>
        <w:ind w:firstLine="3150" w:firstLineChars="1500"/>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企业名称</w:t>
      </w:r>
      <w:r>
        <w:rPr>
          <w:rFonts w:ascii="Arial" w:hAnsi="Arial" w:cs="Arial"/>
          <w:color w:val="000000" w:themeColor="text1"/>
          <w:szCs w:val="21"/>
          <w14:textFill>
            <w14:solidFill>
              <w14:schemeClr w14:val="tx1"/>
            </w14:solidFill>
          </w14:textFill>
        </w:rPr>
        <w:t xml:space="preserve"> (电子签章)</w:t>
      </w:r>
      <w:r>
        <w:rPr>
          <w:rFonts w:ascii="Arial" w:hAnsi="Arial" w:cs="Arial"/>
          <w:bCs/>
          <w:color w:val="000000" w:themeColor="text1"/>
          <w:szCs w:val="21"/>
          <w14:textFill>
            <w14:solidFill>
              <w14:schemeClr w14:val="tx1"/>
            </w14:solidFill>
          </w14:textFill>
        </w:rPr>
        <w:t>：    日期：</w:t>
      </w:r>
    </w:p>
    <w:p w14:paraId="7BC3181C">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注：</w:t>
      </w:r>
    </w:p>
    <w:p w14:paraId="1BF37CBE">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（1）标的名称按照第二章采购需求一览表中的货物名称填写，</w:t>
      </w:r>
      <w:r>
        <w:rPr>
          <w:rFonts w:ascii="Arial" w:hAnsi="Arial" w:cs="Arial"/>
          <w:color w:val="000000" w:themeColor="text1"/>
          <w:szCs w:val="21"/>
          <w14:textFill>
            <w14:solidFill>
              <w14:schemeClr w14:val="tx1"/>
            </w14:solidFill>
          </w14:textFill>
        </w:rPr>
        <w:t>所属行业标明“/”的</w:t>
      </w:r>
      <w:r>
        <w:rPr>
          <w:rFonts w:ascii="Arial" w:hAnsi="Arial" w:cs="Arial"/>
          <w:bCs/>
          <w:color w:val="000000" w:themeColor="text1"/>
          <w:szCs w:val="21"/>
          <w14:textFill>
            <w14:solidFill>
              <w14:schemeClr w14:val="tx1"/>
            </w14:solidFill>
          </w14:textFill>
        </w:rPr>
        <w:t>，无需在上表填写。</w:t>
      </w:r>
    </w:p>
    <w:p w14:paraId="790CDD77">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（2）如供应商为联合体或分包的，声明函中“项目名称”应填写联合体中小微企业承担的具体内容或者小微企业具体分包内容。</w:t>
      </w:r>
    </w:p>
    <w:p w14:paraId="43E279E2">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（3）从业人员、营业收入、资产总额填报上一年度数据，无上一年度数据的新成立企业参照国务院批准的中小企业划分标准，根据企业自身情况如实判断。</w:t>
      </w:r>
    </w:p>
    <w:p w14:paraId="2E800864">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306926B">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（5）根据国际统计局《劳动工资统计报表制度》，从业人员数是指本单位工作，并取得工资活其他形式劳动报酬的人员数，是在岗职工、劳务派遣人员及其他从业人员之和。</w:t>
      </w:r>
    </w:p>
    <w:p w14:paraId="1BA385B9">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（6）本声明函由供应商填写，供应商应按中小企业划分标准《关于印发中小企业划型标准规定的通知》（工信部联企业〔2011〕300号</w:t>
      </w:r>
      <w:r>
        <w:rPr>
          <w:rFonts w:ascii="Arial" w:hAnsi="Arial" w:cs="Arial"/>
          <w:color w:val="000000" w:themeColor="text1"/>
          <w:szCs w:val="21"/>
          <w14:textFill>
            <w14:solidFill>
              <w14:schemeClr w14:val="tx1"/>
            </w14:solidFill>
          </w14:textFill>
        </w:rPr>
        <w:t>以及《金融业企业划型标准规定》（银发〔2015〕309号）</w:t>
      </w:r>
      <w:r>
        <w:rPr>
          <w:rFonts w:ascii="Arial" w:hAnsi="Arial" w:cs="Arial"/>
          <w:bCs/>
          <w:color w:val="000000" w:themeColor="text1"/>
          <w:szCs w:val="21"/>
          <w14:textFill>
            <w14:solidFill>
              <w14:schemeClr w14:val="tx1"/>
            </w14:solidFill>
          </w14:textFill>
        </w:rPr>
        <w:t>）判断是否为中小企业。</w:t>
      </w:r>
    </w:p>
    <w:p w14:paraId="4ED3ED06">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（7）供应商对《中小企业声明函》的真实性负责，如有虚假则需承担不利后果。依法享受中小企业优惠政策的，采购人或采购代理机构在公告成交结果时，同时公告其《中小企业声明函》，接受社会监督。</w:t>
      </w:r>
    </w:p>
    <w:p w14:paraId="43DD390E">
      <w:pPr>
        <w:spacing w:line="360" w:lineRule="auto"/>
        <w:jc w:val="left"/>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19A84F8A">
      <w:pPr>
        <w:snapToGrid w:val="0"/>
        <w:spacing w:before="50" w:after="120" w:afterLines="50"/>
        <w:jc w:val="left"/>
        <w:rPr>
          <w:rFonts w:ascii="Arial" w:hAnsi="Arial" w:cs="Arial"/>
          <w:color w:val="000000" w:themeColor="text1"/>
          <w:szCs w:val="21"/>
          <w14:textFill>
            <w14:solidFill>
              <w14:schemeClr w14:val="tx1"/>
            </w14:solidFill>
          </w14:textFill>
        </w:rPr>
      </w:pPr>
    </w:p>
    <w:p w14:paraId="7F63D172">
      <w:pPr>
        <w:snapToGrid w:val="0"/>
        <w:spacing w:before="50" w:after="120" w:afterLines="50"/>
        <w:jc w:val="left"/>
        <w:rPr>
          <w:rFonts w:ascii="Arial" w:hAnsi="Arial" w:cs="Arial"/>
          <w:color w:val="000000" w:themeColor="text1"/>
          <w:szCs w:val="21"/>
          <w14:textFill>
            <w14:solidFill>
              <w14:schemeClr w14:val="tx1"/>
            </w14:solidFill>
          </w14:textFill>
        </w:rPr>
      </w:pPr>
    </w:p>
    <w:p w14:paraId="6FC755CC">
      <w:pPr>
        <w:snapToGrid w:val="0"/>
        <w:spacing w:before="50" w:after="120" w:afterLines="50"/>
        <w:jc w:val="left"/>
        <w:rPr>
          <w:rFonts w:ascii="Arial" w:hAnsi="Arial" w:cs="Arial"/>
          <w:color w:val="000000" w:themeColor="text1"/>
          <w:szCs w:val="21"/>
          <w14:textFill>
            <w14:solidFill>
              <w14:schemeClr w14:val="tx1"/>
            </w14:solidFill>
          </w14:textFill>
        </w:rPr>
      </w:pPr>
    </w:p>
    <w:p w14:paraId="7073B7C9">
      <w:pPr>
        <w:snapToGrid w:val="0"/>
        <w:spacing w:before="50" w:after="120" w:afterLines="50"/>
        <w:jc w:val="left"/>
        <w:rPr>
          <w:rFonts w:ascii="Arial" w:hAnsi="Arial" w:cs="Arial"/>
          <w:color w:val="000000" w:themeColor="text1"/>
          <w:szCs w:val="21"/>
          <w14:textFill>
            <w14:solidFill>
              <w14:schemeClr w14:val="tx1"/>
            </w14:solidFill>
          </w14:textFill>
        </w:rPr>
      </w:pPr>
    </w:p>
    <w:p w14:paraId="1F08C419">
      <w:pPr>
        <w:snapToGrid w:val="0"/>
        <w:spacing w:before="50" w:after="120" w:afterLines="5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4.2监狱企业须提供最新一期《XX省监狱企业产品目录》或其他监狱企业证明材料。（非监狱企业无需提供）</w:t>
      </w:r>
    </w:p>
    <w:p w14:paraId="4E0F2A71">
      <w:pPr>
        <w:snapToGrid w:val="0"/>
        <w:spacing w:before="50" w:after="120" w:afterLines="50"/>
        <w:jc w:val="left"/>
        <w:rPr>
          <w:rFonts w:ascii="Arial" w:hAnsi="Arial" w:cs="Arial"/>
          <w:color w:val="000000" w:themeColor="text1"/>
          <w:szCs w:val="21"/>
          <w14:textFill>
            <w14:solidFill>
              <w14:schemeClr w14:val="tx1"/>
            </w14:solidFill>
          </w14:textFill>
        </w:rPr>
      </w:pPr>
    </w:p>
    <w:p w14:paraId="670930D2">
      <w:pPr>
        <w:snapToGrid w:val="0"/>
        <w:spacing w:before="50" w:after="120" w:afterLines="50"/>
        <w:jc w:val="left"/>
        <w:rPr>
          <w:rFonts w:ascii="Arial" w:hAnsi="Arial" w:cs="Arial"/>
          <w:color w:val="000000" w:themeColor="text1"/>
          <w:szCs w:val="21"/>
          <w14:textFill>
            <w14:solidFill>
              <w14:schemeClr w14:val="tx1"/>
            </w14:solidFill>
          </w14:textFill>
        </w:rPr>
      </w:pPr>
    </w:p>
    <w:p w14:paraId="4AE6D17C">
      <w:pPr>
        <w:snapToGrid w:val="0"/>
        <w:spacing w:before="50" w:after="120" w:afterLines="50"/>
        <w:jc w:val="left"/>
        <w:rPr>
          <w:rFonts w:ascii="Arial" w:hAnsi="Arial" w:cs="Arial"/>
          <w:color w:val="000000" w:themeColor="text1"/>
          <w:szCs w:val="21"/>
          <w14:textFill>
            <w14:solidFill>
              <w14:schemeClr w14:val="tx1"/>
            </w14:solidFill>
          </w14:textFill>
        </w:rPr>
      </w:pPr>
    </w:p>
    <w:p w14:paraId="2F48C1DE">
      <w:pPr>
        <w:snapToGrid w:val="0"/>
        <w:spacing w:before="50" w:after="120" w:afterLines="50"/>
        <w:jc w:val="left"/>
        <w:rPr>
          <w:rFonts w:ascii="Arial" w:hAnsi="Arial" w:cs="Arial"/>
          <w:color w:val="000000" w:themeColor="text1"/>
          <w14:textFill>
            <w14:solidFill>
              <w14:schemeClr w14:val="tx1"/>
            </w14:solidFill>
          </w14:textFill>
        </w:rPr>
      </w:pPr>
      <w:r>
        <w:rPr>
          <w:rFonts w:ascii="Arial" w:hAnsi="Arial" w:cs="Arial"/>
          <w:color w:val="000000" w:themeColor="text1"/>
          <w:szCs w:val="21"/>
          <w14:textFill>
            <w14:solidFill>
              <w14:schemeClr w14:val="tx1"/>
            </w14:solidFill>
          </w14:textFill>
        </w:rPr>
        <w:t>4.3</w:t>
      </w:r>
      <w:bookmarkStart w:id="126" w:name="_Hlk19051624"/>
      <w:r>
        <w:rPr>
          <w:rFonts w:ascii="Arial" w:hAnsi="Arial" w:cs="Arial"/>
          <w:color w:val="000000" w:themeColor="text1"/>
          <w14:textFill>
            <w14:solidFill>
              <w14:schemeClr w14:val="tx1"/>
            </w14:solidFill>
          </w14:textFill>
        </w:rPr>
        <w:t>残疾人福利性单位须提供《残疾人福利性单位声明函》，格式如下。</w:t>
      </w:r>
      <w:r>
        <w:rPr>
          <w:rFonts w:ascii="Arial" w:hAnsi="Arial" w:cs="Arial"/>
          <w:color w:val="000000" w:themeColor="text1"/>
          <w:szCs w:val="21"/>
          <w14:textFill>
            <w14:solidFill>
              <w14:schemeClr w14:val="tx1"/>
            </w14:solidFill>
          </w14:textFill>
        </w:rPr>
        <w:t>（非残疾人福利性单位无需提供）</w:t>
      </w:r>
    </w:p>
    <w:bookmarkEnd w:id="126"/>
    <w:p w14:paraId="385BEE71">
      <w:pPr>
        <w:spacing w:line="360" w:lineRule="auto"/>
        <w:jc w:val="center"/>
        <w:rPr>
          <w:rFonts w:ascii="Arial" w:hAnsi="Arial" w:cs="Arial"/>
          <w:b/>
          <w:color w:val="000000" w:themeColor="text1"/>
          <w:szCs w:val="21"/>
          <w14:textFill>
            <w14:solidFill>
              <w14:schemeClr w14:val="tx1"/>
            </w14:solidFill>
          </w14:textFill>
        </w:rPr>
      </w:pPr>
    </w:p>
    <w:p w14:paraId="3697243A">
      <w:pPr>
        <w:spacing w:line="360" w:lineRule="auto"/>
        <w:jc w:val="center"/>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残疾人福利性单位声明函</w:t>
      </w:r>
    </w:p>
    <w:p w14:paraId="16B88A24">
      <w:pPr>
        <w:spacing w:line="360" w:lineRule="auto"/>
        <w:ind w:firstLine="420"/>
        <w:jc w:val="left"/>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单位的</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76C24EB">
      <w:pPr>
        <w:spacing w:line="360" w:lineRule="auto"/>
        <w:ind w:firstLine="42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本单位对上述声明的真实性负责。如有虚假，将依法承担相应责任。</w:t>
      </w:r>
    </w:p>
    <w:p w14:paraId="4047289E">
      <w:pPr>
        <w:spacing w:line="360" w:lineRule="auto"/>
        <w:ind w:firstLine="420"/>
        <w:jc w:val="right"/>
        <w:rPr>
          <w:rFonts w:ascii="Arial" w:hAnsi="Arial" w:cs="Arial"/>
          <w:color w:val="000000" w:themeColor="text1"/>
          <w:spacing w:val="6"/>
          <w:szCs w:val="21"/>
          <w14:textFill>
            <w14:solidFill>
              <w14:schemeClr w14:val="tx1"/>
            </w14:solidFill>
          </w14:textFill>
        </w:rPr>
      </w:pPr>
      <w:r>
        <w:rPr>
          <w:rFonts w:ascii="Arial" w:hAnsi="Arial" w:cs="Arial"/>
          <w:color w:val="000000" w:themeColor="text1"/>
          <w:spacing w:val="6"/>
          <w:sz w:val="30"/>
          <w:szCs w:val="30"/>
          <w14:textFill>
            <w14:solidFill>
              <w14:schemeClr w14:val="tx1"/>
            </w14:solidFill>
          </w14:textFill>
        </w:rPr>
        <w:t xml:space="preserve"> </w:t>
      </w:r>
      <w:r>
        <w:rPr>
          <w:rFonts w:ascii="Arial" w:hAnsi="Arial" w:cs="Arial"/>
          <w:color w:val="000000" w:themeColor="text1"/>
          <w:spacing w:val="6"/>
          <w:szCs w:val="21"/>
          <w14:textFill>
            <w14:solidFill>
              <w14:schemeClr w14:val="tx1"/>
            </w14:solidFill>
          </w14:textFill>
        </w:rPr>
        <w:t xml:space="preserve">                                             单位名称</w:t>
      </w:r>
      <w:r>
        <w:rPr>
          <w:rFonts w:ascii="Arial" w:hAnsi="Arial" w:cs="Arial"/>
          <w:color w:val="000000" w:themeColor="text1"/>
          <w:szCs w:val="21"/>
          <w14:textFill>
            <w14:solidFill>
              <w14:schemeClr w14:val="tx1"/>
            </w14:solidFill>
          </w14:textFill>
        </w:rPr>
        <w:t>(电子签章)</w:t>
      </w:r>
      <w:r>
        <w:rPr>
          <w:rFonts w:ascii="Arial" w:hAnsi="Arial" w:cs="Arial"/>
          <w:color w:val="000000" w:themeColor="text1"/>
          <w:spacing w:val="6"/>
          <w:szCs w:val="21"/>
          <w14:textFill>
            <w14:solidFill>
              <w14:schemeClr w14:val="tx1"/>
            </w14:solidFill>
          </w14:textFill>
        </w:rPr>
        <w:t xml:space="preserve">：          </w:t>
      </w:r>
    </w:p>
    <w:p w14:paraId="4EDD7AAB">
      <w:pPr>
        <w:spacing w:line="360" w:lineRule="auto"/>
        <w:ind w:firstLine="420"/>
        <w:jc w:val="right"/>
        <w:rPr>
          <w:rFonts w:ascii="Arial" w:hAnsi="Arial" w:cs="Arial"/>
          <w:color w:val="000000" w:themeColor="text1"/>
          <w:spacing w:val="6"/>
          <w:szCs w:val="21"/>
          <w14:textFill>
            <w14:solidFill>
              <w14:schemeClr w14:val="tx1"/>
            </w14:solidFill>
          </w14:textFill>
        </w:rPr>
      </w:pPr>
      <w:r>
        <w:rPr>
          <w:rFonts w:ascii="Arial" w:hAnsi="Arial" w:cs="Arial"/>
          <w:color w:val="000000" w:themeColor="text1"/>
          <w:spacing w:val="6"/>
          <w:szCs w:val="21"/>
          <w14:textFill>
            <w14:solidFill>
              <w14:schemeClr w14:val="tx1"/>
            </w14:solidFill>
          </w14:textFill>
        </w:rPr>
        <w:t xml:space="preserve">                                                       日  期：</w:t>
      </w:r>
    </w:p>
    <w:p w14:paraId="0202FB62">
      <w:pPr>
        <w:pStyle w:val="21"/>
        <w:rPr>
          <w:rFonts w:ascii="Arial" w:hAnsi="Arial" w:cs="Arial"/>
          <w:color w:val="000000" w:themeColor="text1"/>
          <w14:textFill>
            <w14:solidFill>
              <w14:schemeClr w14:val="tx1"/>
            </w14:solidFill>
          </w14:textFill>
        </w:rPr>
      </w:pPr>
    </w:p>
    <w:p w14:paraId="17D24C4F">
      <w:pPr>
        <w:rPr>
          <w:color w:val="000000" w:themeColor="text1"/>
          <w14:textFill>
            <w14:solidFill>
              <w14:schemeClr w14:val="tx1"/>
            </w14:solidFill>
          </w14:textFill>
        </w:rPr>
      </w:pPr>
      <w:r>
        <w:rPr>
          <w:rFonts w:ascii="Arial" w:hAnsi="Arial" w:cs="Arial"/>
          <w:b/>
          <w:color w:val="000000" w:themeColor="text1"/>
          <w:szCs w:val="21"/>
          <w14:textFill>
            <w14:solidFill>
              <w14:schemeClr w14:val="tx1"/>
            </w14:solidFill>
          </w14:textFill>
        </w:rPr>
        <w:br w:type="page"/>
      </w:r>
    </w:p>
    <w:p w14:paraId="3D80C3F5">
      <w:pPr>
        <w:rPr>
          <w:rFonts w:ascii="Arial" w:hAnsi="Arial" w:cs="Arial"/>
          <w:bCs/>
          <w:color w:val="000000" w:themeColor="text1"/>
          <w:szCs w:val="21"/>
          <w14:textFill>
            <w14:solidFill>
              <w14:schemeClr w14:val="tx1"/>
            </w14:solidFill>
          </w14:textFill>
        </w:rPr>
      </w:pPr>
      <w:r>
        <w:rPr>
          <w:rFonts w:hint="eastAsia" w:ascii="Arial" w:hAnsi="Arial" w:cs="Arial"/>
          <w:bCs/>
          <w:color w:val="000000" w:themeColor="text1"/>
          <w:szCs w:val="21"/>
          <w14:textFill>
            <w14:solidFill>
              <w14:schemeClr w14:val="tx1"/>
            </w14:solidFill>
          </w14:textFill>
        </w:rPr>
        <w:t>4.4如供应商提供的产品属于本国产品，应当提供关于符合本国产品标准的声明函</w:t>
      </w:r>
    </w:p>
    <w:p w14:paraId="74D174A2">
      <w:pPr>
        <w:spacing w:line="360" w:lineRule="auto"/>
        <w:ind w:firstLine="3584" w:firstLineChars="17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关于符合本国产品标准的声明函</w:t>
      </w:r>
    </w:p>
    <w:p w14:paraId="3E4AD447">
      <w:pPr>
        <w:spacing w:line="360" w:lineRule="auto"/>
        <w:ind w:firstLine="3584" w:firstLineChars="1700"/>
        <w:rPr>
          <w:b/>
          <w:color w:val="000000" w:themeColor="text1"/>
          <w:szCs w:val="21"/>
          <w14:textFill>
            <w14:solidFill>
              <w14:schemeClr w14:val="tx1"/>
            </w14:solidFill>
          </w14:textFill>
        </w:rPr>
      </w:pPr>
    </w:p>
    <w:p w14:paraId="5CA85576">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C9B45C6">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产品名称1）1，生产厂为（厂名）2，厂址为（生产厂址）。（产品名称1）的中国境内生产的组件成本占比≥（规定比例）3。（产品名称1）的（关键组件）4在中国境内生产。（产品名称1）的（关键工序）5在中国境内完成。</w:t>
      </w:r>
    </w:p>
    <w:p w14:paraId="45AD20EF">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3F949350">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p w14:paraId="72BA6EBE">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本公司（单位）对上述声明内容的真实性负责。如有虚假，愿承担相应法律责任。</w:t>
      </w:r>
    </w:p>
    <w:p w14:paraId="533EC904">
      <w:pPr>
        <w:widowControl/>
        <w:spacing w:before="30" w:after="30" w:line="560" w:lineRule="atLeast"/>
        <w:jc w:val="left"/>
        <w:textAlignment w:val="baseline"/>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w:t>
      </w:r>
    </w:p>
    <w:p w14:paraId="407BAF23">
      <w:pPr>
        <w:widowControl/>
        <w:spacing w:before="30" w:after="30" w:line="560" w:lineRule="atLeast"/>
        <w:jc w:val="right"/>
        <w:textAlignment w:val="baseline"/>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公司（单位）名称（盖章）：　        </w:t>
      </w:r>
    </w:p>
    <w:p w14:paraId="764291F3">
      <w:pPr>
        <w:widowControl/>
        <w:spacing w:before="30" w:after="30" w:line="560" w:lineRule="atLeast"/>
        <w:jc w:val="right"/>
        <w:textAlignment w:val="baseline"/>
        <w:rPr>
          <w:rFonts w:ascii="Calibri" w:hAnsi="Calibri"/>
          <w:color w:val="000000" w:themeColor="text1"/>
          <w:kern w:val="0"/>
          <w:sz w:val="28"/>
          <w:szCs w:val="28"/>
          <w:lang w:bidi="ar"/>
          <w14:textFill>
            <w14:solidFill>
              <w14:schemeClr w14:val="tx1"/>
            </w14:solidFill>
          </w14:textFill>
        </w:rPr>
      </w:pPr>
      <w:r>
        <w:rPr>
          <w:rFonts w:hint="eastAsia"/>
          <w:color w:val="000000" w:themeColor="text1"/>
          <w:szCs w:val="21"/>
          <w14:textFill>
            <w14:solidFill>
              <w14:schemeClr w14:val="tx1"/>
            </w14:solidFill>
          </w14:textFill>
        </w:rPr>
        <w:t>日期：　     年　  月　  日  </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       </w:t>
      </w:r>
    </w:p>
    <w:p w14:paraId="4C2865F7">
      <w:pPr>
        <w:widowControl/>
        <w:spacing w:before="30" w:after="30" w:line="560" w:lineRule="atLeast"/>
        <w:jc w:val="left"/>
        <w:textAlignment w:val="baseline"/>
        <w:rPr>
          <w:rFonts w:ascii="Calibri" w:hAnsi="Calibri"/>
          <w:color w:val="000000" w:themeColor="text1"/>
          <w:kern w:val="0"/>
          <w:sz w:val="28"/>
          <w:szCs w:val="28"/>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__________________</w:t>
      </w:r>
    </w:p>
    <w:p w14:paraId="50348BA4">
      <w:pPr>
        <w:widowControl/>
        <w:spacing w:before="30" w:after="30" w:line="560" w:lineRule="atLeast"/>
        <w:ind w:firstLine="420"/>
        <w:jc w:val="left"/>
        <w:textAlignment w:val="baseline"/>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1.产品如有型号，请在“产品名称”栏一并填写。</w:t>
      </w:r>
    </w:p>
    <w:p w14:paraId="2B2DAB8A">
      <w:pPr>
        <w:widowControl/>
        <w:spacing w:before="30" w:after="30" w:line="560" w:lineRule="atLeast"/>
        <w:ind w:firstLine="420"/>
        <w:jc w:val="left"/>
        <w:textAlignment w:val="baseline"/>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2.生产厂名与厂址应与生产厂营业执照载明的相关信息保持一致。</w:t>
      </w:r>
    </w:p>
    <w:p w14:paraId="62D986B4">
      <w:pPr>
        <w:widowControl/>
        <w:spacing w:before="30" w:after="30" w:line="560" w:lineRule="atLeast"/>
        <w:ind w:firstLine="420"/>
        <w:jc w:val="left"/>
        <w:textAlignment w:val="baseline"/>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3.该产品的中国境内生产的组件成本占比相关要求实施前，“规定比例”栏可不填，下同。</w:t>
      </w:r>
    </w:p>
    <w:p w14:paraId="4347F0F1">
      <w:pPr>
        <w:widowControl/>
        <w:spacing w:before="30" w:after="30" w:line="560" w:lineRule="atLeast"/>
        <w:ind w:firstLine="420"/>
        <w:jc w:val="left"/>
        <w:textAlignment w:val="baseline"/>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4.该产品的关键组件要求实施前，“关键组件”栏可不填，下同。</w:t>
      </w:r>
    </w:p>
    <w:p w14:paraId="54E7A39C">
      <w:pPr>
        <w:snapToGrid w:val="0"/>
        <w:spacing w:before="50" w:after="120" w:afterLines="50"/>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5.该产品的关键工序要求实施前，“关键工序”栏可不填，下同</w:t>
      </w:r>
    </w:p>
    <w:p w14:paraId="02AA34D8">
      <w:pP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br w:type="page"/>
      </w:r>
    </w:p>
    <w:p w14:paraId="7419EDF2">
      <w:pP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5关于符合本国产品标准</w:t>
      </w:r>
      <w:r>
        <w:rPr>
          <w:rFonts w:hint="eastAsia" w:cs="Times New Roman"/>
          <w:color w:val="000000" w:themeColor="text1"/>
          <w:kern w:val="2"/>
          <w:sz w:val="21"/>
          <w:szCs w:val="21"/>
          <w:lang w:val="en-US" w:eastAsia="zh-CN" w:bidi="ar-SA"/>
          <w14:textFill>
            <w14:solidFill>
              <w14:schemeClr w14:val="tx1"/>
            </w14:solidFill>
          </w14:textFill>
        </w:rPr>
        <w:t>的</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成本占比承诺函</w:t>
      </w:r>
      <w:r>
        <w:rPr>
          <w:rFonts w:hint="eastAsia" w:cs="Times New Roman"/>
          <w:color w:val="000000" w:themeColor="text1"/>
          <w:kern w:val="2"/>
          <w:sz w:val="21"/>
          <w:szCs w:val="21"/>
          <w:lang w:val="en-US" w:eastAsia="zh-CN" w:bidi="ar-SA"/>
          <w14:textFill>
            <w14:solidFill>
              <w14:schemeClr w14:val="tx1"/>
            </w14:solidFill>
          </w14:textFill>
        </w:rPr>
        <w:t>（单一产品采购不填写此函，多产品采购项目或采购包如供应商所有产品均为本国产品且填写《关于符合本国产品标准的声明函》可不填写此函。格式内容仅供参考）</w:t>
      </w:r>
    </w:p>
    <w:p w14:paraId="021FE4D1">
      <w:pPr>
        <w:pStyle w:val="21"/>
        <w:rPr>
          <w:rFonts w:hint="eastAsia"/>
          <w:color w:val="000000" w:themeColor="text1"/>
          <w:lang w:val="en-US" w:eastAsia="zh-CN"/>
          <w14:textFill>
            <w14:solidFill>
              <w14:schemeClr w14:val="tx1"/>
            </w14:solidFill>
          </w14:textFill>
        </w:rPr>
      </w:pPr>
    </w:p>
    <w:p w14:paraId="1BF86DF3">
      <w:pPr>
        <w:pStyle w:val="21"/>
        <w:jc w:val="cente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关于符合本国产品标准</w:t>
      </w:r>
      <w:r>
        <w:rPr>
          <w:rFonts w:hint="eastAsia" w:cs="Times New Roman"/>
          <w:b/>
          <w:color w:val="000000" w:themeColor="text1"/>
          <w:kern w:val="2"/>
          <w:sz w:val="21"/>
          <w:szCs w:val="21"/>
          <w:lang w:val="en-US" w:eastAsia="zh-CN" w:bidi="ar-SA"/>
          <w14:textFill>
            <w14:solidFill>
              <w14:schemeClr w14:val="tx1"/>
            </w14:solidFill>
          </w14:textFill>
        </w:rPr>
        <w:t>的</w:t>
      </w: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成本占比承诺函</w:t>
      </w:r>
    </w:p>
    <w:p w14:paraId="2F9583F3">
      <w:pPr>
        <w:pStyle w:val="21"/>
        <w:rPr>
          <w:rFonts w:hint="default"/>
          <w:color w:val="000000" w:themeColor="text1"/>
          <w:lang w:val="en-US" w:eastAsia="zh-CN"/>
          <w14:textFill>
            <w14:solidFill>
              <w14:schemeClr w14:val="tx1"/>
            </w14:solidFill>
          </w14:textFill>
        </w:rPr>
      </w:pPr>
    </w:p>
    <w:p w14:paraId="1B02CA98">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致：[采购人/采购代理机构名称]</w:t>
      </w:r>
    </w:p>
    <w:p w14:paraId="57CC7D7D">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14:paraId="586402C1">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本单位就参与[项目名称、编号]项目，郑重承诺如下：</w:t>
      </w:r>
    </w:p>
    <w:p w14:paraId="4318DAA5">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14:paraId="039F8D0B">
      <w:pPr>
        <w:pStyle w:val="21"/>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本单位为该项目（或采购包）提供的符合本国产品标准的产品成本之和，占所提供全部产品成本之和的比例达到80%以上。本公司（单位）对上述承诺内容的真实性负责。如有虚假，愿承担相应法律责任。</w:t>
      </w:r>
    </w:p>
    <w:p w14:paraId="3B704340">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14:paraId="58DC5B11">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w:t>
      </w:r>
    </w:p>
    <w:p w14:paraId="1D09A427">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14:paraId="61925803">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w:t>
      </w:r>
    </w:p>
    <w:p w14:paraId="67B92C14">
      <w:pPr>
        <w:pStyle w:val="21"/>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14:paraId="770AA358">
      <w:pPr>
        <w:pStyle w:val="21"/>
        <w:jc w:val="right"/>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供应商名称（盖章）：　        </w:t>
      </w:r>
    </w:p>
    <w:p w14:paraId="5326E725">
      <w:pPr>
        <w:pStyle w:val="21"/>
        <w:jc w:val="right"/>
        <w:rPr>
          <w:color w:val="000000" w:themeColor="text1"/>
          <w14:textFill>
            <w14:solidFill>
              <w14:schemeClr w14:val="tx1"/>
            </w14:solidFill>
          </w14:textFill>
        </w:rPr>
        <w:sectPr>
          <w:pgSz w:w="11906" w:h="16838"/>
          <w:pgMar w:top="1418" w:right="1274" w:bottom="1418" w:left="1418" w:header="851" w:footer="992" w:gutter="0"/>
          <w:cols w:space="720" w:num="1"/>
          <w:docGrid w:linePitch="312" w:charSpace="0"/>
        </w:sect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日期：　     年　  月　  日 </w:t>
      </w:r>
    </w:p>
    <w:p w14:paraId="516FFEDE">
      <w:pPr>
        <w:rPr>
          <w:rFonts w:ascii="Arial" w:hAnsi="Arial" w:cs="Arial"/>
          <w:bCs/>
          <w:color w:val="000000" w:themeColor="text1"/>
          <w:szCs w:val="21"/>
          <w14:textFill>
            <w14:solidFill>
              <w14:schemeClr w14:val="tx1"/>
            </w14:solidFill>
          </w14:textFill>
        </w:rPr>
      </w:pPr>
      <w:r>
        <w:rPr>
          <w:rFonts w:ascii="Arial" w:hAnsi="Arial" w:cs="Arial"/>
          <w:bCs/>
          <w:color w:val="000000" w:themeColor="text1"/>
          <w:szCs w:val="21"/>
          <w14:textFill>
            <w14:solidFill>
              <w14:schemeClr w14:val="tx1"/>
            </w14:solidFill>
          </w14:textFill>
        </w:rPr>
        <w:t>5.开标一览表</w:t>
      </w:r>
    </w:p>
    <w:p w14:paraId="20CCF22F">
      <w:pPr>
        <w:rPr>
          <w:rFonts w:ascii="Arial" w:hAnsi="Arial" w:cs="Arial"/>
          <w:b/>
          <w:color w:val="000000" w:themeColor="text1"/>
          <w:szCs w:val="21"/>
          <w14:textFill>
            <w14:solidFill>
              <w14:schemeClr w14:val="tx1"/>
            </w14:solidFill>
          </w14:textFill>
        </w:rPr>
      </w:pPr>
    </w:p>
    <w:p w14:paraId="5D92C7C3">
      <w:pPr>
        <w:ind w:firstLine="422" w:firstLineChars="200"/>
        <w:rPr>
          <w:rFonts w:ascii="Arial" w:hAnsi="Arial" w:cs="Arial"/>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格式详见广西政府采购云平台，且仅在广西政府采购云平台填写即可。</w:t>
      </w:r>
    </w:p>
    <w:sectPr>
      <w:headerReference r:id="rId16" w:type="default"/>
      <w:pgSz w:w="11906" w:h="16838"/>
      <w:pgMar w:top="1418" w:right="608" w:bottom="1246" w:left="10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等线">
    <w:panose1 w:val="02010600030101010101"/>
    <w:charset w:val="86"/>
    <w:family w:val="auto"/>
    <w:pitch w:val="default"/>
    <w:sig w:usb0="A00002BF" w:usb1="38CF7CFA" w:usb2="00000016" w:usb3="00000000" w:csb0="0004000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6AA9C">
    <w:pPr>
      <w:pStyle w:val="35"/>
      <w:framePr w:wrap="around" w:vAnchor="text" w:hAnchor="margin" w:xAlign="center" w:y="1"/>
      <w:rPr>
        <w:rStyle w:val="59"/>
      </w:rPr>
    </w:pPr>
    <w:r>
      <w:fldChar w:fldCharType="begin"/>
    </w:r>
    <w:r>
      <w:rPr>
        <w:rStyle w:val="59"/>
      </w:rPr>
      <w:instrText xml:space="preserve">PAGE  </w:instrText>
    </w:r>
    <w:r>
      <w:fldChar w:fldCharType="end"/>
    </w:r>
  </w:p>
  <w:p w14:paraId="6DF06734">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0BDA4">
    <w:pPr>
      <w:pStyle w:val="3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656CB">
    <w:pPr>
      <w:pStyle w:val="35"/>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84038">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6892B1">
                          <w:pPr>
                            <w:pStyle w:val="35"/>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&#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FbhqRXXAQAAsgMAAA4AAAAAAAAAAQAgAAAA&#10;HgEAAGRycy9lMm9Eb2MueG1sUEsFBgAAAAAGAAYAWQEAAGcFAAAAAA==&#10;">
              <v:fill on="f" focussize="0,0"/>
              <v:stroke on="f"/>
              <v:imagedata o:title=""/>
              <o:lock v:ext="edit" aspectratio="f"/>
              <v:textbox inset="0mm,0mm,0mm,0mm" style="mso-fit-shape-to-text:t;">
                <w:txbxContent>
                  <w:p w14:paraId="356892B1">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57BD0">
    <w:pPr>
      <w:pStyle w:val="35"/>
      <w:ind w:right="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6E2D9B">
                          <w:pPr>
                            <w:pStyle w:val="35"/>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NgGEXXAQAAsgMAAA4AAAAAAAAAAQAgAAAA&#10;HgEAAGRycy9lMm9Eb2MueG1sUEsFBgAAAAAGAAYAWQEAAGcFAAAAAA==&#10;">
              <v:fill on="f" focussize="0,0"/>
              <v:stroke on="f"/>
              <v:imagedata o:title=""/>
              <o:lock v:ext="edit" aspectratio="f"/>
              <v:textbox inset="0mm,0mm,0mm,0mm" style="mso-fit-shape-to-text:t;">
                <w:txbxContent>
                  <w:p w14:paraId="506E2D9B">
                    <w:pPr>
                      <w:pStyle w:val="3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8BB83">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9050B1">
                          <w:pPr>
                            <w:pStyle w:val="35"/>
                          </w:pPr>
                          <w:r>
                            <w:rPr>
                              <w:rFonts w:hint="eastAsia"/>
                            </w:rPr>
                            <w:fldChar w:fldCharType="begin"/>
                          </w:r>
                          <w:r>
                            <w:rPr>
                              <w:rFonts w:hint="eastAsia"/>
                            </w:rPr>
                            <w:instrText xml:space="preserve"> PAGE  \* MERGEFORMAT </w:instrText>
                          </w:r>
                          <w:r>
                            <w:rPr>
                              <w:rFonts w:hint="eastAsia"/>
                            </w:rPr>
                            <w:fldChar w:fldCharType="separate"/>
                          </w:r>
                          <w:r>
                            <w:t>117</w:t>
                          </w:r>
                          <w:r>
                            <w:rPr>
                              <w:rFonts w:hint="eastAsia"/>
                            </w:rPr>
                            <w:fldChar w:fldCharType="end"/>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ZRbelNkBAAC1AwAADgAAAAAAAAABACAA&#10;AAAeAQAAZHJzL2Uyb0RvYy54bWxQSwUGAAAAAAYABgBZAQAAaQUAAAAA&#10;">
              <v:fill on="f" focussize="0,0"/>
              <v:stroke on="f"/>
              <v:imagedata o:title=""/>
              <o:lock v:ext="edit" aspectratio="f"/>
              <v:textbox inset="0mm,0mm,0mm,0mm" style="mso-fit-shape-to-text:t;">
                <w:txbxContent>
                  <w:p w14:paraId="529050B1">
                    <w:pPr>
                      <w:pStyle w:val="35"/>
                    </w:pPr>
                    <w:r>
                      <w:rPr>
                        <w:rFonts w:hint="eastAsia"/>
                      </w:rPr>
                      <w:fldChar w:fldCharType="begin"/>
                    </w:r>
                    <w:r>
                      <w:rPr>
                        <w:rFonts w:hint="eastAsia"/>
                      </w:rPr>
                      <w:instrText xml:space="preserve"> PAGE  \* MERGEFORMAT </w:instrText>
                    </w:r>
                    <w:r>
                      <w:rPr>
                        <w:rFonts w:hint="eastAsia"/>
                      </w:rPr>
                      <w:fldChar w:fldCharType="separate"/>
                    </w:r>
                    <w:r>
                      <w:t>117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6344B">
    <w:pPr>
      <w:pStyle w:val="3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57FDF">
    <w:pPr>
      <w:pStyle w:val="3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50510">
    <w:pPr>
      <w:pStyle w:val="36"/>
      <w:jc w:val="left"/>
    </w:pPr>
    <w:r>
      <w:rPr>
        <w:rFonts w:hint="eastAsia"/>
      </w:rPr>
      <w:t>广西机电设备招标有限公司招标文件</w:t>
    </w:r>
  </w:p>
  <w:p w14:paraId="35E887B8">
    <w:pPr>
      <w:pStyle w:val="3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C78C6">
    <w:pPr>
      <w:pStyle w:val="36"/>
      <w:jc w:val="left"/>
    </w:pPr>
    <w:r>
      <w:rPr>
        <w:rFonts w:hint="eastAsia"/>
      </w:rPr>
      <w:t xml:space="preserve">广西机电设备招标有限公司招标文件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1B62F">
    <w:pPr>
      <w:pStyle w:val="36"/>
      <w:jc w:val="left"/>
    </w:pPr>
    <w:r>
      <w:rPr>
        <w:rFonts w:hint="eastAsia"/>
      </w:rPr>
      <w:t xml:space="preserve">广西机电设备招标有限公司招标文件                                                           </w:t>
    </w:r>
  </w:p>
  <w:p w14:paraId="5069C764">
    <w:pPr>
      <w:pStyle w:val="36"/>
      <w:pBdr>
        <w:bottom w:val="none" w:color="auto" w:sz="0" w:space="0"/>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36B75">
    <w:pPr>
      <w:pStyle w:val="36"/>
      <w:jc w:val="left"/>
    </w:pPr>
    <w:r>
      <w:rPr>
        <w:rFonts w:hint="eastAsia"/>
      </w:rPr>
      <w:t>广西机电设备招标有限公司招标文件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33906">
    <w:pPr>
      <w:pStyle w:val="36"/>
      <w:jc w:val="left"/>
    </w:pPr>
    <w:r>
      <w:rPr>
        <w:rFonts w:hint="eastAsia"/>
      </w:rPr>
      <w:t>广西机电设备招标有限公司招标文件评标方法及评标标准</w:t>
    </w:r>
  </w:p>
  <w:p w14:paraId="70C5A109">
    <w:pPr>
      <w:pStyle w:val="36"/>
      <w:pBdr>
        <w:bottom w:val="none" w:color="auto"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89BD3">
    <w:pPr>
      <w:rPr>
        <w:sz w:val="18"/>
        <w:szCs w:val="18"/>
        <w:u w:val="single"/>
      </w:rPr>
    </w:pPr>
    <w:r>
      <w:rPr>
        <w:rFonts w:hint="eastAsia"/>
        <w:sz w:val="18"/>
        <w:szCs w:val="18"/>
        <w:u w:val="single"/>
      </w:rPr>
      <w:t>广西机电设备招标有限公司招标文件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476AE"/>
    <w:multiLevelType w:val="singleLevel"/>
    <w:tmpl w:val="9D7476AE"/>
    <w:lvl w:ilvl="0" w:tentative="0">
      <w:start w:val="2"/>
      <w:numFmt w:val="decimal"/>
      <w:suff w:val="nothing"/>
      <w:lvlText w:val="（%1）"/>
      <w:lvlJc w:val="left"/>
    </w:lvl>
  </w:abstractNum>
  <w:abstractNum w:abstractNumId="1">
    <w:nsid w:val="DBB856CD"/>
    <w:multiLevelType w:val="singleLevel"/>
    <w:tmpl w:val="DBB856CD"/>
    <w:lvl w:ilvl="0" w:tentative="0">
      <w:start w:val="1"/>
      <w:numFmt w:val="decimal"/>
      <w:lvlText w:val="%1."/>
      <w:lvlJc w:val="left"/>
      <w:pPr>
        <w:tabs>
          <w:tab w:val="left" w:pos="312"/>
        </w:tabs>
      </w:pPr>
    </w:lvl>
  </w:abstractNum>
  <w:abstractNum w:abstractNumId="2">
    <w:nsid w:val="34F0EB2E"/>
    <w:multiLevelType w:val="singleLevel"/>
    <w:tmpl w:val="34F0EB2E"/>
    <w:lvl w:ilvl="0" w:tentative="0">
      <w:start w:val="3"/>
      <w:numFmt w:val="chineseCounting"/>
      <w:suff w:val="nothing"/>
      <w:lvlText w:val="%1、"/>
      <w:lvlJc w:val="left"/>
      <w:rPr>
        <w:rFonts w:hint="eastAsia"/>
      </w:rPr>
    </w:lvl>
  </w:abstractNum>
  <w:abstractNum w:abstractNumId="3">
    <w:nsid w:val="398C7E34"/>
    <w:multiLevelType w:val="singleLevel"/>
    <w:tmpl w:val="398C7E34"/>
    <w:lvl w:ilvl="0" w:tentative="0">
      <w:start w:val="1"/>
      <w:numFmt w:val="decimal"/>
      <w:suff w:val="nothing"/>
      <w:lvlText w:val="（%1）"/>
      <w:lvlJc w:val="left"/>
    </w:lvl>
  </w:abstractNum>
  <w:abstractNum w:abstractNumId="4">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55D32C4"/>
    <w:multiLevelType w:val="singleLevel"/>
    <w:tmpl w:val="555D32C4"/>
    <w:lvl w:ilvl="0" w:tentative="0">
      <w:start w:val="6"/>
      <w:numFmt w:val="chineseCounting"/>
      <w:suff w:val="nothing"/>
      <w:lvlText w:val="%1、"/>
      <w:lvlJc w:val="left"/>
      <w:rPr>
        <w:rFonts w:hint="eastAsia"/>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yODdkZjM5MmMzZTg1ZmE0OTAzMjQ0OTM3ZjcyODIifQ=="/>
    <w:docVar w:name="KSO_WPS_MARK_KEY" w:val="8c4edea4-0f05-4c2b-9821-c574c37d6ffe"/>
  </w:docVars>
  <w:rsids>
    <w:rsidRoot w:val="00172A27"/>
    <w:rsid w:val="000003B8"/>
    <w:rsid w:val="000003EF"/>
    <w:rsid w:val="00000653"/>
    <w:rsid w:val="000008B9"/>
    <w:rsid w:val="0000091B"/>
    <w:rsid w:val="00000D0A"/>
    <w:rsid w:val="00000D19"/>
    <w:rsid w:val="00000E1A"/>
    <w:rsid w:val="00001B3E"/>
    <w:rsid w:val="00001CD6"/>
    <w:rsid w:val="00001E6F"/>
    <w:rsid w:val="00002AC8"/>
    <w:rsid w:val="00002DDA"/>
    <w:rsid w:val="00002F41"/>
    <w:rsid w:val="00003255"/>
    <w:rsid w:val="00003742"/>
    <w:rsid w:val="00003C81"/>
    <w:rsid w:val="00003D02"/>
    <w:rsid w:val="00003DAE"/>
    <w:rsid w:val="0000436E"/>
    <w:rsid w:val="00005672"/>
    <w:rsid w:val="000058D7"/>
    <w:rsid w:val="00005E55"/>
    <w:rsid w:val="00006E2C"/>
    <w:rsid w:val="000079FF"/>
    <w:rsid w:val="00007B0D"/>
    <w:rsid w:val="00007F38"/>
    <w:rsid w:val="000102A9"/>
    <w:rsid w:val="000105C3"/>
    <w:rsid w:val="00011B70"/>
    <w:rsid w:val="00011D72"/>
    <w:rsid w:val="00012078"/>
    <w:rsid w:val="00012218"/>
    <w:rsid w:val="00012320"/>
    <w:rsid w:val="000128AC"/>
    <w:rsid w:val="000129EA"/>
    <w:rsid w:val="00013391"/>
    <w:rsid w:val="00013748"/>
    <w:rsid w:val="00013D41"/>
    <w:rsid w:val="00013D8B"/>
    <w:rsid w:val="000143A3"/>
    <w:rsid w:val="000144F2"/>
    <w:rsid w:val="00014DD6"/>
    <w:rsid w:val="0001532B"/>
    <w:rsid w:val="0001598C"/>
    <w:rsid w:val="00016007"/>
    <w:rsid w:val="00016C31"/>
    <w:rsid w:val="00016CE3"/>
    <w:rsid w:val="00017504"/>
    <w:rsid w:val="000178D7"/>
    <w:rsid w:val="00017F40"/>
    <w:rsid w:val="00020861"/>
    <w:rsid w:val="00020BB1"/>
    <w:rsid w:val="00020BF0"/>
    <w:rsid w:val="00020C0B"/>
    <w:rsid w:val="00020F60"/>
    <w:rsid w:val="000215B7"/>
    <w:rsid w:val="000217BF"/>
    <w:rsid w:val="00021C98"/>
    <w:rsid w:val="00021CCD"/>
    <w:rsid w:val="00021EE3"/>
    <w:rsid w:val="000228AB"/>
    <w:rsid w:val="00022C7D"/>
    <w:rsid w:val="00022F2A"/>
    <w:rsid w:val="00022F8B"/>
    <w:rsid w:val="000233CA"/>
    <w:rsid w:val="00023652"/>
    <w:rsid w:val="000236EE"/>
    <w:rsid w:val="00024633"/>
    <w:rsid w:val="0002560A"/>
    <w:rsid w:val="00025DA0"/>
    <w:rsid w:val="000262BC"/>
    <w:rsid w:val="0002696D"/>
    <w:rsid w:val="0002754D"/>
    <w:rsid w:val="00027666"/>
    <w:rsid w:val="000276B2"/>
    <w:rsid w:val="00027A46"/>
    <w:rsid w:val="00027AF3"/>
    <w:rsid w:val="00030024"/>
    <w:rsid w:val="00030124"/>
    <w:rsid w:val="000302F0"/>
    <w:rsid w:val="000305FD"/>
    <w:rsid w:val="0003084F"/>
    <w:rsid w:val="00030C2F"/>
    <w:rsid w:val="00031169"/>
    <w:rsid w:val="00031757"/>
    <w:rsid w:val="00031DDD"/>
    <w:rsid w:val="00032686"/>
    <w:rsid w:val="0003274B"/>
    <w:rsid w:val="00032AD8"/>
    <w:rsid w:val="00032ADF"/>
    <w:rsid w:val="000331CC"/>
    <w:rsid w:val="0003322E"/>
    <w:rsid w:val="00033927"/>
    <w:rsid w:val="000352BA"/>
    <w:rsid w:val="00035840"/>
    <w:rsid w:val="00035844"/>
    <w:rsid w:val="00035A8D"/>
    <w:rsid w:val="00035C94"/>
    <w:rsid w:val="00036BAA"/>
    <w:rsid w:val="00037101"/>
    <w:rsid w:val="00037C2D"/>
    <w:rsid w:val="00037C63"/>
    <w:rsid w:val="00037CE4"/>
    <w:rsid w:val="00037DB6"/>
    <w:rsid w:val="00040187"/>
    <w:rsid w:val="000401FD"/>
    <w:rsid w:val="00040AC1"/>
    <w:rsid w:val="00040ED3"/>
    <w:rsid w:val="0004139C"/>
    <w:rsid w:val="000415E3"/>
    <w:rsid w:val="000418B1"/>
    <w:rsid w:val="00042280"/>
    <w:rsid w:val="0004231D"/>
    <w:rsid w:val="000424AB"/>
    <w:rsid w:val="00042BF9"/>
    <w:rsid w:val="00042ED7"/>
    <w:rsid w:val="000431D3"/>
    <w:rsid w:val="00043295"/>
    <w:rsid w:val="00044236"/>
    <w:rsid w:val="00044578"/>
    <w:rsid w:val="00045069"/>
    <w:rsid w:val="00045070"/>
    <w:rsid w:val="00045947"/>
    <w:rsid w:val="000459FB"/>
    <w:rsid w:val="000462A8"/>
    <w:rsid w:val="00046360"/>
    <w:rsid w:val="0004653D"/>
    <w:rsid w:val="000465AB"/>
    <w:rsid w:val="00046DA5"/>
    <w:rsid w:val="00046E59"/>
    <w:rsid w:val="000472E6"/>
    <w:rsid w:val="000479CD"/>
    <w:rsid w:val="000479FF"/>
    <w:rsid w:val="000500E6"/>
    <w:rsid w:val="000504FE"/>
    <w:rsid w:val="000513E2"/>
    <w:rsid w:val="00051C80"/>
    <w:rsid w:val="00052326"/>
    <w:rsid w:val="00052DBE"/>
    <w:rsid w:val="00053175"/>
    <w:rsid w:val="000534EE"/>
    <w:rsid w:val="0005359C"/>
    <w:rsid w:val="0005387F"/>
    <w:rsid w:val="00053BFC"/>
    <w:rsid w:val="0005428F"/>
    <w:rsid w:val="000544F4"/>
    <w:rsid w:val="000545D3"/>
    <w:rsid w:val="00054870"/>
    <w:rsid w:val="00054AB0"/>
    <w:rsid w:val="00054ABD"/>
    <w:rsid w:val="00054F7D"/>
    <w:rsid w:val="00055230"/>
    <w:rsid w:val="00055557"/>
    <w:rsid w:val="000555EA"/>
    <w:rsid w:val="00055945"/>
    <w:rsid w:val="00055A8A"/>
    <w:rsid w:val="00055E6D"/>
    <w:rsid w:val="00055FB0"/>
    <w:rsid w:val="0005625F"/>
    <w:rsid w:val="0005649E"/>
    <w:rsid w:val="0005682D"/>
    <w:rsid w:val="00056945"/>
    <w:rsid w:val="0005700C"/>
    <w:rsid w:val="00057393"/>
    <w:rsid w:val="00057E45"/>
    <w:rsid w:val="00060523"/>
    <w:rsid w:val="000606B6"/>
    <w:rsid w:val="000609AC"/>
    <w:rsid w:val="0006148A"/>
    <w:rsid w:val="000618AE"/>
    <w:rsid w:val="00062637"/>
    <w:rsid w:val="0006263C"/>
    <w:rsid w:val="00062949"/>
    <w:rsid w:val="000631AC"/>
    <w:rsid w:val="000631B7"/>
    <w:rsid w:val="00063894"/>
    <w:rsid w:val="000639D4"/>
    <w:rsid w:val="00063B29"/>
    <w:rsid w:val="0006408F"/>
    <w:rsid w:val="00064840"/>
    <w:rsid w:val="00064A48"/>
    <w:rsid w:val="00064C80"/>
    <w:rsid w:val="00065429"/>
    <w:rsid w:val="00065AB7"/>
    <w:rsid w:val="00065BFE"/>
    <w:rsid w:val="00065C40"/>
    <w:rsid w:val="00065D71"/>
    <w:rsid w:val="000673D8"/>
    <w:rsid w:val="00067DE7"/>
    <w:rsid w:val="0007014F"/>
    <w:rsid w:val="000706AC"/>
    <w:rsid w:val="00070950"/>
    <w:rsid w:val="000709D3"/>
    <w:rsid w:val="00070A7D"/>
    <w:rsid w:val="00070AAB"/>
    <w:rsid w:val="000712F8"/>
    <w:rsid w:val="00071A68"/>
    <w:rsid w:val="00071A6A"/>
    <w:rsid w:val="00071C95"/>
    <w:rsid w:val="00072A95"/>
    <w:rsid w:val="00072CEC"/>
    <w:rsid w:val="0007340B"/>
    <w:rsid w:val="0007368B"/>
    <w:rsid w:val="00073C3B"/>
    <w:rsid w:val="00074923"/>
    <w:rsid w:val="00074EE8"/>
    <w:rsid w:val="000750EA"/>
    <w:rsid w:val="0007539D"/>
    <w:rsid w:val="000774F1"/>
    <w:rsid w:val="00077698"/>
    <w:rsid w:val="000777B1"/>
    <w:rsid w:val="00077891"/>
    <w:rsid w:val="0007797E"/>
    <w:rsid w:val="00077C1B"/>
    <w:rsid w:val="0008017C"/>
    <w:rsid w:val="00080321"/>
    <w:rsid w:val="00080AA6"/>
    <w:rsid w:val="00080BE2"/>
    <w:rsid w:val="00081C1C"/>
    <w:rsid w:val="0008224F"/>
    <w:rsid w:val="000822F0"/>
    <w:rsid w:val="000824BD"/>
    <w:rsid w:val="00082611"/>
    <w:rsid w:val="0008264F"/>
    <w:rsid w:val="0008304A"/>
    <w:rsid w:val="0008372E"/>
    <w:rsid w:val="00083A64"/>
    <w:rsid w:val="00083B97"/>
    <w:rsid w:val="000842B5"/>
    <w:rsid w:val="00085560"/>
    <w:rsid w:val="00085E63"/>
    <w:rsid w:val="00086067"/>
    <w:rsid w:val="000866A9"/>
    <w:rsid w:val="00086EC2"/>
    <w:rsid w:val="00087358"/>
    <w:rsid w:val="000873F5"/>
    <w:rsid w:val="00087E2E"/>
    <w:rsid w:val="000900DF"/>
    <w:rsid w:val="00090193"/>
    <w:rsid w:val="0009021F"/>
    <w:rsid w:val="00090524"/>
    <w:rsid w:val="0009134B"/>
    <w:rsid w:val="000916DF"/>
    <w:rsid w:val="00091D8D"/>
    <w:rsid w:val="00093BC0"/>
    <w:rsid w:val="00093DF8"/>
    <w:rsid w:val="000941F6"/>
    <w:rsid w:val="0009454A"/>
    <w:rsid w:val="000945C5"/>
    <w:rsid w:val="00094ECF"/>
    <w:rsid w:val="0009592E"/>
    <w:rsid w:val="00095AAF"/>
    <w:rsid w:val="00095B76"/>
    <w:rsid w:val="00096946"/>
    <w:rsid w:val="0009715C"/>
    <w:rsid w:val="00097406"/>
    <w:rsid w:val="000A10DB"/>
    <w:rsid w:val="000A111D"/>
    <w:rsid w:val="000A117F"/>
    <w:rsid w:val="000A128A"/>
    <w:rsid w:val="000A165F"/>
    <w:rsid w:val="000A2960"/>
    <w:rsid w:val="000A2968"/>
    <w:rsid w:val="000A299E"/>
    <w:rsid w:val="000A2E97"/>
    <w:rsid w:val="000A3515"/>
    <w:rsid w:val="000A3518"/>
    <w:rsid w:val="000A4852"/>
    <w:rsid w:val="000A509A"/>
    <w:rsid w:val="000A6C4D"/>
    <w:rsid w:val="000A6C54"/>
    <w:rsid w:val="000A6F1D"/>
    <w:rsid w:val="000A70C7"/>
    <w:rsid w:val="000A7238"/>
    <w:rsid w:val="000A745D"/>
    <w:rsid w:val="000A7687"/>
    <w:rsid w:val="000A791D"/>
    <w:rsid w:val="000A7931"/>
    <w:rsid w:val="000B0720"/>
    <w:rsid w:val="000B09FE"/>
    <w:rsid w:val="000B0BB1"/>
    <w:rsid w:val="000B15EF"/>
    <w:rsid w:val="000B26D6"/>
    <w:rsid w:val="000B2D1E"/>
    <w:rsid w:val="000B316D"/>
    <w:rsid w:val="000B3194"/>
    <w:rsid w:val="000B3CFE"/>
    <w:rsid w:val="000B4EF3"/>
    <w:rsid w:val="000B554C"/>
    <w:rsid w:val="000B5D87"/>
    <w:rsid w:val="000B60C6"/>
    <w:rsid w:val="000B68A5"/>
    <w:rsid w:val="000B6E64"/>
    <w:rsid w:val="000B6F18"/>
    <w:rsid w:val="000B70DB"/>
    <w:rsid w:val="000B76E7"/>
    <w:rsid w:val="000B797D"/>
    <w:rsid w:val="000B7AC2"/>
    <w:rsid w:val="000B7E6D"/>
    <w:rsid w:val="000C17E4"/>
    <w:rsid w:val="000C1979"/>
    <w:rsid w:val="000C20B5"/>
    <w:rsid w:val="000C270D"/>
    <w:rsid w:val="000C2B1E"/>
    <w:rsid w:val="000C350A"/>
    <w:rsid w:val="000C3518"/>
    <w:rsid w:val="000C3762"/>
    <w:rsid w:val="000C41CD"/>
    <w:rsid w:val="000C4988"/>
    <w:rsid w:val="000C59D1"/>
    <w:rsid w:val="000C5C88"/>
    <w:rsid w:val="000C655F"/>
    <w:rsid w:val="000C66AB"/>
    <w:rsid w:val="000C6872"/>
    <w:rsid w:val="000C7045"/>
    <w:rsid w:val="000C71D4"/>
    <w:rsid w:val="000C7563"/>
    <w:rsid w:val="000C757A"/>
    <w:rsid w:val="000C7D9F"/>
    <w:rsid w:val="000D074C"/>
    <w:rsid w:val="000D0C28"/>
    <w:rsid w:val="000D0F2E"/>
    <w:rsid w:val="000D1788"/>
    <w:rsid w:val="000D31CB"/>
    <w:rsid w:val="000D3E1B"/>
    <w:rsid w:val="000D4061"/>
    <w:rsid w:val="000D4860"/>
    <w:rsid w:val="000D48FB"/>
    <w:rsid w:val="000D4B4F"/>
    <w:rsid w:val="000D4EC1"/>
    <w:rsid w:val="000D544F"/>
    <w:rsid w:val="000D55FD"/>
    <w:rsid w:val="000D56C7"/>
    <w:rsid w:val="000D672C"/>
    <w:rsid w:val="000D68F4"/>
    <w:rsid w:val="000D6A04"/>
    <w:rsid w:val="000D6A61"/>
    <w:rsid w:val="000D6C78"/>
    <w:rsid w:val="000D74B9"/>
    <w:rsid w:val="000E01DF"/>
    <w:rsid w:val="000E1094"/>
    <w:rsid w:val="000E18A1"/>
    <w:rsid w:val="000E1AC3"/>
    <w:rsid w:val="000E1C04"/>
    <w:rsid w:val="000E20DA"/>
    <w:rsid w:val="000E2AD1"/>
    <w:rsid w:val="000E2F86"/>
    <w:rsid w:val="000E3D2F"/>
    <w:rsid w:val="000E42EF"/>
    <w:rsid w:val="000E4712"/>
    <w:rsid w:val="000E4723"/>
    <w:rsid w:val="000E612C"/>
    <w:rsid w:val="000E6372"/>
    <w:rsid w:val="000E6D38"/>
    <w:rsid w:val="000E6D94"/>
    <w:rsid w:val="000E72E7"/>
    <w:rsid w:val="000E72F6"/>
    <w:rsid w:val="000E7533"/>
    <w:rsid w:val="000E75B3"/>
    <w:rsid w:val="000E77D2"/>
    <w:rsid w:val="000E7CC8"/>
    <w:rsid w:val="000F0D10"/>
    <w:rsid w:val="000F0E1D"/>
    <w:rsid w:val="000F1B78"/>
    <w:rsid w:val="000F1F51"/>
    <w:rsid w:val="000F1FB0"/>
    <w:rsid w:val="000F2181"/>
    <w:rsid w:val="000F24AC"/>
    <w:rsid w:val="000F2688"/>
    <w:rsid w:val="000F28A5"/>
    <w:rsid w:val="000F2943"/>
    <w:rsid w:val="000F2E97"/>
    <w:rsid w:val="000F2F22"/>
    <w:rsid w:val="000F2F60"/>
    <w:rsid w:val="000F3461"/>
    <w:rsid w:val="000F4B3A"/>
    <w:rsid w:val="000F5331"/>
    <w:rsid w:val="000F55C9"/>
    <w:rsid w:val="000F6242"/>
    <w:rsid w:val="000F666F"/>
    <w:rsid w:val="000F6F32"/>
    <w:rsid w:val="000F75A8"/>
    <w:rsid w:val="000F76E0"/>
    <w:rsid w:val="000F77B5"/>
    <w:rsid w:val="000F79FD"/>
    <w:rsid w:val="00100331"/>
    <w:rsid w:val="00101255"/>
    <w:rsid w:val="001014D2"/>
    <w:rsid w:val="001016BB"/>
    <w:rsid w:val="00101A14"/>
    <w:rsid w:val="0010251A"/>
    <w:rsid w:val="00102768"/>
    <w:rsid w:val="00102BC3"/>
    <w:rsid w:val="00102EF2"/>
    <w:rsid w:val="00103458"/>
    <w:rsid w:val="001037BD"/>
    <w:rsid w:val="001047CB"/>
    <w:rsid w:val="00104AFF"/>
    <w:rsid w:val="001053EE"/>
    <w:rsid w:val="00105629"/>
    <w:rsid w:val="0010574F"/>
    <w:rsid w:val="00105996"/>
    <w:rsid w:val="001059FC"/>
    <w:rsid w:val="00105A06"/>
    <w:rsid w:val="00105F3E"/>
    <w:rsid w:val="001066F6"/>
    <w:rsid w:val="001078F4"/>
    <w:rsid w:val="001105FF"/>
    <w:rsid w:val="00110744"/>
    <w:rsid w:val="00110797"/>
    <w:rsid w:val="00110E04"/>
    <w:rsid w:val="0011170E"/>
    <w:rsid w:val="00111849"/>
    <w:rsid w:val="00111ECD"/>
    <w:rsid w:val="001121DD"/>
    <w:rsid w:val="00112D31"/>
    <w:rsid w:val="00112DBF"/>
    <w:rsid w:val="00113646"/>
    <w:rsid w:val="00113CD1"/>
    <w:rsid w:val="00114359"/>
    <w:rsid w:val="0011487E"/>
    <w:rsid w:val="00115093"/>
    <w:rsid w:val="001161CA"/>
    <w:rsid w:val="00116258"/>
    <w:rsid w:val="00116494"/>
    <w:rsid w:val="001166D3"/>
    <w:rsid w:val="001167AE"/>
    <w:rsid w:val="001202C5"/>
    <w:rsid w:val="0012030C"/>
    <w:rsid w:val="0012077F"/>
    <w:rsid w:val="00120813"/>
    <w:rsid w:val="0012099E"/>
    <w:rsid w:val="00120CE3"/>
    <w:rsid w:val="00120E60"/>
    <w:rsid w:val="0012130E"/>
    <w:rsid w:val="001213B0"/>
    <w:rsid w:val="00121741"/>
    <w:rsid w:val="00121832"/>
    <w:rsid w:val="00122050"/>
    <w:rsid w:val="00122232"/>
    <w:rsid w:val="0012235C"/>
    <w:rsid w:val="00122857"/>
    <w:rsid w:val="00122A75"/>
    <w:rsid w:val="00123529"/>
    <w:rsid w:val="00124118"/>
    <w:rsid w:val="001241D1"/>
    <w:rsid w:val="00124271"/>
    <w:rsid w:val="00124457"/>
    <w:rsid w:val="00124985"/>
    <w:rsid w:val="00125609"/>
    <w:rsid w:val="001257A9"/>
    <w:rsid w:val="00126655"/>
    <w:rsid w:val="00126707"/>
    <w:rsid w:val="0012679D"/>
    <w:rsid w:val="001269E0"/>
    <w:rsid w:val="001270F4"/>
    <w:rsid w:val="001274D7"/>
    <w:rsid w:val="00127514"/>
    <w:rsid w:val="00130D23"/>
    <w:rsid w:val="001311C9"/>
    <w:rsid w:val="00131627"/>
    <w:rsid w:val="001318CD"/>
    <w:rsid w:val="0013190A"/>
    <w:rsid w:val="00131955"/>
    <w:rsid w:val="00131C94"/>
    <w:rsid w:val="00131DE6"/>
    <w:rsid w:val="001323E6"/>
    <w:rsid w:val="001326D3"/>
    <w:rsid w:val="001326DF"/>
    <w:rsid w:val="00132A53"/>
    <w:rsid w:val="00132AD8"/>
    <w:rsid w:val="00132CCE"/>
    <w:rsid w:val="00133BBE"/>
    <w:rsid w:val="00133D01"/>
    <w:rsid w:val="001342A2"/>
    <w:rsid w:val="00134510"/>
    <w:rsid w:val="001358D6"/>
    <w:rsid w:val="00136073"/>
    <w:rsid w:val="001361F7"/>
    <w:rsid w:val="00136606"/>
    <w:rsid w:val="001367BA"/>
    <w:rsid w:val="00136806"/>
    <w:rsid w:val="001369A6"/>
    <w:rsid w:val="00136BD6"/>
    <w:rsid w:val="00136DBC"/>
    <w:rsid w:val="00136F77"/>
    <w:rsid w:val="001370A8"/>
    <w:rsid w:val="001371D9"/>
    <w:rsid w:val="00137856"/>
    <w:rsid w:val="00137B4E"/>
    <w:rsid w:val="00137BD8"/>
    <w:rsid w:val="00140291"/>
    <w:rsid w:val="0014229D"/>
    <w:rsid w:val="001422D4"/>
    <w:rsid w:val="0014235F"/>
    <w:rsid w:val="0014236F"/>
    <w:rsid w:val="001428FA"/>
    <w:rsid w:val="00142A87"/>
    <w:rsid w:val="001442C2"/>
    <w:rsid w:val="001449E1"/>
    <w:rsid w:val="00144D5F"/>
    <w:rsid w:val="00144DD9"/>
    <w:rsid w:val="001455BA"/>
    <w:rsid w:val="00145DDE"/>
    <w:rsid w:val="0014621F"/>
    <w:rsid w:val="0014647C"/>
    <w:rsid w:val="00146907"/>
    <w:rsid w:val="00146E85"/>
    <w:rsid w:val="0014745C"/>
    <w:rsid w:val="00147916"/>
    <w:rsid w:val="0014795D"/>
    <w:rsid w:val="001479AA"/>
    <w:rsid w:val="00147F00"/>
    <w:rsid w:val="001502FF"/>
    <w:rsid w:val="00150564"/>
    <w:rsid w:val="001506A7"/>
    <w:rsid w:val="0015087C"/>
    <w:rsid w:val="00150882"/>
    <w:rsid w:val="00150A4A"/>
    <w:rsid w:val="00150FFB"/>
    <w:rsid w:val="001518B5"/>
    <w:rsid w:val="00151BBA"/>
    <w:rsid w:val="0015252D"/>
    <w:rsid w:val="00152656"/>
    <w:rsid w:val="00152C00"/>
    <w:rsid w:val="00152C2B"/>
    <w:rsid w:val="00152E98"/>
    <w:rsid w:val="00153084"/>
    <w:rsid w:val="00153A54"/>
    <w:rsid w:val="00154072"/>
    <w:rsid w:val="00154304"/>
    <w:rsid w:val="001546EA"/>
    <w:rsid w:val="0015477A"/>
    <w:rsid w:val="00154951"/>
    <w:rsid w:val="00154F0A"/>
    <w:rsid w:val="001559DA"/>
    <w:rsid w:val="00156891"/>
    <w:rsid w:val="00156BA3"/>
    <w:rsid w:val="00157320"/>
    <w:rsid w:val="001579B9"/>
    <w:rsid w:val="001602EB"/>
    <w:rsid w:val="0016080B"/>
    <w:rsid w:val="00160853"/>
    <w:rsid w:val="00160F65"/>
    <w:rsid w:val="001610EB"/>
    <w:rsid w:val="00161216"/>
    <w:rsid w:val="001614D4"/>
    <w:rsid w:val="00161BB8"/>
    <w:rsid w:val="00161C1F"/>
    <w:rsid w:val="00161C2F"/>
    <w:rsid w:val="00161F11"/>
    <w:rsid w:val="001620B6"/>
    <w:rsid w:val="001622BA"/>
    <w:rsid w:val="00162664"/>
    <w:rsid w:val="00163194"/>
    <w:rsid w:val="001639B6"/>
    <w:rsid w:val="00163DB9"/>
    <w:rsid w:val="00163DD8"/>
    <w:rsid w:val="00164F8F"/>
    <w:rsid w:val="0016529F"/>
    <w:rsid w:val="001658F5"/>
    <w:rsid w:val="00165F38"/>
    <w:rsid w:val="001661B8"/>
    <w:rsid w:val="00166237"/>
    <w:rsid w:val="00166385"/>
    <w:rsid w:val="0016644D"/>
    <w:rsid w:val="0016655F"/>
    <w:rsid w:val="00166EE6"/>
    <w:rsid w:val="001672AF"/>
    <w:rsid w:val="00167460"/>
    <w:rsid w:val="00170377"/>
    <w:rsid w:val="00170A14"/>
    <w:rsid w:val="0017112B"/>
    <w:rsid w:val="00171185"/>
    <w:rsid w:val="00171C71"/>
    <w:rsid w:val="001726CF"/>
    <w:rsid w:val="00172A27"/>
    <w:rsid w:val="00172A39"/>
    <w:rsid w:val="00172BAF"/>
    <w:rsid w:val="00172D05"/>
    <w:rsid w:val="00172EC0"/>
    <w:rsid w:val="00173191"/>
    <w:rsid w:val="00173686"/>
    <w:rsid w:val="001737FE"/>
    <w:rsid w:val="00173F0C"/>
    <w:rsid w:val="0017426E"/>
    <w:rsid w:val="00175014"/>
    <w:rsid w:val="001751EE"/>
    <w:rsid w:val="001753D1"/>
    <w:rsid w:val="00175B11"/>
    <w:rsid w:val="00175B5B"/>
    <w:rsid w:val="00176AFA"/>
    <w:rsid w:val="00176C25"/>
    <w:rsid w:val="00176E50"/>
    <w:rsid w:val="0017723E"/>
    <w:rsid w:val="001775DA"/>
    <w:rsid w:val="00177935"/>
    <w:rsid w:val="00177AD0"/>
    <w:rsid w:val="00181019"/>
    <w:rsid w:val="00181135"/>
    <w:rsid w:val="001813A3"/>
    <w:rsid w:val="00181C0B"/>
    <w:rsid w:val="00181EF7"/>
    <w:rsid w:val="001820BF"/>
    <w:rsid w:val="00182382"/>
    <w:rsid w:val="00182C79"/>
    <w:rsid w:val="00182DF8"/>
    <w:rsid w:val="0018502B"/>
    <w:rsid w:val="00186403"/>
    <w:rsid w:val="00186455"/>
    <w:rsid w:val="00186DC9"/>
    <w:rsid w:val="0018707E"/>
    <w:rsid w:val="00187892"/>
    <w:rsid w:val="00187DFB"/>
    <w:rsid w:val="00190463"/>
    <w:rsid w:val="00191435"/>
    <w:rsid w:val="00192213"/>
    <w:rsid w:val="001927A2"/>
    <w:rsid w:val="00192FED"/>
    <w:rsid w:val="00192FF5"/>
    <w:rsid w:val="0019335B"/>
    <w:rsid w:val="001938DB"/>
    <w:rsid w:val="001940F4"/>
    <w:rsid w:val="0019423A"/>
    <w:rsid w:val="00194FA4"/>
    <w:rsid w:val="00195203"/>
    <w:rsid w:val="00195234"/>
    <w:rsid w:val="00195648"/>
    <w:rsid w:val="001959DC"/>
    <w:rsid w:val="00195A29"/>
    <w:rsid w:val="00195F44"/>
    <w:rsid w:val="00195FC6"/>
    <w:rsid w:val="00196019"/>
    <w:rsid w:val="001963F9"/>
    <w:rsid w:val="00196B1D"/>
    <w:rsid w:val="00196C83"/>
    <w:rsid w:val="00196E92"/>
    <w:rsid w:val="001A0896"/>
    <w:rsid w:val="001A0FF1"/>
    <w:rsid w:val="001A2185"/>
    <w:rsid w:val="001A2679"/>
    <w:rsid w:val="001A315B"/>
    <w:rsid w:val="001A334F"/>
    <w:rsid w:val="001A3856"/>
    <w:rsid w:val="001A3954"/>
    <w:rsid w:val="001A3F6D"/>
    <w:rsid w:val="001A4C94"/>
    <w:rsid w:val="001A56FD"/>
    <w:rsid w:val="001A5923"/>
    <w:rsid w:val="001A5DA1"/>
    <w:rsid w:val="001A6A4C"/>
    <w:rsid w:val="001A7328"/>
    <w:rsid w:val="001A775C"/>
    <w:rsid w:val="001A7CBA"/>
    <w:rsid w:val="001B0DF5"/>
    <w:rsid w:val="001B1736"/>
    <w:rsid w:val="001B1AE6"/>
    <w:rsid w:val="001B32D3"/>
    <w:rsid w:val="001B32E4"/>
    <w:rsid w:val="001B3778"/>
    <w:rsid w:val="001B3E30"/>
    <w:rsid w:val="001B43A2"/>
    <w:rsid w:val="001B4634"/>
    <w:rsid w:val="001B48C3"/>
    <w:rsid w:val="001B4ED3"/>
    <w:rsid w:val="001B5091"/>
    <w:rsid w:val="001B50CC"/>
    <w:rsid w:val="001B5355"/>
    <w:rsid w:val="001B5426"/>
    <w:rsid w:val="001B593D"/>
    <w:rsid w:val="001B6049"/>
    <w:rsid w:val="001B60D4"/>
    <w:rsid w:val="001B6482"/>
    <w:rsid w:val="001B7014"/>
    <w:rsid w:val="001B739D"/>
    <w:rsid w:val="001B7432"/>
    <w:rsid w:val="001B7C32"/>
    <w:rsid w:val="001B7CBF"/>
    <w:rsid w:val="001C0476"/>
    <w:rsid w:val="001C0846"/>
    <w:rsid w:val="001C148A"/>
    <w:rsid w:val="001C15DB"/>
    <w:rsid w:val="001C17AC"/>
    <w:rsid w:val="001C1814"/>
    <w:rsid w:val="001C1B36"/>
    <w:rsid w:val="001C1FEF"/>
    <w:rsid w:val="001C2831"/>
    <w:rsid w:val="001C3D5E"/>
    <w:rsid w:val="001C3D80"/>
    <w:rsid w:val="001C4222"/>
    <w:rsid w:val="001C4361"/>
    <w:rsid w:val="001C4AA8"/>
    <w:rsid w:val="001C51A3"/>
    <w:rsid w:val="001C5358"/>
    <w:rsid w:val="001C56D1"/>
    <w:rsid w:val="001C6F0D"/>
    <w:rsid w:val="001C7325"/>
    <w:rsid w:val="001C7A8C"/>
    <w:rsid w:val="001D0D82"/>
    <w:rsid w:val="001D0F05"/>
    <w:rsid w:val="001D151F"/>
    <w:rsid w:val="001D15D9"/>
    <w:rsid w:val="001D1912"/>
    <w:rsid w:val="001D1DD7"/>
    <w:rsid w:val="001D23EF"/>
    <w:rsid w:val="001D2608"/>
    <w:rsid w:val="001D273D"/>
    <w:rsid w:val="001D285A"/>
    <w:rsid w:val="001D2A9B"/>
    <w:rsid w:val="001D3534"/>
    <w:rsid w:val="001D49FD"/>
    <w:rsid w:val="001D4EB1"/>
    <w:rsid w:val="001D537F"/>
    <w:rsid w:val="001D540C"/>
    <w:rsid w:val="001D565B"/>
    <w:rsid w:val="001D6B8D"/>
    <w:rsid w:val="001D6D80"/>
    <w:rsid w:val="001D723E"/>
    <w:rsid w:val="001D7681"/>
    <w:rsid w:val="001E0531"/>
    <w:rsid w:val="001E131D"/>
    <w:rsid w:val="001E15B4"/>
    <w:rsid w:val="001E1FA3"/>
    <w:rsid w:val="001E21AC"/>
    <w:rsid w:val="001E24A4"/>
    <w:rsid w:val="001E28CC"/>
    <w:rsid w:val="001E28E4"/>
    <w:rsid w:val="001E290A"/>
    <w:rsid w:val="001E2DA9"/>
    <w:rsid w:val="001E321D"/>
    <w:rsid w:val="001E38B1"/>
    <w:rsid w:val="001E3A2B"/>
    <w:rsid w:val="001E478C"/>
    <w:rsid w:val="001E4C00"/>
    <w:rsid w:val="001E4D12"/>
    <w:rsid w:val="001E4D56"/>
    <w:rsid w:val="001E4DB4"/>
    <w:rsid w:val="001E5559"/>
    <w:rsid w:val="001E5BBC"/>
    <w:rsid w:val="001E6542"/>
    <w:rsid w:val="001E69FA"/>
    <w:rsid w:val="001E72E0"/>
    <w:rsid w:val="001E7739"/>
    <w:rsid w:val="001E7AB5"/>
    <w:rsid w:val="001F0064"/>
    <w:rsid w:val="001F16DF"/>
    <w:rsid w:val="001F193B"/>
    <w:rsid w:val="001F1960"/>
    <w:rsid w:val="001F3066"/>
    <w:rsid w:val="001F327B"/>
    <w:rsid w:val="001F32DA"/>
    <w:rsid w:val="001F3DAE"/>
    <w:rsid w:val="001F4A98"/>
    <w:rsid w:val="001F4F82"/>
    <w:rsid w:val="001F6159"/>
    <w:rsid w:val="001F633E"/>
    <w:rsid w:val="001F6680"/>
    <w:rsid w:val="001F6C51"/>
    <w:rsid w:val="001F6DC6"/>
    <w:rsid w:val="001F6FB6"/>
    <w:rsid w:val="001F740D"/>
    <w:rsid w:val="001F792F"/>
    <w:rsid w:val="001F7AC9"/>
    <w:rsid w:val="001F7B9E"/>
    <w:rsid w:val="001F7BE1"/>
    <w:rsid w:val="001F7C97"/>
    <w:rsid w:val="00200A84"/>
    <w:rsid w:val="00200C40"/>
    <w:rsid w:val="00200F97"/>
    <w:rsid w:val="00201229"/>
    <w:rsid w:val="00201270"/>
    <w:rsid w:val="002014F7"/>
    <w:rsid w:val="002023BE"/>
    <w:rsid w:val="00202576"/>
    <w:rsid w:val="00202583"/>
    <w:rsid w:val="0020269C"/>
    <w:rsid w:val="00202B50"/>
    <w:rsid w:val="00202EF9"/>
    <w:rsid w:val="00203204"/>
    <w:rsid w:val="00203236"/>
    <w:rsid w:val="00203395"/>
    <w:rsid w:val="002036E8"/>
    <w:rsid w:val="00203939"/>
    <w:rsid w:val="00203B3F"/>
    <w:rsid w:val="002048AD"/>
    <w:rsid w:val="002051F7"/>
    <w:rsid w:val="0020531C"/>
    <w:rsid w:val="00205AD3"/>
    <w:rsid w:val="00205B53"/>
    <w:rsid w:val="002066C1"/>
    <w:rsid w:val="002067D2"/>
    <w:rsid w:val="00206D59"/>
    <w:rsid w:val="0020708A"/>
    <w:rsid w:val="0020731F"/>
    <w:rsid w:val="00207435"/>
    <w:rsid w:val="00207642"/>
    <w:rsid w:val="00207AAC"/>
    <w:rsid w:val="00207F6A"/>
    <w:rsid w:val="00210191"/>
    <w:rsid w:val="00210256"/>
    <w:rsid w:val="00210394"/>
    <w:rsid w:val="0021051F"/>
    <w:rsid w:val="0021076E"/>
    <w:rsid w:val="0021206E"/>
    <w:rsid w:val="002127B9"/>
    <w:rsid w:val="00212B08"/>
    <w:rsid w:val="00213289"/>
    <w:rsid w:val="00213825"/>
    <w:rsid w:val="00213CEF"/>
    <w:rsid w:val="00214189"/>
    <w:rsid w:val="0021432D"/>
    <w:rsid w:val="00214532"/>
    <w:rsid w:val="00214ADD"/>
    <w:rsid w:val="0021525B"/>
    <w:rsid w:val="00216356"/>
    <w:rsid w:val="002164F1"/>
    <w:rsid w:val="00216A00"/>
    <w:rsid w:val="00216B19"/>
    <w:rsid w:val="00216CCC"/>
    <w:rsid w:val="00216E16"/>
    <w:rsid w:val="0021738B"/>
    <w:rsid w:val="00220082"/>
    <w:rsid w:val="002203BD"/>
    <w:rsid w:val="00220517"/>
    <w:rsid w:val="00220776"/>
    <w:rsid w:val="002216CC"/>
    <w:rsid w:val="00221ED0"/>
    <w:rsid w:val="002221C3"/>
    <w:rsid w:val="0022299A"/>
    <w:rsid w:val="00222A0B"/>
    <w:rsid w:val="00222B91"/>
    <w:rsid w:val="002230FD"/>
    <w:rsid w:val="002232B3"/>
    <w:rsid w:val="00223664"/>
    <w:rsid w:val="0022401E"/>
    <w:rsid w:val="002244FF"/>
    <w:rsid w:val="00224756"/>
    <w:rsid w:val="00224878"/>
    <w:rsid w:val="0022514D"/>
    <w:rsid w:val="00225CEE"/>
    <w:rsid w:val="00226447"/>
    <w:rsid w:val="002266DB"/>
    <w:rsid w:val="00226894"/>
    <w:rsid w:val="002268B0"/>
    <w:rsid w:val="002272F5"/>
    <w:rsid w:val="00227577"/>
    <w:rsid w:val="002277E9"/>
    <w:rsid w:val="00230153"/>
    <w:rsid w:val="002303A6"/>
    <w:rsid w:val="00230894"/>
    <w:rsid w:val="002308E9"/>
    <w:rsid w:val="00230B84"/>
    <w:rsid w:val="00231B36"/>
    <w:rsid w:val="00231F9E"/>
    <w:rsid w:val="00232498"/>
    <w:rsid w:val="0023254E"/>
    <w:rsid w:val="00232918"/>
    <w:rsid w:val="0023350C"/>
    <w:rsid w:val="00233E70"/>
    <w:rsid w:val="00234281"/>
    <w:rsid w:val="00234FD3"/>
    <w:rsid w:val="00235CC1"/>
    <w:rsid w:val="00236B90"/>
    <w:rsid w:val="00236C21"/>
    <w:rsid w:val="002371BF"/>
    <w:rsid w:val="002371E1"/>
    <w:rsid w:val="00237A87"/>
    <w:rsid w:val="002404C3"/>
    <w:rsid w:val="00241129"/>
    <w:rsid w:val="002411AE"/>
    <w:rsid w:val="00241205"/>
    <w:rsid w:val="00241731"/>
    <w:rsid w:val="00241840"/>
    <w:rsid w:val="00241C36"/>
    <w:rsid w:val="0024270B"/>
    <w:rsid w:val="002427EB"/>
    <w:rsid w:val="002427F0"/>
    <w:rsid w:val="002428BD"/>
    <w:rsid w:val="00242D15"/>
    <w:rsid w:val="00242E09"/>
    <w:rsid w:val="002432B7"/>
    <w:rsid w:val="002440B2"/>
    <w:rsid w:val="002445FE"/>
    <w:rsid w:val="002451B3"/>
    <w:rsid w:val="002458CE"/>
    <w:rsid w:val="002459C5"/>
    <w:rsid w:val="00245DE9"/>
    <w:rsid w:val="00245F09"/>
    <w:rsid w:val="00246513"/>
    <w:rsid w:val="00246851"/>
    <w:rsid w:val="00246B1D"/>
    <w:rsid w:val="00246E71"/>
    <w:rsid w:val="00246F16"/>
    <w:rsid w:val="0024705A"/>
    <w:rsid w:val="002477AE"/>
    <w:rsid w:val="00247BDE"/>
    <w:rsid w:val="00247D4D"/>
    <w:rsid w:val="002504FC"/>
    <w:rsid w:val="00250B11"/>
    <w:rsid w:val="00250D82"/>
    <w:rsid w:val="00251CC2"/>
    <w:rsid w:val="00251EB3"/>
    <w:rsid w:val="00252136"/>
    <w:rsid w:val="0025329B"/>
    <w:rsid w:val="00253582"/>
    <w:rsid w:val="002538BA"/>
    <w:rsid w:val="00253EC4"/>
    <w:rsid w:val="0025418A"/>
    <w:rsid w:val="00254240"/>
    <w:rsid w:val="0025425A"/>
    <w:rsid w:val="0025531B"/>
    <w:rsid w:val="00255536"/>
    <w:rsid w:val="002557BB"/>
    <w:rsid w:val="002558AC"/>
    <w:rsid w:val="00255BC2"/>
    <w:rsid w:val="00255D89"/>
    <w:rsid w:val="00256539"/>
    <w:rsid w:val="00256DEA"/>
    <w:rsid w:val="00257117"/>
    <w:rsid w:val="00257923"/>
    <w:rsid w:val="00257C49"/>
    <w:rsid w:val="002603B3"/>
    <w:rsid w:val="0026072F"/>
    <w:rsid w:val="00260952"/>
    <w:rsid w:val="00260C11"/>
    <w:rsid w:val="002610D7"/>
    <w:rsid w:val="00261192"/>
    <w:rsid w:val="00261A11"/>
    <w:rsid w:val="00261CB5"/>
    <w:rsid w:val="00261D8A"/>
    <w:rsid w:val="002625F2"/>
    <w:rsid w:val="00262CA3"/>
    <w:rsid w:val="00262D43"/>
    <w:rsid w:val="00263413"/>
    <w:rsid w:val="00263AEC"/>
    <w:rsid w:val="00263E3B"/>
    <w:rsid w:val="0026408F"/>
    <w:rsid w:val="0026431A"/>
    <w:rsid w:val="002644A4"/>
    <w:rsid w:val="00264C8F"/>
    <w:rsid w:val="00265066"/>
    <w:rsid w:val="00265548"/>
    <w:rsid w:val="00265C93"/>
    <w:rsid w:val="00266300"/>
    <w:rsid w:val="0026641E"/>
    <w:rsid w:val="00266678"/>
    <w:rsid w:val="002669B2"/>
    <w:rsid w:val="00266EE2"/>
    <w:rsid w:val="002678CA"/>
    <w:rsid w:val="00267BBD"/>
    <w:rsid w:val="00267F3E"/>
    <w:rsid w:val="0027038F"/>
    <w:rsid w:val="00271150"/>
    <w:rsid w:val="00272EB3"/>
    <w:rsid w:val="0027447A"/>
    <w:rsid w:val="002747CC"/>
    <w:rsid w:val="00274830"/>
    <w:rsid w:val="00274DF9"/>
    <w:rsid w:val="00275170"/>
    <w:rsid w:val="00275D77"/>
    <w:rsid w:val="0027602C"/>
    <w:rsid w:val="00276A43"/>
    <w:rsid w:val="00276D2F"/>
    <w:rsid w:val="00276FBF"/>
    <w:rsid w:val="002775C7"/>
    <w:rsid w:val="002778F2"/>
    <w:rsid w:val="00277F52"/>
    <w:rsid w:val="002809A3"/>
    <w:rsid w:val="00280E91"/>
    <w:rsid w:val="00281979"/>
    <w:rsid w:val="00281E85"/>
    <w:rsid w:val="00282011"/>
    <w:rsid w:val="00282533"/>
    <w:rsid w:val="00282622"/>
    <w:rsid w:val="002837F8"/>
    <w:rsid w:val="00283ACF"/>
    <w:rsid w:val="00283C99"/>
    <w:rsid w:val="00283D11"/>
    <w:rsid w:val="0028473D"/>
    <w:rsid w:val="00284850"/>
    <w:rsid w:val="00284CEE"/>
    <w:rsid w:val="00284D22"/>
    <w:rsid w:val="00284F33"/>
    <w:rsid w:val="002851E8"/>
    <w:rsid w:val="0028529C"/>
    <w:rsid w:val="00285326"/>
    <w:rsid w:val="00285DE8"/>
    <w:rsid w:val="00287067"/>
    <w:rsid w:val="00290337"/>
    <w:rsid w:val="00290891"/>
    <w:rsid w:val="00291DA9"/>
    <w:rsid w:val="00292661"/>
    <w:rsid w:val="00292773"/>
    <w:rsid w:val="002927AC"/>
    <w:rsid w:val="002928D1"/>
    <w:rsid w:val="00292D88"/>
    <w:rsid w:val="00293689"/>
    <w:rsid w:val="00294241"/>
    <w:rsid w:val="002943E7"/>
    <w:rsid w:val="0029469F"/>
    <w:rsid w:val="0029476B"/>
    <w:rsid w:val="00295405"/>
    <w:rsid w:val="002954FB"/>
    <w:rsid w:val="00295E06"/>
    <w:rsid w:val="0029618D"/>
    <w:rsid w:val="002965BA"/>
    <w:rsid w:val="00296814"/>
    <w:rsid w:val="00296D48"/>
    <w:rsid w:val="00296EB8"/>
    <w:rsid w:val="00296F5F"/>
    <w:rsid w:val="0029716C"/>
    <w:rsid w:val="002976F2"/>
    <w:rsid w:val="00297A95"/>
    <w:rsid w:val="002A07C4"/>
    <w:rsid w:val="002A0DD4"/>
    <w:rsid w:val="002A16C3"/>
    <w:rsid w:val="002A2537"/>
    <w:rsid w:val="002A2AB8"/>
    <w:rsid w:val="002A2B8E"/>
    <w:rsid w:val="002A3789"/>
    <w:rsid w:val="002A5126"/>
    <w:rsid w:val="002A5948"/>
    <w:rsid w:val="002A6115"/>
    <w:rsid w:val="002A639F"/>
    <w:rsid w:val="002A64F2"/>
    <w:rsid w:val="002A6590"/>
    <w:rsid w:val="002A7478"/>
    <w:rsid w:val="002A7678"/>
    <w:rsid w:val="002A7B26"/>
    <w:rsid w:val="002B01AD"/>
    <w:rsid w:val="002B047F"/>
    <w:rsid w:val="002B1824"/>
    <w:rsid w:val="002B1845"/>
    <w:rsid w:val="002B1A9F"/>
    <w:rsid w:val="002B210C"/>
    <w:rsid w:val="002B2402"/>
    <w:rsid w:val="002B2847"/>
    <w:rsid w:val="002B2D78"/>
    <w:rsid w:val="002B32B6"/>
    <w:rsid w:val="002B32C9"/>
    <w:rsid w:val="002B35D8"/>
    <w:rsid w:val="002B3736"/>
    <w:rsid w:val="002B4054"/>
    <w:rsid w:val="002B41A8"/>
    <w:rsid w:val="002B427C"/>
    <w:rsid w:val="002B46A0"/>
    <w:rsid w:val="002B46FF"/>
    <w:rsid w:val="002B497D"/>
    <w:rsid w:val="002B4BBC"/>
    <w:rsid w:val="002B4D0E"/>
    <w:rsid w:val="002B542A"/>
    <w:rsid w:val="002B5495"/>
    <w:rsid w:val="002B54C5"/>
    <w:rsid w:val="002B55E5"/>
    <w:rsid w:val="002B653E"/>
    <w:rsid w:val="002B664C"/>
    <w:rsid w:val="002B6703"/>
    <w:rsid w:val="002B6D69"/>
    <w:rsid w:val="002B6E5B"/>
    <w:rsid w:val="002B6F67"/>
    <w:rsid w:val="002B7411"/>
    <w:rsid w:val="002B7F1B"/>
    <w:rsid w:val="002C0083"/>
    <w:rsid w:val="002C0186"/>
    <w:rsid w:val="002C032E"/>
    <w:rsid w:val="002C081A"/>
    <w:rsid w:val="002C087B"/>
    <w:rsid w:val="002C108A"/>
    <w:rsid w:val="002C1553"/>
    <w:rsid w:val="002C2035"/>
    <w:rsid w:val="002C25D4"/>
    <w:rsid w:val="002C29F1"/>
    <w:rsid w:val="002C2CCD"/>
    <w:rsid w:val="002C2F7F"/>
    <w:rsid w:val="002C2FB4"/>
    <w:rsid w:val="002C2FD3"/>
    <w:rsid w:val="002C3683"/>
    <w:rsid w:val="002C4AFD"/>
    <w:rsid w:val="002C5516"/>
    <w:rsid w:val="002C5A3A"/>
    <w:rsid w:val="002C5D7E"/>
    <w:rsid w:val="002C6DC2"/>
    <w:rsid w:val="002C6DDA"/>
    <w:rsid w:val="002C713E"/>
    <w:rsid w:val="002C77B0"/>
    <w:rsid w:val="002D0068"/>
    <w:rsid w:val="002D0466"/>
    <w:rsid w:val="002D053D"/>
    <w:rsid w:val="002D0829"/>
    <w:rsid w:val="002D0B99"/>
    <w:rsid w:val="002D1936"/>
    <w:rsid w:val="002D1CE8"/>
    <w:rsid w:val="002D1F76"/>
    <w:rsid w:val="002D2403"/>
    <w:rsid w:val="002D2D0D"/>
    <w:rsid w:val="002D2FB2"/>
    <w:rsid w:val="002D3066"/>
    <w:rsid w:val="002D32C1"/>
    <w:rsid w:val="002D34FE"/>
    <w:rsid w:val="002D35EA"/>
    <w:rsid w:val="002D3782"/>
    <w:rsid w:val="002D3B24"/>
    <w:rsid w:val="002D4837"/>
    <w:rsid w:val="002D48E6"/>
    <w:rsid w:val="002D5331"/>
    <w:rsid w:val="002D5B16"/>
    <w:rsid w:val="002D5BC9"/>
    <w:rsid w:val="002D5DDC"/>
    <w:rsid w:val="002D67F7"/>
    <w:rsid w:val="002D6DE0"/>
    <w:rsid w:val="002D7621"/>
    <w:rsid w:val="002D769A"/>
    <w:rsid w:val="002D7789"/>
    <w:rsid w:val="002D77B7"/>
    <w:rsid w:val="002D79D9"/>
    <w:rsid w:val="002D7CC4"/>
    <w:rsid w:val="002D7DBC"/>
    <w:rsid w:val="002E00DB"/>
    <w:rsid w:val="002E0A65"/>
    <w:rsid w:val="002E0C21"/>
    <w:rsid w:val="002E192A"/>
    <w:rsid w:val="002E2048"/>
    <w:rsid w:val="002E2471"/>
    <w:rsid w:val="002E2A52"/>
    <w:rsid w:val="002E2B84"/>
    <w:rsid w:val="002E300A"/>
    <w:rsid w:val="002E3543"/>
    <w:rsid w:val="002E3B82"/>
    <w:rsid w:val="002E3C95"/>
    <w:rsid w:val="002E40D7"/>
    <w:rsid w:val="002E4679"/>
    <w:rsid w:val="002E4D81"/>
    <w:rsid w:val="002E4E88"/>
    <w:rsid w:val="002E591E"/>
    <w:rsid w:val="002E5BC7"/>
    <w:rsid w:val="002E5F0D"/>
    <w:rsid w:val="002E6EE7"/>
    <w:rsid w:val="002E7655"/>
    <w:rsid w:val="002E7750"/>
    <w:rsid w:val="002E7964"/>
    <w:rsid w:val="002E79AB"/>
    <w:rsid w:val="002E7D40"/>
    <w:rsid w:val="002F0A52"/>
    <w:rsid w:val="002F0C6B"/>
    <w:rsid w:val="002F1686"/>
    <w:rsid w:val="002F1771"/>
    <w:rsid w:val="002F1CD0"/>
    <w:rsid w:val="002F1D5C"/>
    <w:rsid w:val="002F207F"/>
    <w:rsid w:val="002F23FA"/>
    <w:rsid w:val="002F249E"/>
    <w:rsid w:val="002F24AF"/>
    <w:rsid w:val="002F32ED"/>
    <w:rsid w:val="002F3799"/>
    <w:rsid w:val="002F3A84"/>
    <w:rsid w:val="002F41D5"/>
    <w:rsid w:val="002F43B6"/>
    <w:rsid w:val="002F49F9"/>
    <w:rsid w:val="002F4D5A"/>
    <w:rsid w:val="002F515D"/>
    <w:rsid w:val="002F5F68"/>
    <w:rsid w:val="002F6673"/>
    <w:rsid w:val="002F66DB"/>
    <w:rsid w:val="002F7155"/>
    <w:rsid w:val="002F7700"/>
    <w:rsid w:val="002F778A"/>
    <w:rsid w:val="002F7EB8"/>
    <w:rsid w:val="0030086D"/>
    <w:rsid w:val="00300D86"/>
    <w:rsid w:val="00300E82"/>
    <w:rsid w:val="00301655"/>
    <w:rsid w:val="003017E1"/>
    <w:rsid w:val="003021BB"/>
    <w:rsid w:val="00302EFF"/>
    <w:rsid w:val="00302F6A"/>
    <w:rsid w:val="00303061"/>
    <w:rsid w:val="00303A66"/>
    <w:rsid w:val="00303D62"/>
    <w:rsid w:val="003040C0"/>
    <w:rsid w:val="003044AD"/>
    <w:rsid w:val="00304917"/>
    <w:rsid w:val="00305040"/>
    <w:rsid w:val="00305BB3"/>
    <w:rsid w:val="00305CC7"/>
    <w:rsid w:val="00305F62"/>
    <w:rsid w:val="0030688B"/>
    <w:rsid w:val="00306AAF"/>
    <w:rsid w:val="003074FD"/>
    <w:rsid w:val="00307A2D"/>
    <w:rsid w:val="00310204"/>
    <w:rsid w:val="00310272"/>
    <w:rsid w:val="00310D86"/>
    <w:rsid w:val="00310EC5"/>
    <w:rsid w:val="00310F34"/>
    <w:rsid w:val="0031233D"/>
    <w:rsid w:val="003126B1"/>
    <w:rsid w:val="00312AF6"/>
    <w:rsid w:val="00312CB7"/>
    <w:rsid w:val="00312E68"/>
    <w:rsid w:val="0031351A"/>
    <w:rsid w:val="0031460F"/>
    <w:rsid w:val="00314C8A"/>
    <w:rsid w:val="0031505B"/>
    <w:rsid w:val="00315595"/>
    <w:rsid w:val="00315F66"/>
    <w:rsid w:val="003161E5"/>
    <w:rsid w:val="00316884"/>
    <w:rsid w:val="00316C18"/>
    <w:rsid w:val="00317071"/>
    <w:rsid w:val="003170F2"/>
    <w:rsid w:val="00317767"/>
    <w:rsid w:val="0031786E"/>
    <w:rsid w:val="0032043F"/>
    <w:rsid w:val="003204DA"/>
    <w:rsid w:val="00320582"/>
    <w:rsid w:val="00321282"/>
    <w:rsid w:val="0032130E"/>
    <w:rsid w:val="0032187E"/>
    <w:rsid w:val="003218EA"/>
    <w:rsid w:val="00321B6B"/>
    <w:rsid w:val="00321F93"/>
    <w:rsid w:val="0032278A"/>
    <w:rsid w:val="0032279E"/>
    <w:rsid w:val="00322A25"/>
    <w:rsid w:val="00322E8B"/>
    <w:rsid w:val="0032318E"/>
    <w:rsid w:val="0032399E"/>
    <w:rsid w:val="00324067"/>
    <w:rsid w:val="003246F7"/>
    <w:rsid w:val="003248E7"/>
    <w:rsid w:val="00324925"/>
    <w:rsid w:val="00324A14"/>
    <w:rsid w:val="00325668"/>
    <w:rsid w:val="00325F1E"/>
    <w:rsid w:val="003262AB"/>
    <w:rsid w:val="0032659C"/>
    <w:rsid w:val="00327292"/>
    <w:rsid w:val="003272FD"/>
    <w:rsid w:val="0032744E"/>
    <w:rsid w:val="00327480"/>
    <w:rsid w:val="003300E1"/>
    <w:rsid w:val="003303B7"/>
    <w:rsid w:val="00330A37"/>
    <w:rsid w:val="00330A59"/>
    <w:rsid w:val="00330B81"/>
    <w:rsid w:val="00330E2F"/>
    <w:rsid w:val="003311FC"/>
    <w:rsid w:val="00331300"/>
    <w:rsid w:val="00331820"/>
    <w:rsid w:val="00333A15"/>
    <w:rsid w:val="00333A6D"/>
    <w:rsid w:val="00333F1D"/>
    <w:rsid w:val="003341BB"/>
    <w:rsid w:val="00335776"/>
    <w:rsid w:val="00336075"/>
    <w:rsid w:val="00336787"/>
    <w:rsid w:val="003371DD"/>
    <w:rsid w:val="003374B9"/>
    <w:rsid w:val="003375AB"/>
    <w:rsid w:val="00337697"/>
    <w:rsid w:val="00337717"/>
    <w:rsid w:val="003378B1"/>
    <w:rsid w:val="003408D4"/>
    <w:rsid w:val="003408E2"/>
    <w:rsid w:val="00340A5B"/>
    <w:rsid w:val="00340D35"/>
    <w:rsid w:val="0034123C"/>
    <w:rsid w:val="003412BF"/>
    <w:rsid w:val="00341449"/>
    <w:rsid w:val="003415A2"/>
    <w:rsid w:val="0034168B"/>
    <w:rsid w:val="00341CF7"/>
    <w:rsid w:val="0034295D"/>
    <w:rsid w:val="0034312D"/>
    <w:rsid w:val="0034330F"/>
    <w:rsid w:val="00343669"/>
    <w:rsid w:val="00343C67"/>
    <w:rsid w:val="003440AE"/>
    <w:rsid w:val="0034413A"/>
    <w:rsid w:val="00344BA3"/>
    <w:rsid w:val="00344BDC"/>
    <w:rsid w:val="00344D5E"/>
    <w:rsid w:val="00345475"/>
    <w:rsid w:val="00346AE5"/>
    <w:rsid w:val="00346C56"/>
    <w:rsid w:val="00347782"/>
    <w:rsid w:val="00347D51"/>
    <w:rsid w:val="00347E11"/>
    <w:rsid w:val="00350268"/>
    <w:rsid w:val="00350594"/>
    <w:rsid w:val="00350B46"/>
    <w:rsid w:val="003518DC"/>
    <w:rsid w:val="00352012"/>
    <w:rsid w:val="00352542"/>
    <w:rsid w:val="00352668"/>
    <w:rsid w:val="00352677"/>
    <w:rsid w:val="0035326A"/>
    <w:rsid w:val="0035327A"/>
    <w:rsid w:val="003534CB"/>
    <w:rsid w:val="00353803"/>
    <w:rsid w:val="00353C29"/>
    <w:rsid w:val="00353D69"/>
    <w:rsid w:val="00353FC5"/>
    <w:rsid w:val="003541B5"/>
    <w:rsid w:val="003542FC"/>
    <w:rsid w:val="00354407"/>
    <w:rsid w:val="00354730"/>
    <w:rsid w:val="003555CF"/>
    <w:rsid w:val="00355B59"/>
    <w:rsid w:val="0035620E"/>
    <w:rsid w:val="003562FE"/>
    <w:rsid w:val="00356475"/>
    <w:rsid w:val="003564B6"/>
    <w:rsid w:val="0035669E"/>
    <w:rsid w:val="003574FA"/>
    <w:rsid w:val="00357C05"/>
    <w:rsid w:val="00357DE5"/>
    <w:rsid w:val="00360354"/>
    <w:rsid w:val="0036071E"/>
    <w:rsid w:val="00360FEF"/>
    <w:rsid w:val="00362D66"/>
    <w:rsid w:val="00363B12"/>
    <w:rsid w:val="003640DD"/>
    <w:rsid w:val="0036423C"/>
    <w:rsid w:val="003648BB"/>
    <w:rsid w:val="00364D59"/>
    <w:rsid w:val="003654BE"/>
    <w:rsid w:val="003654DD"/>
    <w:rsid w:val="00365B9B"/>
    <w:rsid w:val="00365D2E"/>
    <w:rsid w:val="00365DBB"/>
    <w:rsid w:val="00365DF5"/>
    <w:rsid w:val="003668A0"/>
    <w:rsid w:val="0036695E"/>
    <w:rsid w:val="00366EE1"/>
    <w:rsid w:val="003673E6"/>
    <w:rsid w:val="003675F0"/>
    <w:rsid w:val="003678EA"/>
    <w:rsid w:val="00367A90"/>
    <w:rsid w:val="003703EC"/>
    <w:rsid w:val="00370668"/>
    <w:rsid w:val="00370963"/>
    <w:rsid w:val="00371009"/>
    <w:rsid w:val="00371252"/>
    <w:rsid w:val="0037191D"/>
    <w:rsid w:val="00371AED"/>
    <w:rsid w:val="00371BC4"/>
    <w:rsid w:val="00371EEB"/>
    <w:rsid w:val="0037224C"/>
    <w:rsid w:val="003722E8"/>
    <w:rsid w:val="00372733"/>
    <w:rsid w:val="0037280D"/>
    <w:rsid w:val="003728E1"/>
    <w:rsid w:val="00372C4C"/>
    <w:rsid w:val="0037300F"/>
    <w:rsid w:val="00373B9D"/>
    <w:rsid w:val="0037445B"/>
    <w:rsid w:val="003745D0"/>
    <w:rsid w:val="0037468A"/>
    <w:rsid w:val="00375613"/>
    <w:rsid w:val="0037570A"/>
    <w:rsid w:val="00375B8A"/>
    <w:rsid w:val="00375E04"/>
    <w:rsid w:val="0037642E"/>
    <w:rsid w:val="00376AF3"/>
    <w:rsid w:val="00377D45"/>
    <w:rsid w:val="003801DC"/>
    <w:rsid w:val="00380E15"/>
    <w:rsid w:val="00380F51"/>
    <w:rsid w:val="00381993"/>
    <w:rsid w:val="00381AC4"/>
    <w:rsid w:val="00381B3A"/>
    <w:rsid w:val="00381F75"/>
    <w:rsid w:val="0038248C"/>
    <w:rsid w:val="00382D1F"/>
    <w:rsid w:val="003832B6"/>
    <w:rsid w:val="00383E24"/>
    <w:rsid w:val="003840B7"/>
    <w:rsid w:val="00384837"/>
    <w:rsid w:val="0038549F"/>
    <w:rsid w:val="003856C6"/>
    <w:rsid w:val="0038576D"/>
    <w:rsid w:val="00385BDE"/>
    <w:rsid w:val="00385E50"/>
    <w:rsid w:val="0038685F"/>
    <w:rsid w:val="00386B43"/>
    <w:rsid w:val="00386CBA"/>
    <w:rsid w:val="00386FC4"/>
    <w:rsid w:val="0038728C"/>
    <w:rsid w:val="00387677"/>
    <w:rsid w:val="00387F7C"/>
    <w:rsid w:val="00391901"/>
    <w:rsid w:val="00391AC1"/>
    <w:rsid w:val="00391B2B"/>
    <w:rsid w:val="00391B84"/>
    <w:rsid w:val="00391E1C"/>
    <w:rsid w:val="003923E6"/>
    <w:rsid w:val="003929A4"/>
    <w:rsid w:val="00393FE9"/>
    <w:rsid w:val="0039476B"/>
    <w:rsid w:val="003949BE"/>
    <w:rsid w:val="00394B29"/>
    <w:rsid w:val="00394E45"/>
    <w:rsid w:val="00395205"/>
    <w:rsid w:val="00396113"/>
    <w:rsid w:val="0039627D"/>
    <w:rsid w:val="00396980"/>
    <w:rsid w:val="003969C2"/>
    <w:rsid w:val="00396F26"/>
    <w:rsid w:val="00396FF4"/>
    <w:rsid w:val="003970B3"/>
    <w:rsid w:val="003973FD"/>
    <w:rsid w:val="00397413"/>
    <w:rsid w:val="003976E4"/>
    <w:rsid w:val="0039772B"/>
    <w:rsid w:val="003977F5"/>
    <w:rsid w:val="00397E21"/>
    <w:rsid w:val="00397FDC"/>
    <w:rsid w:val="003A04AE"/>
    <w:rsid w:val="003A0667"/>
    <w:rsid w:val="003A0EA6"/>
    <w:rsid w:val="003A1719"/>
    <w:rsid w:val="003A19D6"/>
    <w:rsid w:val="003A2CEE"/>
    <w:rsid w:val="003A2D4E"/>
    <w:rsid w:val="003A314E"/>
    <w:rsid w:val="003A3717"/>
    <w:rsid w:val="003A393F"/>
    <w:rsid w:val="003A3999"/>
    <w:rsid w:val="003A4462"/>
    <w:rsid w:val="003A4497"/>
    <w:rsid w:val="003A4663"/>
    <w:rsid w:val="003A4BFF"/>
    <w:rsid w:val="003A4F4E"/>
    <w:rsid w:val="003A5CFA"/>
    <w:rsid w:val="003A5D90"/>
    <w:rsid w:val="003A6084"/>
    <w:rsid w:val="003A62DA"/>
    <w:rsid w:val="003A6366"/>
    <w:rsid w:val="003A7A69"/>
    <w:rsid w:val="003A7B14"/>
    <w:rsid w:val="003A7B7B"/>
    <w:rsid w:val="003A7D2A"/>
    <w:rsid w:val="003A7D38"/>
    <w:rsid w:val="003A7ED5"/>
    <w:rsid w:val="003B08CD"/>
    <w:rsid w:val="003B0C92"/>
    <w:rsid w:val="003B0F13"/>
    <w:rsid w:val="003B0F7B"/>
    <w:rsid w:val="003B13E9"/>
    <w:rsid w:val="003B14FD"/>
    <w:rsid w:val="003B16D4"/>
    <w:rsid w:val="003B1BB7"/>
    <w:rsid w:val="003B2427"/>
    <w:rsid w:val="003B28A8"/>
    <w:rsid w:val="003B2D7D"/>
    <w:rsid w:val="003B3E12"/>
    <w:rsid w:val="003B4696"/>
    <w:rsid w:val="003B4859"/>
    <w:rsid w:val="003B4E65"/>
    <w:rsid w:val="003B4EB6"/>
    <w:rsid w:val="003B5177"/>
    <w:rsid w:val="003B5200"/>
    <w:rsid w:val="003B53E7"/>
    <w:rsid w:val="003B5482"/>
    <w:rsid w:val="003B5663"/>
    <w:rsid w:val="003B59DC"/>
    <w:rsid w:val="003B6031"/>
    <w:rsid w:val="003B6178"/>
    <w:rsid w:val="003B6E81"/>
    <w:rsid w:val="003B7661"/>
    <w:rsid w:val="003B7E05"/>
    <w:rsid w:val="003C0456"/>
    <w:rsid w:val="003C052A"/>
    <w:rsid w:val="003C0AE9"/>
    <w:rsid w:val="003C131E"/>
    <w:rsid w:val="003C166B"/>
    <w:rsid w:val="003C19A5"/>
    <w:rsid w:val="003C1C85"/>
    <w:rsid w:val="003C1F69"/>
    <w:rsid w:val="003C2010"/>
    <w:rsid w:val="003C2240"/>
    <w:rsid w:val="003C2323"/>
    <w:rsid w:val="003C2BA9"/>
    <w:rsid w:val="003C2C59"/>
    <w:rsid w:val="003C3A2A"/>
    <w:rsid w:val="003C3CC7"/>
    <w:rsid w:val="003C3E7F"/>
    <w:rsid w:val="003C4482"/>
    <w:rsid w:val="003C504B"/>
    <w:rsid w:val="003C5260"/>
    <w:rsid w:val="003C5936"/>
    <w:rsid w:val="003C612F"/>
    <w:rsid w:val="003C6468"/>
    <w:rsid w:val="003C676E"/>
    <w:rsid w:val="003C7A78"/>
    <w:rsid w:val="003D0AF6"/>
    <w:rsid w:val="003D0BFD"/>
    <w:rsid w:val="003D115F"/>
    <w:rsid w:val="003D11D9"/>
    <w:rsid w:val="003D1E5A"/>
    <w:rsid w:val="003D2939"/>
    <w:rsid w:val="003D3990"/>
    <w:rsid w:val="003D3C6E"/>
    <w:rsid w:val="003D3FA7"/>
    <w:rsid w:val="003D42CB"/>
    <w:rsid w:val="003D43E2"/>
    <w:rsid w:val="003D4B62"/>
    <w:rsid w:val="003D4E9A"/>
    <w:rsid w:val="003D51F4"/>
    <w:rsid w:val="003D5345"/>
    <w:rsid w:val="003D5811"/>
    <w:rsid w:val="003D58C5"/>
    <w:rsid w:val="003D6316"/>
    <w:rsid w:val="003D6638"/>
    <w:rsid w:val="003D7786"/>
    <w:rsid w:val="003D7FC4"/>
    <w:rsid w:val="003E0354"/>
    <w:rsid w:val="003E08DC"/>
    <w:rsid w:val="003E10A8"/>
    <w:rsid w:val="003E127A"/>
    <w:rsid w:val="003E184A"/>
    <w:rsid w:val="003E1887"/>
    <w:rsid w:val="003E18C9"/>
    <w:rsid w:val="003E19E2"/>
    <w:rsid w:val="003E1EF3"/>
    <w:rsid w:val="003E2538"/>
    <w:rsid w:val="003E2784"/>
    <w:rsid w:val="003E278F"/>
    <w:rsid w:val="003E2E55"/>
    <w:rsid w:val="003E2F58"/>
    <w:rsid w:val="003E311C"/>
    <w:rsid w:val="003E3A5D"/>
    <w:rsid w:val="003E4296"/>
    <w:rsid w:val="003E43C8"/>
    <w:rsid w:val="003E4B5F"/>
    <w:rsid w:val="003E530F"/>
    <w:rsid w:val="003E5A33"/>
    <w:rsid w:val="003E65FD"/>
    <w:rsid w:val="003E69CF"/>
    <w:rsid w:val="003E6DA0"/>
    <w:rsid w:val="003E72DA"/>
    <w:rsid w:val="003E7C3C"/>
    <w:rsid w:val="003F009B"/>
    <w:rsid w:val="003F031C"/>
    <w:rsid w:val="003F0EED"/>
    <w:rsid w:val="003F0FBA"/>
    <w:rsid w:val="003F1622"/>
    <w:rsid w:val="003F1AA3"/>
    <w:rsid w:val="003F25EF"/>
    <w:rsid w:val="003F2A3E"/>
    <w:rsid w:val="003F3277"/>
    <w:rsid w:val="003F33C5"/>
    <w:rsid w:val="003F3EC5"/>
    <w:rsid w:val="003F49D2"/>
    <w:rsid w:val="003F4C79"/>
    <w:rsid w:val="003F4E06"/>
    <w:rsid w:val="003F4FB6"/>
    <w:rsid w:val="003F4FD7"/>
    <w:rsid w:val="003F58F4"/>
    <w:rsid w:val="003F5990"/>
    <w:rsid w:val="003F5E3F"/>
    <w:rsid w:val="003F6152"/>
    <w:rsid w:val="003F67CB"/>
    <w:rsid w:val="003F759C"/>
    <w:rsid w:val="00400688"/>
    <w:rsid w:val="00401318"/>
    <w:rsid w:val="004018B0"/>
    <w:rsid w:val="00401CD0"/>
    <w:rsid w:val="00402608"/>
    <w:rsid w:val="00403542"/>
    <w:rsid w:val="004036AC"/>
    <w:rsid w:val="00403A15"/>
    <w:rsid w:val="00403AD6"/>
    <w:rsid w:val="004042E5"/>
    <w:rsid w:val="00405461"/>
    <w:rsid w:val="00405477"/>
    <w:rsid w:val="0040566B"/>
    <w:rsid w:val="004058B9"/>
    <w:rsid w:val="004067F1"/>
    <w:rsid w:val="0040689D"/>
    <w:rsid w:val="00406C91"/>
    <w:rsid w:val="00407363"/>
    <w:rsid w:val="00410441"/>
    <w:rsid w:val="0041074C"/>
    <w:rsid w:val="0041078F"/>
    <w:rsid w:val="00410B78"/>
    <w:rsid w:val="0041102C"/>
    <w:rsid w:val="00411154"/>
    <w:rsid w:val="00411B1C"/>
    <w:rsid w:val="00411D31"/>
    <w:rsid w:val="00412BDE"/>
    <w:rsid w:val="0041398B"/>
    <w:rsid w:val="004146E5"/>
    <w:rsid w:val="00414828"/>
    <w:rsid w:val="00414D14"/>
    <w:rsid w:val="00414DE0"/>
    <w:rsid w:val="004150FE"/>
    <w:rsid w:val="004158A0"/>
    <w:rsid w:val="00415D69"/>
    <w:rsid w:val="00415DEC"/>
    <w:rsid w:val="00415FAD"/>
    <w:rsid w:val="0041600F"/>
    <w:rsid w:val="0041619C"/>
    <w:rsid w:val="0041747C"/>
    <w:rsid w:val="00417701"/>
    <w:rsid w:val="00417C68"/>
    <w:rsid w:val="00417D7A"/>
    <w:rsid w:val="004203AA"/>
    <w:rsid w:val="00420948"/>
    <w:rsid w:val="00420BA6"/>
    <w:rsid w:val="00420E13"/>
    <w:rsid w:val="0042121D"/>
    <w:rsid w:val="0042181C"/>
    <w:rsid w:val="004219E8"/>
    <w:rsid w:val="00421FAA"/>
    <w:rsid w:val="00422508"/>
    <w:rsid w:val="0042267A"/>
    <w:rsid w:val="00422BE1"/>
    <w:rsid w:val="00422C59"/>
    <w:rsid w:val="00422CFC"/>
    <w:rsid w:val="00423E35"/>
    <w:rsid w:val="0042412E"/>
    <w:rsid w:val="0042472D"/>
    <w:rsid w:val="0042505E"/>
    <w:rsid w:val="00425115"/>
    <w:rsid w:val="004257A7"/>
    <w:rsid w:val="00425A22"/>
    <w:rsid w:val="00425EF9"/>
    <w:rsid w:val="00426396"/>
    <w:rsid w:val="0042663A"/>
    <w:rsid w:val="0043009A"/>
    <w:rsid w:val="004303BB"/>
    <w:rsid w:val="004305C5"/>
    <w:rsid w:val="00430C05"/>
    <w:rsid w:val="0043115F"/>
    <w:rsid w:val="004318F9"/>
    <w:rsid w:val="00431977"/>
    <w:rsid w:val="00431BB8"/>
    <w:rsid w:val="004327A9"/>
    <w:rsid w:val="004329E5"/>
    <w:rsid w:val="00432B9E"/>
    <w:rsid w:val="00432F84"/>
    <w:rsid w:val="0043362A"/>
    <w:rsid w:val="00434374"/>
    <w:rsid w:val="00434E4F"/>
    <w:rsid w:val="00435197"/>
    <w:rsid w:val="0043557B"/>
    <w:rsid w:val="0043561C"/>
    <w:rsid w:val="0043678E"/>
    <w:rsid w:val="0043699B"/>
    <w:rsid w:val="00436DF9"/>
    <w:rsid w:val="00437005"/>
    <w:rsid w:val="00437B57"/>
    <w:rsid w:val="00440068"/>
    <w:rsid w:val="004410BC"/>
    <w:rsid w:val="00441164"/>
    <w:rsid w:val="004414D3"/>
    <w:rsid w:val="00441A6C"/>
    <w:rsid w:val="004420F9"/>
    <w:rsid w:val="004422EC"/>
    <w:rsid w:val="0044249D"/>
    <w:rsid w:val="004426AD"/>
    <w:rsid w:val="004435D7"/>
    <w:rsid w:val="0044410A"/>
    <w:rsid w:val="00444188"/>
    <w:rsid w:val="00444473"/>
    <w:rsid w:val="0044482D"/>
    <w:rsid w:val="00444927"/>
    <w:rsid w:val="004449A6"/>
    <w:rsid w:val="00444FEA"/>
    <w:rsid w:val="0044536C"/>
    <w:rsid w:val="004458AB"/>
    <w:rsid w:val="00445C9F"/>
    <w:rsid w:val="00445F4E"/>
    <w:rsid w:val="0044672C"/>
    <w:rsid w:val="00446D64"/>
    <w:rsid w:val="004503A1"/>
    <w:rsid w:val="00450674"/>
    <w:rsid w:val="0045197A"/>
    <w:rsid w:val="0045201A"/>
    <w:rsid w:val="00453DB3"/>
    <w:rsid w:val="00453DC1"/>
    <w:rsid w:val="00454B8F"/>
    <w:rsid w:val="00454C05"/>
    <w:rsid w:val="00454C20"/>
    <w:rsid w:val="0045546F"/>
    <w:rsid w:val="004558FA"/>
    <w:rsid w:val="00455CAE"/>
    <w:rsid w:val="00455E9B"/>
    <w:rsid w:val="00456D15"/>
    <w:rsid w:val="00456E51"/>
    <w:rsid w:val="004578E3"/>
    <w:rsid w:val="00457CF5"/>
    <w:rsid w:val="004602D4"/>
    <w:rsid w:val="0046031D"/>
    <w:rsid w:val="004608BA"/>
    <w:rsid w:val="00460A4B"/>
    <w:rsid w:val="00460AA8"/>
    <w:rsid w:val="00461252"/>
    <w:rsid w:val="0046159B"/>
    <w:rsid w:val="00461A7C"/>
    <w:rsid w:val="00461A84"/>
    <w:rsid w:val="00461E66"/>
    <w:rsid w:val="00462286"/>
    <w:rsid w:val="00462D87"/>
    <w:rsid w:val="00462D95"/>
    <w:rsid w:val="00462F25"/>
    <w:rsid w:val="004631A1"/>
    <w:rsid w:val="0046330C"/>
    <w:rsid w:val="00463393"/>
    <w:rsid w:val="00463717"/>
    <w:rsid w:val="00463754"/>
    <w:rsid w:val="004637CD"/>
    <w:rsid w:val="00463EC9"/>
    <w:rsid w:val="004653AD"/>
    <w:rsid w:val="00465498"/>
    <w:rsid w:val="00465A3C"/>
    <w:rsid w:val="00465A7C"/>
    <w:rsid w:val="00465F55"/>
    <w:rsid w:val="00466093"/>
    <w:rsid w:val="0046615C"/>
    <w:rsid w:val="0046635D"/>
    <w:rsid w:val="004666B2"/>
    <w:rsid w:val="00466742"/>
    <w:rsid w:val="00466A2E"/>
    <w:rsid w:val="00466AE4"/>
    <w:rsid w:val="00467370"/>
    <w:rsid w:val="0046756D"/>
    <w:rsid w:val="00467B68"/>
    <w:rsid w:val="00467D8B"/>
    <w:rsid w:val="0047122D"/>
    <w:rsid w:val="00471361"/>
    <w:rsid w:val="00471A12"/>
    <w:rsid w:val="00472834"/>
    <w:rsid w:val="004729E4"/>
    <w:rsid w:val="00472ADA"/>
    <w:rsid w:val="00472AF9"/>
    <w:rsid w:val="00472CA4"/>
    <w:rsid w:val="00472E87"/>
    <w:rsid w:val="004738E8"/>
    <w:rsid w:val="00474322"/>
    <w:rsid w:val="0047443D"/>
    <w:rsid w:val="00474620"/>
    <w:rsid w:val="004746A9"/>
    <w:rsid w:val="004746DA"/>
    <w:rsid w:val="00474A03"/>
    <w:rsid w:val="0047548C"/>
    <w:rsid w:val="004754C9"/>
    <w:rsid w:val="00476446"/>
    <w:rsid w:val="00476D81"/>
    <w:rsid w:val="0047762B"/>
    <w:rsid w:val="004779AB"/>
    <w:rsid w:val="00477B96"/>
    <w:rsid w:val="00477C52"/>
    <w:rsid w:val="00477CA1"/>
    <w:rsid w:val="00477FA2"/>
    <w:rsid w:val="004801BA"/>
    <w:rsid w:val="0048028B"/>
    <w:rsid w:val="00480316"/>
    <w:rsid w:val="00481382"/>
    <w:rsid w:val="00481C87"/>
    <w:rsid w:val="004828B4"/>
    <w:rsid w:val="00482F94"/>
    <w:rsid w:val="00483314"/>
    <w:rsid w:val="004836CB"/>
    <w:rsid w:val="004840B7"/>
    <w:rsid w:val="00485352"/>
    <w:rsid w:val="0048639E"/>
    <w:rsid w:val="00486EA4"/>
    <w:rsid w:val="00486FCB"/>
    <w:rsid w:val="004876C2"/>
    <w:rsid w:val="004878B6"/>
    <w:rsid w:val="00487B62"/>
    <w:rsid w:val="00487C76"/>
    <w:rsid w:val="00487F1E"/>
    <w:rsid w:val="004902C0"/>
    <w:rsid w:val="00490831"/>
    <w:rsid w:val="00491095"/>
    <w:rsid w:val="004918B1"/>
    <w:rsid w:val="00491C5E"/>
    <w:rsid w:val="0049269C"/>
    <w:rsid w:val="00492B8D"/>
    <w:rsid w:val="00492C56"/>
    <w:rsid w:val="00492F1A"/>
    <w:rsid w:val="0049304E"/>
    <w:rsid w:val="00493782"/>
    <w:rsid w:val="004939A6"/>
    <w:rsid w:val="00493CF5"/>
    <w:rsid w:val="00493E2D"/>
    <w:rsid w:val="00494B2E"/>
    <w:rsid w:val="004952A2"/>
    <w:rsid w:val="0049590C"/>
    <w:rsid w:val="00495D9A"/>
    <w:rsid w:val="004966E0"/>
    <w:rsid w:val="00496FD6"/>
    <w:rsid w:val="0049793F"/>
    <w:rsid w:val="004A05C8"/>
    <w:rsid w:val="004A0ECC"/>
    <w:rsid w:val="004A1163"/>
    <w:rsid w:val="004A1246"/>
    <w:rsid w:val="004A17FA"/>
    <w:rsid w:val="004A1932"/>
    <w:rsid w:val="004A1DAD"/>
    <w:rsid w:val="004A25D9"/>
    <w:rsid w:val="004A270B"/>
    <w:rsid w:val="004A29C7"/>
    <w:rsid w:val="004A2CD5"/>
    <w:rsid w:val="004A321F"/>
    <w:rsid w:val="004A3429"/>
    <w:rsid w:val="004A3A41"/>
    <w:rsid w:val="004A3F18"/>
    <w:rsid w:val="004A45FD"/>
    <w:rsid w:val="004A471D"/>
    <w:rsid w:val="004A493E"/>
    <w:rsid w:val="004A4D06"/>
    <w:rsid w:val="004A4FC8"/>
    <w:rsid w:val="004A5232"/>
    <w:rsid w:val="004A55BE"/>
    <w:rsid w:val="004A664D"/>
    <w:rsid w:val="004A6825"/>
    <w:rsid w:val="004A723F"/>
    <w:rsid w:val="004A76F0"/>
    <w:rsid w:val="004A7922"/>
    <w:rsid w:val="004B0A5F"/>
    <w:rsid w:val="004B11AD"/>
    <w:rsid w:val="004B140D"/>
    <w:rsid w:val="004B15CE"/>
    <w:rsid w:val="004B20E2"/>
    <w:rsid w:val="004B2630"/>
    <w:rsid w:val="004B2918"/>
    <w:rsid w:val="004B4A60"/>
    <w:rsid w:val="004B51A3"/>
    <w:rsid w:val="004B534E"/>
    <w:rsid w:val="004B5551"/>
    <w:rsid w:val="004B59CB"/>
    <w:rsid w:val="004B64D4"/>
    <w:rsid w:val="004B6901"/>
    <w:rsid w:val="004B6F05"/>
    <w:rsid w:val="004B702B"/>
    <w:rsid w:val="004B768B"/>
    <w:rsid w:val="004B7AD9"/>
    <w:rsid w:val="004C0244"/>
    <w:rsid w:val="004C0712"/>
    <w:rsid w:val="004C0F0D"/>
    <w:rsid w:val="004C0F1D"/>
    <w:rsid w:val="004C142D"/>
    <w:rsid w:val="004C175A"/>
    <w:rsid w:val="004C1838"/>
    <w:rsid w:val="004C19D2"/>
    <w:rsid w:val="004C1AA7"/>
    <w:rsid w:val="004C1CE3"/>
    <w:rsid w:val="004C2C95"/>
    <w:rsid w:val="004C3FD7"/>
    <w:rsid w:val="004C4648"/>
    <w:rsid w:val="004C48E5"/>
    <w:rsid w:val="004C4971"/>
    <w:rsid w:val="004C5AA1"/>
    <w:rsid w:val="004C5BBD"/>
    <w:rsid w:val="004C5D10"/>
    <w:rsid w:val="004C600D"/>
    <w:rsid w:val="004C6374"/>
    <w:rsid w:val="004C64D0"/>
    <w:rsid w:val="004C6641"/>
    <w:rsid w:val="004C683A"/>
    <w:rsid w:val="004C6B4F"/>
    <w:rsid w:val="004C6D63"/>
    <w:rsid w:val="004C6DF5"/>
    <w:rsid w:val="004C79D9"/>
    <w:rsid w:val="004D0EBA"/>
    <w:rsid w:val="004D14E1"/>
    <w:rsid w:val="004D199D"/>
    <w:rsid w:val="004D1E35"/>
    <w:rsid w:val="004D21E5"/>
    <w:rsid w:val="004D2237"/>
    <w:rsid w:val="004D259F"/>
    <w:rsid w:val="004D25E2"/>
    <w:rsid w:val="004D26A0"/>
    <w:rsid w:val="004D3A17"/>
    <w:rsid w:val="004D3E36"/>
    <w:rsid w:val="004D4588"/>
    <w:rsid w:val="004D4AC2"/>
    <w:rsid w:val="004D5038"/>
    <w:rsid w:val="004D50DC"/>
    <w:rsid w:val="004D51D4"/>
    <w:rsid w:val="004D5D9E"/>
    <w:rsid w:val="004D5EBD"/>
    <w:rsid w:val="004D6314"/>
    <w:rsid w:val="004D68BE"/>
    <w:rsid w:val="004D68ED"/>
    <w:rsid w:val="004D6A67"/>
    <w:rsid w:val="004D7312"/>
    <w:rsid w:val="004D7420"/>
    <w:rsid w:val="004E054D"/>
    <w:rsid w:val="004E06B0"/>
    <w:rsid w:val="004E07DA"/>
    <w:rsid w:val="004E1454"/>
    <w:rsid w:val="004E2459"/>
    <w:rsid w:val="004E26C8"/>
    <w:rsid w:val="004E2921"/>
    <w:rsid w:val="004E2BC5"/>
    <w:rsid w:val="004E305F"/>
    <w:rsid w:val="004E3834"/>
    <w:rsid w:val="004E3C85"/>
    <w:rsid w:val="004E3FB6"/>
    <w:rsid w:val="004E41AF"/>
    <w:rsid w:val="004E4277"/>
    <w:rsid w:val="004E46EE"/>
    <w:rsid w:val="004E4F95"/>
    <w:rsid w:val="004E53FC"/>
    <w:rsid w:val="004E578F"/>
    <w:rsid w:val="004E5CB9"/>
    <w:rsid w:val="004E5CF5"/>
    <w:rsid w:val="004E650B"/>
    <w:rsid w:val="004E6BC9"/>
    <w:rsid w:val="004E6CBA"/>
    <w:rsid w:val="004E73E8"/>
    <w:rsid w:val="004E7540"/>
    <w:rsid w:val="004E7FC0"/>
    <w:rsid w:val="004F0148"/>
    <w:rsid w:val="004F04C9"/>
    <w:rsid w:val="004F0564"/>
    <w:rsid w:val="004F056A"/>
    <w:rsid w:val="004F05B8"/>
    <w:rsid w:val="004F0DF9"/>
    <w:rsid w:val="004F1A7E"/>
    <w:rsid w:val="004F2715"/>
    <w:rsid w:val="004F2F35"/>
    <w:rsid w:val="004F34AC"/>
    <w:rsid w:val="004F3BE6"/>
    <w:rsid w:val="004F3D20"/>
    <w:rsid w:val="004F40AD"/>
    <w:rsid w:val="004F41C8"/>
    <w:rsid w:val="004F4978"/>
    <w:rsid w:val="004F4F47"/>
    <w:rsid w:val="004F56ED"/>
    <w:rsid w:val="004F588D"/>
    <w:rsid w:val="004F5D56"/>
    <w:rsid w:val="004F5FA0"/>
    <w:rsid w:val="004F6045"/>
    <w:rsid w:val="004F6147"/>
    <w:rsid w:val="004F614F"/>
    <w:rsid w:val="004F6782"/>
    <w:rsid w:val="004F69FE"/>
    <w:rsid w:val="004F6ED6"/>
    <w:rsid w:val="004F6EE4"/>
    <w:rsid w:val="004F752A"/>
    <w:rsid w:val="004F781C"/>
    <w:rsid w:val="004F7918"/>
    <w:rsid w:val="004F7F31"/>
    <w:rsid w:val="0050098F"/>
    <w:rsid w:val="00500CC6"/>
    <w:rsid w:val="00502190"/>
    <w:rsid w:val="005034E2"/>
    <w:rsid w:val="00503797"/>
    <w:rsid w:val="005038CB"/>
    <w:rsid w:val="0050398F"/>
    <w:rsid w:val="005039EE"/>
    <w:rsid w:val="00503F6D"/>
    <w:rsid w:val="00504CF2"/>
    <w:rsid w:val="00505B35"/>
    <w:rsid w:val="0050634D"/>
    <w:rsid w:val="00506441"/>
    <w:rsid w:val="005067EB"/>
    <w:rsid w:val="00506B64"/>
    <w:rsid w:val="00510431"/>
    <w:rsid w:val="005106A0"/>
    <w:rsid w:val="00510A77"/>
    <w:rsid w:val="00510B78"/>
    <w:rsid w:val="005111E1"/>
    <w:rsid w:val="00511586"/>
    <w:rsid w:val="0051227C"/>
    <w:rsid w:val="0051254F"/>
    <w:rsid w:val="005129F7"/>
    <w:rsid w:val="005130A1"/>
    <w:rsid w:val="005133C9"/>
    <w:rsid w:val="00513E25"/>
    <w:rsid w:val="0051430B"/>
    <w:rsid w:val="005144B5"/>
    <w:rsid w:val="00514710"/>
    <w:rsid w:val="0051524A"/>
    <w:rsid w:val="0051601C"/>
    <w:rsid w:val="005162F1"/>
    <w:rsid w:val="00516603"/>
    <w:rsid w:val="0051788F"/>
    <w:rsid w:val="0052095A"/>
    <w:rsid w:val="00520E0A"/>
    <w:rsid w:val="0052125B"/>
    <w:rsid w:val="00521565"/>
    <w:rsid w:val="005219BF"/>
    <w:rsid w:val="005221B4"/>
    <w:rsid w:val="005224A4"/>
    <w:rsid w:val="00522B66"/>
    <w:rsid w:val="00523055"/>
    <w:rsid w:val="005234BC"/>
    <w:rsid w:val="00523D53"/>
    <w:rsid w:val="00523D66"/>
    <w:rsid w:val="00523F12"/>
    <w:rsid w:val="00523FCF"/>
    <w:rsid w:val="0052446A"/>
    <w:rsid w:val="00524490"/>
    <w:rsid w:val="00525285"/>
    <w:rsid w:val="0052553B"/>
    <w:rsid w:val="00525A6A"/>
    <w:rsid w:val="00525BBB"/>
    <w:rsid w:val="00526118"/>
    <w:rsid w:val="005263EB"/>
    <w:rsid w:val="0052699C"/>
    <w:rsid w:val="00526C90"/>
    <w:rsid w:val="00526CF2"/>
    <w:rsid w:val="0052700A"/>
    <w:rsid w:val="005275E5"/>
    <w:rsid w:val="00527868"/>
    <w:rsid w:val="00527A5E"/>
    <w:rsid w:val="00527BA9"/>
    <w:rsid w:val="00530166"/>
    <w:rsid w:val="00530771"/>
    <w:rsid w:val="00530783"/>
    <w:rsid w:val="00530833"/>
    <w:rsid w:val="00530DE9"/>
    <w:rsid w:val="00530EBF"/>
    <w:rsid w:val="00531469"/>
    <w:rsid w:val="005320EA"/>
    <w:rsid w:val="0053578C"/>
    <w:rsid w:val="00535955"/>
    <w:rsid w:val="0053625D"/>
    <w:rsid w:val="00536F59"/>
    <w:rsid w:val="00537507"/>
    <w:rsid w:val="00537A32"/>
    <w:rsid w:val="0054077E"/>
    <w:rsid w:val="00540889"/>
    <w:rsid w:val="00540997"/>
    <w:rsid w:val="005412F3"/>
    <w:rsid w:val="00541413"/>
    <w:rsid w:val="005414EF"/>
    <w:rsid w:val="00542366"/>
    <w:rsid w:val="005424AA"/>
    <w:rsid w:val="005425AD"/>
    <w:rsid w:val="00542A02"/>
    <w:rsid w:val="005431F0"/>
    <w:rsid w:val="005431FC"/>
    <w:rsid w:val="0054332B"/>
    <w:rsid w:val="00544329"/>
    <w:rsid w:val="00544453"/>
    <w:rsid w:val="005446AA"/>
    <w:rsid w:val="005448CD"/>
    <w:rsid w:val="00545440"/>
    <w:rsid w:val="0054766B"/>
    <w:rsid w:val="005501CE"/>
    <w:rsid w:val="00550AA6"/>
    <w:rsid w:val="005516BD"/>
    <w:rsid w:val="0055172A"/>
    <w:rsid w:val="00552833"/>
    <w:rsid w:val="00552F06"/>
    <w:rsid w:val="005530E3"/>
    <w:rsid w:val="00553457"/>
    <w:rsid w:val="005539EC"/>
    <w:rsid w:val="00553A0B"/>
    <w:rsid w:val="00554329"/>
    <w:rsid w:val="00554607"/>
    <w:rsid w:val="00554627"/>
    <w:rsid w:val="005547FF"/>
    <w:rsid w:val="00555E12"/>
    <w:rsid w:val="005563C9"/>
    <w:rsid w:val="005566AA"/>
    <w:rsid w:val="00556B93"/>
    <w:rsid w:val="0055711B"/>
    <w:rsid w:val="0055738E"/>
    <w:rsid w:val="005574F9"/>
    <w:rsid w:val="00560031"/>
    <w:rsid w:val="00560404"/>
    <w:rsid w:val="00560624"/>
    <w:rsid w:val="00560881"/>
    <w:rsid w:val="00560C38"/>
    <w:rsid w:val="00560D2B"/>
    <w:rsid w:val="00560DE2"/>
    <w:rsid w:val="00560FAC"/>
    <w:rsid w:val="005611B9"/>
    <w:rsid w:val="005612D4"/>
    <w:rsid w:val="005613A3"/>
    <w:rsid w:val="005613A7"/>
    <w:rsid w:val="00561975"/>
    <w:rsid w:val="005619B7"/>
    <w:rsid w:val="00561C1C"/>
    <w:rsid w:val="00561CCE"/>
    <w:rsid w:val="00561D3C"/>
    <w:rsid w:val="00562E3D"/>
    <w:rsid w:val="005634BA"/>
    <w:rsid w:val="00563ADB"/>
    <w:rsid w:val="00563F75"/>
    <w:rsid w:val="005640EB"/>
    <w:rsid w:val="00564600"/>
    <w:rsid w:val="0056495D"/>
    <w:rsid w:val="00564EB4"/>
    <w:rsid w:val="005651DE"/>
    <w:rsid w:val="00565514"/>
    <w:rsid w:val="0056557A"/>
    <w:rsid w:val="005659DE"/>
    <w:rsid w:val="00565FCB"/>
    <w:rsid w:val="00566845"/>
    <w:rsid w:val="00566A6C"/>
    <w:rsid w:val="00566F82"/>
    <w:rsid w:val="00567B69"/>
    <w:rsid w:val="0057013D"/>
    <w:rsid w:val="00570584"/>
    <w:rsid w:val="0057094E"/>
    <w:rsid w:val="00570A00"/>
    <w:rsid w:val="005712D6"/>
    <w:rsid w:val="00571812"/>
    <w:rsid w:val="00571DCD"/>
    <w:rsid w:val="0057218C"/>
    <w:rsid w:val="005723F9"/>
    <w:rsid w:val="00572C81"/>
    <w:rsid w:val="00572E70"/>
    <w:rsid w:val="00572EB6"/>
    <w:rsid w:val="00573369"/>
    <w:rsid w:val="005737C9"/>
    <w:rsid w:val="00573C20"/>
    <w:rsid w:val="00574098"/>
    <w:rsid w:val="0057418A"/>
    <w:rsid w:val="00574923"/>
    <w:rsid w:val="00574D59"/>
    <w:rsid w:val="0057535A"/>
    <w:rsid w:val="00575C24"/>
    <w:rsid w:val="00576226"/>
    <w:rsid w:val="005762EA"/>
    <w:rsid w:val="005767AE"/>
    <w:rsid w:val="00576933"/>
    <w:rsid w:val="005773EC"/>
    <w:rsid w:val="00580390"/>
    <w:rsid w:val="00580F52"/>
    <w:rsid w:val="005816EE"/>
    <w:rsid w:val="005817B2"/>
    <w:rsid w:val="005819F7"/>
    <w:rsid w:val="00581C35"/>
    <w:rsid w:val="0058204A"/>
    <w:rsid w:val="00582265"/>
    <w:rsid w:val="005824C6"/>
    <w:rsid w:val="00582629"/>
    <w:rsid w:val="00582674"/>
    <w:rsid w:val="005826EE"/>
    <w:rsid w:val="0058271E"/>
    <w:rsid w:val="0058283F"/>
    <w:rsid w:val="00582BA6"/>
    <w:rsid w:val="005834BC"/>
    <w:rsid w:val="00583930"/>
    <w:rsid w:val="00583BFE"/>
    <w:rsid w:val="00583D8A"/>
    <w:rsid w:val="00583DBE"/>
    <w:rsid w:val="005840EF"/>
    <w:rsid w:val="005845A3"/>
    <w:rsid w:val="005848F8"/>
    <w:rsid w:val="00584E2F"/>
    <w:rsid w:val="00585151"/>
    <w:rsid w:val="0058523B"/>
    <w:rsid w:val="0058525B"/>
    <w:rsid w:val="00585C03"/>
    <w:rsid w:val="00585F1C"/>
    <w:rsid w:val="00586637"/>
    <w:rsid w:val="00587C46"/>
    <w:rsid w:val="00587F56"/>
    <w:rsid w:val="00587FD9"/>
    <w:rsid w:val="005902C9"/>
    <w:rsid w:val="005908B9"/>
    <w:rsid w:val="00591265"/>
    <w:rsid w:val="00591283"/>
    <w:rsid w:val="005915A4"/>
    <w:rsid w:val="005924D3"/>
    <w:rsid w:val="005924F1"/>
    <w:rsid w:val="005925E3"/>
    <w:rsid w:val="0059304D"/>
    <w:rsid w:val="005933AE"/>
    <w:rsid w:val="005934A8"/>
    <w:rsid w:val="00593CBE"/>
    <w:rsid w:val="00593F5D"/>
    <w:rsid w:val="0059404E"/>
    <w:rsid w:val="005944F1"/>
    <w:rsid w:val="005948E1"/>
    <w:rsid w:val="00594B14"/>
    <w:rsid w:val="00595156"/>
    <w:rsid w:val="005965C9"/>
    <w:rsid w:val="005966C9"/>
    <w:rsid w:val="005967C0"/>
    <w:rsid w:val="00596832"/>
    <w:rsid w:val="00596CCB"/>
    <w:rsid w:val="00596DB6"/>
    <w:rsid w:val="005970CD"/>
    <w:rsid w:val="00597753"/>
    <w:rsid w:val="005979C3"/>
    <w:rsid w:val="00597E6F"/>
    <w:rsid w:val="005A0203"/>
    <w:rsid w:val="005A052F"/>
    <w:rsid w:val="005A05DF"/>
    <w:rsid w:val="005A0C7F"/>
    <w:rsid w:val="005A0ECA"/>
    <w:rsid w:val="005A0EFC"/>
    <w:rsid w:val="005A1018"/>
    <w:rsid w:val="005A1099"/>
    <w:rsid w:val="005A10AE"/>
    <w:rsid w:val="005A12EF"/>
    <w:rsid w:val="005A13B0"/>
    <w:rsid w:val="005A15D8"/>
    <w:rsid w:val="005A1980"/>
    <w:rsid w:val="005A1A26"/>
    <w:rsid w:val="005A1BC8"/>
    <w:rsid w:val="005A1C64"/>
    <w:rsid w:val="005A1F74"/>
    <w:rsid w:val="005A207E"/>
    <w:rsid w:val="005A256B"/>
    <w:rsid w:val="005A2593"/>
    <w:rsid w:val="005A3196"/>
    <w:rsid w:val="005A339E"/>
    <w:rsid w:val="005A3858"/>
    <w:rsid w:val="005A3CF7"/>
    <w:rsid w:val="005A3E4B"/>
    <w:rsid w:val="005A408B"/>
    <w:rsid w:val="005A48B4"/>
    <w:rsid w:val="005A581C"/>
    <w:rsid w:val="005A6E32"/>
    <w:rsid w:val="005A6F80"/>
    <w:rsid w:val="005A7215"/>
    <w:rsid w:val="005A726F"/>
    <w:rsid w:val="005A7550"/>
    <w:rsid w:val="005A782E"/>
    <w:rsid w:val="005A793B"/>
    <w:rsid w:val="005A79AE"/>
    <w:rsid w:val="005A7EBC"/>
    <w:rsid w:val="005B0168"/>
    <w:rsid w:val="005B01B7"/>
    <w:rsid w:val="005B05E7"/>
    <w:rsid w:val="005B0774"/>
    <w:rsid w:val="005B0E02"/>
    <w:rsid w:val="005B1731"/>
    <w:rsid w:val="005B2054"/>
    <w:rsid w:val="005B247D"/>
    <w:rsid w:val="005B2561"/>
    <w:rsid w:val="005B25AA"/>
    <w:rsid w:val="005B2607"/>
    <w:rsid w:val="005B26FD"/>
    <w:rsid w:val="005B3EF1"/>
    <w:rsid w:val="005B3F34"/>
    <w:rsid w:val="005B429E"/>
    <w:rsid w:val="005B42A7"/>
    <w:rsid w:val="005B44D0"/>
    <w:rsid w:val="005B4CD8"/>
    <w:rsid w:val="005B5B11"/>
    <w:rsid w:val="005B5C27"/>
    <w:rsid w:val="005B5C4A"/>
    <w:rsid w:val="005B5FC3"/>
    <w:rsid w:val="005B60BD"/>
    <w:rsid w:val="005B67FE"/>
    <w:rsid w:val="005B6837"/>
    <w:rsid w:val="005B705F"/>
    <w:rsid w:val="005B7A53"/>
    <w:rsid w:val="005C0607"/>
    <w:rsid w:val="005C0A76"/>
    <w:rsid w:val="005C0F3A"/>
    <w:rsid w:val="005C0F51"/>
    <w:rsid w:val="005C0FA9"/>
    <w:rsid w:val="005C0FE5"/>
    <w:rsid w:val="005C11E6"/>
    <w:rsid w:val="005C147A"/>
    <w:rsid w:val="005C1F3B"/>
    <w:rsid w:val="005C208C"/>
    <w:rsid w:val="005C2A7E"/>
    <w:rsid w:val="005C2E67"/>
    <w:rsid w:val="005C35ED"/>
    <w:rsid w:val="005C35FA"/>
    <w:rsid w:val="005C37F2"/>
    <w:rsid w:val="005C42EA"/>
    <w:rsid w:val="005C4616"/>
    <w:rsid w:val="005C4D24"/>
    <w:rsid w:val="005C4DD7"/>
    <w:rsid w:val="005C539A"/>
    <w:rsid w:val="005C5693"/>
    <w:rsid w:val="005C6F04"/>
    <w:rsid w:val="005C74F8"/>
    <w:rsid w:val="005C75B9"/>
    <w:rsid w:val="005C778A"/>
    <w:rsid w:val="005C794A"/>
    <w:rsid w:val="005C7B1F"/>
    <w:rsid w:val="005D070B"/>
    <w:rsid w:val="005D0C8D"/>
    <w:rsid w:val="005D12BF"/>
    <w:rsid w:val="005D14E9"/>
    <w:rsid w:val="005D1B75"/>
    <w:rsid w:val="005D1C71"/>
    <w:rsid w:val="005D21A6"/>
    <w:rsid w:val="005D29D5"/>
    <w:rsid w:val="005D3947"/>
    <w:rsid w:val="005D3D18"/>
    <w:rsid w:val="005D3E4A"/>
    <w:rsid w:val="005D3E97"/>
    <w:rsid w:val="005D3F76"/>
    <w:rsid w:val="005D4095"/>
    <w:rsid w:val="005D4641"/>
    <w:rsid w:val="005D49FF"/>
    <w:rsid w:val="005D4ACD"/>
    <w:rsid w:val="005D4BBC"/>
    <w:rsid w:val="005D4C36"/>
    <w:rsid w:val="005D4D0A"/>
    <w:rsid w:val="005D4D75"/>
    <w:rsid w:val="005D526E"/>
    <w:rsid w:val="005D52B6"/>
    <w:rsid w:val="005D5695"/>
    <w:rsid w:val="005D63D6"/>
    <w:rsid w:val="005D6CA0"/>
    <w:rsid w:val="005D7ED3"/>
    <w:rsid w:val="005E0862"/>
    <w:rsid w:val="005E08CF"/>
    <w:rsid w:val="005E1375"/>
    <w:rsid w:val="005E147F"/>
    <w:rsid w:val="005E178A"/>
    <w:rsid w:val="005E1CEB"/>
    <w:rsid w:val="005E2576"/>
    <w:rsid w:val="005E2A30"/>
    <w:rsid w:val="005E2FF1"/>
    <w:rsid w:val="005E3850"/>
    <w:rsid w:val="005E3B4D"/>
    <w:rsid w:val="005E3B5B"/>
    <w:rsid w:val="005E3DEF"/>
    <w:rsid w:val="005E3EE3"/>
    <w:rsid w:val="005E41A6"/>
    <w:rsid w:val="005E4E97"/>
    <w:rsid w:val="005E54F0"/>
    <w:rsid w:val="005E5790"/>
    <w:rsid w:val="005E57F7"/>
    <w:rsid w:val="005E5C65"/>
    <w:rsid w:val="005E5DFA"/>
    <w:rsid w:val="005E682E"/>
    <w:rsid w:val="005E68F3"/>
    <w:rsid w:val="005E6A57"/>
    <w:rsid w:val="005E6F86"/>
    <w:rsid w:val="005E70D9"/>
    <w:rsid w:val="005E7479"/>
    <w:rsid w:val="005E756A"/>
    <w:rsid w:val="005E7892"/>
    <w:rsid w:val="005F0245"/>
    <w:rsid w:val="005F0652"/>
    <w:rsid w:val="005F07BE"/>
    <w:rsid w:val="005F0DE4"/>
    <w:rsid w:val="005F1146"/>
    <w:rsid w:val="005F191F"/>
    <w:rsid w:val="005F3C0A"/>
    <w:rsid w:val="005F3CEA"/>
    <w:rsid w:val="005F4587"/>
    <w:rsid w:val="005F4A97"/>
    <w:rsid w:val="005F4E85"/>
    <w:rsid w:val="005F546F"/>
    <w:rsid w:val="005F5479"/>
    <w:rsid w:val="005F5B32"/>
    <w:rsid w:val="005F66DC"/>
    <w:rsid w:val="005F731B"/>
    <w:rsid w:val="005F786A"/>
    <w:rsid w:val="005F7EA3"/>
    <w:rsid w:val="00600DA1"/>
    <w:rsid w:val="006013FB"/>
    <w:rsid w:val="00601583"/>
    <w:rsid w:val="00601F1A"/>
    <w:rsid w:val="00601F8B"/>
    <w:rsid w:val="0060259D"/>
    <w:rsid w:val="00602746"/>
    <w:rsid w:val="0060294C"/>
    <w:rsid w:val="00602FB1"/>
    <w:rsid w:val="00603073"/>
    <w:rsid w:val="00603105"/>
    <w:rsid w:val="00603128"/>
    <w:rsid w:val="006036E2"/>
    <w:rsid w:val="006037C5"/>
    <w:rsid w:val="00603A7A"/>
    <w:rsid w:val="00604319"/>
    <w:rsid w:val="00604F87"/>
    <w:rsid w:val="0060508A"/>
    <w:rsid w:val="006052B9"/>
    <w:rsid w:val="00605607"/>
    <w:rsid w:val="00605E4D"/>
    <w:rsid w:val="00606002"/>
    <w:rsid w:val="0060624B"/>
    <w:rsid w:val="00606458"/>
    <w:rsid w:val="00606720"/>
    <w:rsid w:val="00606841"/>
    <w:rsid w:val="00606CC5"/>
    <w:rsid w:val="00606E65"/>
    <w:rsid w:val="00607141"/>
    <w:rsid w:val="00607385"/>
    <w:rsid w:val="00607B23"/>
    <w:rsid w:val="00610057"/>
    <w:rsid w:val="00610C20"/>
    <w:rsid w:val="00611189"/>
    <w:rsid w:val="00611765"/>
    <w:rsid w:val="0061233F"/>
    <w:rsid w:val="006125C5"/>
    <w:rsid w:val="00612766"/>
    <w:rsid w:val="0061278B"/>
    <w:rsid w:val="00612B0D"/>
    <w:rsid w:val="0061385B"/>
    <w:rsid w:val="00613AB5"/>
    <w:rsid w:val="006144BB"/>
    <w:rsid w:val="00614667"/>
    <w:rsid w:val="006149AD"/>
    <w:rsid w:val="00614CAC"/>
    <w:rsid w:val="00615189"/>
    <w:rsid w:val="00616089"/>
    <w:rsid w:val="00616900"/>
    <w:rsid w:val="00616A41"/>
    <w:rsid w:val="00616ACC"/>
    <w:rsid w:val="00616B2A"/>
    <w:rsid w:val="0061744E"/>
    <w:rsid w:val="0061799E"/>
    <w:rsid w:val="00617B9D"/>
    <w:rsid w:val="00617CDA"/>
    <w:rsid w:val="00620102"/>
    <w:rsid w:val="0062032D"/>
    <w:rsid w:val="006204D9"/>
    <w:rsid w:val="0062057F"/>
    <w:rsid w:val="006205AD"/>
    <w:rsid w:val="0062165E"/>
    <w:rsid w:val="00621934"/>
    <w:rsid w:val="00621C89"/>
    <w:rsid w:val="00621FA9"/>
    <w:rsid w:val="00622007"/>
    <w:rsid w:val="00622079"/>
    <w:rsid w:val="00622782"/>
    <w:rsid w:val="00622874"/>
    <w:rsid w:val="006239A3"/>
    <w:rsid w:val="00623D94"/>
    <w:rsid w:val="00623F1D"/>
    <w:rsid w:val="00624D93"/>
    <w:rsid w:val="006254B1"/>
    <w:rsid w:val="0062607F"/>
    <w:rsid w:val="006261D9"/>
    <w:rsid w:val="006265D8"/>
    <w:rsid w:val="00626AAB"/>
    <w:rsid w:val="00630007"/>
    <w:rsid w:val="006305AE"/>
    <w:rsid w:val="00630940"/>
    <w:rsid w:val="00630B6A"/>
    <w:rsid w:val="006312F7"/>
    <w:rsid w:val="00631B50"/>
    <w:rsid w:val="006320CB"/>
    <w:rsid w:val="00632656"/>
    <w:rsid w:val="00632F67"/>
    <w:rsid w:val="006331E5"/>
    <w:rsid w:val="006335DE"/>
    <w:rsid w:val="006339B8"/>
    <w:rsid w:val="00633FD6"/>
    <w:rsid w:val="006345ED"/>
    <w:rsid w:val="006345EE"/>
    <w:rsid w:val="00634C72"/>
    <w:rsid w:val="0063515E"/>
    <w:rsid w:val="006361DC"/>
    <w:rsid w:val="00636330"/>
    <w:rsid w:val="00640005"/>
    <w:rsid w:val="0064043A"/>
    <w:rsid w:val="0064099A"/>
    <w:rsid w:val="00640EE9"/>
    <w:rsid w:val="00640FBA"/>
    <w:rsid w:val="00641758"/>
    <w:rsid w:val="00641A7A"/>
    <w:rsid w:val="00641B57"/>
    <w:rsid w:val="00641DF1"/>
    <w:rsid w:val="00641E4F"/>
    <w:rsid w:val="006420AB"/>
    <w:rsid w:val="00642978"/>
    <w:rsid w:val="00642B83"/>
    <w:rsid w:val="0064341D"/>
    <w:rsid w:val="00644462"/>
    <w:rsid w:val="00645164"/>
    <w:rsid w:val="00645C8C"/>
    <w:rsid w:val="006469A2"/>
    <w:rsid w:val="00646AB8"/>
    <w:rsid w:val="00646D0D"/>
    <w:rsid w:val="006470E5"/>
    <w:rsid w:val="006471F9"/>
    <w:rsid w:val="0064776F"/>
    <w:rsid w:val="0064782E"/>
    <w:rsid w:val="006479EC"/>
    <w:rsid w:val="00647A3C"/>
    <w:rsid w:val="0065045B"/>
    <w:rsid w:val="006507E9"/>
    <w:rsid w:val="00650822"/>
    <w:rsid w:val="00650A98"/>
    <w:rsid w:val="006521E6"/>
    <w:rsid w:val="006525F9"/>
    <w:rsid w:val="00652863"/>
    <w:rsid w:val="0065290E"/>
    <w:rsid w:val="00652921"/>
    <w:rsid w:val="00652950"/>
    <w:rsid w:val="00652E02"/>
    <w:rsid w:val="006532FB"/>
    <w:rsid w:val="00653C4B"/>
    <w:rsid w:val="00653D6D"/>
    <w:rsid w:val="006548AD"/>
    <w:rsid w:val="00654978"/>
    <w:rsid w:val="00655018"/>
    <w:rsid w:val="006559C6"/>
    <w:rsid w:val="006560A2"/>
    <w:rsid w:val="00656401"/>
    <w:rsid w:val="00656989"/>
    <w:rsid w:val="006572C7"/>
    <w:rsid w:val="00657372"/>
    <w:rsid w:val="006578FA"/>
    <w:rsid w:val="0066025F"/>
    <w:rsid w:val="00660473"/>
    <w:rsid w:val="0066047B"/>
    <w:rsid w:val="00660E13"/>
    <w:rsid w:val="0066141F"/>
    <w:rsid w:val="00661471"/>
    <w:rsid w:val="006615CE"/>
    <w:rsid w:val="00661B9D"/>
    <w:rsid w:val="006624EE"/>
    <w:rsid w:val="006628C1"/>
    <w:rsid w:val="00662E8A"/>
    <w:rsid w:val="00663136"/>
    <w:rsid w:val="00663BB8"/>
    <w:rsid w:val="00663CD7"/>
    <w:rsid w:val="00663EBA"/>
    <w:rsid w:val="00663F2E"/>
    <w:rsid w:val="0066419D"/>
    <w:rsid w:val="0066434A"/>
    <w:rsid w:val="00664404"/>
    <w:rsid w:val="00664879"/>
    <w:rsid w:val="006655C3"/>
    <w:rsid w:val="00665DB3"/>
    <w:rsid w:val="006661AE"/>
    <w:rsid w:val="006661E7"/>
    <w:rsid w:val="0066694C"/>
    <w:rsid w:val="00666EAA"/>
    <w:rsid w:val="0066711D"/>
    <w:rsid w:val="006671D6"/>
    <w:rsid w:val="00667451"/>
    <w:rsid w:val="006674AF"/>
    <w:rsid w:val="00667861"/>
    <w:rsid w:val="00667CE2"/>
    <w:rsid w:val="00667EF3"/>
    <w:rsid w:val="00667FEE"/>
    <w:rsid w:val="00670175"/>
    <w:rsid w:val="006701A1"/>
    <w:rsid w:val="006707CC"/>
    <w:rsid w:val="006708F6"/>
    <w:rsid w:val="00670DF0"/>
    <w:rsid w:val="00670E7B"/>
    <w:rsid w:val="00670ECD"/>
    <w:rsid w:val="0067129F"/>
    <w:rsid w:val="00671629"/>
    <w:rsid w:val="00671A26"/>
    <w:rsid w:val="00671D8A"/>
    <w:rsid w:val="00671E40"/>
    <w:rsid w:val="00671EAF"/>
    <w:rsid w:val="00673BEE"/>
    <w:rsid w:val="00673D65"/>
    <w:rsid w:val="00673E42"/>
    <w:rsid w:val="006740EF"/>
    <w:rsid w:val="006746D0"/>
    <w:rsid w:val="00675115"/>
    <w:rsid w:val="00675502"/>
    <w:rsid w:val="00675FA0"/>
    <w:rsid w:val="006775D3"/>
    <w:rsid w:val="00677B79"/>
    <w:rsid w:val="00677FAC"/>
    <w:rsid w:val="006805AC"/>
    <w:rsid w:val="00680B1F"/>
    <w:rsid w:val="00680E20"/>
    <w:rsid w:val="00680E4A"/>
    <w:rsid w:val="00681209"/>
    <w:rsid w:val="00681436"/>
    <w:rsid w:val="006815F6"/>
    <w:rsid w:val="00681A6F"/>
    <w:rsid w:val="00681C2D"/>
    <w:rsid w:val="00681D97"/>
    <w:rsid w:val="00681E9C"/>
    <w:rsid w:val="00681F24"/>
    <w:rsid w:val="006826D6"/>
    <w:rsid w:val="00682D13"/>
    <w:rsid w:val="00682DEB"/>
    <w:rsid w:val="00682F49"/>
    <w:rsid w:val="006838FF"/>
    <w:rsid w:val="00683A08"/>
    <w:rsid w:val="006840B6"/>
    <w:rsid w:val="006840C7"/>
    <w:rsid w:val="0068441B"/>
    <w:rsid w:val="0068476F"/>
    <w:rsid w:val="00684C89"/>
    <w:rsid w:val="00685196"/>
    <w:rsid w:val="0068553C"/>
    <w:rsid w:val="006856C2"/>
    <w:rsid w:val="00686F72"/>
    <w:rsid w:val="0068744E"/>
    <w:rsid w:val="00687644"/>
    <w:rsid w:val="00687A58"/>
    <w:rsid w:val="00687CF6"/>
    <w:rsid w:val="00687D00"/>
    <w:rsid w:val="0069098B"/>
    <w:rsid w:val="00691115"/>
    <w:rsid w:val="006914F0"/>
    <w:rsid w:val="006915DB"/>
    <w:rsid w:val="006926D4"/>
    <w:rsid w:val="00692D1A"/>
    <w:rsid w:val="006930F8"/>
    <w:rsid w:val="00693912"/>
    <w:rsid w:val="00693BDB"/>
    <w:rsid w:val="006940D3"/>
    <w:rsid w:val="006940F0"/>
    <w:rsid w:val="00694113"/>
    <w:rsid w:val="006947F6"/>
    <w:rsid w:val="006949CD"/>
    <w:rsid w:val="00694D72"/>
    <w:rsid w:val="00695C9D"/>
    <w:rsid w:val="006962AA"/>
    <w:rsid w:val="006966DF"/>
    <w:rsid w:val="00696FF1"/>
    <w:rsid w:val="006972F7"/>
    <w:rsid w:val="00697F3F"/>
    <w:rsid w:val="006A0405"/>
    <w:rsid w:val="006A0747"/>
    <w:rsid w:val="006A14AC"/>
    <w:rsid w:val="006A1640"/>
    <w:rsid w:val="006A16A8"/>
    <w:rsid w:val="006A18E6"/>
    <w:rsid w:val="006A1DBF"/>
    <w:rsid w:val="006A273B"/>
    <w:rsid w:val="006A29F8"/>
    <w:rsid w:val="006A3786"/>
    <w:rsid w:val="006A3E95"/>
    <w:rsid w:val="006A43FD"/>
    <w:rsid w:val="006A4E28"/>
    <w:rsid w:val="006A50E1"/>
    <w:rsid w:val="006A55B0"/>
    <w:rsid w:val="006A5946"/>
    <w:rsid w:val="006A5BE3"/>
    <w:rsid w:val="006A5C43"/>
    <w:rsid w:val="006A683D"/>
    <w:rsid w:val="006A6C1F"/>
    <w:rsid w:val="006A6CA6"/>
    <w:rsid w:val="006A77AB"/>
    <w:rsid w:val="006A7A44"/>
    <w:rsid w:val="006A7D09"/>
    <w:rsid w:val="006B0723"/>
    <w:rsid w:val="006B0794"/>
    <w:rsid w:val="006B0EF2"/>
    <w:rsid w:val="006B1213"/>
    <w:rsid w:val="006B14B4"/>
    <w:rsid w:val="006B1692"/>
    <w:rsid w:val="006B1A4C"/>
    <w:rsid w:val="006B25B8"/>
    <w:rsid w:val="006B26C9"/>
    <w:rsid w:val="006B3E1A"/>
    <w:rsid w:val="006B3F37"/>
    <w:rsid w:val="006B484B"/>
    <w:rsid w:val="006B49F5"/>
    <w:rsid w:val="006B4DB0"/>
    <w:rsid w:val="006B51B9"/>
    <w:rsid w:val="006B6130"/>
    <w:rsid w:val="006B632A"/>
    <w:rsid w:val="006B657B"/>
    <w:rsid w:val="006B7123"/>
    <w:rsid w:val="006B75B6"/>
    <w:rsid w:val="006B7772"/>
    <w:rsid w:val="006C0484"/>
    <w:rsid w:val="006C05A9"/>
    <w:rsid w:val="006C0F83"/>
    <w:rsid w:val="006C179E"/>
    <w:rsid w:val="006C1850"/>
    <w:rsid w:val="006C1A10"/>
    <w:rsid w:val="006C1A5F"/>
    <w:rsid w:val="006C1D4C"/>
    <w:rsid w:val="006C2910"/>
    <w:rsid w:val="006C2CB1"/>
    <w:rsid w:val="006C2D53"/>
    <w:rsid w:val="006C3AB5"/>
    <w:rsid w:val="006C3FF2"/>
    <w:rsid w:val="006C562C"/>
    <w:rsid w:val="006C61A8"/>
    <w:rsid w:val="006C65A0"/>
    <w:rsid w:val="006C6E7A"/>
    <w:rsid w:val="006C7394"/>
    <w:rsid w:val="006C76C7"/>
    <w:rsid w:val="006C7EC3"/>
    <w:rsid w:val="006D023C"/>
    <w:rsid w:val="006D0793"/>
    <w:rsid w:val="006D0B8E"/>
    <w:rsid w:val="006D0F97"/>
    <w:rsid w:val="006D130E"/>
    <w:rsid w:val="006D1A28"/>
    <w:rsid w:val="006D1B1C"/>
    <w:rsid w:val="006D21C1"/>
    <w:rsid w:val="006D2BDA"/>
    <w:rsid w:val="006D348B"/>
    <w:rsid w:val="006D3522"/>
    <w:rsid w:val="006D3530"/>
    <w:rsid w:val="006D3751"/>
    <w:rsid w:val="006D4415"/>
    <w:rsid w:val="006D47F4"/>
    <w:rsid w:val="006D48BD"/>
    <w:rsid w:val="006D4DAD"/>
    <w:rsid w:val="006D511D"/>
    <w:rsid w:val="006D5683"/>
    <w:rsid w:val="006D60C9"/>
    <w:rsid w:val="006D6997"/>
    <w:rsid w:val="006D6F11"/>
    <w:rsid w:val="006D7E4B"/>
    <w:rsid w:val="006D7EAC"/>
    <w:rsid w:val="006E02BA"/>
    <w:rsid w:val="006E03A8"/>
    <w:rsid w:val="006E0CFF"/>
    <w:rsid w:val="006E17E8"/>
    <w:rsid w:val="006E1A47"/>
    <w:rsid w:val="006E255D"/>
    <w:rsid w:val="006E3379"/>
    <w:rsid w:val="006E3648"/>
    <w:rsid w:val="006E38CF"/>
    <w:rsid w:val="006E4494"/>
    <w:rsid w:val="006E551D"/>
    <w:rsid w:val="006E566E"/>
    <w:rsid w:val="006E5CD9"/>
    <w:rsid w:val="006E737E"/>
    <w:rsid w:val="006E7CBD"/>
    <w:rsid w:val="006E7FC2"/>
    <w:rsid w:val="006F000F"/>
    <w:rsid w:val="006F003B"/>
    <w:rsid w:val="006F090F"/>
    <w:rsid w:val="006F1238"/>
    <w:rsid w:val="006F1358"/>
    <w:rsid w:val="006F1F39"/>
    <w:rsid w:val="006F27E3"/>
    <w:rsid w:val="006F28FB"/>
    <w:rsid w:val="006F2EE7"/>
    <w:rsid w:val="006F316D"/>
    <w:rsid w:val="006F337A"/>
    <w:rsid w:val="006F3918"/>
    <w:rsid w:val="006F39CD"/>
    <w:rsid w:val="006F3DAA"/>
    <w:rsid w:val="006F4F72"/>
    <w:rsid w:val="006F529F"/>
    <w:rsid w:val="006F5FB6"/>
    <w:rsid w:val="006F7DDF"/>
    <w:rsid w:val="00700123"/>
    <w:rsid w:val="007004A0"/>
    <w:rsid w:val="0070109F"/>
    <w:rsid w:val="00701447"/>
    <w:rsid w:val="007016A8"/>
    <w:rsid w:val="007016D3"/>
    <w:rsid w:val="00701979"/>
    <w:rsid w:val="00701F65"/>
    <w:rsid w:val="007021FC"/>
    <w:rsid w:val="007023A5"/>
    <w:rsid w:val="00702672"/>
    <w:rsid w:val="00702F78"/>
    <w:rsid w:val="00702F7F"/>
    <w:rsid w:val="00703425"/>
    <w:rsid w:val="00703C9A"/>
    <w:rsid w:val="00703CFD"/>
    <w:rsid w:val="00703E2E"/>
    <w:rsid w:val="00703FAC"/>
    <w:rsid w:val="00704A0E"/>
    <w:rsid w:val="00704A76"/>
    <w:rsid w:val="00704B01"/>
    <w:rsid w:val="00704E72"/>
    <w:rsid w:val="0070538E"/>
    <w:rsid w:val="00705495"/>
    <w:rsid w:val="007055DE"/>
    <w:rsid w:val="007056E8"/>
    <w:rsid w:val="0070661B"/>
    <w:rsid w:val="0070698D"/>
    <w:rsid w:val="00706F45"/>
    <w:rsid w:val="00706FCE"/>
    <w:rsid w:val="00707892"/>
    <w:rsid w:val="00707ACC"/>
    <w:rsid w:val="007103DE"/>
    <w:rsid w:val="007104DD"/>
    <w:rsid w:val="007108D9"/>
    <w:rsid w:val="00711196"/>
    <w:rsid w:val="00711564"/>
    <w:rsid w:val="00711B3F"/>
    <w:rsid w:val="00712024"/>
    <w:rsid w:val="007121B4"/>
    <w:rsid w:val="00712886"/>
    <w:rsid w:val="00713D1E"/>
    <w:rsid w:val="00713DE8"/>
    <w:rsid w:val="00714306"/>
    <w:rsid w:val="0071490A"/>
    <w:rsid w:val="007150D4"/>
    <w:rsid w:val="0071544C"/>
    <w:rsid w:val="007155A7"/>
    <w:rsid w:val="00715664"/>
    <w:rsid w:val="00715A72"/>
    <w:rsid w:val="00715EA4"/>
    <w:rsid w:val="00717B75"/>
    <w:rsid w:val="00717ECB"/>
    <w:rsid w:val="00717FE8"/>
    <w:rsid w:val="007203E3"/>
    <w:rsid w:val="0072064C"/>
    <w:rsid w:val="00720710"/>
    <w:rsid w:val="00720C72"/>
    <w:rsid w:val="007213E4"/>
    <w:rsid w:val="0072161F"/>
    <w:rsid w:val="0072163E"/>
    <w:rsid w:val="007219FB"/>
    <w:rsid w:val="00721B66"/>
    <w:rsid w:val="00721D3E"/>
    <w:rsid w:val="00722F64"/>
    <w:rsid w:val="00723F70"/>
    <w:rsid w:val="00723F81"/>
    <w:rsid w:val="007241E9"/>
    <w:rsid w:val="00724511"/>
    <w:rsid w:val="00724A61"/>
    <w:rsid w:val="00724F8A"/>
    <w:rsid w:val="0072578A"/>
    <w:rsid w:val="00725F9F"/>
    <w:rsid w:val="0072662E"/>
    <w:rsid w:val="00726CB3"/>
    <w:rsid w:val="00730355"/>
    <w:rsid w:val="00730825"/>
    <w:rsid w:val="00730CA1"/>
    <w:rsid w:val="00730D1A"/>
    <w:rsid w:val="007311D1"/>
    <w:rsid w:val="00731544"/>
    <w:rsid w:val="0073158E"/>
    <w:rsid w:val="007315F4"/>
    <w:rsid w:val="0073172A"/>
    <w:rsid w:val="00732773"/>
    <w:rsid w:val="00732EBC"/>
    <w:rsid w:val="00733672"/>
    <w:rsid w:val="0073379C"/>
    <w:rsid w:val="00733B01"/>
    <w:rsid w:val="00733FAF"/>
    <w:rsid w:val="00733FFC"/>
    <w:rsid w:val="0073414D"/>
    <w:rsid w:val="00734191"/>
    <w:rsid w:val="00734289"/>
    <w:rsid w:val="007345C7"/>
    <w:rsid w:val="00734DB4"/>
    <w:rsid w:val="00734EF6"/>
    <w:rsid w:val="00734F10"/>
    <w:rsid w:val="00735263"/>
    <w:rsid w:val="00735626"/>
    <w:rsid w:val="007358CC"/>
    <w:rsid w:val="00735B47"/>
    <w:rsid w:val="00735C2D"/>
    <w:rsid w:val="0073630A"/>
    <w:rsid w:val="00736733"/>
    <w:rsid w:val="00736A2F"/>
    <w:rsid w:val="007371A6"/>
    <w:rsid w:val="00737264"/>
    <w:rsid w:val="00737B6E"/>
    <w:rsid w:val="00737BA6"/>
    <w:rsid w:val="007409B2"/>
    <w:rsid w:val="00740BA0"/>
    <w:rsid w:val="00741015"/>
    <w:rsid w:val="00741510"/>
    <w:rsid w:val="00742DC6"/>
    <w:rsid w:val="007433F0"/>
    <w:rsid w:val="00743ADC"/>
    <w:rsid w:val="00743CE3"/>
    <w:rsid w:val="00744416"/>
    <w:rsid w:val="00744493"/>
    <w:rsid w:val="007446F8"/>
    <w:rsid w:val="00744C97"/>
    <w:rsid w:val="007462EC"/>
    <w:rsid w:val="00746589"/>
    <w:rsid w:val="0074663B"/>
    <w:rsid w:val="00747DCF"/>
    <w:rsid w:val="0075090A"/>
    <w:rsid w:val="00750B94"/>
    <w:rsid w:val="00751195"/>
    <w:rsid w:val="007514A9"/>
    <w:rsid w:val="00751720"/>
    <w:rsid w:val="0075215B"/>
    <w:rsid w:val="007522AF"/>
    <w:rsid w:val="007533C9"/>
    <w:rsid w:val="007539CB"/>
    <w:rsid w:val="00753B99"/>
    <w:rsid w:val="00753F62"/>
    <w:rsid w:val="007544A9"/>
    <w:rsid w:val="007550EE"/>
    <w:rsid w:val="00755901"/>
    <w:rsid w:val="00755D9A"/>
    <w:rsid w:val="00756B31"/>
    <w:rsid w:val="00757425"/>
    <w:rsid w:val="0075771E"/>
    <w:rsid w:val="00757887"/>
    <w:rsid w:val="0075790F"/>
    <w:rsid w:val="00761795"/>
    <w:rsid w:val="00761AC8"/>
    <w:rsid w:val="00761DB1"/>
    <w:rsid w:val="0076206F"/>
    <w:rsid w:val="00762226"/>
    <w:rsid w:val="00762400"/>
    <w:rsid w:val="00762BA4"/>
    <w:rsid w:val="00762CF0"/>
    <w:rsid w:val="007632E0"/>
    <w:rsid w:val="007634AC"/>
    <w:rsid w:val="00764453"/>
    <w:rsid w:val="00764801"/>
    <w:rsid w:val="00764C4A"/>
    <w:rsid w:val="0076515D"/>
    <w:rsid w:val="007655FA"/>
    <w:rsid w:val="007658E5"/>
    <w:rsid w:val="00765AA7"/>
    <w:rsid w:val="00765C16"/>
    <w:rsid w:val="00766003"/>
    <w:rsid w:val="007669D7"/>
    <w:rsid w:val="007679EB"/>
    <w:rsid w:val="00770C8A"/>
    <w:rsid w:val="00770D94"/>
    <w:rsid w:val="0077160D"/>
    <w:rsid w:val="00771631"/>
    <w:rsid w:val="007719AA"/>
    <w:rsid w:val="00771F9B"/>
    <w:rsid w:val="00772559"/>
    <w:rsid w:val="0077261D"/>
    <w:rsid w:val="00772656"/>
    <w:rsid w:val="0077271B"/>
    <w:rsid w:val="00772ADE"/>
    <w:rsid w:val="00772D6E"/>
    <w:rsid w:val="00772F01"/>
    <w:rsid w:val="00774114"/>
    <w:rsid w:val="007756C3"/>
    <w:rsid w:val="00776033"/>
    <w:rsid w:val="0077621D"/>
    <w:rsid w:val="007762CD"/>
    <w:rsid w:val="0077684B"/>
    <w:rsid w:val="00776BD3"/>
    <w:rsid w:val="00777290"/>
    <w:rsid w:val="007772E8"/>
    <w:rsid w:val="00780273"/>
    <w:rsid w:val="00780355"/>
    <w:rsid w:val="00780956"/>
    <w:rsid w:val="00781619"/>
    <w:rsid w:val="00781725"/>
    <w:rsid w:val="007818C2"/>
    <w:rsid w:val="00781C82"/>
    <w:rsid w:val="00781F43"/>
    <w:rsid w:val="0078233F"/>
    <w:rsid w:val="007828D5"/>
    <w:rsid w:val="00782A08"/>
    <w:rsid w:val="00782D8F"/>
    <w:rsid w:val="00782F00"/>
    <w:rsid w:val="00782FC5"/>
    <w:rsid w:val="00783263"/>
    <w:rsid w:val="0078357E"/>
    <w:rsid w:val="0078385A"/>
    <w:rsid w:val="007839E7"/>
    <w:rsid w:val="007841FF"/>
    <w:rsid w:val="00785009"/>
    <w:rsid w:val="0078599A"/>
    <w:rsid w:val="00785A63"/>
    <w:rsid w:val="00785E26"/>
    <w:rsid w:val="00785EFF"/>
    <w:rsid w:val="00786824"/>
    <w:rsid w:val="0078724C"/>
    <w:rsid w:val="0078751E"/>
    <w:rsid w:val="00787C9D"/>
    <w:rsid w:val="007906CA"/>
    <w:rsid w:val="00791503"/>
    <w:rsid w:val="00791E96"/>
    <w:rsid w:val="007934D4"/>
    <w:rsid w:val="0079394A"/>
    <w:rsid w:val="007939BD"/>
    <w:rsid w:val="00793C16"/>
    <w:rsid w:val="00793FBD"/>
    <w:rsid w:val="00795610"/>
    <w:rsid w:val="0079574C"/>
    <w:rsid w:val="00795792"/>
    <w:rsid w:val="00795B10"/>
    <w:rsid w:val="0079663A"/>
    <w:rsid w:val="00796AC3"/>
    <w:rsid w:val="00796C5E"/>
    <w:rsid w:val="00796F84"/>
    <w:rsid w:val="00796F8B"/>
    <w:rsid w:val="007970F4"/>
    <w:rsid w:val="0079775B"/>
    <w:rsid w:val="00797C38"/>
    <w:rsid w:val="00797D39"/>
    <w:rsid w:val="00797E54"/>
    <w:rsid w:val="007A0692"/>
    <w:rsid w:val="007A0B62"/>
    <w:rsid w:val="007A11B0"/>
    <w:rsid w:val="007A1236"/>
    <w:rsid w:val="007A1760"/>
    <w:rsid w:val="007A1D32"/>
    <w:rsid w:val="007A21A0"/>
    <w:rsid w:val="007A28A4"/>
    <w:rsid w:val="007A2A69"/>
    <w:rsid w:val="007A2A6F"/>
    <w:rsid w:val="007A39D3"/>
    <w:rsid w:val="007A3BDD"/>
    <w:rsid w:val="007A3D3F"/>
    <w:rsid w:val="007A3E4D"/>
    <w:rsid w:val="007A4506"/>
    <w:rsid w:val="007A4BE7"/>
    <w:rsid w:val="007A518D"/>
    <w:rsid w:val="007A57AE"/>
    <w:rsid w:val="007A6C29"/>
    <w:rsid w:val="007A6E20"/>
    <w:rsid w:val="007A6FD8"/>
    <w:rsid w:val="007A7136"/>
    <w:rsid w:val="007A73DA"/>
    <w:rsid w:val="007A7498"/>
    <w:rsid w:val="007A74B2"/>
    <w:rsid w:val="007A7C64"/>
    <w:rsid w:val="007B0571"/>
    <w:rsid w:val="007B06B8"/>
    <w:rsid w:val="007B07C4"/>
    <w:rsid w:val="007B0B94"/>
    <w:rsid w:val="007B0C12"/>
    <w:rsid w:val="007B109A"/>
    <w:rsid w:val="007B11EC"/>
    <w:rsid w:val="007B139D"/>
    <w:rsid w:val="007B16E5"/>
    <w:rsid w:val="007B1F57"/>
    <w:rsid w:val="007B2135"/>
    <w:rsid w:val="007B216F"/>
    <w:rsid w:val="007B25D1"/>
    <w:rsid w:val="007B2616"/>
    <w:rsid w:val="007B3057"/>
    <w:rsid w:val="007B4597"/>
    <w:rsid w:val="007B47A0"/>
    <w:rsid w:val="007B5174"/>
    <w:rsid w:val="007B5336"/>
    <w:rsid w:val="007B55C5"/>
    <w:rsid w:val="007B57D2"/>
    <w:rsid w:val="007B5E43"/>
    <w:rsid w:val="007B5F3C"/>
    <w:rsid w:val="007B5F62"/>
    <w:rsid w:val="007B6CC6"/>
    <w:rsid w:val="007B6F4D"/>
    <w:rsid w:val="007B70FB"/>
    <w:rsid w:val="007B72CD"/>
    <w:rsid w:val="007B74DB"/>
    <w:rsid w:val="007B7566"/>
    <w:rsid w:val="007C0482"/>
    <w:rsid w:val="007C123C"/>
    <w:rsid w:val="007C1637"/>
    <w:rsid w:val="007C1DC9"/>
    <w:rsid w:val="007C20FE"/>
    <w:rsid w:val="007C2343"/>
    <w:rsid w:val="007C24BB"/>
    <w:rsid w:val="007C2678"/>
    <w:rsid w:val="007C277D"/>
    <w:rsid w:val="007C3435"/>
    <w:rsid w:val="007C35A9"/>
    <w:rsid w:val="007C360B"/>
    <w:rsid w:val="007C376A"/>
    <w:rsid w:val="007C3888"/>
    <w:rsid w:val="007C4A77"/>
    <w:rsid w:val="007C4AC1"/>
    <w:rsid w:val="007C4ACA"/>
    <w:rsid w:val="007C55A5"/>
    <w:rsid w:val="007C55BE"/>
    <w:rsid w:val="007C5AB5"/>
    <w:rsid w:val="007C62D0"/>
    <w:rsid w:val="007C766F"/>
    <w:rsid w:val="007C7AD6"/>
    <w:rsid w:val="007C7C59"/>
    <w:rsid w:val="007C7DC7"/>
    <w:rsid w:val="007D03B3"/>
    <w:rsid w:val="007D0816"/>
    <w:rsid w:val="007D0F3B"/>
    <w:rsid w:val="007D15F0"/>
    <w:rsid w:val="007D178B"/>
    <w:rsid w:val="007D1B64"/>
    <w:rsid w:val="007D1F73"/>
    <w:rsid w:val="007D22CE"/>
    <w:rsid w:val="007D2C50"/>
    <w:rsid w:val="007D33FA"/>
    <w:rsid w:val="007D3A86"/>
    <w:rsid w:val="007D3B12"/>
    <w:rsid w:val="007D3BC5"/>
    <w:rsid w:val="007D3C12"/>
    <w:rsid w:val="007D40F5"/>
    <w:rsid w:val="007D46D8"/>
    <w:rsid w:val="007D4892"/>
    <w:rsid w:val="007D48E9"/>
    <w:rsid w:val="007D4A1A"/>
    <w:rsid w:val="007D4D44"/>
    <w:rsid w:val="007D53CB"/>
    <w:rsid w:val="007D561F"/>
    <w:rsid w:val="007D5857"/>
    <w:rsid w:val="007D5BB4"/>
    <w:rsid w:val="007D5E4F"/>
    <w:rsid w:val="007D6246"/>
    <w:rsid w:val="007D68DB"/>
    <w:rsid w:val="007D6E43"/>
    <w:rsid w:val="007D6F86"/>
    <w:rsid w:val="007D72CB"/>
    <w:rsid w:val="007D72EB"/>
    <w:rsid w:val="007D7CDD"/>
    <w:rsid w:val="007E08C9"/>
    <w:rsid w:val="007E0F8F"/>
    <w:rsid w:val="007E13A8"/>
    <w:rsid w:val="007E2236"/>
    <w:rsid w:val="007E296A"/>
    <w:rsid w:val="007E2A9F"/>
    <w:rsid w:val="007E317C"/>
    <w:rsid w:val="007E3456"/>
    <w:rsid w:val="007E35D0"/>
    <w:rsid w:val="007E3A03"/>
    <w:rsid w:val="007E3E82"/>
    <w:rsid w:val="007E44F9"/>
    <w:rsid w:val="007E47D5"/>
    <w:rsid w:val="007E4C3C"/>
    <w:rsid w:val="007E502A"/>
    <w:rsid w:val="007E5268"/>
    <w:rsid w:val="007E53AF"/>
    <w:rsid w:val="007E5ED9"/>
    <w:rsid w:val="007E5EDC"/>
    <w:rsid w:val="007E6646"/>
    <w:rsid w:val="007E67D9"/>
    <w:rsid w:val="007E6C51"/>
    <w:rsid w:val="007E7232"/>
    <w:rsid w:val="007E72AB"/>
    <w:rsid w:val="007E7E0F"/>
    <w:rsid w:val="007F0378"/>
    <w:rsid w:val="007F0684"/>
    <w:rsid w:val="007F06B6"/>
    <w:rsid w:val="007F06E8"/>
    <w:rsid w:val="007F0AF8"/>
    <w:rsid w:val="007F1933"/>
    <w:rsid w:val="007F1B94"/>
    <w:rsid w:val="007F1F1C"/>
    <w:rsid w:val="007F219A"/>
    <w:rsid w:val="007F35B8"/>
    <w:rsid w:val="007F3A71"/>
    <w:rsid w:val="007F3D80"/>
    <w:rsid w:val="007F3F16"/>
    <w:rsid w:val="007F4906"/>
    <w:rsid w:val="007F4981"/>
    <w:rsid w:val="007F507E"/>
    <w:rsid w:val="007F6340"/>
    <w:rsid w:val="007F65DB"/>
    <w:rsid w:val="007F6761"/>
    <w:rsid w:val="007F6BC4"/>
    <w:rsid w:val="007F70D4"/>
    <w:rsid w:val="007F76B6"/>
    <w:rsid w:val="007F7ABF"/>
    <w:rsid w:val="0080073F"/>
    <w:rsid w:val="00801607"/>
    <w:rsid w:val="00801713"/>
    <w:rsid w:val="0080176E"/>
    <w:rsid w:val="00801B94"/>
    <w:rsid w:val="00801CB1"/>
    <w:rsid w:val="008026A2"/>
    <w:rsid w:val="00802A50"/>
    <w:rsid w:val="00802AA7"/>
    <w:rsid w:val="00802B6F"/>
    <w:rsid w:val="008038AE"/>
    <w:rsid w:val="00803AAC"/>
    <w:rsid w:val="00803ACE"/>
    <w:rsid w:val="00805834"/>
    <w:rsid w:val="00805B99"/>
    <w:rsid w:val="00805D3E"/>
    <w:rsid w:val="008065B9"/>
    <w:rsid w:val="00806E9B"/>
    <w:rsid w:val="00807090"/>
    <w:rsid w:val="00807926"/>
    <w:rsid w:val="00807A15"/>
    <w:rsid w:val="00807AB5"/>
    <w:rsid w:val="008100A2"/>
    <w:rsid w:val="008107F5"/>
    <w:rsid w:val="00810A75"/>
    <w:rsid w:val="00810D27"/>
    <w:rsid w:val="00810E30"/>
    <w:rsid w:val="00810ED7"/>
    <w:rsid w:val="00811057"/>
    <w:rsid w:val="0081169E"/>
    <w:rsid w:val="008123D4"/>
    <w:rsid w:val="00812B2D"/>
    <w:rsid w:val="00813AEB"/>
    <w:rsid w:val="00814049"/>
    <w:rsid w:val="00814CAD"/>
    <w:rsid w:val="00814CEC"/>
    <w:rsid w:val="0081580E"/>
    <w:rsid w:val="00815914"/>
    <w:rsid w:val="00815BB1"/>
    <w:rsid w:val="0081623E"/>
    <w:rsid w:val="00817D96"/>
    <w:rsid w:val="00817E6F"/>
    <w:rsid w:val="00817F9A"/>
    <w:rsid w:val="00820896"/>
    <w:rsid w:val="00821A07"/>
    <w:rsid w:val="008227FA"/>
    <w:rsid w:val="008229A2"/>
    <w:rsid w:val="00823352"/>
    <w:rsid w:val="0082443D"/>
    <w:rsid w:val="00824A9E"/>
    <w:rsid w:val="00824E44"/>
    <w:rsid w:val="00825ED1"/>
    <w:rsid w:val="00825EDB"/>
    <w:rsid w:val="00825F58"/>
    <w:rsid w:val="008264EB"/>
    <w:rsid w:val="008266E6"/>
    <w:rsid w:val="008268CF"/>
    <w:rsid w:val="00826DEF"/>
    <w:rsid w:val="008270EE"/>
    <w:rsid w:val="00827497"/>
    <w:rsid w:val="008275A9"/>
    <w:rsid w:val="0083026B"/>
    <w:rsid w:val="008307F9"/>
    <w:rsid w:val="00830845"/>
    <w:rsid w:val="0083098F"/>
    <w:rsid w:val="008309E1"/>
    <w:rsid w:val="00831472"/>
    <w:rsid w:val="008327F0"/>
    <w:rsid w:val="008329FF"/>
    <w:rsid w:val="00832ECB"/>
    <w:rsid w:val="0083302B"/>
    <w:rsid w:val="00833511"/>
    <w:rsid w:val="00833526"/>
    <w:rsid w:val="008340EC"/>
    <w:rsid w:val="00834B47"/>
    <w:rsid w:val="00835459"/>
    <w:rsid w:val="00836259"/>
    <w:rsid w:val="00836E1B"/>
    <w:rsid w:val="0083793C"/>
    <w:rsid w:val="00837C92"/>
    <w:rsid w:val="00837F0F"/>
    <w:rsid w:val="00837FEE"/>
    <w:rsid w:val="008416E5"/>
    <w:rsid w:val="00841A00"/>
    <w:rsid w:val="00841E3A"/>
    <w:rsid w:val="0084210C"/>
    <w:rsid w:val="00842BBA"/>
    <w:rsid w:val="00842D41"/>
    <w:rsid w:val="00842E56"/>
    <w:rsid w:val="00843029"/>
    <w:rsid w:val="00843420"/>
    <w:rsid w:val="00843B5D"/>
    <w:rsid w:val="00843F87"/>
    <w:rsid w:val="008447D4"/>
    <w:rsid w:val="0084506C"/>
    <w:rsid w:val="008454BD"/>
    <w:rsid w:val="008463F3"/>
    <w:rsid w:val="00846509"/>
    <w:rsid w:val="008467D3"/>
    <w:rsid w:val="00846845"/>
    <w:rsid w:val="00846D76"/>
    <w:rsid w:val="00847650"/>
    <w:rsid w:val="008476DC"/>
    <w:rsid w:val="00847829"/>
    <w:rsid w:val="008479B1"/>
    <w:rsid w:val="0085005F"/>
    <w:rsid w:val="008500F5"/>
    <w:rsid w:val="0085062F"/>
    <w:rsid w:val="00851307"/>
    <w:rsid w:val="008515B1"/>
    <w:rsid w:val="00851C40"/>
    <w:rsid w:val="00852508"/>
    <w:rsid w:val="00852578"/>
    <w:rsid w:val="00852E5B"/>
    <w:rsid w:val="0085323E"/>
    <w:rsid w:val="008535EB"/>
    <w:rsid w:val="00853677"/>
    <w:rsid w:val="00853A88"/>
    <w:rsid w:val="00853ACD"/>
    <w:rsid w:val="00853ACF"/>
    <w:rsid w:val="00853F1F"/>
    <w:rsid w:val="008544D3"/>
    <w:rsid w:val="00855089"/>
    <w:rsid w:val="008558A1"/>
    <w:rsid w:val="00855A1E"/>
    <w:rsid w:val="00855DEB"/>
    <w:rsid w:val="0085642F"/>
    <w:rsid w:val="008573AF"/>
    <w:rsid w:val="008573F8"/>
    <w:rsid w:val="00857645"/>
    <w:rsid w:val="00857D80"/>
    <w:rsid w:val="008602FC"/>
    <w:rsid w:val="00860989"/>
    <w:rsid w:val="00860CF9"/>
    <w:rsid w:val="008614A8"/>
    <w:rsid w:val="008622D3"/>
    <w:rsid w:val="0086268A"/>
    <w:rsid w:val="008627D9"/>
    <w:rsid w:val="00862EE5"/>
    <w:rsid w:val="00863626"/>
    <w:rsid w:val="008639A2"/>
    <w:rsid w:val="00863BBB"/>
    <w:rsid w:val="008640FD"/>
    <w:rsid w:val="0086426C"/>
    <w:rsid w:val="008644D5"/>
    <w:rsid w:val="0086564F"/>
    <w:rsid w:val="00865681"/>
    <w:rsid w:val="00865C9A"/>
    <w:rsid w:val="00866618"/>
    <w:rsid w:val="00867578"/>
    <w:rsid w:val="00867B6B"/>
    <w:rsid w:val="00867FDD"/>
    <w:rsid w:val="0087000F"/>
    <w:rsid w:val="00870788"/>
    <w:rsid w:val="00870923"/>
    <w:rsid w:val="00870A8A"/>
    <w:rsid w:val="00870AFC"/>
    <w:rsid w:val="00870F67"/>
    <w:rsid w:val="00870F6E"/>
    <w:rsid w:val="008715CC"/>
    <w:rsid w:val="00872589"/>
    <w:rsid w:val="00872770"/>
    <w:rsid w:val="00873125"/>
    <w:rsid w:val="008731F2"/>
    <w:rsid w:val="00873754"/>
    <w:rsid w:val="00873CF3"/>
    <w:rsid w:val="008752FC"/>
    <w:rsid w:val="0087591B"/>
    <w:rsid w:val="00875FA4"/>
    <w:rsid w:val="008763C8"/>
    <w:rsid w:val="0087656D"/>
    <w:rsid w:val="0087672D"/>
    <w:rsid w:val="008779E9"/>
    <w:rsid w:val="00877D2C"/>
    <w:rsid w:val="00877D6E"/>
    <w:rsid w:val="00877E35"/>
    <w:rsid w:val="0088014E"/>
    <w:rsid w:val="00880AA4"/>
    <w:rsid w:val="00880BAB"/>
    <w:rsid w:val="008817FF"/>
    <w:rsid w:val="0088239C"/>
    <w:rsid w:val="00882745"/>
    <w:rsid w:val="008828F7"/>
    <w:rsid w:val="00882946"/>
    <w:rsid w:val="00882A65"/>
    <w:rsid w:val="00882C4D"/>
    <w:rsid w:val="00882D67"/>
    <w:rsid w:val="00882E58"/>
    <w:rsid w:val="0088318D"/>
    <w:rsid w:val="008835B1"/>
    <w:rsid w:val="00883B3F"/>
    <w:rsid w:val="00884A91"/>
    <w:rsid w:val="008851BE"/>
    <w:rsid w:val="00885538"/>
    <w:rsid w:val="00886188"/>
    <w:rsid w:val="0088651F"/>
    <w:rsid w:val="00886632"/>
    <w:rsid w:val="00886922"/>
    <w:rsid w:val="00887063"/>
    <w:rsid w:val="00887798"/>
    <w:rsid w:val="0088796B"/>
    <w:rsid w:val="00887D83"/>
    <w:rsid w:val="00887F1B"/>
    <w:rsid w:val="008900CF"/>
    <w:rsid w:val="008903F8"/>
    <w:rsid w:val="00890709"/>
    <w:rsid w:val="00891AE3"/>
    <w:rsid w:val="00891C10"/>
    <w:rsid w:val="00891D67"/>
    <w:rsid w:val="00892165"/>
    <w:rsid w:val="008922CF"/>
    <w:rsid w:val="008923D1"/>
    <w:rsid w:val="008925B9"/>
    <w:rsid w:val="00892AEE"/>
    <w:rsid w:val="008937AC"/>
    <w:rsid w:val="008937CB"/>
    <w:rsid w:val="00893FF7"/>
    <w:rsid w:val="0089427B"/>
    <w:rsid w:val="008942A5"/>
    <w:rsid w:val="0089483C"/>
    <w:rsid w:val="00894A6B"/>
    <w:rsid w:val="00894A7F"/>
    <w:rsid w:val="00895DCC"/>
    <w:rsid w:val="00895E5A"/>
    <w:rsid w:val="008962BC"/>
    <w:rsid w:val="008973BA"/>
    <w:rsid w:val="00897502"/>
    <w:rsid w:val="00897602"/>
    <w:rsid w:val="00897855"/>
    <w:rsid w:val="008A03C3"/>
    <w:rsid w:val="008A0B6D"/>
    <w:rsid w:val="008A0E02"/>
    <w:rsid w:val="008A0E63"/>
    <w:rsid w:val="008A0F85"/>
    <w:rsid w:val="008A173F"/>
    <w:rsid w:val="008A1EFD"/>
    <w:rsid w:val="008A1F90"/>
    <w:rsid w:val="008A211F"/>
    <w:rsid w:val="008A2385"/>
    <w:rsid w:val="008A2790"/>
    <w:rsid w:val="008A2830"/>
    <w:rsid w:val="008A2C5D"/>
    <w:rsid w:val="008A30BD"/>
    <w:rsid w:val="008A3C32"/>
    <w:rsid w:val="008A3F1E"/>
    <w:rsid w:val="008A444A"/>
    <w:rsid w:val="008A46CB"/>
    <w:rsid w:val="008A4876"/>
    <w:rsid w:val="008A4F57"/>
    <w:rsid w:val="008A52CE"/>
    <w:rsid w:val="008A544C"/>
    <w:rsid w:val="008A574C"/>
    <w:rsid w:val="008A5BC7"/>
    <w:rsid w:val="008A67A1"/>
    <w:rsid w:val="008A6A25"/>
    <w:rsid w:val="008A720F"/>
    <w:rsid w:val="008A77BD"/>
    <w:rsid w:val="008A7949"/>
    <w:rsid w:val="008A7A03"/>
    <w:rsid w:val="008A7B45"/>
    <w:rsid w:val="008B0BA7"/>
    <w:rsid w:val="008B0E9B"/>
    <w:rsid w:val="008B103F"/>
    <w:rsid w:val="008B12FC"/>
    <w:rsid w:val="008B1C8C"/>
    <w:rsid w:val="008B1D7A"/>
    <w:rsid w:val="008B1E06"/>
    <w:rsid w:val="008B20A4"/>
    <w:rsid w:val="008B2F1A"/>
    <w:rsid w:val="008B31AD"/>
    <w:rsid w:val="008B331F"/>
    <w:rsid w:val="008B3A87"/>
    <w:rsid w:val="008B3C1F"/>
    <w:rsid w:val="008B3D7A"/>
    <w:rsid w:val="008B4243"/>
    <w:rsid w:val="008B47F4"/>
    <w:rsid w:val="008B4953"/>
    <w:rsid w:val="008B4E19"/>
    <w:rsid w:val="008B4F72"/>
    <w:rsid w:val="008B58E4"/>
    <w:rsid w:val="008B5A61"/>
    <w:rsid w:val="008B5F58"/>
    <w:rsid w:val="008B6190"/>
    <w:rsid w:val="008B6367"/>
    <w:rsid w:val="008B63AD"/>
    <w:rsid w:val="008B6939"/>
    <w:rsid w:val="008B6A05"/>
    <w:rsid w:val="008B6ADB"/>
    <w:rsid w:val="008B7546"/>
    <w:rsid w:val="008B75A5"/>
    <w:rsid w:val="008B7ECB"/>
    <w:rsid w:val="008C0557"/>
    <w:rsid w:val="008C0771"/>
    <w:rsid w:val="008C0845"/>
    <w:rsid w:val="008C12D2"/>
    <w:rsid w:val="008C1779"/>
    <w:rsid w:val="008C1DC1"/>
    <w:rsid w:val="008C287C"/>
    <w:rsid w:val="008C28B3"/>
    <w:rsid w:val="008C3591"/>
    <w:rsid w:val="008C3982"/>
    <w:rsid w:val="008C3A88"/>
    <w:rsid w:val="008C3AC1"/>
    <w:rsid w:val="008C3D73"/>
    <w:rsid w:val="008C41CD"/>
    <w:rsid w:val="008C482E"/>
    <w:rsid w:val="008C4E96"/>
    <w:rsid w:val="008C4EB8"/>
    <w:rsid w:val="008C4FFE"/>
    <w:rsid w:val="008C51AD"/>
    <w:rsid w:val="008C5A8B"/>
    <w:rsid w:val="008C61B0"/>
    <w:rsid w:val="008C6E3D"/>
    <w:rsid w:val="008C6FD3"/>
    <w:rsid w:val="008C70EB"/>
    <w:rsid w:val="008C71DE"/>
    <w:rsid w:val="008C7C23"/>
    <w:rsid w:val="008C7FA7"/>
    <w:rsid w:val="008D0E8E"/>
    <w:rsid w:val="008D155D"/>
    <w:rsid w:val="008D15E6"/>
    <w:rsid w:val="008D229E"/>
    <w:rsid w:val="008D24C5"/>
    <w:rsid w:val="008D24FA"/>
    <w:rsid w:val="008D2F91"/>
    <w:rsid w:val="008D36D2"/>
    <w:rsid w:val="008D3E05"/>
    <w:rsid w:val="008D3FE4"/>
    <w:rsid w:val="008D415F"/>
    <w:rsid w:val="008D463D"/>
    <w:rsid w:val="008D536E"/>
    <w:rsid w:val="008D5506"/>
    <w:rsid w:val="008D56FD"/>
    <w:rsid w:val="008D5C9A"/>
    <w:rsid w:val="008D5D6F"/>
    <w:rsid w:val="008D5DAB"/>
    <w:rsid w:val="008D6641"/>
    <w:rsid w:val="008D6847"/>
    <w:rsid w:val="008D6968"/>
    <w:rsid w:val="008D6C68"/>
    <w:rsid w:val="008D71F3"/>
    <w:rsid w:val="008D746A"/>
    <w:rsid w:val="008D7640"/>
    <w:rsid w:val="008D7AFD"/>
    <w:rsid w:val="008D7DEB"/>
    <w:rsid w:val="008D7E3E"/>
    <w:rsid w:val="008D7EA6"/>
    <w:rsid w:val="008E0029"/>
    <w:rsid w:val="008E01BA"/>
    <w:rsid w:val="008E0219"/>
    <w:rsid w:val="008E03B3"/>
    <w:rsid w:val="008E054A"/>
    <w:rsid w:val="008E08F2"/>
    <w:rsid w:val="008E0DE2"/>
    <w:rsid w:val="008E0EF1"/>
    <w:rsid w:val="008E19E9"/>
    <w:rsid w:val="008E1A0B"/>
    <w:rsid w:val="008E1CA4"/>
    <w:rsid w:val="008E22E0"/>
    <w:rsid w:val="008E260B"/>
    <w:rsid w:val="008E2BCC"/>
    <w:rsid w:val="008E3682"/>
    <w:rsid w:val="008E3958"/>
    <w:rsid w:val="008E52E7"/>
    <w:rsid w:val="008E53DB"/>
    <w:rsid w:val="008E5A4E"/>
    <w:rsid w:val="008E6282"/>
    <w:rsid w:val="008E646A"/>
    <w:rsid w:val="008E6D37"/>
    <w:rsid w:val="008E6F52"/>
    <w:rsid w:val="008E6F6B"/>
    <w:rsid w:val="008E712B"/>
    <w:rsid w:val="008E7155"/>
    <w:rsid w:val="008E71FB"/>
    <w:rsid w:val="008E7365"/>
    <w:rsid w:val="008E78ED"/>
    <w:rsid w:val="008F0248"/>
    <w:rsid w:val="008F07B8"/>
    <w:rsid w:val="008F0932"/>
    <w:rsid w:val="008F0945"/>
    <w:rsid w:val="008F0A86"/>
    <w:rsid w:val="008F0EF5"/>
    <w:rsid w:val="008F1238"/>
    <w:rsid w:val="008F14CA"/>
    <w:rsid w:val="008F257A"/>
    <w:rsid w:val="008F2A47"/>
    <w:rsid w:val="008F35D9"/>
    <w:rsid w:val="008F3793"/>
    <w:rsid w:val="008F3F41"/>
    <w:rsid w:val="008F438C"/>
    <w:rsid w:val="008F43D6"/>
    <w:rsid w:val="008F45BC"/>
    <w:rsid w:val="008F49F3"/>
    <w:rsid w:val="008F525C"/>
    <w:rsid w:val="008F5309"/>
    <w:rsid w:val="008F540C"/>
    <w:rsid w:val="008F6060"/>
    <w:rsid w:val="008F61B8"/>
    <w:rsid w:val="008F6426"/>
    <w:rsid w:val="008F6B8B"/>
    <w:rsid w:val="0090097F"/>
    <w:rsid w:val="00900D92"/>
    <w:rsid w:val="0090146E"/>
    <w:rsid w:val="009015F4"/>
    <w:rsid w:val="009017C8"/>
    <w:rsid w:val="00901E4D"/>
    <w:rsid w:val="0090296B"/>
    <w:rsid w:val="00903424"/>
    <w:rsid w:val="00904206"/>
    <w:rsid w:val="0090441B"/>
    <w:rsid w:val="00905456"/>
    <w:rsid w:val="00905C75"/>
    <w:rsid w:val="0090621C"/>
    <w:rsid w:val="00906618"/>
    <w:rsid w:val="00906BB6"/>
    <w:rsid w:val="00906C4A"/>
    <w:rsid w:val="00907986"/>
    <w:rsid w:val="00907D90"/>
    <w:rsid w:val="00910078"/>
    <w:rsid w:val="009104AB"/>
    <w:rsid w:val="00910866"/>
    <w:rsid w:val="0091095D"/>
    <w:rsid w:val="00910E2C"/>
    <w:rsid w:val="009110AD"/>
    <w:rsid w:val="009111CC"/>
    <w:rsid w:val="009114FF"/>
    <w:rsid w:val="00911A79"/>
    <w:rsid w:val="00911D8B"/>
    <w:rsid w:val="00911DAD"/>
    <w:rsid w:val="00912464"/>
    <w:rsid w:val="009127CC"/>
    <w:rsid w:val="009133DD"/>
    <w:rsid w:val="00914525"/>
    <w:rsid w:val="009151EB"/>
    <w:rsid w:val="00915465"/>
    <w:rsid w:val="009158B9"/>
    <w:rsid w:val="009160F5"/>
    <w:rsid w:val="0091620A"/>
    <w:rsid w:val="00916301"/>
    <w:rsid w:val="00916863"/>
    <w:rsid w:val="0091688E"/>
    <w:rsid w:val="00916F1E"/>
    <w:rsid w:val="00917458"/>
    <w:rsid w:val="00917CA8"/>
    <w:rsid w:val="0092096D"/>
    <w:rsid w:val="00920975"/>
    <w:rsid w:val="009217B9"/>
    <w:rsid w:val="00921D9C"/>
    <w:rsid w:val="00921E56"/>
    <w:rsid w:val="009221ED"/>
    <w:rsid w:val="0092259C"/>
    <w:rsid w:val="009234E2"/>
    <w:rsid w:val="00923EDA"/>
    <w:rsid w:val="00926F12"/>
    <w:rsid w:val="009278EB"/>
    <w:rsid w:val="00927C90"/>
    <w:rsid w:val="00927DE3"/>
    <w:rsid w:val="00930591"/>
    <w:rsid w:val="00930609"/>
    <w:rsid w:val="00930B72"/>
    <w:rsid w:val="0093110E"/>
    <w:rsid w:val="0093122C"/>
    <w:rsid w:val="0093196E"/>
    <w:rsid w:val="00931A58"/>
    <w:rsid w:val="00932113"/>
    <w:rsid w:val="00932670"/>
    <w:rsid w:val="00932AD7"/>
    <w:rsid w:val="00932AFD"/>
    <w:rsid w:val="00932DAC"/>
    <w:rsid w:val="00932E71"/>
    <w:rsid w:val="009332E0"/>
    <w:rsid w:val="00934DE7"/>
    <w:rsid w:val="00935130"/>
    <w:rsid w:val="009352C5"/>
    <w:rsid w:val="00935534"/>
    <w:rsid w:val="0093562F"/>
    <w:rsid w:val="0093573A"/>
    <w:rsid w:val="009359EE"/>
    <w:rsid w:val="00935F61"/>
    <w:rsid w:val="009360BB"/>
    <w:rsid w:val="00936276"/>
    <w:rsid w:val="00936981"/>
    <w:rsid w:val="00936B1F"/>
    <w:rsid w:val="0093775C"/>
    <w:rsid w:val="00937887"/>
    <w:rsid w:val="009379F0"/>
    <w:rsid w:val="00937A67"/>
    <w:rsid w:val="00937BEC"/>
    <w:rsid w:val="0094055F"/>
    <w:rsid w:val="00940757"/>
    <w:rsid w:val="00941A0C"/>
    <w:rsid w:val="00941A8A"/>
    <w:rsid w:val="00941FF5"/>
    <w:rsid w:val="00942B2E"/>
    <w:rsid w:val="00942DF0"/>
    <w:rsid w:val="00943238"/>
    <w:rsid w:val="00943464"/>
    <w:rsid w:val="009434EB"/>
    <w:rsid w:val="00943572"/>
    <w:rsid w:val="00943CFE"/>
    <w:rsid w:val="00943F96"/>
    <w:rsid w:val="00943FA2"/>
    <w:rsid w:val="0094494D"/>
    <w:rsid w:val="00944BA5"/>
    <w:rsid w:val="00944E59"/>
    <w:rsid w:val="00944FD3"/>
    <w:rsid w:val="00945401"/>
    <w:rsid w:val="009456F4"/>
    <w:rsid w:val="009459F4"/>
    <w:rsid w:val="00945ABE"/>
    <w:rsid w:val="00945E58"/>
    <w:rsid w:val="00945F1C"/>
    <w:rsid w:val="00945F58"/>
    <w:rsid w:val="00946127"/>
    <w:rsid w:val="00946907"/>
    <w:rsid w:val="00947607"/>
    <w:rsid w:val="00950CAE"/>
    <w:rsid w:val="00951164"/>
    <w:rsid w:val="009512EC"/>
    <w:rsid w:val="00952E7D"/>
    <w:rsid w:val="0095315A"/>
    <w:rsid w:val="009534DD"/>
    <w:rsid w:val="009535C2"/>
    <w:rsid w:val="00953A73"/>
    <w:rsid w:val="0095432C"/>
    <w:rsid w:val="00954BB2"/>
    <w:rsid w:val="00954D5A"/>
    <w:rsid w:val="009551A8"/>
    <w:rsid w:val="00955665"/>
    <w:rsid w:val="00955C1A"/>
    <w:rsid w:val="00956984"/>
    <w:rsid w:val="009569BE"/>
    <w:rsid w:val="00956B6C"/>
    <w:rsid w:val="00957932"/>
    <w:rsid w:val="00957B5B"/>
    <w:rsid w:val="009601CB"/>
    <w:rsid w:val="0096059A"/>
    <w:rsid w:val="0096081E"/>
    <w:rsid w:val="00960C64"/>
    <w:rsid w:val="00960D39"/>
    <w:rsid w:val="00960F7E"/>
    <w:rsid w:val="009611A5"/>
    <w:rsid w:val="00961279"/>
    <w:rsid w:val="0096193B"/>
    <w:rsid w:val="00961B25"/>
    <w:rsid w:val="009622A5"/>
    <w:rsid w:val="0096267A"/>
    <w:rsid w:val="009629FE"/>
    <w:rsid w:val="00963188"/>
    <w:rsid w:val="00963240"/>
    <w:rsid w:val="00963957"/>
    <w:rsid w:val="00963B82"/>
    <w:rsid w:val="00964475"/>
    <w:rsid w:val="00964A6E"/>
    <w:rsid w:val="00964FB4"/>
    <w:rsid w:val="009656A4"/>
    <w:rsid w:val="0096582E"/>
    <w:rsid w:val="00965DAE"/>
    <w:rsid w:val="009666BD"/>
    <w:rsid w:val="00966B91"/>
    <w:rsid w:val="00966BFB"/>
    <w:rsid w:val="00966FF8"/>
    <w:rsid w:val="0096749A"/>
    <w:rsid w:val="00967CDA"/>
    <w:rsid w:val="00970048"/>
    <w:rsid w:val="00971831"/>
    <w:rsid w:val="0097216D"/>
    <w:rsid w:val="00972D8F"/>
    <w:rsid w:val="00973C2B"/>
    <w:rsid w:val="0097437B"/>
    <w:rsid w:val="0097441E"/>
    <w:rsid w:val="00975990"/>
    <w:rsid w:val="00975FB0"/>
    <w:rsid w:val="009762C7"/>
    <w:rsid w:val="0097670F"/>
    <w:rsid w:val="00976C61"/>
    <w:rsid w:val="0097710C"/>
    <w:rsid w:val="009803EC"/>
    <w:rsid w:val="00980DC7"/>
    <w:rsid w:val="00981215"/>
    <w:rsid w:val="009812AC"/>
    <w:rsid w:val="009812FC"/>
    <w:rsid w:val="009813BF"/>
    <w:rsid w:val="009816E3"/>
    <w:rsid w:val="009819CD"/>
    <w:rsid w:val="00981AC2"/>
    <w:rsid w:val="00982032"/>
    <w:rsid w:val="009824DD"/>
    <w:rsid w:val="00982C0D"/>
    <w:rsid w:val="009834ED"/>
    <w:rsid w:val="00983D98"/>
    <w:rsid w:val="009844B4"/>
    <w:rsid w:val="0098453B"/>
    <w:rsid w:val="0098461D"/>
    <w:rsid w:val="009849BE"/>
    <w:rsid w:val="00984BB9"/>
    <w:rsid w:val="00984D82"/>
    <w:rsid w:val="0098572B"/>
    <w:rsid w:val="00985CDA"/>
    <w:rsid w:val="0098603A"/>
    <w:rsid w:val="00986137"/>
    <w:rsid w:val="00986B96"/>
    <w:rsid w:val="0098740B"/>
    <w:rsid w:val="00987506"/>
    <w:rsid w:val="00987512"/>
    <w:rsid w:val="00987C6F"/>
    <w:rsid w:val="00990117"/>
    <w:rsid w:val="0099018C"/>
    <w:rsid w:val="00990708"/>
    <w:rsid w:val="00990718"/>
    <w:rsid w:val="00990C3D"/>
    <w:rsid w:val="00991269"/>
    <w:rsid w:val="0099199D"/>
    <w:rsid w:val="00991B9A"/>
    <w:rsid w:val="0099238D"/>
    <w:rsid w:val="0099242C"/>
    <w:rsid w:val="00992837"/>
    <w:rsid w:val="00992A01"/>
    <w:rsid w:val="00993499"/>
    <w:rsid w:val="009934DB"/>
    <w:rsid w:val="009939CB"/>
    <w:rsid w:val="00993D95"/>
    <w:rsid w:val="009945C0"/>
    <w:rsid w:val="009948FE"/>
    <w:rsid w:val="009949AE"/>
    <w:rsid w:val="00994D3D"/>
    <w:rsid w:val="00995267"/>
    <w:rsid w:val="009952F4"/>
    <w:rsid w:val="00995756"/>
    <w:rsid w:val="00995B8C"/>
    <w:rsid w:val="00995E08"/>
    <w:rsid w:val="00996468"/>
    <w:rsid w:val="009966AD"/>
    <w:rsid w:val="009967AF"/>
    <w:rsid w:val="00997125"/>
    <w:rsid w:val="00997F39"/>
    <w:rsid w:val="009A0208"/>
    <w:rsid w:val="009A03AC"/>
    <w:rsid w:val="009A0B05"/>
    <w:rsid w:val="009A0BE4"/>
    <w:rsid w:val="009A1089"/>
    <w:rsid w:val="009A1B80"/>
    <w:rsid w:val="009A1D3F"/>
    <w:rsid w:val="009A1F44"/>
    <w:rsid w:val="009A21EE"/>
    <w:rsid w:val="009A24A0"/>
    <w:rsid w:val="009A253B"/>
    <w:rsid w:val="009A3205"/>
    <w:rsid w:val="009A346F"/>
    <w:rsid w:val="009A3C6E"/>
    <w:rsid w:val="009A3CC7"/>
    <w:rsid w:val="009A3DA2"/>
    <w:rsid w:val="009A49BD"/>
    <w:rsid w:val="009A640C"/>
    <w:rsid w:val="009A671A"/>
    <w:rsid w:val="009A6A04"/>
    <w:rsid w:val="009A6A34"/>
    <w:rsid w:val="009A78A6"/>
    <w:rsid w:val="009A7BB0"/>
    <w:rsid w:val="009B01AE"/>
    <w:rsid w:val="009B04F2"/>
    <w:rsid w:val="009B0A43"/>
    <w:rsid w:val="009B0EAE"/>
    <w:rsid w:val="009B123D"/>
    <w:rsid w:val="009B12D4"/>
    <w:rsid w:val="009B1C1B"/>
    <w:rsid w:val="009B1E55"/>
    <w:rsid w:val="009B1FF8"/>
    <w:rsid w:val="009B22AC"/>
    <w:rsid w:val="009B35BF"/>
    <w:rsid w:val="009B4C28"/>
    <w:rsid w:val="009B4C3E"/>
    <w:rsid w:val="009B4D2F"/>
    <w:rsid w:val="009B5038"/>
    <w:rsid w:val="009B56BE"/>
    <w:rsid w:val="009B573C"/>
    <w:rsid w:val="009B6071"/>
    <w:rsid w:val="009B6E0F"/>
    <w:rsid w:val="009B6EF9"/>
    <w:rsid w:val="009B7356"/>
    <w:rsid w:val="009B78A7"/>
    <w:rsid w:val="009B7A8A"/>
    <w:rsid w:val="009C03A2"/>
    <w:rsid w:val="009C099B"/>
    <w:rsid w:val="009C0B86"/>
    <w:rsid w:val="009C113F"/>
    <w:rsid w:val="009C1832"/>
    <w:rsid w:val="009C1ADB"/>
    <w:rsid w:val="009C37BF"/>
    <w:rsid w:val="009C398A"/>
    <w:rsid w:val="009C39D9"/>
    <w:rsid w:val="009C407C"/>
    <w:rsid w:val="009C4676"/>
    <w:rsid w:val="009C4ADF"/>
    <w:rsid w:val="009C576C"/>
    <w:rsid w:val="009C5BB9"/>
    <w:rsid w:val="009C5FC3"/>
    <w:rsid w:val="009C60E9"/>
    <w:rsid w:val="009C6629"/>
    <w:rsid w:val="009C7231"/>
    <w:rsid w:val="009C7896"/>
    <w:rsid w:val="009C7E85"/>
    <w:rsid w:val="009D014A"/>
    <w:rsid w:val="009D0530"/>
    <w:rsid w:val="009D0C23"/>
    <w:rsid w:val="009D0CF4"/>
    <w:rsid w:val="009D0D52"/>
    <w:rsid w:val="009D140A"/>
    <w:rsid w:val="009D1A74"/>
    <w:rsid w:val="009D1C65"/>
    <w:rsid w:val="009D2470"/>
    <w:rsid w:val="009D2B87"/>
    <w:rsid w:val="009D2C76"/>
    <w:rsid w:val="009D2CDC"/>
    <w:rsid w:val="009D3079"/>
    <w:rsid w:val="009D39E1"/>
    <w:rsid w:val="009D3D90"/>
    <w:rsid w:val="009D4060"/>
    <w:rsid w:val="009D43C4"/>
    <w:rsid w:val="009D4AF8"/>
    <w:rsid w:val="009D4C5D"/>
    <w:rsid w:val="009D5B6B"/>
    <w:rsid w:val="009D645F"/>
    <w:rsid w:val="009D6D3F"/>
    <w:rsid w:val="009D7410"/>
    <w:rsid w:val="009D7601"/>
    <w:rsid w:val="009D7622"/>
    <w:rsid w:val="009E055D"/>
    <w:rsid w:val="009E09DF"/>
    <w:rsid w:val="009E0BE2"/>
    <w:rsid w:val="009E137C"/>
    <w:rsid w:val="009E188B"/>
    <w:rsid w:val="009E1908"/>
    <w:rsid w:val="009E2463"/>
    <w:rsid w:val="009E262E"/>
    <w:rsid w:val="009E2B4C"/>
    <w:rsid w:val="009E2C55"/>
    <w:rsid w:val="009E2E3F"/>
    <w:rsid w:val="009E2FAC"/>
    <w:rsid w:val="009E44A4"/>
    <w:rsid w:val="009E4A34"/>
    <w:rsid w:val="009E4E3B"/>
    <w:rsid w:val="009E59F4"/>
    <w:rsid w:val="009E5A96"/>
    <w:rsid w:val="009E5DD3"/>
    <w:rsid w:val="009E5EDA"/>
    <w:rsid w:val="009E61B0"/>
    <w:rsid w:val="009E622E"/>
    <w:rsid w:val="009E6387"/>
    <w:rsid w:val="009E63F0"/>
    <w:rsid w:val="009E7209"/>
    <w:rsid w:val="009E760A"/>
    <w:rsid w:val="009E7BCD"/>
    <w:rsid w:val="009E7BFC"/>
    <w:rsid w:val="009F012F"/>
    <w:rsid w:val="009F0217"/>
    <w:rsid w:val="009F05AC"/>
    <w:rsid w:val="009F0707"/>
    <w:rsid w:val="009F086C"/>
    <w:rsid w:val="009F09BE"/>
    <w:rsid w:val="009F1191"/>
    <w:rsid w:val="009F1443"/>
    <w:rsid w:val="009F1448"/>
    <w:rsid w:val="009F1778"/>
    <w:rsid w:val="009F1949"/>
    <w:rsid w:val="009F1EEE"/>
    <w:rsid w:val="009F1F3F"/>
    <w:rsid w:val="009F2131"/>
    <w:rsid w:val="009F239C"/>
    <w:rsid w:val="009F2E88"/>
    <w:rsid w:val="009F39A1"/>
    <w:rsid w:val="009F3FE4"/>
    <w:rsid w:val="009F43DD"/>
    <w:rsid w:val="009F4825"/>
    <w:rsid w:val="009F49FF"/>
    <w:rsid w:val="009F5CE6"/>
    <w:rsid w:val="009F6041"/>
    <w:rsid w:val="009F60E0"/>
    <w:rsid w:val="009F68A3"/>
    <w:rsid w:val="009F6B75"/>
    <w:rsid w:val="009F6F3D"/>
    <w:rsid w:val="009F71FD"/>
    <w:rsid w:val="009F74DB"/>
    <w:rsid w:val="009F77DF"/>
    <w:rsid w:val="009F7813"/>
    <w:rsid w:val="009F7F8E"/>
    <w:rsid w:val="00A00221"/>
    <w:rsid w:val="00A00437"/>
    <w:rsid w:val="00A00792"/>
    <w:rsid w:val="00A00BCB"/>
    <w:rsid w:val="00A00DDA"/>
    <w:rsid w:val="00A01385"/>
    <w:rsid w:val="00A01B9D"/>
    <w:rsid w:val="00A0201C"/>
    <w:rsid w:val="00A02C0A"/>
    <w:rsid w:val="00A03068"/>
    <w:rsid w:val="00A03652"/>
    <w:rsid w:val="00A03A2A"/>
    <w:rsid w:val="00A03E4B"/>
    <w:rsid w:val="00A042BE"/>
    <w:rsid w:val="00A047DA"/>
    <w:rsid w:val="00A0480E"/>
    <w:rsid w:val="00A04844"/>
    <w:rsid w:val="00A04982"/>
    <w:rsid w:val="00A051EA"/>
    <w:rsid w:val="00A05464"/>
    <w:rsid w:val="00A05CA6"/>
    <w:rsid w:val="00A05CF4"/>
    <w:rsid w:val="00A06990"/>
    <w:rsid w:val="00A06ED8"/>
    <w:rsid w:val="00A06F9D"/>
    <w:rsid w:val="00A07570"/>
    <w:rsid w:val="00A10103"/>
    <w:rsid w:val="00A10BC9"/>
    <w:rsid w:val="00A11137"/>
    <w:rsid w:val="00A111EA"/>
    <w:rsid w:val="00A1135E"/>
    <w:rsid w:val="00A11447"/>
    <w:rsid w:val="00A11555"/>
    <w:rsid w:val="00A11B67"/>
    <w:rsid w:val="00A11DEE"/>
    <w:rsid w:val="00A127F8"/>
    <w:rsid w:val="00A12A38"/>
    <w:rsid w:val="00A12A97"/>
    <w:rsid w:val="00A12B28"/>
    <w:rsid w:val="00A1374B"/>
    <w:rsid w:val="00A13EAB"/>
    <w:rsid w:val="00A15545"/>
    <w:rsid w:val="00A1602B"/>
    <w:rsid w:val="00A162DF"/>
    <w:rsid w:val="00A16324"/>
    <w:rsid w:val="00A16FA7"/>
    <w:rsid w:val="00A17013"/>
    <w:rsid w:val="00A17AF1"/>
    <w:rsid w:val="00A17B4D"/>
    <w:rsid w:val="00A17B91"/>
    <w:rsid w:val="00A20220"/>
    <w:rsid w:val="00A2055E"/>
    <w:rsid w:val="00A20CAE"/>
    <w:rsid w:val="00A21676"/>
    <w:rsid w:val="00A21C7C"/>
    <w:rsid w:val="00A225DB"/>
    <w:rsid w:val="00A23269"/>
    <w:rsid w:val="00A23DCC"/>
    <w:rsid w:val="00A23F95"/>
    <w:rsid w:val="00A24090"/>
    <w:rsid w:val="00A24C51"/>
    <w:rsid w:val="00A252DC"/>
    <w:rsid w:val="00A256A9"/>
    <w:rsid w:val="00A25E6E"/>
    <w:rsid w:val="00A26159"/>
    <w:rsid w:val="00A26462"/>
    <w:rsid w:val="00A26700"/>
    <w:rsid w:val="00A26B21"/>
    <w:rsid w:val="00A274E2"/>
    <w:rsid w:val="00A27891"/>
    <w:rsid w:val="00A27A34"/>
    <w:rsid w:val="00A27BE4"/>
    <w:rsid w:val="00A27E94"/>
    <w:rsid w:val="00A301FD"/>
    <w:rsid w:val="00A30B97"/>
    <w:rsid w:val="00A31193"/>
    <w:rsid w:val="00A312FC"/>
    <w:rsid w:val="00A31F9A"/>
    <w:rsid w:val="00A31FF4"/>
    <w:rsid w:val="00A32429"/>
    <w:rsid w:val="00A3288D"/>
    <w:rsid w:val="00A3307A"/>
    <w:rsid w:val="00A33111"/>
    <w:rsid w:val="00A33A21"/>
    <w:rsid w:val="00A33A75"/>
    <w:rsid w:val="00A34BDA"/>
    <w:rsid w:val="00A358DC"/>
    <w:rsid w:val="00A362FE"/>
    <w:rsid w:val="00A36EC0"/>
    <w:rsid w:val="00A37357"/>
    <w:rsid w:val="00A374BC"/>
    <w:rsid w:val="00A375B5"/>
    <w:rsid w:val="00A37719"/>
    <w:rsid w:val="00A40089"/>
    <w:rsid w:val="00A4164A"/>
    <w:rsid w:val="00A41C3D"/>
    <w:rsid w:val="00A41F2E"/>
    <w:rsid w:val="00A432A0"/>
    <w:rsid w:val="00A4354B"/>
    <w:rsid w:val="00A43F0A"/>
    <w:rsid w:val="00A43FF9"/>
    <w:rsid w:val="00A44220"/>
    <w:rsid w:val="00A45207"/>
    <w:rsid w:val="00A45944"/>
    <w:rsid w:val="00A46305"/>
    <w:rsid w:val="00A465E9"/>
    <w:rsid w:val="00A468F2"/>
    <w:rsid w:val="00A46A4B"/>
    <w:rsid w:val="00A470C6"/>
    <w:rsid w:val="00A47774"/>
    <w:rsid w:val="00A47BC1"/>
    <w:rsid w:val="00A50713"/>
    <w:rsid w:val="00A5077D"/>
    <w:rsid w:val="00A50899"/>
    <w:rsid w:val="00A50D1E"/>
    <w:rsid w:val="00A51049"/>
    <w:rsid w:val="00A51084"/>
    <w:rsid w:val="00A512A2"/>
    <w:rsid w:val="00A5175F"/>
    <w:rsid w:val="00A51875"/>
    <w:rsid w:val="00A518F7"/>
    <w:rsid w:val="00A51A4B"/>
    <w:rsid w:val="00A5216F"/>
    <w:rsid w:val="00A52254"/>
    <w:rsid w:val="00A52401"/>
    <w:rsid w:val="00A5287D"/>
    <w:rsid w:val="00A529D4"/>
    <w:rsid w:val="00A54C42"/>
    <w:rsid w:val="00A550F7"/>
    <w:rsid w:val="00A55BF7"/>
    <w:rsid w:val="00A55F9E"/>
    <w:rsid w:val="00A562BE"/>
    <w:rsid w:val="00A568ED"/>
    <w:rsid w:val="00A56A4F"/>
    <w:rsid w:val="00A56DDE"/>
    <w:rsid w:val="00A5773B"/>
    <w:rsid w:val="00A5787F"/>
    <w:rsid w:val="00A57E73"/>
    <w:rsid w:val="00A600F7"/>
    <w:rsid w:val="00A601FA"/>
    <w:rsid w:val="00A60436"/>
    <w:rsid w:val="00A6052E"/>
    <w:rsid w:val="00A60601"/>
    <w:rsid w:val="00A607D9"/>
    <w:rsid w:val="00A60C3A"/>
    <w:rsid w:val="00A61BD3"/>
    <w:rsid w:val="00A61C35"/>
    <w:rsid w:val="00A621B7"/>
    <w:rsid w:val="00A62DC7"/>
    <w:rsid w:val="00A62E23"/>
    <w:rsid w:val="00A63037"/>
    <w:rsid w:val="00A6323E"/>
    <w:rsid w:val="00A63277"/>
    <w:rsid w:val="00A638B4"/>
    <w:rsid w:val="00A63AF3"/>
    <w:rsid w:val="00A63C03"/>
    <w:rsid w:val="00A6419E"/>
    <w:rsid w:val="00A64E32"/>
    <w:rsid w:val="00A64E8C"/>
    <w:rsid w:val="00A64EF8"/>
    <w:rsid w:val="00A65CE4"/>
    <w:rsid w:val="00A65E01"/>
    <w:rsid w:val="00A6619D"/>
    <w:rsid w:val="00A664B6"/>
    <w:rsid w:val="00A6677B"/>
    <w:rsid w:val="00A66CE9"/>
    <w:rsid w:val="00A67D1C"/>
    <w:rsid w:val="00A702BB"/>
    <w:rsid w:val="00A70798"/>
    <w:rsid w:val="00A70BB5"/>
    <w:rsid w:val="00A70F1D"/>
    <w:rsid w:val="00A70FB9"/>
    <w:rsid w:val="00A70FE6"/>
    <w:rsid w:val="00A710AC"/>
    <w:rsid w:val="00A7177F"/>
    <w:rsid w:val="00A717AD"/>
    <w:rsid w:val="00A7186E"/>
    <w:rsid w:val="00A71CBF"/>
    <w:rsid w:val="00A71FC9"/>
    <w:rsid w:val="00A725DB"/>
    <w:rsid w:val="00A72980"/>
    <w:rsid w:val="00A729FA"/>
    <w:rsid w:val="00A72C03"/>
    <w:rsid w:val="00A733FB"/>
    <w:rsid w:val="00A73738"/>
    <w:rsid w:val="00A73D7C"/>
    <w:rsid w:val="00A73E8F"/>
    <w:rsid w:val="00A747DC"/>
    <w:rsid w:val="00A74D4E"/>
    <w:rsid w:val="00A74DFA"/>
    <w:rsid w:val="00A752A2"/>
    <w:rsid w:val="00A753BD"/>
    <w:rsid w:val="00A761EE"/>
    <w:rsid w:val="00A766DD"/>
    <w:rsid w:val="00A76A99"/>
    <w:rsid w:val="00A76B33"/>
    <w:rsid w:val="00A76FA4"/>
    <w:rsid w:val="00A777C4"/>
    <w:rsid w:val="00A77933"/>
    <w:rsid w:val="00A77F98"/>
    <w:rsid w:val="00A77FCB"/>
    <w:rsid w:val="00A80559"/>
    <w:rsid w:val="00A80813"/>
    <w:rsid w:val="00A80EA4"/>
    <w:rsid w:val="00A8115F"/>
    <w:rsid w:val="00A819DD"/>
    <w:rsid w:val="00A81C95"/>
    <w:rsid w:val="00A81DE0"/>
    <w:rsid w:val="00A81F01"/>
    <w:rsid w:val="00A82D4D"/>
    <w:rsid w:val="00A83A16"/>
    <w:rsid w:val="00A83CA5"/>
    <w:rsid w:val="00A83DCF"/>
    <w:rsid w:val="00A84336"/>
    <w:rsid w:val="00A84863"/>
    <w:rsid w:val="00A84EAD"/>
    <w:rsid w:val="00A84EBD"/>
    <w:rsid w:val="00A84EDD"/>
    <w:rsid w:val="00A84F34"/>
    <w:rsid w:val="00A86125"/>
    <w:rsid w:val="00A8620E"/>
    <w:rsid w:val="00A864E9"/>
    <w:rsid w:val="00A86521"/>
    <w:rsid w:val="00A86CC9"/>
    <w:rsid w:val="00A8717F"/>
    <w:rsid w:val="00A87673"/>
    <w:rsid w:val="00A87906"/>
    <w:rsid w:val="00A87958"/>
    <w:rsid w:val="00A87E75"/>
    <w:rsid w:val="00A87E9E"/>
    <w:rsid w:val="00A901BE"/>
    <w:rsid w:val="00A904E2"/>
    <w:rsid w:val="00A90D2E"/>
    <w:rsid w:val="00A912E7"/>
    <w:rsid w:val="00A915CA"/>
    <w:rsid w:val="00A91B6C"/>
    <w:rsid w:val="00A91E97"/>
    <w:rsid w:val="00A92BCF"/>
    <w:rsid w:val="00A93095"/>
    <w:rsid w:val="00A93309"/>
    <w:rsid w:val="00A939EB"/>
    <w:rsid w:val="00A9448F"/>
    <w:rsid w:val="00A94F32"/>
    <w:rsid w:val="00A95326"/>
    <w:rsid w:val="00A9542D"/>
    <w:rsid w:val="00A954FD"/>
    <w:rsid w:val="00A957DD"/>
    <w:rsid w:val="00A95C73"/>
    <w:rsid w:val="00A95E2B"/>
    <w:rsid w:val="00A96085"/>
    <w:rsid w:val="00A96151"/>
    <w:rsid w:val="00A96424"/>
    <w:rsid w:val="00A96A1C"/>
    <w:rsid w:val="00A96A42"/>
    <w:rsid w:val="00A97616"/>
    <w:rsid w:val="00A97AC3"/>
    <w:rsid w:val="00AA0125"/>
    <w:rsid w:val="00AA0297"/>
    <w:rsid w:val="00AA1499"/>
    <w:rsid w:val="00AA170D"/>
    <w:rsid w:val="00AA19A6"/>
    <w:rsid w:val="00AA1AED"/>
    <w:rsid w:val="00AA1EE1"/>
    <w:rsid w:val="00AA20B1"/>
    <w:rsid w:val="00AA262E"/>
    <w:rsid w:val="00AA2993"/>
    <w:rsid w:val="00AA2BA2"/>
    <w:rsid w:val="00AA2C89"/>
    <w:rsid w:val="00AA3451"/>
    <w:rsid w:val="00AA3C1A"/>
    <w:rsid w:val="00AA43BD"/>
    <w:rsid w:val="00AA46E6"/>
    <w:rsid w:val="00AA48B6"/>
    <w:rsid w:val="00AA48C1"/>
    <w:rsid w:val="00AA5EC1"/>
    <w:rsid w:val="00AA60A4"/>
    <w:rsid w:val="00AA6AB5"/>
    <w:rsid w:val="00AA6FE1"/>
    <w:rsid w:val="00AA73A8"/>
    <w:rsid w:val="00AA7ADF"/>
    <w:rsid w:val="00AA7C13"/>
    <w:rsid w:val="00AA7E0A"/>
    <w:rsid w:val="00AB006F"/>
    <w:rsid w:val="00AB0BEA"/>
    <w:rsid w:val="00AB1A9F"/>
    <w:rsid w:val="00AB200F"/>
    <w:rsid w:val="00AB3037"/>
    <w:rsid w:val="00AB3184"/>
    <w:rsid w:val="00AB33CF"/>
    <w:rsid w:val="00AB33F9"/>
    <w:rsid w:val="00AB35B0"/>
    <w:rsid w:val="00AB3CEC"/>
    <w:rsid w:val="00AB3E8B"/>
    <w:rsid w:val="00AB4AFF"/>
    <w:rsid w:val="00AB537C"/>
    <w:rsid w:val="00AB5887"/>
    <w:rsid w:val="00AB5B81"/>
    <w:rsid w:val="00AB5C13"/>
    <w:rsid w:val="00AB5D24"/>
    <w:rsid w:val="00AB617F"/>
    <w:rsid w:val="00AB6276"/>
    <w:rsid w:val="00AB64E5"/>
    <w:rsid w:val="00AB65F3"/>
    <w:rsid w:val="00AB6C31"/>
    <w:rsid w:val="00AB7213"/>
    <w:rsid w:val="00AB7442"/>
    <w:rsid w:val="00AB74CF"/>
    <w:rsid w:val="00AC0717"/>
    <w:rsid w:val="00AC0A0A"/>
    <w:rsid w:val="00AC1226"/>
    <w:rsid w:val="00AC1686"/>
    <w:rsid w:val="00AC179A"/>
    <w:rsid w:val="00AC18EF"/>
    <w:rsid w:val="00AC24F6"/>
    <w:rsid w:val="00AC299E"/>
    <w:rsid w:val="00AC2A54"/>
    <w:rsid w:val="00AC2CAF"/>
    <w:rsid w:val="00AC4AC3"/>
    <w:rsid w:val="00AC598F"/>
    <w:rsid w:val="00AC5C6A"/>
    <w:rsid w:val="00AC635D"/>
    <w:rsid w:val="00AC6484"/>
    <w:rsid w:val="00AC65AF"/>
    <w:rsid w:val="00AC679E"/>
    <w:rsid w:val="00AC7052"/>
    <w:rsid w:val="00AC7703"/>
    <w:rsid w:val="00AC7E57"/>
    <w:rsid w:val="00AD0558"/>
    <w:rsid w:val="00AD10E5"/>
    <w:rsid w:val="00AD13A8"/>
    <w:rsid w:val="00AD1A75"/>
    <w:rsid w:val="00AD1FF4"/>
    <w:rsid w:val="00AD23CC"/>
    <w:rsid w:val="00AD2479"/>
    <w:rsid w:val="00AD248F"/>
    <w:rsid w:val="00AD31B5"/>
    <w:rsid w:val="00AD31EC"/>
    <w:rsid w:val="00AD32BE"/>
    <w:rsid w:val="00AD35A4"/>
    <w:rsid w:val="00AD37F0"/>
    <w:rsid w:val="00AD3C2A"/>
    <w:rsid w:val="00AD3E6B"/>
    <w:rsid w:val="00AD4028"/>
    <w:rsid w:val="00AD4379"/>
    <w:rsid w:val="00AD4652"/>
    <w:rsid w:val="00AD4A21"/>
    <w:rsid w:val="00AD4C27"/>
    <w:rsid w:val="00AD4DAE"/>
    <w:rsid w:val="00AD59D8"/>
    <w:rsid w:val="00AD5D1F"/>
    <w:rsid w:val="00AD5D9A"/>
    <w:rsid w:val="00AD5E26"/>
    <w:rsid w:val="00AD6676"/>
    <w:rsid w:val="00AD6833"/>
    <w:rsid w:val="00AD6D41"/>
    <w:rsid w:val="00AD715B"/>
    <w:rsid w:val="00AD7356"/>
    <w:rsid w:val="00AD77FA"/>
    <w:rsid w:val="00AE06F7"/>
    <w:rsid w:val="00AE0E20"/>
    <w:rsid w:val="00AE1220"/>
    <w:rsid w:val="00AE14B9"/>
    <w:rsid w:val="00AE1923"/>
    <w:rsid w:val="00AE1B66"/>
    <w:rsid w:val="00AE1CFC"/>
    <w:rsid w:val="00AE1D4C"/>
    <w:rsid w:val="00AE23AB"/>
    <w:rsid w:val="00AE252A"/>
    <w:rsid w:val="00AE29AA"/>
    <w:rsid w:val="00AE3B14"/>
    <w:rsid w:val="00AE3D0F"/>
    <w:rsid w:val="00AE4513"/>
    <w:rsid w:val="00AE48A4"/>
    <w:rsid w:val="00AE4D24"/>
    <w:rsid w:val="00AE4F38"/>
    <w:rsid w:val="00AE507F"/>
    <w:rsid w:val="00AE521A"/>
    <w:rsid w:val="00AE600B"/>
    <w:rsid w:val="00AE6139"/>
    <w:rsid w:val="00AE6873"/>
    <w:rsid w:val="00AE6D21"/>
    <w:rsid w:val="00AE6D50"/>
    <w:rsid w:val="00AE7F9B"/>
    <w:rsid w:val="00AF03AA"/>
    <w:rsid w:val="00AF1099"/>
    <w:rsid w:val="00AF1DE2"/>
    <w:rsid w:val="00AF278C"/>
    <w:rsid w:val="00AF2806"/>
    <w:rsid w:val="00AF34EA"/>
    <w:rsid w:val="00AF362D"/>
    <w:rsid w:val="00AF406C"/>
    <w:rsid w:val="00AF428A"/>
    <w:rsid w:val="00AF498E"/>
    <w:rsid w:val="00AF4AF0"/>
    <w:rsid w:val="00AF4E90"/>
    <w:rsid w:val="00AF4FDE"/>
    <w:rsid w:val="00AF5391"/>
    <w:rsid w:val="00AF5912"/>
    <w:rsid w:val="00AF5D8B"/>
    <w:rsid w:val="00AF698E"/>
    <w:rsid w:val="00AF6A75"/>
    <w:rsid w:val="00AF6EE6"/>
    <w:rsid w:val="00AF7341"/>
    <w:rsid w:val="00AF7555"/>
    <w:rsid w:val="00AF7CBE"/>
    <w:rsid w:val="00B0063B"/>
    <w:rsid w:val="00B00A76"/>
    <w:rsid w:val="00B00EA1"/>
    <w:rsid w:val="00B00F17"/>
    <w:rsid w:val="00B01DB9"/>
    <w:rsid w:val="00B01E36"/>
    <w:rsid w:val="00B025A1"/>
    <w:rsid w:val="00B0264A"/>
    <w:rsid w:val="00B03DEE"/>
    <w:rsid w:val="00B04C10"/>
    <w:rsid w:val="00B04D6B"/>
    <w:rsid w:val="00B0575B"/>
    <w:rsid w:val="00B068E4"/>
    <w:rsid w:val="00B068FF"/>
    <w:rsid w:val="00B069DE"/>
    <w:rsid w:val="00B06A46"/>
    <w:rsid w:val="00B078AE"/>
    <w:rsid w:val="00B07ED5"/>
    <w:rsid w:val="00B1063A"/>
    <w:rsid w:val="00B10802"/>
    <w:rsid w:val="00B1147E"/>
    <w:rsid w:val="00B115ED"/>
    <w:rsid w:val="00B117CB"/>
    <w:rsid w:val="00B117D7"/>
    <w:rsid w:val="00B12047"/>
    <w:rsid w:val="00B12732"/>
    <w:rsid w:val="00B12E82"/>
    <w:rsid w:val="00B12FD8"/>
    <w:rsid w:val="00B13785"/>
    <w:rsid w:val="00B13B16"/>
    <w:rsid w:val="00B13B8E"/>
    <w:rsid w:val="00B13BC6"/>
    <w:rsid w:val="00B142E0"/>
    <w:rsid w:val="00B15237"/>
    <w:rsid w:val="00B156A9"/>
    <w:rsid w:val="00B15E04"/>
    <w:rsid w:val="00B16360"/>
    <w:rsid w:val="00B166F6"/>
    <w:rsid w:val="00B2074F"/>
    <w:rsid w:val="00B210CC"/>
    <w:rsid w:val="00B21E4C"/>
    <w:rsid w:val="00B231BC"/>
    <w:rsid w:val="00B23573"/>
    <w:rsid w:val="00B23ABE"/>
    <w:rsid w:val="00B23B67"/>
    <w:rsid w:val="00B23E8B"/>
    <w:rsid w:val="00B23F6D"/>
    <w:rsid w:val="00B24B78"/>
    <w:rsid w:val="00B26797"/>
    <w:rsid w:val="00B26C98"/>
    <w:rsid w:val="00B26E4F"/>
    <w:rsid w:val="00B27027"/>
    <w:rsid w:val="00B271E8"/>
    <w:rsid w:val="00B275D8"/>
    <w:rsid w:val="00B27981"/>
    <w:rsid w:val="00B3135E"/>
    <w:rsid w:val="00B313F6"/>
    <w:rsid w:val="00B31BDA"/>
    <w:rsid w:val="00B31DC7"/>
    <w:rsid w:val="00B31E63"/>
    <w:rsid w:val="00B32506"/>
    <w:rsid w:val="00B32CCD"/>
    <w:rsid w:val="00B32CDB"/>
    <w:rsid w:val="00B32F66"/>
    <w:rsid w:val="00B33678"/>
    <w:rsid w:val="00B33E58"/>
    <w:rsid w:val="00B33FD6"/>
    <w:rsid w:val="00B340B5"/>
    <w:rsid w:val="00B348D2"/>
    <w:rsid w:val="00B34AFD"/>
    <w:rsid w:val="00B3512D"/>
    <w:rsid w:val="00B353F0"/>
    <w:rsid w:val="00B354E2"/>
    <w:rsid w:val="00B358C1"/>
    <w:rsid w:val="00B35C85"/>
    <w:rsid w:val="00B361AC"/>
    <w:rsid w:val="00B36705"/>
    <w:rsid w:val="00B36B2F"/>
    <w:rsid w:val="00B37073"/>
    <w:rsid w:val="00B37391"/>
    <w:rsid w:val="00B3740B"/>
    <w:rsid w:val="00B37D98"/>
    <w:rsid w:val="00B40037"/>
    <w:rsid w:val="00B4141C"/>
    <w:rsid w:val="00B414E0"/>
    <w:rsid w:val="00B41861"/>
    <w:rsid w:val="00B41A1A"/>
    <w:rsid w:val="00B41D7E"/>
    <w:rsid w:val="00B42107"/>
    <w:rsid w:val="00B4244B"/>
    <w:rsid w:val="00B4274F"/>
    <w:rsid w:val="00B427F8"/>
    <w:rsid w:val="00B42B07"/>
    <w:rsid w:val="00B439E2"/>
    <w:rsid w:val="00B43A1C"/>
    <w:rsid w:val="00B43F14"/>
    <w:rsid w:val="00B440D1"/>
    <w:rsid w:val="00B443DF"/>
    <w:rsid w:val="00B446E4"/>
    <w:rsid w:val="00B4492B"/>
    <w:rsid w:val="00B44A28"/>
    <w:rsid w:val="00B453BC"/>
    <w:rsid w:val="00B457F9"/>
    <w:rsid w:val="00B45B91"/>
    <w:rsid w:val="00B45BBA"/>
    <w:rsid w:val="00B462D8"/>
    <w:rsid w:val="00B46347"/>
    <w:rsid w:val="00B46444"/>
    <w:rsid w:val="00B47117"/>
    <w:rsid w:val="00B475E1"/>
    <w:rsid w:val="00B4762E"/>
    <w:rsid w:val="00B47D1C"/>
    <w:rsid w:val="00B507E3"/>
    <w:rsid w:val="00B5155A"/>
    <w:rsid w:val="00B51800"/>
    <w:rsid w:val="00B51E22"/>
    <w:rsid w:val="00B51E5E"/>
    <w:rsid w:val="00B51F70"/>
    <w:rsid w:val="00B52425"/>
    <w:rsid w:val="00B52EAD"/>
    <w:rsid w:val="00B52F35"/>
    <w:rsid w:val="00B52F36"/>
    <w:rsid w:val="00B546AB"/>
    <w:rsid w:val="00B5474A"/>
    <w:rsid w:val="00B547C5"/>
    <w:rsid w:val="00B54851"/>
    <w:rsid w:val="00B54B97"/>
    <w:rsid w:val="00B54C7E"/>
    <w:rsid w:val="00B554EB"/>
    <w:rsid w:val="00B55825"/>
    <w:rsid w:val="00B55C56"/>
    <w:rsid w:val="00B55E9E"/>
    <w:rsid w:val="00B566ED"/>
    <w:rsid w:val="00B57205"/>
    <w:rsid w:val="00B57320"/>
    <w:rsid w:val="00B574FC"/>
    <w:rsid w:val="00B603D4"/>
    <w:rsid w:val="00B604C7"/>
    <w:rsid w:val="00B60CC4"/>
    <w:rsid w:val="00B60E24"/>
    <w:rsid w:val="00B61068"/>
    <w:rsid w:val="00B6118D"/>
    <w:rsid w:val="00B61F6B"/>
    <w:rsid w:val="00B62104"/>
    <w:rsid w:val="00B6233A"/>
    <w:rsid w:val="00B62AFD"/>
    <w:rsid w:val="00B6312A"/>
    <w:rsid w:val="00B63594"/>
    <w:rsid w:val="00B63CE9"/>
    <w:rsid w:val="00B64FF2"/>
    <w:rsid w:val="00B651B7"/>
    <w:rsid w:val="00B65553"/>
    <w:rsid w:val="00B65643"/>
    <w:rsid w:val="00B658B7"/>
    <w:rsid w:val="00B66D63"/>
    <w:rsid w:val="00B66E77"/>
    <w:rsid w:val="00B674BE"/>
    <w:rsid w:val="00B6799D"/>
    <w:rsid w:val="00B67A5D"/>
    <w:rsid w:val="00B67BF5"/>
    <w:rsid w:val="00B70240"/>
    <w:rsid w:val="00B7038A"/>
    <w:rsid w:val="00B706E0"/>
    <w:rsid w:val="00B70E68"/>
    <w:rsid w:val="00B71BEA"/>
    <w:rsid w:val="00B71D0E"/>
    <w:rsid w:val="00B71D57"/>
    <w:rsid w:val="00B7222F"/>
    <w:rsid w:val="00B72616"/>
    <w:rsid w:val="00B72C21"/>
    <w:rsid w:val="00B7351F"/>
    <w:rsid w:val="00B73814"/>
    <w:rsid w:val="00B73D20"/>
    <w:rsid w:val="00B73F56"/>
    <w:rsid w:val="00B743DF"/>
    <w:rsid w:val="00B74B6F"/>
    <w:rsid w:val="00B752A3"/>
    <w:rsid w:val="00B75640"/>
    <w:rsid w:val="00B75690"/>
    <w:rsid w:val="00B759E3"/>
    <w:rsid w:val="00B76B9D"/>
    <w:rsid w:val="00B7706F"/>
    <w:rsid w:val="00B77355"/>
    <w:rsid w:val="00B776A8"/>
    <w:rsid w:val="00B77A84"/>
    <w:rsid w:val="00B77E94"/>
    <w:rsid w:val="00B80321"/>
    <w:rsid w:val="00B81EC7"/>
    <w:rsid w:val="00B821B7"/>
    <w:rsid w:val="00B8299B"/>
    <w:rsid w:val="00B83503"/>
    <w:rsid w:val="00B84D02"/>
    <w:rsid w:val="00B84ED5"/>
    <w:rsid w:val="00B85018"/>
    <w:rsid w:val="00B85517"/>
    <w:rsid w:val="00B858B4"/>
    <w:rsid w:val="00B863E7"/>
    <w:rsid w:val="00B86CD2"/>
    <w:rsid w:val="00B8778B"/>
    <w:rsid w:val="00B9031C"/>
    <w:rsid w:val="00B90653"/>
    <w:rsid w:val="00B925DB"/>
    <w:rsid w:val="00B9333B"/>
    <w:rsid w:val="00B938E4"/>
    <w:rsid w:val="00B93D40"/>
    <w:rsid w:val="00B947BF"/>
    <w:rsid w:val="00B94811"/>
    <w:rsid w:val="00B94BC2"/>
    <w:rsid w:val="00B94E55"/>
    <w:rsid w:val="00B94F87"/>
    <w:rsid w:val="00B951C1"/>
    <w:rsid w:val="00B9556E"/>
    <w:rsid w:val="00B95619"/>
    <w:rsid w:val="00B95DC7"/>
    <w:rsid w:val="00B96335"/>
    <w:rsid w:val="00B96C53"/>
    <w:rsid w:val="00B975CF"/>
    <w:rsid w:val="00B97784"/>
    <w:rsid w:val="00BA0103"/>
    <w:rsid w:val="00BA0DF2"/>
    <w:rsid w:val="00BA0E5B"/>
    <w:rsid w:val="00BA0F89"/>
    <w:rsid w:val="00BA1049"/>
    <w:rsid w:val="00BA108A"/>
    <w:rsid w:val="00BA179D"/>
    <w:rsid w:val="00BA181F"/>
    <w:rsid w:val="00BA1AFD"/>
    <w:rsid w:val="00BA217B"/>
    <w:rsid w:val="00BA2A85"/>
    <w:rsid w:val="00BA3074"/>
    <w:rsid w:val="00BA3094"/>
    <w:rsid w:val="00BA37F0"/>
    <w:rsid w:val="00BA3CC9"/>
    <w:rsid w:val="00BA42EA"/>
    <w:rsid w:val="00BA4418"/>
    <w:rsid w:val="00BA4525"/>
    <w:rsid w:val="00BA4547"/>
    <w:rsid w:val="00BA4AAE"/>
    <w:rsid w:val="00BA4BFB"/>
    <w:rsid w:val="00BA4D60"/>
    <w:rsid w:val="00BA4E2C"/>
    <w:rsid w:val="00BA509D"/>
    <w:rsid w:val="00BA51F6"/>
    <w:rsid w:val="00BA5B47"/>
    <w:rsid w:val="00BA5ED6"/>
    <w:rsid w:val="00BA648B"/>
    <w:rsid w:val="00BA6818"/>
    <w:rsid w:val="00BA6E28"/>
    <w:rsid w:val="00BA74ED"/>
    <w:rsid w:val="00BA771E"/>
    <w:rsid w:val="00BA77DE"/>
    <w:rsid w:val="00BA782E"/>
    <w:rsid w:val="00BA7A25"/>
    <w:rsid w:val="00BA7C2F"/>
    <w:rsid w:val="00BB05F4"/>
    <w:rsid w:val="00BB0630"/>
    <w:rsid w:val="00BB064E"/>
    <w:rsid w:val="00BB12F6"/>
    <w:rsid w:val="00BB13AC"/>
    <w:rsid w:val="00BB1CAB"/>
    <w:rsid w:val="00BB2405"/>
    <w:rsid w:val="00BB2DFE"/>
    <w:rsid w:val="00BB3436"/>
    <w:rsid w:val="00BB3828"/>
    <w:rsid w:val="00BB3A7C"/>
    <w:rsid w:val="00BB3D9E"/>
    <w:rsid w:val="00BB4199"/>
    <w:rsid w:val="00BB48F9"/>
    <w:rsid w:val="00BB4D2D"/>
    <w:rsid w:val="00BB4D97"/>
    <w:rsid w:val="00BB51DC"/>
    <w:rsid w:val="00BB53DF"/>
    <w:rsid w:val="00BB56C4"/>
    <w:rsid w:val="00BB5776"/>
    <w:rsid w:val="00BB5B56"/>
    <w:rsid w:val="00BB6030"/>
    <w:rsid w:val="00BB6067"/>
    <w:rsid w:val="00BB6172"/>
    <w:rsid w:val="00BB6853"/>
    <w:rsid w:val="00BB6B0B"/>
    <w:rsid w:val="00BB6C0B"/>
    <w:rsid w:val="00BB6DEB"/>
    <w:rsid w:val="00BB6F1C"/>
    <w:rsid w:val="00BB772D"/>
    <w:rsid w:val="00BB7E75"/>
    <w:rsid w:val="00BC0725"/>
    <w:rsid w:val="00BC091B"/>
    <w:rsid w:val="00BC13E1"/>
    <w:rsid w:val="00BC1A7C"/>
    <w:rsid w:val="00BC23C0"/>
    <w:rsid w:val="00BC25A3"/>
    <w:rsid w:val="00BC265E"/>
    <w:rsid w:val="00BC2978"/>
    <w:rsid w:val="00BC3563"/>
    <w:rsid w:val="00BC3677"/>
    <w:rsid w:val="00BC4118"/>
    <w:rsid w:val="00BC466E"/>
    <w:rsid w:val="00BC4D34"/>
    <w:rsid w:val="00BC6794"/>
    <w:rsid w:val="00BC6862"/>
    <w:rsid w:val="00BC730B"/>
    <w:rsid w:val="00BC7530"/>
    <w:rsid w:val="00BC77EA"/>
    <w:rsid w:val="00BC7C23"/>
    <w:rsid w:val="00BD0264"/>
    <w:rsid w:val="00BD070A"/>
    <w:rsid w:val="00BD0750"/>
    <w:rsid w:val="00BD08AA"/>
    <w:rsid w:val="00BD0E33"/>
    <w:rsid w:val="00BD14A8"/>
    <w:rsid w:val="00BD1D83"/>
    <w:rsid w:val="00BD35F1"/>
    <w:rsid w:val="00BD369A"/>
    <w:rsid w:val="00BD37BA"/>
    <w:rsid w:val="00BD383C"/>
    <w:rsid w:val="00BD3A57"/>
    <w:rsid w:val="00BD4CCC"/>
    <w:rsid w:val="00BD51DF"/>
    <w:rsid w:val="00BD577E"/>
    <w:rsid w:val="00BD58C0"/>
    <w:rsid w:val="00BD58CD"/>
    <w:rsid w:val="00BD5FD1"/>
    <w:rsid w:val="00BD601C"/>
    <w:rsid w:val="00BD6550"/>
    <w:rsid w:val="00BD6B3A"/>
    <w:rsid w:val="00BD6E31"/>
    <w:rsid w:val="00BD70AE"/>
    <w:rsid w:val="00BD7A78"/>
    <w:rsid w:val="00BE024B"/>
    <w:rsid w:val="00BE05AF"/>
    <w:rsid w:val="00BE0CB7"/>
    <w:rsid w:val="00BE0DCB"/>
    <w:rsid w:val="00BE14AB"/>
    <w:rsid w:val="00BE172B"/>
    <w:rsid w:val="00BE1859"/>
    <w:rsid w:val="00BE1C87"/>
    <w:rsid w:val="00BE24E9"/>
    <w:rsid w:val="00BE2D0C"/>
    <w:rsid w:val="00BE2E40"/>
    <w:rsid w:val="00BE2EA5"/>
    <w:rsid w:val="00BE2EBD"/>
    <w:rsid w:val="00BE2F37"/>
    <w:rsid w:val="00BE32A6"/>
    <w:rsid w:val="00BE3535"/>
    <w:rsid w:val="00BE3F30"/>
    <w:rsid w:val="00BE4090"/>
    <w:rsid w:val="00BE40B0"/>
    <w:rsid w:val="00BE428C"/>
    <w:rsid w:val="00BE538C"/>
    <w:rsid w:val="00BE55E1"/>
    <w:rsid w:val="00BE6738"/>
    <w:rsid w:val="00BE72B2"/>
    <w:rsid w:val="00BE756C"/>
    <w:rsid w:val="00BE7822"/>
    <w:rsid w:val="00BE7934"/>
    <w:rsid w:val="00BE79B8"/>
    <w:rsid w:val="00BE7AC2"/>
    <w:rsid w:val="00BF00B4"/>
    <w:rsid w:val="00BF01F1"/>
    <w:rsid w:val="00BF04AD"/>
    <w:rsid w:val="00BF05A0"/>
    <w:rsid w:val="00BF07D6"/>
    <w:rsid w:val="00BF0BDC"/>
    <w:rsid w:val="00BF10ED"/>
    <w:rsid w:val="00BF1740"/>
    <w:rsid w:val="00BF19B3"/>
    <w:rsid w:val="00BF2146"/>
    <w:rsid w:val="00BF2184"/>
    <w:rsid w:val="00BF2BBE"/>
    <w:rsid w:val="00BF36F1"/>
    <w:rsid w:val="00BF381C"/>
    <w:rsid w:val="00BF4606"/>
    <w:rsid w:val="00BF4733"/>
    <w:rsid w:val="00BF498B"/>
    <w:rsid w:val="00BF4E4A"/>
    <w:rsid w:val="00BF4EB8"/>
    <w:rsid w:val="00BF5D42"/>
    <w:rsid w:val="00BF6690"/>
    <w:rsid w:val="00BF6A28"/>
    <w:rsid w:val="00BF7E99"/>
    <w:rsid w:val="00C00469"/>
    <w:rsid w:val="00C0047B"/>
    <w:rsid w:val="00C010FA"/>
    <w:rsid w:val="00C015EB"/>
    <w:rsid w:val="00C01A05"/>
    <w:rsid w:val="00C01AF6"/>
    <w:rsid w:val="00C01BB0"/>
    <w:rsid w:val="00C01C75"/>
    <w:rsid w:val="00C02210"/>
    <w:rsid w:val="00C037FC"/>
    <w:rsid w:val="00C03BCA"/>
    <w:rsid w:val="00C03FC3"/>
    <w:rsid w:val="00C042FB"/>
    <w:rsid w:val="00C0440C"/>
    <w:rsid w:val="00C04568"/>
    <w:rsid w:val="00C04A9A"/>
    <w:rsid w:val="00C04B40"/>
    <w:rsid w:val="00C04DCB"/>
    <w:rsid w:val="00C05057"/>
    <w:rsid w:val="00C05098"/>
    <w:rsid w:val="00C05267"/>
    <w:rsid w:val="00C05422"/>
    <w:rsid w:val="00C0546D"/>
    <w:rsid w:val="00C05541"/>
    <w:rsid w:val="00C0591B"/>
    <w:rsid w:val="00C0643E"/>
    <w:rsid w:val="00C06A28"/>
    <w:rsid w:val="00C06FD8"/>
    <w:rsid w:val="00C07889"/>
    <w:rsid w:val="00C07AE4"/>
    <w:rsid w:val="00C10E4A"/>
    <w:rsid w:val="00C10F84"/>
    <w:rsid w:val="00C111C4"/>
    <w:rsid w:val="00C115D3"/>
    <w:rsid w:val="00C11958"/>
    <w:rsid w:val="00C11E2F"/>
    <w:rsid w:val="00C11E76"/>
    <w:rsid w:val="00C1230A"/>
    <w:rsid w:val="00C125A7"/>
    <w:rsid w:val="00C129C1"/>
    <w:rsid w:val="00C13EC6"/>
    <w:rsid w:val="00C14145"/>
    <w:rsid w:val="00C14D49"/>
    <w:rsid w:val="00C15346"/>
    <w:rsid w:val="00C15E18"/>
    <w:rsid w:val="00C163E9"/>
    <w:rsid w:val="00C16DA8"/>
    <w:rsid w:val="00C17D16"/>
    <w:rsid w:val="00C202DC"/>
    <w:rsid w:val="00C20364"/>
    <w:rsid w:val="00C203F0"/>
    <w:rsid w:val="00C20431"/>
    <w:rsid w:val="00C20959"/>
    <w:rsid w:val="00C20C2D"/>
    <w:rsid w:val="00C20D32"/>
    <w:rsid w:val="00C20DA8"/>
    <w:rsid w:val="00C20DF3"/>
    <w:rsid w:val="00C21563"/>
    <w:rsid w:val="00C21792"/>
    <w:rsid w:val="00C21910"/>
    <w:rsid w:val="00C2200C"/>
    <w:rsid w:val="00C224D0"/>
    <w:rsid w:val="00C22655"/>
    <w:rsid w:val="00C2285B"/>
    <w:rsid w:val="00C22E4B"/>
    <w:rsid w:val="00C22FD7"/>
    <w:rsid w:val="00C23397"/>
    <w:rsid w:val="00C233C0"/>
    <w:rsid w:val="00C23610"/>
    <w:rsid w:val="00C238FD"/>
    <w:rsid w:val="00C23CB8"/>
    <w:rsid w:val="00C23E65"/>
    <w:rsid w:val="00C240D2"/>
    <w:rsid w:val="00C2442D"/>
    <w:rsid w:val="00C24886"/>
    <w:rsid w:val="00C24A19"/>
    <w:rsid w:val="00C24A20"/>
    <w:rsid w:val="00C24D83"/>
    <w:rsid w:val="00C25770"/>
    <w:rsid w:val="00C2636E"/>
    <w:rsid w:val="00C268C6"/>
    <w:rsid w:val="00C270A5"/>
    <w:rsid w:val="00C274F3"/>
    <w:rsid w:val="00C27F83"/>
    <w:rsid w:val="00C3074B"/>
    <w:rsid w:val="00C30904"/>
    <w:rsid w:val="00C30957"/>
    <w:rsid w:val="00C3188D"/>
    <w:rsid w:val="00C318AF"/>
    <w:rsid w:val="00C321FC"/>
    <w:rsid w:val="00C324F0"/>
    <w:rsid w:val="00C3267E"/>
    <w:rsid w:val="00C327BC"/>
    <w:rsid w:val="00C32E23"/>
    <w:rsid w:val="00C3327C"/>
    <w:rsid w:val="00C3385B"/>
    <w:rsid w:val="00C33BE1"/>
    <w:rsid w:val="00C34193"/>
    <w:rsid w:val="00C34B20"/>
    <w:rsid w:val="00C35323"/>
    <w:rsid w:val="00C354FC"/>
    <w:rsid w:val="00C35747"/>
    <w:rsid w:val="00C35780"/>
    <w:rsid w:val="00C35A2D"/>
    <w:rsid w:val="00C3607D"/>
    <w:rsid w:val="00C3671C"/>
    <w:rsid w:val="00C368B2"/>
    <w:rsid w:val="00C369C5"/>
    <w:rsid w:val="00C36E59"/>
    <w:rsid w:val="00C36FB7"/>
    <w:rsid w:val="00C37102"/>
    <w:rsid w:val="00C378BB"/>
    <w:rsid w:val="00C37A49"/>
    <w:rsid w:val="00C4004B"/>
    <w:rsid w:val="00C40C65"/>
    <w:rsid w:val="00C40D7A"/>
    <w:rsid w:val="00C411C6"/>
    <w:rsid w:val="00C411E8"/>
    <w:rsid w:val="00C42009"/>
    <w:rsid w:val="00C42089"/>
    <w:rsid w:val="00C4227F"/>
    <w:rsid w:val="00C425B1"/>
    <w:rsid w:val="00C43733"/>
    <w:rsid w:val="00C43770"/>
    <w:rsid w:val="00C43996"/>
    <w:rsid w:val="00C43D1B"/>
    <w:rsid w:val="00C43DB2"/>
    <w:rsid w:val="00C43F3C"/>
    <w:rsid w:val="00C44997"/>
    <w:rsid w:val="00C44B2F"/>
    <w:rsid w:val="00C44B92"/>
    <w:rsid w:val="00C44D9B"/>
    <w:rsid w:val="00C4508E"/>
    <w:rsid w:val="00C45F1A"/>
    <w:rsid w:val="00C45FCA"/>
    <w:rsid w:val="00C46358"/>
    <w:rsid w:val="00C46905"/>
    <w:rsid w:val="00C46E0F"/>
    <w:rsid w:val="00C46FC4"/>
    <w:rsid w:val="00C4786D"/>
    <w:rsid w:val="00C47A35"/>
    <w:rsid w:val="00C47C19"/>
    <w:rsid w:val="00C47DE2"/>
    <w:rsid w:val="00C50543"/>
    <w:rsid w:val="00C505BA"/>
    <w:rsid w:val="00C508DA"/>
    <w:rsid w:val="00C50B3A"/>
    <w:rsid w:val="00C51470"/>
    <w:rsid w:val="00C5157D"/>
    <w:rsid w:val="00C519DA"/>
    <w:rsid w:val="00C51A3B"/>
    <w:rsid w:val="00C522FC"/>
    <w:rsid w:val="00C52CEE"/>
    <w:rsid w:val="00C530B7"/>
    <w:rsid w:val="00C53C97"/>
    <w:rsid w:val="00C54D41"/>
    <w:rsid w:val="00C5514C"/>
    <w:rsid w:val="00C56DA7"/>
    <w:rsid w:val="00C56EA1"/>
    <w:rsid w:val="00C57721"/>
    <w:rsid w:val="00C57A60"/>
    <w:rsid w:val="00C57C31"/>
    <w:rsid w:val="00C57D85"/>
    <w:rsid w:val="00C603F9"/>
    <w:rsid w:val="00C60AE1"/>
    <w:rsid w:val="00C61102"/>
    <w:rsid w:val="00C620C3"/>
    <w:rsid w:val="00C624A9"/>
    <w:rsid w:val="00C62B22"/>
    <w:rsid w:val="00C63304"/>
    <w:rsid w:val="00C63926"/>
    <w:rsid w:val="00C63BC0"/>
    <w:rsid w:val="00C63D7F"/>
    <w:rsid w:val="00C63FCC"/>
    <w:rsid w:val="00C63FEC"/>
    <w:rsid w:val="00C64D09"/>
    <w:rsid w:val="00C65A73"/>
    <w:rsid w:val="00C65AE0"/>
    <w:rsid w:val="00C65E33"/>
    <w:rsid w:val="00C661CD"/>
    <w:rsid w:val="00C66925"/>
    <w:rsid w:val="00C66FFA"/>
    <w:rsid w:val="00C6779C"/>
    <w:rsid w:val="00C67BA4"/>
    <w:rsid w:val="00C67C07"/>
    <w:rsid w:val="00C700B4"/>
    <w:rsid w:val="00C703AA"/>
    <w:rsid w:val="00C7112E"/>
    <w:rsid w:val="00C71A7E"/>
    <w:rsid w:val="00C71C06"/>
    <w:rsid w:val="00C7254D"/>
    <w:rsid w:val="00C72A44"/>
    <w:rsid w:val="00C72CA9"/>
    <w:rsid w:val="00C72F5F"/>
    <w:rsid w:val="00C73184"/>
    <w:rsid w:val="00C733D9"/>
    <w:rsid w:val="00C73401"/>
    <w:rsid w:val="00C7346A"/>
    <w:rsid w:val="00C736A6"/>
    <w:rsid w:val="00C73BEB"/>
    <w:rsid w:val="00C73F09"/>
    <w:rsid w:val="00C744F3"/>
    <w:rsid w:val="00C74825"/>
    <w:rsid w:val="00C7524C"/>
    <w:rsid w:val="00C76508"/>
    <w:rsid w:val="00C766FC"/>
    <w:rsid w:val="00C76BCA"/>
    <w:rsid w:val="00C76D6D"/>
    <w:rsid w:val="00C775FD"/>
    <w:rsid w:val="00C776FD"/>
    <w:rsid w:val="00C8020F"/>
    <w:rsid w:val="00C804E2"/>
    <w:rsid w:val="00C80B8B"/>
    <w:rsid w:val="00C81705"/>
    <w:rsid w:val="00C81842"/>
    <w:rsid w:val="00C81CF0"/>
    <w:rsid w:val="00C82240"/>
    <w:rsid w:val="00C8225E"/>
    <w:rsid w:val="00C82B49"/>
    <w:rsid w:val="00C82BD2"/>
    <w:rsid w:val="00C82D8D"/>
    <w:rsid w:val="00C836FC"/>
    <w:rsid w:val="00C83948"/>
    <w:rsid w:val="00C83AF5"/>
    <w:rsid w:val="00C83C4A"/>
    <w:rsid w:val="00C83E7A"/>
    <w:rsid w:val="00C83FC0"/>
    <w:rsid w:val="00C84351"/>
    <w:rsid w:val="00C848BA"/>
    <w:rsid w:val="00C84F98"/>
    <w:rsid w:val="00C852CD"/>
    <w:rsid w:val="00C856EC"/>
    <w:rsid w:val="00C85810"/>
    <w:rsid w:val="00C85969"/>
    <w:rsid w:val="00C85CA7"/>
    <w:rsid w:val="00C8627D"/>
    <w:rsid w:val="00C86A07"/>
    <w:rsid w:val="00C87201"/>
    <w:rsid w:val="00C8799A"/>
    <w:rsid w:val="00C9029B"/>
    <w:rsid w:val="00C903B9"/>
    <w:rsid w:val="00C909E3"/>
    <w:rsid w:val="00C90DD2"/>
    <w:rsid w:val="00C91C46"/>
    <w:rsid w:val="00C93087"/>
    <w:rsid w:val="00C93512"/>
    <w:rsid w:val="00C935FF"/>
    <w:rsid w:val="00C93944"/>
    <w:rsid w:val="00C93964"/>
    <w:rsid w:val="00C939E0"/>
    <w:rsid w:val="00C93BBF"/>
    <w:rsid w:val="00C94149"/>
    <w:rsid w:val="00C9424C"/>
    <w:rsid w:val="00C94660"/>
    <w:rsid w:val="00C94796"/>
    <w:rsid w:val="00C94C8D"/>
    <w:rsid w:val="00C9516A"/>
    <w:rsid w:val="00C955D7"/>
    <w:rsid w:val="00C95F4E"/>
    <w:rsid w:val="00C96502"/>
    <w:rsid w:val="00C9681F"/>
    <w:rsid w:val="00C971AB"/>
    <w:rsid w:val="00C9755E"/>
    <w:rsid w:val="00C97617"/>
    <w:rsid w:val="00C97DCE"/>
    <w:rsid w:val="00CA043B"/>
    <w:rsid w:val="00CA062B"/>
    <w:rsid w:val="00CA0CFC"/>
    <w:rsid w:val="00CA121B"/>
    <w:rsid w:val="00CA1283"/>
    <w:rsid w:val="00CA19A4"/>
    <w:rsid w:val="00CA1D40"/>
    <w:rsid w:val="00CA1EDA"/>
    <w:rsid w:val="00CA2076"/>
    <w:rsid w:val="00CA2564"/>
    <w:rsid w:val="00CA2E6A"/>
    <w:rsid w:val="00CA301A"/>
    <w:rsid w:val="00CA3771"/>
    <w:rsid w:val="00CA3981"/>
    <w:rsid w:val="00CA461D"/>
    <w:rsid w:val="00CA46A4"/>
    <w:rsid w:val="00CA4B8E"/>
    <w:rsid w:val="00CA4CB1"/>
    <w:rsid w:val="00CA5A78"/>
    <w:rsid w:val="00CA5AB7"/>
    <w:rsid w:val="00CA5F9E"/>
    <w:rsid w:val="00CA5FEC"/>
    <w:rsid w:val="00CA68D4"/>
    <w:rsid w:val="00CA776F"/>
    <w:rsid w:val="00CA7CF2"/>
    <w:rsid w:val="00CB0479"/>
    <w:rsid w:val="00CB0A16"/>
    <w:rsid w:val="00CB0F0C"/>
    <w:rsid w:val="00CB10F5"/>
    <w:rsid w:val="00CB1696"/>
    <w:rsid w:val="00CB177F"/>
    <w:rsid w:val="00CB1DCD"/>
    <w:rsid w:val="00CB2363"/>
    <w:rsid w:val="00CB2434"/>
    <w:rsid w:val="00CB2774"/>
    <w:rsid w:val="00CB2A32"/>
    <w:rsid w:val="00CB2A50"/>
    <w:rsid w:val="00CB4022"/>
    <w:rsid w:val="00CB4562"/>
    <w:rsid w:val="00CB471F"/>
    <w:rsid w:val="00CB47F9"/>
    <w:rsid w:val="00CB4FA0"/>
    <w:rsid w:val="00CB5679"/>
    <w:rsid w:val="00CB5713"/>
    <w:rsid w:val="00CB5AAB"/>
    <w:rsid w:val="00CB6792"/>
    <w:rsid w:val="00CB68A2"/>
    <w:rsid w:val="00CB70E1"/>
    <w:rsid w:val="00CB731B"/>
    <w:rsid w:val="00CB7F3B"/>
    <w:rsid w:val="00CC01EB"/>
    <w:rsid w:val="00CC0A7F"/>
    <w:rsid w:val="00CC150E"/>
    <w:rsid w:val="00CC1768"/>
    <w:rsid w:val="00CC1F89"/>
    <w:rsid w:val="00CC2314"/>
    <w:rsid w:val="00CC2408"/>
    <w:rsid w:val="00CC258C"/>
    <w:rsid w:val="00CC25FD"/>
    <w:rsid w:val="00CC2CA2"/>
    <w:rsid w:val="00CC327F"/>
    <w:rsid w:val="00CC34CB"/>
    <w:rsid w:val="00CC385A"/>
    <w:rsid w:val="00CC474A"/>
    <w:rsid w:val="00CC47D7"/>
    <w:rsid w:val="00CC4C03"/>
    <w:rsid w:val="00CC60F5"/>
    <w:rsid w:val="00CC61AA"/>
    <w:rsid w:val="00CC6E85"/>
    <w:rsid w:val="00CC71A0"/>
    <w:rsid w:val="00CC7238"/>
    <w:rsid w:val="00CC75C2"/>
    <w:rsid w:val="00CC778A"/>
    <w:rsid w:val="00CC7F04"/>
    <w:rsid w:val="00CC7F41"/>
    <w:rsid w:val="00CD000D"/>
    <w:rsid w:val="00CD016C"/>
    <w:rsid w:val="00CD0246"/>
    <w:rsid w:val="00CD0842"/>
    <w:rsid w:val="00CD1074"/>
    <w:rsid w:val="00CD157B"/>
    <w:rsid w:val="00CD173D"/>
    <w:rsid w:val="00CD23D6"/>
    <w:rsid w:val="00CD2656"/>
    <w:rsid w:val="00CD365A"/>
    <w:rsid w:val="00CD3A18"/>
    <w:rsid w:val="00CD3B31"/>
    <w:rsid w:val="00CD3F18"/>
    <w:rsid w:val="00CD3FFB"/>
    <w:rsid w:val="00CD45E3"/>
    <w:rsid w:val="00CD483F"/>
    <w:rsid w:val="00CD48E4"/>
    <w:rsid w:val="00CD4B8D"/>
    <w:rsid w:val="00CD4FBF"/>
    <w:rsid w:val="00CD55AF"/>
    <w:rsid w:val="00CD5857"/>
    <w:rsid w:val="00CD58E5"/>
    <w:rsid w:val="00CD5E1F"/>
    <w:rsid w:val="00CD5FFD"/>
    <w:rsid w:val="00CD6874"/>
    <w:rsid w:val="00CD688F"/>
    <w:rsid w:val="00CD7104"/>
    <w:rsid w:val="00CE0055"/>
    <w:rsid w:val="00CE02E6"/>
    <w:rsid w:val="00CE088E"/>
    <w:rsid w:val="00CE0912"/>
    <w:rsid w:val="00CE0C8D"/>
    <w:rsid w:val="00CE1043"/>
    <w:rsid w:val="00CE1570"/>
    <w:rsid w:val="00CE1DEC"/>
    <w:rsid w:val="00CE1F54"/>
    <w:rsid w:val="00CE2E1B"/>
    <w:rsid w:val="00CE301A"/>
    <w:rsid w:val="00CE31E5"/>
    <w:rsid w:val="00CE3564"/>
    <w:rsid w:val="00CE48FB"/>
    <w:rsid w:val="00CE4E97"/>
    <w:rsid w:val="00CE60F0"/>
    <w:rsid w:val="00CE629E"/>
    <w:rsid w:val="00CE62B8"/>
    <w:rsid w:val="00CE63A8"/>
    <w:rsid w:val="00CE6528"/>
    <w:rsid w:val="00CE6B16"/>
    <w:rsid w:val="00CE6BB0"/>
    <w:rsid w:val="00CE6F27"/>
    <w:rsid w:val="00CE6F96"/>
    <w:rsid w:val="00CE727D"/>
    <w:rsid w:val="00CE7672"/>
    <w:rsid w:val="00CE79FE"/>
    <w:rsid w:val="00CE7E16"/>
    <w:rsid w:val="00CF010F"/>
    <w:rsid w:val="00CF0423"/>
    <w:rsid w:val="00CF072B"/>
    <w:rsid w:val="00CF0ADD"/>
    <w:rsid w:val="00CF0AFE"/>
    <w:rsid w:val="00CF0D20"/>
    <w:rsid w:val="00CF19EB"/>
    <w:rsid w:val="00CF2753"/>
    <w:rsid w:val="00CF28EE"/>
    <w:rsid w:val="00CF2FA8"/>
    <w:rsid w:val="00CF3159"/>
    <w:rsid w:val="00CF3885"/>
    <w:rsid w:val="00CF402D"/>
    <w:rsid w:val="00CF431B"/>
    <w:rsid w:val="00CF5577"/>
    <w:rsid w:val="00CF5BE3"/>
    <w:rsid w:val="00CF620E"/>
    <w:rsid w:val="00CF62A8"/>
    <w:rsid w:val="00CF6DF4"/>
    <w:rsid w:val="00CF6EA7"/>
    <w:rsid w:val="00CF7684"/>
    <w:rsid w:val="00CF7A07"/>
    <w:rsid w:val="00CF7AF7"/>
    <w:rsid w:val="00D00680"/>
    <w:rsid w:val="00D00A23"/>
    <w:rsid w:val="00D011FE"/>
    <w:rsid w:val="00D0212E"/>
    <w:rsid w:val="00D0214A"/>
    <w:rsid w:val="00D026CD"/>
    <w:rsid w:val="00D02A25"/>
    <w:rsid w:val="00D04C15"/>
    <w:rsid w:val="00D04F7B"/>
    <w:rsid w:val="00D0512C"/>
    <w:rsid w:val="00D053C2"/>
    <w:rsid w:val="00D05FA5"/>
    <w:rsid w:val="00D06211"/>
    <w:rsid w:val="00D06E9F"/>
    <w:rsid w:val="00D06FFF"/>
    <w:rsid w:val="00D07871"/>
    <w:rsid w:val="00D07B7D"/>
    <w:rsid w:val="00D113E7"/>
    <w:rsid w:val="00D116F0"/>
    <w:rsid w:val="00D119B8"/>
    <w:rsid w:val="00D11B26"/>
    <w:rsid w:val="00D122BD"/>
    <w:rsid w:val="00D123EA"/>
    <w:rsid w:val="00D124C5"/>
    <w:rsid w:val="00D12A77"/>
    <w:rsid w:val="00D12C8C"/>
    <w:rsid w:val="00D12E24"/>
    <w:rsid w:val="00D134C5"/>
    <w:rsid w:val="00D13CD4"/>
    <w:rsid w:val="00D14332"/>
    <w:rsid w:val="00D14C3A"/>
    <w:rsid w:val="00D15178"/>
    <w:rsid w:val="00D151AE"/>
    <w:rsid w:val="00D15B0C"/>
    <w:rsid w:val="00D15F88"/>
    <w:rsid w:val="00D167E6"/>
    <w:rsid w:val="00D16C97"/>
    <w:rsid w:val="00D16F9B"/>
    <w:rsid w:val="00D17611"/>
    <w:rsid w:val="00D1786A"/>
    <w:rsid w:val="00D17A0C"/>
    <w:rsid w:val="00D17E0F"/>
    <w:rsid w:val="00D17E1D"/>
    <w:rsid w:val="00D17E36"/>
    <w:rsid w:val="00D211A0"/>
    <w:rsid w:val="00D21A5A"/>
    <w:rsid w:val="00D21E2C"/>
    <w:rsid w:val="00D22039"/>
    <w:rsid w:val="00D22381"/>
    <w:rsid w:val="00D22863"/>
    <w:rsid w:val="00D22A36"/>
    <w:rsid w:val="00D23502"/>
    <w:rsid w:val="00D239B8"/>
    <w:rsid w:val="00D23D51"/>
    <w:rsid w:val="00D24778"/>
    <w:rsid w:val="00D259F3"/>
    <w:rsid w:val="00D25ADF"/>
    <w:rsid w:val="00D25BE6"/>
    <w:rsid w:val="00D25C2E"/>
    <w:rsid w:val="00D25FFA"/>
    <w:rsid w:val="00D264A4"/>
    <w:rsid w:val="00D26E87"/>
    <w:rsid w:val="00D27086"/>
    <w:rsid w:val="00D274E2"/>
    <w:rsid w:val="00D279F9"/>
    <w:rsid w:val="00D27BB8"/>
    <w:rsid w:val="00D27CDB"/>
    <w:rsid w:val="00D27D1C"/>
    <w:rsid w:val="00D30112"/>
    <w:rsid w:val="00D3018C"/>
    <w:rsid w:val="00D30458"/>
    <w:rsid w:val="00D30B67"/>
    <w:rsid w:val="00D30D2F"/>
    <w:rsid w:val="00D30E04"/>
    <w:rsid w:val="00D3146B"/>
    <w:rsid w:val="00D31529"/>
    <w:rsid w:val="00D3190D"/>
    <w:rsid w:val="00D31C33"/>
    <w:rsid w:val="00D3345B"/>
    <w:rsid w:val="00D33974"/>
    <w:rsid w:val="00D346EB"/>
    <w:rsid w:val="00D34B45"/>
    <w:rsid w:val="00D35344"/>
    <w:rsid w:val="00D35DEF"/>
    <w:rsid w:val="00D362D1"/>
    <w:rsid w:val="00D36D7D"/>
    <w:rsid w:val="00D36FEC"/>
    <w:rsid w:val="00D3723B"/>
    <w:rsid w:val="00D377B1"/>
    <w:rsid w:val="00D37996"/>
    <w:rsid w:val="00D37C81"/>
    <w:rsid w:val="00D37DF7"/>
    <w:rsid w:val="00D405B2"/>
    <w:rsid w:val="00D40BBB"/>
    <w:rsid w:val="00D4101C"/>
    <w:rsid w:val="00D411AB"/>
    <w:rsid w:val="00D41B32"/>
    <w:rsid w:val="00D41BD7"/>
    <w:rsid w:val="00D41E32"/>
    <w:rsid w:val="00D42078"/>
    <w:rsid w:val="00D42CC1"/>
    <w:rsid w:val="00D42D59"/>
    <w:rsid w:val="00D42F6C"/>
    <w:rsid w:val="00D43663"/>
    <w:rsid w:val="00D43A1F"/>
    <w:rsid w:val="00D44755"/>
    <w:rsid w:val="00D4477C"/>
    <w:rsid w:val="00D45EDA"/>
    <w:rsid w:val="00D46126"/>
    <w:rsid w:val="00D46750"/>
    <w:rsid w:val="00D47F43"/>
    <w:rsid w:val="00D50DFF"/>
    <w:rsid w:val="00D50F88"/>
    <w:rsid w:val="00D512A4"/>
    <w:rsid w:val="00D5138A"/>
    <w:rsid w:val="00D51A7A"/>
    <w:rsid w:val="00D51B6D"/>
    <w:rsid w:val="00D521C2"/>
    <w:rsid w:val="00D52785"/>
    <w:rsid w:val="00D53401"/>
    <w:rsid w:val="00D5370C"/>
    <w:rsid w:val="00D539EF"/>
    <w:rsid w:val="00D53A72"/>
    <w:rsid w:val="00D54038"/>
    <w:rsid w:val="00D54213"/>
    <w:rsid w:val="00D54F96"/>
    <w:rsid w:val="00D5509A"/>
    <w:rsid w:val="00D550A4"/>
    <w:rsid w:val="00D5556F"/>
    <w:rsid w:val="00D55A61"/>
    <w:rsid w:val="00D5610F"/>
    <w:rsid w:val="00D5676F"/>
    <w:rsid w:val="00D56AE7"/>
    <w:rsid w:val="00D57027"/>
    <w:rsid w:val="00D573B0"/>
    <w:rsid w:val="00D57521"/>
    <w:rsid w:val="00D576B6"/>
    <w:rsid w:val="00D578DF"/>
    <w:rsid w:val="00D600EC"/>
    <w:rsid w:val="00D60147"/>
    <w:rsid w:val="00D60CB8"/>
    <w:rsid w:val="00D60D04"/>
    <w:rsid w:val="00D60DEF"/>
    <w:rsid w:val="00D61D9D"/>
    <w:rsid w:val="00D6217D"/>
    <w:rsid w:val="00D6231B"/>
    <w:rsid w:val="00D62C17"/>
    <w:rsid w:val="00D62DFA"/>
    <w:rsid w:val="00D63ACC"/>
    <w:rsid w:val="00D63D29"/>
    <w:rsid w:val="00D63EDB"/>
    <w:rsid w:val="00D65C79"/>
    <w:rsid w:val="00D66949"/>
    <w:rsid w:val="00D67A60"/>
    <w:rsid w:val="00D67A77"/>
    <w:rsid w:val="00D67A9E"/>
    <w:rsid w:val="00D70016"/>
    <w:rsid w:val="00D70178"/>
    <w:rsid w:val="00D701CE"/>
    <w:rsid w:val="00D701D4"/>
    <w:rsid w:val="00D701D7"/>
    <w:rsid w:val="00D7069F"/>
    <w:rsid w:val="00D7100B"/>
    <w:rsid w:val="00D7121B"/>
    <w:rsid w:val="00D71336"/>
    <w:rsid w:val="00D71461"/>
    <w:rsid w:val="00D71471"/>
    <w:rsid w:val="00D71B67"/>
    <w:rsid w:val="00D71C56"/>
    <w:rsid w:val="00D72BE6"/>
    <w:rsid w:val="00D73B2C"/>
    <w:rsid w:val="00D73C72"/>
    <w:rsid w:val="00D73DDB"/>
    <w:rsid w:val="00D745D7"/>
    <w:rsid w:val="00D7519D"/>
    <w:rsid w:val="00D75281"/>
    <w:rsid w:val="00D75A53"/>
    <w:rsid w:val="00D75B25"/>
    <w:rsid w:val="00D760B7"/>
    <w:rsid w:val="00D763AA"/>
    <w:rsid w:val="00D7657C"/>
    <w:rsid w:val="00D765FD"/>
    <w:rsid w:val="00D76BAD"/>
    <w:rsid w:val="00D76C97"/>
    <w:rsid w:val="00D76E8B"/>
    <w:rsid w:val="00D7706C"/>
    <w:rsid w:val="00D77433"/>
    <w:rsid w:val="00D776E3"/>
    <w:rsid w:val="00D779A5"/>
    <w:rsid w:val="00D8044E"/>
    <w:rsid w:val="00D80CCC"/>
    <w:rsid w:val="00D80F0E"/>
    <w:rsid w:val="00D810BB"/>
    <w:rsid w:val="00D81524"/>
    <w:rsid w:val="00D81801"/>
    <w:rsid w:val="00D81FBB"/>
    <w:rsid w:val="00D8205D"/>
    <w:rsid w:val="00D82A69"/>
    <w:rsid w:val="00D834ED"/>
    <w:rsid w:val="00D8352F"/>
    <w:rsid w:val="00D836E9"/>
    <w:rsid w:val="00D83D93"/>
    <w:rsid w:val="00D844C1"/>
    <w:rsid w:val="00D8462F"/>
    <w:rsid w:val="00D846FB"/>
    <w:rsid w:val="00D849D6"/>
    <w:rsid w:val="00D84E58"/>
    <w:rsid w:val="00D85504"/>
    <w:rsid w:val="00D8567A"/>
    <w:rsid w:val="00D86512"/>
    <w:rsid w:val="00D86695"/>
    <w:rsid w:val="00D867A8"/>
    <w:rsid w:val="00D86A06"/>
    <w:rsid w:val="00D86ABB"/>
    <w:rsid w:val="00D86AD8"/>
    <w:rsid w:val="00D87080"/>
    <w:rsid w:val="00D87115"/>
    <w:rsid w:val="00D879C1"/>
    <w:rsid w:val="00D87B29"/>
    <w:rsid w:val="00D87D72"/>
    <w:rsid w:val="00D9035B"/>
    <w:rsid w:val="00D90444"/>
    <w:rsid w:val="00D90A77"/>
    <w:rsid w:val="00D90BA1"/>
    <w:rsid w:val="00D91492"/>
    <w:rsid w:val="00D91911"/>
    <w:rsid w:val="00D91A0A"/>
    <w:rsid w:val="00D91A82"/>
    <w:rsid w:val="00D91B5D"/>
    <w:rsid w:val="00D91B8A"/>
    <w:rsid w:val="00D92F25"/>
    <w:rsid w:val="00D9376B"/>
    <w:rsid w:val="00D93E53"/>
    <w:rsid w:val="00D9449B"/>
    <w:rsid w:val="00D94A33"/>
    <w:rsid w:val="00D94AD1"/>
    <w:rsid w:val="00D96787"/>
    <w:rsid w:val="00D967A5"/>
    <w:rsid w:val="00D96B99"/>
    <w:rsid w:val="00D96D89"/>
    <w:rsid w:val="00D97CB3"/>
    <w:rsid w:val="00D97F7F"/>
    <w:rsid w:val="00DA00C4"/>
    <w:rsid w:val="00DA00E5"/>
    <w:rsid w:val="00DA037D"/>
    <w:rsid w:val="00DA1306"/>
    <w:rsid w:val="00DA182E"/>
    <w:rsid w:val="00DA1E23"/>
    <w:rsid w:val="00DA31BB"/>
    <w:rsid w:val="00DA32AF"/>
    <w:rsid w:val="00DA33EF"/>
    <w:rsid w:val="00DA35AD"/>
    <w:rsid w:val="00DA3EAD"/>
    <w:rsid w:val="00DA4370"/>
    <w:rsid w:val="00DA4479"/>
    <w:rsid w:val="00DA4694"/>
    <w:rsid w:val="00DA477A"/>
    <w:rsid w:val="00DA4973"/>
    <w:rsid w:val="00DA4F32"/>
    <w:rsid w:val="00DA5172"/>
    <w:rsid w:val="00DA5259"/>
    <w:rsid w:val="00DA545B"/>
    <w:rsid w:val="00DA585B"/>
    <w:rsid w:val="00DA5A3E"/>
    <w:rsid w:val="00DA67B4"/>
    <w:rsid w:val="00DA6B61"/>
    <w:rsid w:val="00DA6CF4"/>
    <w:rsid w:val="00DA70E8"/>
    <w:rsid w:val="00DA73AF"/>
    <w:rsid w:val="00DA7CFE"/>
    <w:rsid w:val="00DB0056"/>
    <w:rsid w:val="00DB016D"/>
    <w:rsid w:val="00DB09C0"/>
    <w:rsid w:val="00DB0DD9"/>
    <w:rsid w:val="00DB10A8"/>
    <w:rsid w:val="00DB11DF"/>
    <w:rsid w:val="00DB2C19"/>
    <w:rsid w:val="00DB30F4"/>
    <w:rsid w:val="00DB31E4"/>
    <w:rsid w:val="00DB3A12"/>
    <w:rsid w:val="00DB3D95"/>
    <w:rsid w:val="00DB3D9F"/>
    <w:rsid w:val="00DB49CD"/>
    <w:rsid w:val="00DB5435"/>
    <w:rsid w:val="00DB5698"/>
    <w:rsid w:val="00DB59FC"/>
    <w:rsid w:val="00DB63F0"/>
    <w:rsid w:val="00DB6947"/>
    <w:rsid w:val="00DB6D8A"/>
    <w:rsid w:val="00DB6E07"/>
    <w:rsid w:val="00DB7131"/>
    <w:rsid w:val="00DB7344"/>
    <w:rsid w:val="00DB73D7"/>
    <w:rsid w:val="00DB768C"/>
    <w:rsid w:val="00DB77CD"/>
    <w:rsid w:val="00DB7E8D"/>
    <w:rsid w:val="00DB7ED2"/>
    <w:rsid w:val="00DC0050"/>
    <w:rsid w:val="00DC0D2B"/>
    <w:rsid w:val="00DC0EA9"/>
    <w:rsid w:val="00DC1061"/>
    <w:rsid w:val="00DC10F2"/>
    <w:rsid w:val="00DC1326"/>
    <w:rsid w:val="00DC143B"/>
    <w:rsid w:val="00DC1926"/>
    <w:rsid w:val="00DC1C01"/>
    <w:rsid w:val="00DC1E36"/>
    <w:rsid w:val="00DC2244"/>
    <w:rsid w:val="00DC22A2"/>
    <w:rsid w:val="00DC2860"/>
    <w:rsid w:val="00DC2886"/>
    <w:rsid w:val="00DC2B13"/>
    <w:rsid w:val="00DC2C91"/>
    <w:rsid w:val="00DC390F"/>
    <w:rsid w:val="00DC3A85"/>
    <w:rsid w:val="00DC56E3"/>
    <w:rsid w:val="00DC5DB6"/>
    <w:rsid w:val="00DC6192"/>
    <w:rsid w:val="00DC6EC3"/>
    <w:rsid w:val="00DC77BD"/>
    <w:rsid w:val="00DC7B88"/>
    <w:rsid w:val="00DC7C54"/>
    <w:rsid w:val="00DC7F49"/>
    <w:rsid w:val="00DD0179"/>
    <w:rsid w:val="00DD09EB"/>
    <w:rsid w:val="00DD0CED"/>
    <w:rsid w:val="00DD1A9E"/>
    <w:rsid w:val="00DD2301"/>
    <w:rsid w:val="00DD2520"/>
    <w:rsid w:val="00DD28FB"/>
    <w:rsid w:val="00DD30CB"/>
    <w:rsid w:val="00DD323E"/>
    <w:rsid w:val="00DD357B"/>
    <w:rsid w:val="00DD3791"/>
    <w:rsid w:val="00DD3A1E"/>
    <w:rsid w:val="00DD3AFE"/>
    <w:rsid w:val="00DD3D22"/>
    <w:rsid w:val="00DD417C"/>
    <w:rsid w:val="00DD426D"/>
    <w:rsid w:val="00DD436B"/>
    <w:rsid w:val="00DD4752"/>
    <w:rsid w:val="00DD47E4"/>
    <w:rsid w:val="00DD488F"/>
    <w:rsid w:val="00DD4D46"/>
    <w:rsid w:val="00DD4DAF"/>
    <w:rsid w:val="00DD50A3"/>
    <w:rsid w:val="00DD5130"/>
    <w:rsid w:val="00DD584B"/>
    <w:rsid w:val="00DD5948"/>
    <w:rsid w:val="00DD6294"/>
    <w:rsid w:val="00DD67E5"/>
    <w:rsid w:val="00DD6A57"/>
    <w:rsid w:val="00DD6DAA"/>
    <w:rsid w:val="00DD6DE4"/>
    <w:rsid w:val="00DD7848"/>
    <w:rsid w:val="00DD7EAF"/>
    <w:rsid w:val="00DE01F6"/>
    <w:rsid w:val="00DE0520"/>
    <w:rsid w:val="00DE0ED3"/>
    <w:rsid w:val="00DE0FBE"/>
    <w:rsid w:val="00DE1031"/>
    <w:rsid w:val="00DE1B18"/>
    <w:rsid w:val="00DE1D5F"/>
    <w:rsid w:val="00DE1FD6"/>
    <w:rsid w:val="00DE20F1"/>
    <w:rsid w:val="00DE21F5"/>
    <w:rsid w:val="00DE2411"/>
    <w:rsid w:val="00DE2445"/>
    <w:rsid w:val="00DE2792"/>
    <w:rsid w:val="00DE2C16"/>
    <w:rsid w:val="00DE2EB4"/>
    <w:rsid w:val="00DE34E7"/>
    <w:rsid w:val="00DE357C"/>
    <w:rsid w:val="00DE38E9"/>
    <w:rsid w:val="00DE390B"/>
    <w:rsid w:val="00DE3A21"/>
    <w:rsid w:val="00DE3CE5"/>
    <w:rsid w:val="00DE4063"/>
    <w:rsid w:val="00DE472C"/>
    <w:rsid w:val="00DE4B1A"/>
    <w:rsid w:val="00DE56AD"/>
    <w:rsid w:val="00DE5A62"/>
    <w:rsid w:val="00DE6EB9"/>
    <w:rsid w:val="00DE76A7"/>
    <w:rsid w:val="00DE7B6E"/>
    <w:rsid w:val="00DF074F"/>
    <w:rsid w:val="00DF12B3"/>
    <w:rsid w:val="00DF17D8"/>
    <w:rsid w:val="00DF1A16"/>
    <w:rsid w:val="00DF1C08"/>
    <w:rsid w:val="00DF21F4"/>
    <w:rsid w:val="00DF2583"/>
    <w:rsid w:val="00DF26B1"/>
    <w:rsid w:val="00DF2CE5"/>
    <w:rsid w:val="00DF2E7F"/>
    <w:rsid w:val="00DF3158"/>
    <w:rsid w:val="00DF3219"/>
    <w:rsid w:val="00DF3814"/>
    <w:rsid w:val="00DF3BF6"/>
    <w:rsid w:val="00DF3DA5"/>
    <w:rsid w:val="00DF480A"/>
    <w:rsid w:val="00DF4FB9"/>
    <w:rsid w:val="00DF52D1"/>
    <w:rsid w:val="00DF5789"/>
    <w:rsid w:val="00DF5984"/>
    <w:rsid w:val="00DF5A45"/>
    <w:rsid w:val="00DF6037"/>
    <w:rsid w:val="00DF630F"/>
    <w:rsid w:val="00DF663B"/>
    <w:rsid w:val="00DF71D8"/>
    <w:rsid w:val="00DF787F"/>
    <w:rsid w:val="00E00719"/>
    <w:rsid w:val="00E0085F"/>
    <w:rsid w:val="00E0188B"/>
    <w:rsid w:val="00E01CA7"/>
    <w:rsid w:val="00E020CB"/>
    <w:rsid w:val="00E02D07"/>
    <w:rsid w:val="00E02E95"/>
    <w:rsid w:val="00E033BA"/>
    <w:rsid w:val="00E03692"/>
    <w:rsid w:val="00E037C1"/>
    <w:rsid w:val="00E0382F"/>
    <w:rsid w:val="00E03980"/>
    <w:rsid w:val="00E03DA9"/>
    <w:rsid w:val="00E041EC"/>
    <w:rsid w:val="00E047AD"/>
    <w:rsid w:val="00E052CE"/>
    <w:rsid w:val="00E058EE"/>
    <w:rsid w:val="00E05C35"/>
    <w:rsid w:val="00E06676"/>
    <w:rsid w:val="00E066F5"/>
    <w:rsid w:val="00E06A0D"/>
    <w:rsid w:val="00E0716E"/>
    <w:rsid w:val="00E073BA"/>
    <w:rsid w:val="00E075DE"/>
    <w:rsid w:val="00E07AA3"/>
    <w:rsid w:val="00E07AB5"/>
    <w:rsid w:val="00E10A5A"/>
    <w:rsid w:val="00E10EC8"/>
    <w:rsid w:val="00E11D68"/>
    <w:rsid w:val="00E11DB0"/>
    <w:rsid w:val="00E1213E"/>
    <w:rsid w:val="00E1219F"/>
    <w:rsid w:val="00E1228B"/>
    <w:rsid w:val="00E12742"/>
    <w:rsid w:val="00E12CBB"/>
    <w:rsid w:val="00E12D6C"/>
    <w:rsid w:val="00E12EDF"/>
    <w:rsid w:val="00E13408"/>
    <w:rsid w:val="00E1448C"/>
    <w:rsid w:val="00E14B7B"/>
    <w:rsid w:val="00E14D04"/>
    <w:rsid w:val="00E15B76"/>
    <w:rsid w:val="00E16431"/>
    <w:rsid w:val="00E16805"/>
    <w:rsid w:val="00E1695A"/>
    <w:rsid w:val="00E16B28"/>
    <w:rsid w:val="00E16CA5"/>
    <w:rsid w:val="00E16D2F"/>
    <w:rsid w:val="00E17B40"/>
    <w:rsid w:val="00E17D6E"/>
    <w:rsid w:val="00E17F71"/>
    <w:rsid w:val="00E2102D"/>
    <w:rsid w:val="00E21224"/>
    <w:rsid w:val="00E2148C"/>
    <w:rsid w:val="00E21C86"/>
    <w:rsid w:val="00E21EAD"/>
    <w:rsid w:val="00E21F8A"/>
    <w:rsid w:val="00E223B3"/>
    <w:rsid w:val="00E22541"/>
    <w:rsid w:val="00E22D6F"/>
    <w:rsid w:val="00E22E87"/>
    <w:rsid w:val="00E2360B"/>
    <w:rsid w:val="00E23C52"/>
    <w:rsid w:val="00E23C67"/>
    <w:rsid w:val="00E23CEF"/>
    <w:rsid w:val="00E23D0D"/>
    <w:rsid w:val="00E23FAE"/>
    <w:rsid w:val="00E245C3"/>
    <w:rsid w:val="00E246BA"/>
    <w:rsid w:val="00E247DE"/>
    <w:rsid w:val="00E24BC4"/>
    <w:rsid w:val="00E2631F"/>
    <w:rsid w:val="00E2675C"/>
    <w:rsid w:val="00E26A6B"/>
    <w:rsid w:val="00E26D12"/>
    <w:rsid w:val="00E27665"/>
    <w:rsid w:val="00E278AC"/>
    <w:rsid w:val="00E27BEE"/>
    <w:rsid w:val="00E3052B"/>
    <w:rsid w:val="00E309AE"/>
    <w:rsid w:val="00E30EEA"/>
    <w:rsid w:val="00E31471"/>
    <w:rsid w:val="00E31710"/>
    <w:rsid w:val="00E32188"/>
    <w:rsid w:val="00E328D8"/>
    <w:rsid w:val="00E32CE2"/>
    <w:rsid w:val="00E32D37"/>
    <w:rsid w:val="00E32F10"/>
    <w:rsid w:val="00E33C12"/>
    <w:rsid w:val="00E33F65"/>
    <w:rsid w:val="00E34142"/>
    <w:rsid w:val="00E3460C"/>
    <w:rsid w:val="00E3470B"/>
    <w:rsid w:val="00E3489A"/>
    <w:rsid w:val="00E3495E"/>
    <w:rsid w:val="00E35CB7"/>
    <w:rsid w:val="00E35F92"/>
    <w:rsid w:val="00E3617F"/>
    <w:rsid w:val="00E3638F"/>
    <w:rsid w:val="00E37667"/>
    <w:rsid w:val="00E4024F"/>
    <w:rsid w:val="00E406DA"/>
    <w:rsid w:val="00E40ADA"/>
    <w:rsid w:val="00E40B1E"/>
    <w:rsid w:val="00E415FC"/>
    <w:rsid w:val="00E4170E"/>
    <w:rsid w:val="00E4246E"/>
    <w:rsid w:val="00E43398"/>
    <w:rsid w:val="00E43AA3"/>
    <w:rsid w:val="00E43EB0"/>
    <w:rsid w:val="00E43FB8"/>
    <w:rsid w:val="00E44214"/>
    <w:rsid w:val="00E44A83"/>
    <w:rsid w:val="00E44BFF"/>
    <w:rsid w:val="00E44C59"/>
    <w:rsid w:val="00E453AF"/>
    <w:rsid w:val="00E4549D"/>
    <w:rsid w:val="00E45BF2"/>
    <w:rsid w:val="00E45DEA"/>
    <w:rsid w:val="00E4677E"/>
    <w:rsid w:val="00E46935"/>
    <w:rsid w:val="00E47684"/>
    <w:rsid w:val="00E47A76"/>
    <w:rsid w:val="00E500ED"/>
    <w:rsid w:val="00E50C4C"/>
    <w:rsid w:val="00E51829"/>
    <w:rsid w:val="00E52E0B"/>
    <w:rsid w:val="00E53651"/>
    <w:rsid w:val="00E53DCD"/>
    <w:rsid w:val="00E54066"/>
    <w:rsid w:val="00E54291"/>
    <w:rsid w:val="00E54585"/>
    <w:rsid w:val="00E5459C"/>
    <w:rsid w:val="00E5475E"/>
    <w:rsid w:val="00E549C2"/>
    <w:rsid w:val="00E55537"/>
    <w:rsid w:val="00E557B5"/>
    <w:rsid w:val="00E55E1B"/>
    <w:rsid w:val="00E56BD8"/>
    <w:rsid w:val="00E56F3C"/>
    <w:rsid w:val="00E57B6A"/>
    <w:rsid w:val="00E60952"/>
    <w:rsid w:val="00E61819"/>
    <w:rsid w:val="00E61E23"/>
    <w:rsid w:val="00E620A6"/>
    <w:rsid w:val="00E6210D"/>
    <w:rsid w:val="00E62171"/>
    <w:rsid w:val="00E62656"/>
    <w:rsid w:val="00E62768"/>
    <w:rsid w:val="00E62E62"/>
    <w:rsid w:val="00E62F0B"/>
    <w:rsid w:val="00E6462C"/>
    <w:rsid w:val="00E64745"/>
    <w:rsid w:val="00E65BCA"/>
    <w:rsid w:val="00E65F73"/>
    <w:rsid w:val="00E66365"/>
    <w:rsid w:val="00E664B9"/>
    <w:rsid w:val="00E672DE"/>
    <w:rsid w:val="00E70029"/>
    <w:rsid w:val="00E71702"/>
    <w:rsid w:val="00E718FA"/>
    <w:rsid w:val="00E719D3"/>
    <w:rsid w:val="00E720FE"/>
    <w:rsid w:val="00E7210E"/>
    <w:rsid w:val="00E72A86"/>
    <w:rsid w:val="00E72C29"/>
    <w:rsid w:val="00E72D83"/>
    <w:rsid w:val="00E73583"/>
    <w:rsid w:val="00E73A50"/>
    <w:rsid w:val="00E73E05"/>
    <w:rsid w:val="00E73FEE"/>
    <w:rsid w:val="00E7442B"/>
    <w:rsid w:val="00E74DB2"/>
    <w:rsid w:val="00E74EE7"/>
    <w:rsid w:val="00E75236"/>
    <w:rsid w:val="00E75D1A"/>
    <w:rsid w:val="00E75F5F"/>
    <w:rsid w:val="00E76782"/>
    <w:rsid w:val="00E76956"/>
    <w:rsid w:val="00E76B6E"/>
    <w:rsid w:val="00E76DB9"/>
    <w:rsid w:val="00E77030"/>
    <w:rsid w:val="00E773C5"/>
    <w:rsid w:val="00E77744"/>
    <w:rsid w:val="00E777AD"/>
    <w:rsid w:val="00E779CB"/>
    <w:rsid w:val="00E80B80"/>
    <w:rsid w:val="00E814BC"/>
    <w:rsid w:val="00E81603"/>
    <w:rsid w:val="00E81756"/>
    <w:rsid w:val="00E81A4E"/>
    <w:rsid w:val="00E82C70"/>
    <w:rsid w:val="00E82DC8"/>
    <w:rsid w:val="00E83D1B"/>
    <w:rsid w:val="00E84AB4"/>
    <w:rsid w:val="00E84B48"/>
    <w:rsid w:val="00E84CC9"/>
    <w:rsid w:val="00E84EBF"/>
    <w:rsid w:val="00E8590A"/>
    <w:rsid w:val="00E85F38"/>
    <w:rsid w:val="00E861A8"/>
    <w:rsid w:val="00E86ED2"/>
    <w:rsid w:val="00E871DB"/>
    <w:rsid w:val="00E87629"/>
    <w:rsid w:val="00E87846"/>
    <w:rsid w:val="00E87853"/>
    <w:rsid w:val="00E90075"/>
    <w:rsid w:val="00E90423"/>
    <w:rsid w:val="00E9047F"/>
    <w:rsid w:val="00E90630"/>
    <w:rsid w:val="00E90C12"/>
    <w:rsid w:val="00E91621"/>
    <w:rsid w:val="00E91C47"/>
    <w:rsid w:val="00E91D47"/>
    <w:rsid w:val="00E91FEE"/>
    <w:rsid w:val="00E92935"/>
    <w:rsid w:val="00E94784"/>
    <w:rsid w:val="00E949D3"/>
    <w:rsid w:val="00E94A10"/>
    <w:rsid w:val="00E95F82"/>
    <w:rsid w:val="00E96141"/>
    <w:rsid w:val="00E96473"/>
    <w:rsid w:val="00E96829"/>
    <w:rsid w:val="00E9686D"/>
    <w:rsid w:val="00E9757C"/>
    <w:rsid w:val="00E97928"/>
    <w:rsid w:val="00E97A5E"/>
    <w:rsid w:val="00EA0D57"/>
    <w:rsid w:val="00EA0E45"/>
    <w:rsid w:val="00EA1EAD"/>
    <w:rsid w:val="00EA205B"/>
    <w:rsid w:val="00EA3628"/>
    <w:rsid w:val="00EA36D3"/>
    <w:rsid w:val="00EA3702"/>
    <w:rsid w:val="00EA446D"/>
    <w:rsid w:val="00EA4907"/>
    <w:rsid w:val="00EA4974"/>
    <w:rsid w:val="00EA4A2E"/>
    <w:rsid w:val="00EA4BCD"/>
    <w:rsid w:val="00EA4CE0"/>
    <w:rsid w:val="00EA4EE3"/>
    <w:rsid w:val="00EA52B7"/>
    <w:rsid w:val="00EA5618"/>
    <w:rsid w:val="00EA5AC7"/>
    <w:rsid w:val="00EA6303"/>
    <w:rsid w:val="00EA63E7"/>
    <w:rsid w:val="00EA67FD"/>
    <w:rsid w:val="00EA6872"/>
    <w:rsid w:val="00EA6B29"/>
    <w:rsid w:val="00EA6B90"/>
    <w:rsid w:val="00EA6EA1"/>
    <w:rsid w:val="00EA740F"/>
    <w:rsid w:val="00EA7587"/>
    <w:rsid w:val="00EA7A0F"/>
    <w:rsid w:val="00EB04B5"/>
    <w:rsid w:val="00EB06AF"/>
    <w:rsid w:val="00EB1023"/>
    <w:rsid w:val="00EB1073"/>
    <w:rsid w:val="00EB199B"/>
    <w:rsid w:val="00EB1BC0"/>
    <w:rsid w:val="00EB210B"/>
    <w:rsid w:val="00EB2248"/>
    <w:rsid w:val="00EB2453"/>
    <w:rsid w:val="00EB269D"/>
    <w:rsid w:val="00EB2979"/>
    <w:rsid w:val="00EB39F9"/>
    <w:rsid w:val="00EB3BCE"/>
    <w:rsid w:val="00EB47E5"/>
    <w:rsid w:val="00EB5877"/>
    <w:rsid w:val="00EB5A86"/>
    <w:rsid w:val="00EB5CAD"/>
    <w:rsid w:val="00EB61ED"/>
    <w:rsid w:val="00EB621E"/>
    <w:rsid w:val="00EB65A1"/>
    <w:rsid w:val="00EB6633"/>
    <w:rsid w:val="00EB684B"/>
    <w:rsid w:val="00EB730C"/>
    <w:rsid w:val="00EB7561"/>
    <w:rsid w:val="00EB7939"/>
    <w:rsid w:val="00EB7B45"/>
    <w:rsid w:val="00EB7C89"/>
    <w:rsid w:val="00EC018B"/>
    <w:rsid w:val="00EC0324"/>
    <w:rsid w:val="00EC0DD2"/>
    <w:rsid w:val="00EC0E73"/>
    <w:rsid w:val="00EC13B2"/>
    <w:rsid w:val="00EC1543"/>
    <w:rsid w:val="00EC23B5"/>
    <w:rsid w:val="00EC2BC2"/>
    <w:rsid w:val="00EC2C2F"/>
    <w:rsid w:val="00EC2CF2"/>
    <w:rsid w:val="00EC2D72"/>
    <w:rsid w:val="00EC2DE4"/>
    <w:rsid w:val="00EC3159"/>
    <w:rsid w:val="00EC323A"/>
    <w:rsid w:val="00EC34E3"/>
    <w:rsid w:val="00EC3700"/>
    <w:rsid w:val="00EC37CE"/>
    <w:rsid w:val="00EC3C14"/>
    <w:rsid w:val="00EC3D4A"/>
    <w:rsid w:val="00EC3FFF"/>
    <w:rsid w:val="00EC4820"/>
    <w:rsid w:val="00EC5062"/>
    <w:rsid w:val="00EC53F0"/>
    <w:rsid w:val="00EC5DD1"/>
    <w:rsid w:val="00EC70F7"/>
    <w:rsid w:val="00EC7EB7"/>
    <w:rsid w:val="00EC7F4A"/>
    <w:rsid w:val="00ED0291"/>
    <w:rsid w:val="00ED0516"/>
    <w:rsid w:val="00ED053F"/>
    <w:rsid w:val="00ED198F"/>
    <w:rsid w:val="00ED1A2D"/>
    <w:rsid w:val="00ED1BFF"/>
    <w:rsid w:val="00ED241C"/>
    <w:rsid w:val="00ED26AE"/>
    <w:rsid w:val="00ED28D4"/>
    <w:rsid w:val="00ED296D"/>
    <w:rsid w:val="00ED2B38"/>
    <w:rsid w:val="00ED2F2E"/>
    <w:rsid w:val="00ED3A50"/>
    <w:rsid w:val="00ED4090"/>
    <w:rsid w:val="00ED4348"/>
    <w:rsid w:val="00ED43DA"/>
    <w:rsid w:val="00ED46D7"/>
    <w:rsid w:val="00ED4C1B"/>
    <w:rsid w:val="00ED529E"/>
    <w:rsid w:val="00ED542F"/>
    <w:rsid w:val="00ED66C5"/>
    <w:rsid w:val="00ED6A8D"/>
    <w:rsid w:val="00ED6B2E"/>
    <w:rsid w:val="00ED710B"/>
    <w:rsid w:val="00ED7133"/>
    <w:rsid w:val="00EE11F8"/>
    <w:rsid w:val="00EE190E"/>
    <w:rsid w:val="00EE1BEB"/>
    <w:rsid w:val="00EE1E35"/>
    <w:rsid w:val="00EE27E2"/>
    <w:rsid w:val="00EE2819"/>
    <w:rsid w:val="00EE2EC4"/>
    <w:rsid w:val="00EE38B4"/>
    <w:rsid w:val="00EE392A"/>
    <w:rsid w:val="00EE3B06"/>
    <w:rsid w:val="00EE3B46"/>
    <w:rsid w:val="00EE3B79"/>
    <w:rsid w:val="00EE3F23"/>
    <w:rsid w:val="00EE59ED"/>
    <w:rsid w:val="00EE60A1"/>
    <w:rsid w:val="00EE6168"/>
    <w:rsid w:val="00EE6853"/>
    <w:rsid w:val="00EE6C9F"/>
    <w:rsid w:val="00EE6D50"/>
    <w:rsid w:val="00EE7E5F"/>
    <w:rsid w:val="00EF0345"/>
    <w:rsid w:val="00EF04B9"/>
    <w:rsid w:val="00EF067D"/>
    <w:rsid w:val="00EF0CF9"/>
    <w:rsid w:val="00EF105D"/>
    <w:rsid w:val="00EF1A9B"/>
    <w:rsid w:val="00EF2262"/>
    <w:rsid w:val="00EF2380"/>
    <w:rsid w:val="00EF24F5"/>
    <w:rsid w:val="00EF2565"/>
    <w:rsid w:val="00EF2765"/>
    <w:rsid w:val="00EF27D0"/>
    <w:rsid w:val="00EF28B1"/>
    <w:rsid w:val="00EF2DE8"/>
    <w:rsid w:val="00EF32F6"/>
    <w:rsid w:val="00EF4580"/>
    <w:rsid w:val="00EF4EF1"/>
    <w:rsid w:val="00EF539F"/>
    <w:rsid w:val="00EF5925"/>
    <w:rsid w:val="00EF662C"/>
    <w:rsid w:val="00EF6928"/>
    <w:rsid w:val="00EF6DB5"/>
    <w:rsid w:val="00EF6FA9"/>
    <w:rsid w:val="00EF7405"/>
    <w:rsid w:val="00EF78EA"/>
    <w:rsid w:val="00F016E4"/>
    <w:rsid w:val="00F017DC"/>
    <w:rsid w:val="00F01CB5"/>
    <w:rsid w:val="00F01E6C"/>
    <w:rsid w:val="00F02075"/>
    <w:rsid w:val="00F03111"/>
    <w:rsid w:val="00F03219"/>
    <w:rsid w:val="00F03702"/>
    <w:rsid w:val="00F03C06"/>
    <w:rsid w:val="00F04097"/>
    <w:rsid w:val="00F045E2"/>
    <w:rsid w:val="00F051B0"/>
    <w:rsid w:val="00F05409"/>
    <w:rsid w:val="00F06448"/>
    <w:rsid w:val="00F0689B"/>
    <w:rsid w:val="00F06E52"/>
    <w:rsid w:val="00F06F62"/>
    <w:rsid w:val="00F078AE"/>
    <w:rsid w:val="00F07BD0"/>
    <w:rsid w:val="00F07EC3"/>
    <w:rsid w:val="00F100E0"/>
    <w:rsid w:val="00F10625"/>
    <w:rsid w:val="00F1079D"/>
    <w:rsid w:val="00F11081"/>
    <w:rsid w:val="00F11209"/>
    <w:rsid w:val="00F11547"/>
    <w:rsid w:val="00F11A95"/>
    <w:rsid w:val="00F11C39"/>
    <w:rsid w:val="00F11CEB"/>
    <w:rsid w:val="00F1248F"/>
    <w:rsid w:val="00F1264C"/>
    <w:rsid w:val="00F126D2"/>
    <w:rsid w:val="00F130A4"/>
    <w:rsid w:val="00F13573"/>
    <w:rsid w:val="00F13EA0"/>
    <w:rsid w:val="00F140E4"/>
    <w:rsid w:val="00F14107"/>
    <w:rsid w:val="00F1457D"/>
    <w:rsid w:val="00F14673"/>
    <w:rsid w:val="00F1469A"/>
    <w:rsid w:val="00F1480E"/>
    <w:rsid w:val="00F149A3"/>
    <w:rsid w:val="00F15443"/>
    <w:rsid w:val="00F15BD1"/>
    <w:rsid w:val="00F1677E"/>
    <w:rsid w:val="00F16BE6"/>
    <w:rsid w:val="00F174DB"/>
    <w:rsid w:val="00F1767B"/>
    <w:rsid w:val="00F17B2F"/>
    <w:rsid w:val="00F20521"/>
    <w:rsid w:val="00F20797"/>
    <w:rsid w:val="00F20E6E"/>
    <w:rsid w:val="00F211C1"/>
    <w:rsid w:val="00F217CB"/>
    <w:rsid w:val="00F21874"/>
    <w:rsid w:val="00F2199E"/>
    <w:rsid w:val="00F21E65"/>
    <w:rsid w:val="00F21EEB"/>
    <w:rsid w:val="00F22268"/>
    <w:rsid w:val="00F2231E"/>
    <w:rsid w:val="00F22877"/>
    <w:rsid w:val="00F23077"/>
    <w:rsid w:val="00F234F2"/>
    <w:rsid w:val="00F236E1"/>
    <w:rsid w:val="00F24486"/>
    <w:rsid w:val="00F24755"/>
    <w:rsid w:val="00F25875"/>
    <w:rsid w:val="00F25F15"/>
    <w:rsid w:val="00F26877"/>
    <w:rsid w:val="00F268BA"/>
    <w:rsid w:val="00F26E93"/>
    <w:rsid w:val="00F26F42"/>
    <w:rsid w:val="00F272E0"/>
    <w:rsid w:val="00F279BA"/>
    <w:rsid w:val="00F30562"/>
    <w:rsid w:val="00F30952"/>
    <w:rsid w:val="00F30CB3"/>
    <w:rsid w:val="00F3163A"/>
    <w:rsid w:val="00F31A97"/>
    <w:rsid w:val="00F31DDB"/>
    <w:rsid w:val="00F3200C"/>
    <w:rsid w:val="00F320EB"/>
    <w:rsid w:val="00F321E3"/>
    <w:rsid w:val="00F323D2"/>
    <w:rsid w:val="00F32665"/>
    <w:rsid w:val="00F32E30"/>
    <w:rsid w:val="00F32EE7"/>
    <w:rsid w:val="00F330A5"/>
    <w:rsid w:val="00F3344A"/>
    <w:rsid w:val="00F3372C"/>
    <w:rsid w:val="00F33FEC"/>
    <w:rsid w:val="00F3411B"/>
    <w:rsid w:val="00F35842"/>
    <w:rsid w:val="00F359EB"/>
    <w:rsid w:val="00F36501"/>
    <w:rsid w:val="00F36694"/>
    <w:rsid w:val="00F36CD4"/>
    <w:rsid w:val="00F3767D"/>
    <w:rsid w:val="00F4012C"/>
    <w:rsid w:val="00F4063A"/>
    <w:rsid w:val="00F4093E"/>
    <w:rsid w:val="00F4170C"/>
    <w:rsid w:val="00F41879"/>
    <w:rsid w:val="00F41CFF"/>
    <w:rsid w:val="00F4243B"/>
    <w:rsid w:val="00F42646"/>
    <w:rsid w:val="00F42AC1"/>
    <w:rsid w:val="00F42EA6"/>
    <w:rsid w:val="00F42FD1"/>
    <w:rsid w:val="00F43598"/>
    <w:rsid w:val="00F436D2"/>
    <w:rsid w:val="00F43A0D"/>
    <w:rsid w:val="00F43BF4"/>
    <w:rsid w:val="00F44001"/>
    <w:rsid w:val="00F45032"/>
    <w:rsid w:val="00F461EB"/>
    <w:rsid w:val="00F4667C"/>
    <w:rsid w:val="00F46963"/>
    <w:rsid w:val="00F47047"/>
    <w:rsid w:val="00F4761B"/>
    <w:rsid w:val="00F4786F"/>
    <w:rsid w:val="00F4792C"/>
    <w:rsid w:val="00F47C30"/>
    <w:rsid w:val="00F50392"/>
    <w:rsid w:val="00F50828"/>
    <w:rsid w:val="00F50906"/>
    <w:rsid w:val="00F50AA7"/>
    <w:rsid w:val="00F517D6"/>
    <w:rsid w:val="00F51F3A"/>
    <w:rsid w:val="00F52208"/>
    <w:rsid w:val="00F52C19"/>
    <w:rsid w:val="00F52CC2"/>
    <w:rsid w:val="00F53002"/>
    <w:rsid w:val="00F5365A"/>
    <w:rsid w:val="00F53743"/>
    <w:rsid w:val="00F53B8B"/>
    <w:rsid w:val="00F53C98"/>
    <w:rsid w:val="00F54714"/>
    <w:rsid w:val="00F54BA2"/>
    <w:rsid w:val="00F554CF"/>
    <w:rsid w:val="00F558D4"/>
    <w:rsid w:val="00F55FFC"/>
    <w:rsid w:val="00F56BF3"/>
    <w:rsid w:val="00F56F60"/>
    <w:rsid w:val="00F576B5"/>
    <w:rsid w:val="00F577C6"/>
    <w:rsid w:val="00F57800"/>
    <w:rsid w:val="00F57F76"/>
    <w:rsid w:val="00F603F5"/>
    <w:rsid w:val="00F6083E"/>
    <w:rsid w:val="00F60B70"/>
    <w:rsid w:val="00F6185D"/>
    <w:rsid w:val="00F61FC9"/>
    <w:rsid w:val="00F62238"/>
    <w:rsid w:val="00F6223E"/>
    <w:rsid w:val="00F62391"/>
    <w:rsid w:val="00F62A2D"/>
    <w:rsid w:val="00F63A0E"/>
    <w:rsid w:val="00F63B07"/>
    <w:rsid w:val="00F63CED"/>
    <w:rsid w:val="00F6416D"/>
    <w:rsid w:val="00F642E8"/>
    <w:rsid w:val="00F642F2"/>
    <w:rsid w:val="00F64B72"/>
    <w:rsid w:val="00F64FC3"/>
    <w:rsid w:val="00F655DB"/>
    <w:rsid w:val="00F65A96"/>
    <w:rsid w:val="00F65B4B"/>
    <w:rsid w:val="00F65B8A"/>
    <w:rsid w:val="00F65E8C"/>
    <w:rsid w:val="00F663A0"/>
    <w:rsid w:val="00F66D18"/>
    <w:rsid w:val="00F66F43"/>
    <w:rsid w:val="00F7075C"/>
    <w:rsid w:val="00F70D4F"/>
    <w:rsid w:val="00F7113A"/>
    <w:rsid w:val="00F71278"/>
    <w:rsid w:val="00F712F4"/>
    <w:rsid w:val="00F7132A"/>
    <w:rsid w:val="00F721EA"/>
    <w:rsid w:val="00F723C0"/>
    <w:rsid w:val="00F7257B"/>
    <w:rsid w:val="00F72B0E"/>
    <w:rsid w:val="00F72BF8"/>
    <w:rsid w:val="00F72D40"/>
    <w:rsid w:val="00F72D4F"/>
    <w:rsid w:val="00F72F42"/>
    <w:rsid w:val="00F731D2"/>
    <w:rsid w:val="00F7360E"/>
    <w:rsid w:val="00F73A5D"/>
    <w:rsid w:val="00F73AC5"/>
    <w:rsid w:val="00F73C9D"/>
    <w:rsid w:val="00F73E94"/>
    <w:rsid w:val="00F74FA0"/>
    <w:rsid w:val="00F75320"/>
    <w:rsid w:val="00F75913"/>
    <w:rsid w:val="00F75E1F"/>
    <w:rsid w:val="00F76222"/>
    <w:rsid w:val="00F767F2"/>
    <w:rsid w:val="00F76D63"/>
    <w:rsid w:val="00F77075"/>
    <w:rsid w:val="00F77748"/>
    <w:rsid w:val="00F77E2A"/>
    <w:rsid w:val="00F804B2"/>
    <w:rsid w:val="00F8050A"/>
    <w:rsid w:val="00F80C8A"/>
    <w:rsid w:val="00F81169"/>
    <w:rsid w:val="00F8119C"/>
    <w:rsid w:val="00F813AF"/>
    <w:rsid w:val="00F82251"/>
    <w:rsid w:val="00F82B0C"/>
    <w:rsid w:val="00F83339"/>
    <w:rsid w:val="00F83651"/>
    <w:rsid w:val="00F83D4F"/>
    <w:rsid w:val="00F8427A"/>
    <w:rsid w:val="00F84CA9"/>
    <w:rsid w:val="00F84E5D"/>
    <w:rsid w:val="00F85338"/>
    <w:rsid w:val="00F855E0"/>
    <w:rsid w:val="00F85A8A"/>
    <w:rsid w:val="00F85E5F"/>
    <w:rsid w:val="00F866D0"/>
    <w:rsid w:val="00F8681C"/>
    <w:rsid w:val="00F86C07"/>
    <w:rsid w:val="00F87A7C"/>
    <w:rsid w:val="00F87D2B"/>
    <w:rsid w:val="00F90ACA"/>
    <w:rsid w:val="00F912FF"/>
    <w:rsid w:val="00F91578"/>
    <w:rsid w:val="00F919A5"/>
    <w:rsid w:val="00F91C99"/>
    <w:rsid w:val="00F92166"/>
    <w:rsid w:val="00F94078"/>
    <w:rsid w:val="00F9431A"/>
    <w:rsid w:val="00F94493"/>
    <w:rsid w:val="00F94CF3"/>
    <w:rsid w:val="00F9509D"/>
    <w:rsid w:val="00F957C9"/>
    <w:rsid w:val="00F95A85"/>
    <w:rsid w:val="00F95F8D"/>
    <w:rsid w:val="00F96182"/>
    <w:rsid w:val="00F963DA"/>
    <w:rsid w:val="00F96403"/>
    <w:rsid w:val="00F9643D"/>
    <w:rsid w:val="00F967F7"/>
    <w:rsid w:val="00F96ACB"/>
    <w:rsid w:val="00F9735E"/>
    <w:rsid w:val="00F97919"/>
    <w:rsid w:val="00F97C27"/>
    <w:rsid w:val="00FA106A"/>
    <w:rsid w:val="00FA2240"/>
    <w:rsid w:val="00FA27B3"/>
    <w:rsid w:val="00FA2FF6"/>
    <w:rsid w:val="00FA43A7"/>
    <w:rsid w:val="00FA44D9"/>
    <w:rsid w:val="00FA46C1"/>
    <w:rsid w:val="00FA49C3"/>
    <w:rsid w:val="00FA5B44"/>
    <w:rsid w:val="00FA68B5"/>
    <w:rsid w:val="00FA6CF1"/>
    <w:rsid w:val="00FA7016"/>
    <w:rsid w:val="00FA7753"/>
    <w:rsid w:val="00FA77BD"/>
    <w:rsid w:val="00FA7D86"/>
    <w:rsid w:val="00FB01EC"/>
    <w:rsid w:val="00FB0CC7"/>
    <w:rsid w:val="00FB188E"/>
    <w:rsid w:val="00FB192B"/>
    <w:rsid w:val="00FB1935"/>
    <w:rsid w:val="00FB1A6B"/>
    <w:rsid w:val="00FB1D70"/>
    <w:rsid w:val="00FB20FB"/>
    <w:rsid w:val="00FB21C9"/>
    <w:rsid w:val="00FB240E"/>
    <w:rsid w:val="00FB280F"/>
    <w:rsid w:val="00FB2A0D"/>
    <w:rsid w:val="00FB2BE6"/>
    <w:rsid w:val="00FB2CA5"/>
    <w:rsid w:val="00FB3415"/>
    <w:rsid w:val="00FB35FD"/>
    <w:rsid w:val="00FB3A0C"/>
    <w:rsid w:val="00FB44B4"/>
    <w:rsid w:val="00FB463B"/>
    <w:rsid w:val="00FB5A06"/>
    <w:rsid w:val="00FB791F"/>
    <w:rsid w:val="00FB7943"/>
    <w:rsid w:val="00FB7C6D"/>
    <w:rsid w:val="00FB7F47"/>
    <w:rsid w:val="00FC04E5"/>
    <w:rsid w:val="00FC1B2C"/>
    <w:rsid w:val="00FC2034"/>
    <w:rsid w:val="00FC247E"/>
    <w:rsid w:val="00FC26AD"/>
    <w:rsid w:val="00FC2DF9"/>
    <w:rsid w:val="00FC317E"/>
    <w:rsid w:val="00FC3FA0"/>
    <w:rsid w:val="00FC49E2"/>
    <w:rsid w:val="00FC503A"/>
    <w:rsid w:val="00FC5254"/>
    <w:rsid w:val="00FC56FB"/>
    <w:rsid w:val="00FC58F4"/>
    <w:rsid w:val="00FC5A8E"/>
    <w:rsid w:val="00FC6D9B"/>
    <w:rsid w:val="00FC72FD"/>
    <w:rsid w:val="00FC7517"/>
    <w:rsid w:val="00FC799F"/>
    <w:rsid w:val="00FD0020"/>
    <w:rsid w:val="00FD04EE"/>
    <w:rsid w:val="00FD0DC4"/>
    <w:rsid w:val="00FD11D9"/>
    <w:rsid w:val="00FD11F8"/>
    <w:rsid w:val="00FD1613"/>
    <w:rsid w:val="00FD2722"/>
    <w:rsid w:val="00FD272A"/>
    <w:rsid w:val="00FD36F8"/>
    <w:rsid w:val="00FD4326"/>
    <w:rsid w:val="00FD4BC6"/>
    <w:rsid w:val="00FD59E3"/>
    <w:rsid w:val="00FD5C7D"/>
    <w:rsid w:val="00FD61CF"/>
    <w:rsid w:val="00FD6A99"/>
    <w:rsid w:val="00FD6AEA"/>
    <w:rsid w:val="00FD6FB2"/>
    <w:rsid w:val="00FD7C2E"/>
    <w:rsid w:val="00FD7DB4"/>
    <w:rsid w:val="00FD7EB6"/>
    <w:rsid w:val="00FE098C"/>
    <w:rsid w:val="00FE0AF5"/>
    <w:rsid w:val="00FE0D21"/>
    <w:rsid w:val="00FE1199"/>
    <w:rsid w:val="00FE14ED"/>
    <w:rsid w:val="00FE162B"/>
    <w:rsid w:val="00FE21E9"/>
    <w:rsid w:val="00FE2D16"/>
    <w:rsid w:val="00FE31B2"/>
    <w:rsid w:val="00FE3716"/>
    <w:rsid w:val="00FE3D19"/>
    <w:rsid w:val="00FE3DAA"/>
    <w:rsid w:val="00FE3E0F"/>
    <w:rsid w:val="00FE4192"/>
    <w:rsid w:val="00FE4D74"/>
    <w:rsid w:val="00FE4EBE"/>
    <w:rsid w:val="00FE559F"/>
    <w:rsid w:val="00FE5DDE"/>
    <w:rsid w:val="00FE6281"/>
    <w:rsid w:val="00FE6BDE"/>
    <w:rsid w:val="00FE7473"/>
    <w:rsid w:val="00FE74AB"/>
    <w:rsid w:val="00FE7783"/>
    <w:rsid w:val="00FE790B"/>
    <w:rsid w:val="00FF03A2"/>
    <w:rsid w:val="00FF0A01"/>
    <w:rsid w:val="00FF0C32"/>
    <w:rsid w:val="00FF0CD1"/>
    <w:rsid w:val="00FF1653"/>
    <w:rsid w:val="00FF231D"/>
    <w:rsid w:val="00FF28FE"/>
    <w:rsid w:val="00FF2BC0"/>
    <w:rsid w:val="00FF33A9"/>
    <w:rsid w:val="00FF3582"/>
    <w:rsid w:val="00FF3907"/>
    <w:rsid w:val="00FF3BC9"/>
    <w:rsid w:val="00FF3FAC"/>
    <w:rsid w:val="00FF4016"/>
    <w:rsid w:val="00FF421B"/>
    <w:rsid w:val="00FF4F68"/>
    <w:rsid w:val="00FF5044"/>
    <w:rsid w:val="00FF52DE"/>
    <w:rsid w:val="00FF55D8"/>
    <w:rsid w:val="00FF565C"/>
    <w:rsid w:val="00FF5F0C"/>
    <w:rsid w:val="00FF6002"/>
    <w:rsid w:val="00FF601C"/>
    <w:rsid w:val="00FF6341"/>
    <w:rsid w:val="00FF64BE"/>
    <w:rsid w:val="00FF66D1"/>
    <w:rsid w:val="00FF70B5"/>
    <w:rsid w:val="00FF7189"/>
    <w:rsid w:val="00FF7721"/>
    <w:rsid w:val="00FF7E98"/>
    <w:rsid w:val="00FF7F30"/>
    <w:rsid w:val="011A11A4"/>
    <w:rsid w:val="012E146B"/>
    <w:rsid w:val="01405559"/>
    <w:rsid w:val="014B5B44"/>
    <w:rsid w:val="016F1387"/>
    <w:rsid w:val="0182219D"/>
    <w:rsid w:val="01856CCD"/>
    <w:rsid w:val="018C5F7F"/>
    <w:rsid w:val="01AC7D6A"/>
    <w:rsid w:val="01BE4069"/>
    <w:rsid w:val="01BE5800"/>
    <w:rsid w:val="01C35244"/>
    <w:rsid w:val="01E46F65"/>
    <w:rsid w:val="01FD1AB4"/>
    <w:rsid w:val="01FF5F05"/>
    <w:rsid w:val="02087DA5"/>
    <w:rsid w:val="020F084F"/>
    <w:rsid w:val="0228639E"/>
    <w:rsid w:val="022C43FC"/>
    <w:rsid w:val="023D5749"/>
    <w:rsid w:val="02813B70"/>
    <w:rsid w:val="029447A7"/>
    <w:rsid w:val="02E332EA"/>
    <w:rsid w:val="02E536DD"/>
    <w:rsid w:val="02FC7879"/>
    <w:rsid w:val="030A564C"/>
    <w:rsid w:val="03105586"/>
    <w:rsid w:val="032042AD"/>
    <w:rsid w:val="035E737B"/>
    <w:rsid w:val="03663B0D"/>
    <w:rsid w:val="037D3DF5"/>
    <w:rsid w:val="03A955C9"/>
    <w:rsid w:val="03F06C42"/>
    <w:rsid w:val="040242FD"/>
    <w:rsid w:val="041B3357"/>
    <w:rsid w:val="042B4EF3"/>
    <w:rsid w:val="043A3A91"/>
    <w:rsid w:val="047B6C26"/>
    <w:rsid w:val="049A683B"/>
    <w:rsid w:val="04B458A6"/>
    <w:rsid w:val="04BE5FB8"/>
    <w:rsid w:val="04C34346"/>
    <w:rsid w:val="04E30437"/>
    <w:rsid w:val="04E3622D"/>
    <w:rsid w:val="05045C94"/>
    <w:rsid w:val="05065269"/>
    <w:rsid w:val="053323FC"/>
    <w:rsid w:val="05465FD3"/>
    <w:rsid w:val="0550373A"/>
    <w:rsid w:val="055124E8"/>
    <w:rsid w:val="05653BAE"/>
    <w:rsid w:val="0571476E"/>
    <w:rsid w:val="05A3689F"/>
    <w:rsid w:val="05EF5C58"/>
    <w:rsid w:val="05F41FAA"/>
    <w:rsid w:val="05F45E3B"/>
    <w:rsid w:val="0602556D"/>
    <w:rsid w:val="06292706"/>
    <w:rsid w:val="062E29C3"/>
    <w:rsid w:val="063B78DC"/>
    <w:rsid w:val="063D29A3"/>
    <w:rsid w:val="064F566F"/>
    <w:rsid w:val="0656577C"/>
    <w:rsid w:val="0682248D"/>
    <w:rsid w:val="0688553D"/>
    <w:rsid w:val="069316F2"/>
    <w:rsid w:val="06971FEE"/>
    <w:rsid w:val="06A2338C"/>
    <w:rsid w:val="06C104D4"/>
    <w:rsid w:val="06C123D8"/>
    <w:rsid w:val="06C14E19"/>
    <w:rsid w:val="071749C2"/>
    <w:rsid w:val="071C264C"/>
    <w:rsid w:val="0730000A"/>
    <w:rsid w:val="07305104"/>
    <w:rsid w:val="0744639A"/>
    <w:rsid w:val="07486809"/>
    <w:rsid w:val="07653BD1"/>
    <w:rsid w:val="076C143E"/>
    <w:rsid w:val="076E0F6D"/>
    <w:rsid w:val="07717C81"/>
    <w:rsid w:val="07761BFD"/>
    <w:rsid w:val="078F5276"/>
    <w:rsid w:val="07BC2556"/>
    <w:rsid w:val="07E51AAD"/>
    <w:rsid w:val="07E84F31"/>
    <w:rsid w:val="081650F7"/>
    <w:rsid w:val="0839529D"/>
    <w:rsid w:val="0859774B"/>
    <w:rsid w:val="087840FB"/>
    <w:rsid w:val="08A17934"/>
    <w:rsid w:val="08AF77F6"/>
    <w:rsid w:val="08CA13FE"/>
    <w:rsid w:val="08DD4532"/>
    <w:rsid w:val="08ED1BAD"/>
    <w:rsid w:val="08ED6689"/>
    <w:rsid w:val="08F234FA"/>
    <w:rsid w:val="08F57ACE"/>
    <w:rsid w:val="090760E5"/>
    <w:rsid w:val="090B23E0"/>
    <w:rsid w:val="091368A1"/>
    <w:rsid w:val="0925559E"/>
    <w:rsid w:val="093D503C"/>
    <w:rsid w:val="0971094D"/>
    <w:rsid w:val="09974C33"/>
    <w:rsid w:val="099E7A69"/>
    <w:rsid w:val="09B82947"/>
    <w:rsid w:val="09C94FA3"/>
    <w:rsid w:val="09CF15F0"/>
    <w:rsid w:val="09E55D39"/>
    <w:rsid w:val="0A8658BC"/>
    <w:rsid w:val="0A8C5FC6"/>
    <w:rsid w:val="0A9E153A"/>
    <w:rsid w:val="0AA35092"/>
    <w:rsid w:val="0B041A8B"/>
    <w:rsid w:val="0B0F7D5D"/>
    <w:rsid w:val="0B1E74CA"/>
    <w:rsid w:val="0B2E3CF5"/>
    <w:rsid w:val="0B9E6437"/>
    <w:rsid w:val="0BF958C7"/>
    <w:rsid w:val="0C064DA2"/>
    <w:rsid w:val="0C1666D9"/>
    <w:rsid w:val="0C2561A2"/>
    <w:rsid w:val="0C3F3332"/>
    <w:rsid w:val="0C5A09A9"/>
    <w:rsid w:val="0C6B308A"/>
    <w:rsid w:val="0C6E7FC6"/>
    <w:rsid w:val="0C7A4730"/>
    <w:rsid w:val="0C800126"/>
    <w:rsid w:val="0C8C0258"/>
    <w:rsid w:val="0CDB719E"/>
    <w:rsid w:val="0D0B53BC"/>
    <w:rsid w:val="0D11138D"/>
    <w:rsid w:val="0D56019D"/>
    <w:rsid w:val="0DAF176C"/>
    <w:rsid w:val="0DB47D2A"/>
    <w:rsid w:val="0DCA4E97"/>
    <w:rsid w:val="0DD23658"/>
    <w:rsid w:val="0DD673C7"/>
    <w:rsid w:val="0DEA5654"/>
    <w:rsid w:val="0DED21A1"/>
    <w:rsid w:val="0DF9456A"/>
    <w:rsid w:val="0E0812B7"/>
    <w:rsid w:val="0E407559"/>
    <w:rsid w:val="0E5A5508"/>
    <w:rsid w:val="0E800498"/>
    <w:rsid w:val="0E940B6D"/>
    <w:rsid w:val="0EAB6A73"/>
    <w:rsid w:val="0EFF7ECE"/>
    <w:rsid w:val="0F4D0707"/>
    <w:rsid w:val="0F951117"/>
    <w:rsid w:val="0F9F41EB"/>
    <w:rsid w:val="0FB970F9"/>
    <w:rsid w:val="0FBA2A45"/>
    <w:rsid w:val="0FC41654"/>
    <w:rsid w:val="0FDE7285"/>
    <w:rsid w:val="10156CA8"/>
    <w:rsid w:val="101E0BE2"/>
    <w:rsid w:val="10403121"/>
    <w:rsid w:val="104046D8"/>
    <w:rsid w:val="1042721E"/>
    <w:rsid w:val="106951F4"/>
    <w:rsid w:val="10816687"/>
    <w:rsid w:val="10993A1B"/>
    <w:rsid w:val="10AD147E"/>
    <w:rsid w:val="10E26334"/>
    <w:rsid w:val="11005175"/>
    <w:rsid w:val="11005262"/>
    <w:rsid w:val="11124156"/>
    <w:rsid w:val="111809A6"/>
    <w:rsid w:val="112C5B7D"/>
    <w:rsid w:val="1147532F"/>
    <w:rsid w:val="11584B47"/>
    <w:rsid w:val="118406FD"/>
    <w:rsid w:val="11871589"/>
    <w:rsid w:val="118C2ED5"/>
    <w:rsid w:val="119B5A62"/>
    <w:rsid w:val="11B416F0"/>
    <w:rsid w:val="11B83D31"/>
    <w:rsid w:val="11B91E2A"/>
    <w:rsid w:val="11DC0A97"/>
    <w:rsid w:val="11EC2719"/>
    <w:rsid w:val="121944E4"/>
    <w:rsid w:val="122263B9"/>
    <w:rsid w:val="12625B2F"/>
    <w:rsid w:val="126F5DEF"/>
    <w:rsid w:val="12795B29"/>
    <w:rsid w:val="129036E0"/>
    <w:rsid w:val="12A5475F"/>
    <w:rsid w:val="12F62B63"/>
    <w:rsid w:val="12F86DF5"/>
    <w:rsid w:val="131C01C2"/>
    <w:rsid w:val="135B7891"/>
    <w:rsid w:val="13696837"/>
    <w:rsid w:val="13703527"/>
    <w:rsid w:val="1383473A"/>
    <w:rsid w:val="1396006F"/>
    <w:rsid w:val="13B31AEC"/>
    <w:rsid w:val="13B453F8"/>
    <w:rsid w:val="13E505F2"/>
    <w:rsid w:val="13FE3FBA"/>
    <w:rsid w:val="140E1568"/>
    <w:rsid w:val="14352D0A"/>
    <w:rsid w:val="14404369"/>
    <w:rsid w:val="14685A0B"/>
    <w:rsid w:val="14794186"/>
    <w:rsid w:val="14B12588"/>
    <w:rsid w:val="14CD3DAA"/>
    <w:rsid w:val="14E32F86"/>
    <w:rsid w:val="14F02142"/>
    <w:rsid w:val="152617F1"/>
    <w:rsid w:val="154173E7"/>
    <w:rsid w:val="15422182"/>
    <w:rsid w:val="1552394A"/>
    <w:rsid w:val="15660168"/>
    <w:rsid w:val="157836E3"/>
    <w:rsid w:val="15B82D31"/>
    <w:rsid w:val="16061FA9"/>
    <w:rsid w:val="1612079E"/>
    <w:rsid w:val="161471A7"/>
    <w:rsid w:val="161E6F7C"/>
    <w:rsid w:val="162C11CD"/>
    <w:rsid w:val="16464B12"/>
    <w:rsid w:val="165A7CB1"/>
    <w:rsid w:val="16785A64"/>
    <w:rsid w:val="167A6312"/>
    <w:rsid w:val="168E4B0B"/>
    <w:rsid w:val="16E75F55"/>
    <w:rsid w:val="16F86295"/>
    <w:rsid w:val="171351B3"/>
    <w:rsid w:val="171F3A68"/>
    <w:rsid w:val="173F7C81"/>
    <w:rsid w:val="17503E90"/>
    <w:rsid w:val="175D674F"/>
    <w:rsid w:val="17696FC3"/>
    <w:rsid w:val="176A7386"/>
    <w:rsid w:val="17846F7B"/>
    <w:rsid w:val="1793734F"/>
    <w:rsid w:val="17951BB8"/>
    <w:rsid w:val="17961CB0"/>
    <w:rsid w:val="17A25817"/>
    <w:rsid w:val="17B53534"/>
    <w:rsid w:val="17C153CA"/>
    <w:rsid w:val="17C37E3D"/>
    <w:rsid w:val="17CB768E"/>
    <w:rsid w:val="17CD2550"/>
    <w:rsid w:val="17D65152"/>
    <w:rsid w:val="18114189"/>
    <w:rsid w:val="182E04FD"/>
    <w:rsid w:val="18436F4C"/>
    <w:rsid w:val="184A4972"/>
    <w:rsid w:val="18651AE9"/>
    <w:rsid w:val="186B0554"/>
    <w:rsid w:val="187431A4"/>
    <w:rsid w:val="189161DF"/>
    <w:rsid w:val="18E208A1"/>
    <w:rsid w:val="18E66A5F"/>
    <w:rsid w:val="18F06F2D"/>
    <w:rsid w:val="18F630EB"/>
    <w:rsid w:val="19117739"/>
    <w:rsid w:val="19127145"/>
    <w:rsid w:val="1913400B"/>
    <w:rsid w:val="19403824"/>
    <w:rsid w:val="195B6934"/>
    <w:rsid w:val="19891649"/>
    <w:rsid w:val="19A707A4"/>
    <w:rsid w:val="19AD7F51"/>
    <w:rsid w:val="19B02548"/>
    <w:rsid w:val="19D8675D"/>
    <w:rsid w:val="19E776E0"/>
    <w:rsid w:val="1A08207C"/>
    <w:rsid w:val="1A1C2849"/>
    <w:rsid w:val="1A1D16EC"/>
    <w:rsid w:val="1A961DDD"/>
    <w:rsid w:val="1A9E3747"/>
    <w:rsid w:val="1AC8412A"/>
    <w:rsid w:val="1B170AD5"/>
    <w:rsid w:val="1B1973A4"/>
    <w:rsid w:val="1B7C7571"/>
    <w:rsid w:val="1B99052C"/>
    <w:rsid w:val="1B9F76CB"/>
    <w:rsid w:val="1BA50D14"/>
    <w:rsid w:val="1BA677E7"/>
    <w:rsid w:val="1BA7385B"/>
    <w:rsid w:val="1BB10357"/>
    <w:rsid w:val="1BDE7003"/>
    <w:rsid w:val="1C012E1D"/>
    <w:rsid w:val="1C057BD0"/>
    <w:rsid w:val="1C157D87"/>
    <w:rsid w:val="1C1F5025"/>
    <w:rsid w:val="1C222B34"/>
    <w:rsid w:val="1C2A5760"/>
    <w:rsid w:val="1C311D80"/>
    <w:rsid w:val="1C433A21"/>
    <w:rsid w:val="1C625D30"/>
    <w:rsid w:val="1C763150"/>
    <w:rsid w:val="1C7671E3"/>
    <w:rsid w:val="1C777601"/>
    <w:rsid w:val="1C7B6556"/>
    <w:rsid w:val="1C853B91"/>
    <w:rsid w:val="1C8A493E"/>
    <w:rsid w:val="1C8E4C0B"/>
    <w:rsid w:val="1CB42BFC"/>
    <w:rsid w:val="1CCB6998"/>
    <w:rsid w:val="1CD638BB"/>
    <w:rsid w:val="1CD6623F"/>
    <w:rsid w:val="1CE32665"/>
    <w:rsid w:val="1CE76B5B"/>
    <w:rsid w:val="1CF90898"/>
    <w:rsid w:val="1CFA0FE7"/>
    <w:rsid w:val="1CFF0779"/>
    <w:rsid w:val="1D181B85"/>
    <w:rsid w:val="1D375242"/>
    <w:rsid w:val="1D4824C2"/>
    <w:rsid w:val="1D5D0A22"/>
    <w:rsid w:val="1D665764"/>
    <w:rsid w:val="1D8834DD"/>
    <w:rsid w:val="1D8C69C4"/>
    <w:rsid w:val="1DE748E1"/>
    <w:rsid w:val="1DEF6C8E"/>
    <w:rsid w:val="1E17406B"/>
    <w:rsid w:val="1E1C7C6C"/>
    <w:rsid w:val="1E4F15D7"/>
    <w:rsid w:val="1E59338C"/>
    <w:rsid w:val="1E6178C8"/>
    <w:rsid w:val="1E646F85"/>
    <w:rsid w:val="1E6B35C6"/>
    <w:rsid w:val="1E6E2B97"/>
    <w:rsid w:val="1E767283"/>
    <w:rsid w:val="1E786F00"/>
    <w:rsid w:val="1EA72A03"/>
    <w:rsid w:val="1EA917F9"/>
    <w:rsid w:val="1EBA1318"/>
    <w:rsid w:val="1ECF38FA"/>
    <w:rsid w:val="1ED76DE0"/>
    <w:rsid w:val="1EE26B01"/>
    <w:rsid w:val="1EE3190B"/>
    <w:rsid w:val="1EE37407"/>
    <w:rsid w:val="1EE5272F"/>
    <w:rsid w:val="1F147CCD"/>
    <w:rsid w:val="1F1F65F5"/>
    <w:rsid w:val="1F227F17"/>
    <w:rsid w:val="1F343C02"/>
    <w:rsid w:val="1F6D440A"/>
    <w:rsid w:val="1F795067"/>
    <w:rsid w:val="1F813E70"/>
    <w:rsid w:val="1FAC7E53"/>
    <w:rsid w:val="20416CE5"/>
    <w:rsid w:val="20484D19"/>
    <w:rsid w:val="20505A20"/>
    <w:rsid w:val="20517FE3"/>
    <w:rsid w:val="20597707"/>
    <w:rsid w:val="206F589B"/>
    <w:rsid w:val="207F0857"/>
    <w:rsid w:val="2080016D"/>
    <w:rsid w:val="20A87676"/>
    <w:rsid w:val="20C2792D"/>
    <w:rsid w:val="20CE2C18"/>
    <w:rsid w:val="20DA2F51"/>
    <w:rsid w:val="20E3136E"/>
    <w:rsid w:val="20E410EC"/>
    <w:rsid w:val="20E635E4"/>
    <w:rsid w:val="20FF46EC"/>
    <w:rsid w:val="21160D44"/>
    <w:rsid w:val="21577705"/>
    <w:rsid w:val="215D1F6B"/>
    <w:rsid w:val="21790950"/>
    <w:rsid w:val="217C1DAF"/>
    <w:rsid w:val="218220DE"/>
    <w:rsid w:val="219E6A54"/>
    <w:rsid w:val="219F3764"/>
    <w:rsid w:val="21A43D4D"/>
    <w:rsid w:val="21A96AA8"/>
    <w:rsid w:val="21BF4CC5"/>
    <w:rsid w:val="21CA461C"/>
    <w:rsid w:val="21E9430A"/>
    <w:rsid w:val="21F30A32"/>
    <w:rsid w:val="21FE096D"/>
    <w:rsid w:val="22143C08"/>
    <w:rsid w:val="22161524"/>
    <w:rsid w:val="22247749"/>
    <w:rsid w:val="222B010B"/>
    <w:rsid w:val="222C76C6"/>
    <w:rsid w:val="222E2C15"/>
    <w:rsid w:val="22466CF3"/>
    <w:rsid w:val="2253067F"/>
    <w:rsid w:val="228900F0"/>
    <w:rsid w:val="228B21AB"/>
    <w:rsid w:val="22914FAF"/>
    <w:rsid w:val="22A344E7"/>
    <w:rsid w:val="22C001C7"/>
    <w:rsid w:val="22C75BE0"/>
    <w:rsid w:val="22C9107A"/>
    <w:rsid w:val="22C96F0F"/>
    <w:rsid w:val="22CD6826"/>
    <w:rsid w:val="22DE3197"/>
    <w:rsid w:val="22F4082B"/>
    <w:rsid w:val="230E0741"/>
    <w:rsid w:val="233935DD"/>
    <w:rsid w:val="235F1FAC"/>
    <w:rsid w:val="239B1155"/>
    <w:rsid w:val="23B459CF"/>
    <w:rsid w:val="23BD0A95"/>
    <w:rsid w:val="23C407BC"/>
    <w:rsid w:val="23D20CE0"/>
    <w:rsid w:val="23E04E9D"/>
    <w:rsid w:val="23F46EA8"/>
    <w:rsid w:val="23F63E16"/>
    <w:rsid w:val="23FE44F7"/>
    <w:rsid w:val="24116E7D"/>
    <w:rsid w:val="243A32C2"/>
    <w:rsid w:val="243E49BC"/>
    <w:rsid w:val="243F71F1"/>
    <w:rsid w:val="245C0C67"/>
    <w:rsid w:val="24A8238E"/>
    <w:rsid w:val="24AE5ED7"/>
    <w:rsid w:val="24AF2DCF"/>
    <w:rsid w:val="24C9376C"/>
    <w:rsid w:val="24D14033"/>
    <w:rsid w:val="24DF5DED"/>
    <w:rsid w:val="25093A3B"/>
    <w:rsid w:val="25236D0D"/>
    <w:rsid w:val="252F645D"/>
    <w:rsid w:val="254970AF"/>
    <w:rsid w:val="254C19FF"/>
    <w:rsid w:val="255E2F6B"/>
    <w:rsid w:val="258858A9"/>
    <w:rsid w:val="25A360B5"/>
    <w:rsid w:val="25CF5CD3"/>
    <w:rsid w:val="25D0192F"/>
    <w:rsid w:val="25DA2AD0"/>
    <w:rsid w:val="25E21C3F"/>
    <w:rsid w:val="26060059"/>
    <w:rsid w:val="261033FA"/>
    <w:rsid w:val="262A6640"/>
    <w:rsid w:val="262C70A3"/>
    <w:rsid w:val="2636322F"/>
    <w:rsid w:val="26444871"/>
    <w:rsid w:val="26666AA2"/>
    <w:rsid w:val="26712EE1"/>
    <w:rsid w:val="26757E2C"/>
    <w:rsid w:val="26790701"/>
    <w:rsid w:val="273508EE"/>
    <w:rsid w:val="274570EF"/>
    <w:rsid w:val="27483692"/>
    <w:rsid w:val="275029CF"/>
    <w:rsid w:val="276F6E45"/>
    <w:rsid w:val="278066D7"/>
    <w:rsid w:val="27827B0F"/>
    <w:rsid w:val="27886287"/>
    <w:rsid w:val="27C25F8B"/>
    <w:rsid w:val="27C77518"/>
    <w:rsid w:val="27F53526"/>
    <w:rsid w:val="27FA5E76"/>
    <w:rsid w:val="280A4204"/>
    <w:rsid w:val="28510862"/>
    <w:rsid w:val="28594FDB"/>
    <w:rsid w:val="28690FE5"/>
    <w:rsid w:val="288E2BD2"/>
    <w:rsid w:val="28C11325"/>
    <w:rsid w:val="28C4698F"/>
    <w:rsid w:val="28DC50AB"/>
    <w:rsid w:val="28E55271"/>
    <w:rsid w:val="28E7739E"/>
    <w:rsid w:val="28F547E1"/>
    <w:rsid w:val="28F9035F"/>
    <w:rsid w:val="2923374B"/>
    <w:rsid w:val="29502C91"/>
    <w:rsid w:val="29724455"/>
    <w:rsid w:val="298D267B"/>
    <w:rsid w:val="29945693"/>
    <w:rsid w:val="299A751F"/>
    <w:rsid w:val="29BA16AF"/>
    <w:rsid w:val="29BD796F"/>
    <w:rsid w:val="29F10211"/>
    <w:rsid w:val="2A216C90"/>
    <w:rsid w:val="2A3E4025"/>
    <w:rsid w:val="2A594CE9"/>
    <w:rsid w:val="2A7A6159"/>
    <w:rsid w:val="2AAC3644"/>
    <w:rsid w:val="2AC20905"/>
    <w:rsid w:val="2AD74843"/>
    <w:rsid w:val="2AED4DA8"/>
    <w:rsid w:val="2AF83194"/>
    <w:rsid w:val="2B007190"/>
    <w:rsid w:val="2B0F05EA"/>
    <w:rsid w:val="2B1D6354"/>
    <w:rsid w:val="2B3665DB"/>
    <w:rsid w:val="2B465B0F"/>
    <w:rsid w:val="2B651CAE"/>
    <w:rsid w:val="2B8946FF"/>
    <w:rsid w:val="2B920914"/>
    <w:rsid w:val="2BA412AA"/>
    <w:rsid w:val="2BAA5ABF"/>
    <w:rsid w:val="2BC92647"/>
    <w:rsid w:val="2BD06841"/>
    <w:rsid w:val="2BE30D43"/>
    <w:rsid w:val="2BE313F5"/>
    <w:rsid w:val="2BEA2299"/>
    <w:rsid w:val="2BF11B0F"/>
    <w:rsid w:val="2C0A4741"/>
    <w:rsid w:val="2C421BBB"/>
    <w:rsid w:val="2C6006E6"/>
    <w:rsid w:val="2C75313C"/>
    <w:rsid w:val="2C856DC3"/>
    <w:rsid w:val="2C8602B7"/>
    <w:rsid w:val="2C8F164B"/>
    <w:rsid w:val="2CA62D38"/>
    <w:rsid w:val="2CAC2F48"/>
    <w:rsid w:val="2CD36453"/>
    <w:rsid w:val="2CF86E08"/>
    <w:rsid w:val="2D0478B3"/>
    <w:rsid w:val="2D0C1346"/>
    <w:rsid w:val="2D214B2C"/>
    <w:rsid w:val="2D370346"/>
    <w:rsid w:val="2D5432BE"/>
    <w:rsid w:val="2D6239EA"/>
    <w:rsid w:val="2D6A608B"/>
    <w:rsid w:val="2D9B15EF"/>
    <w:rsid w:val="2DAB0F5F"/>
    <w:rsid w:val="2DBC66BE"/>
    <w:rsid w:val="2DEB1367"/>
    <w:rsid w:val="2E304308"/>
    <w:rsid w:val="2E485379"/>
    <w:rsid w:val="2E781C41"/>
    <w:rsid w:val="2EA75BEE"/>
    <w:rsid w:val="2EB108AD"/>
    <w:rsid w:val="2EB26D79"/>
    <w:rsid w:val="2EBF06DB"/>
    <w:rsid w:val="2EDF0DE3"/>
    <w:rsid w:val="2F16026E"/>
    <w:rsid w:val="2F182B80"/>
    <w:rsid w:val="2F3C1751"/>
    <w:rsid w:val="2F685CF8"/>
    <w:rsid w:val="2F7145F4"/>
    <w:rsid w:val="2F7B068E"/>
    <w:rsid w:val="2F7F61E8"/>
    <w:rsid w:val="2F895637"/>
    <w:rsid w:val="2F954F9B"/>
    <w:rsid w:val="2FA808D5"/>
    <w:rsid w:val="2FDA11B9"/>
    <w:rsid w:val="2FDC253D"/>
    <w:rsid w:val="2FE84E3B"/>
    <w:rsid w:val="30066FDE"/>
    <w:rsid w:val="30082D3F"/>
    <w:rsid w:val="30083D2A"/>
    <w:rsid w:val="300B3A27"/>
    <w:rsid w:val="301C1F55"/>
    <w:rsid w:val="303043F0"/>
    <w:rsid w:val="30580298"/>
    <w:rsid w:val="30646F90"/>
    <w:rsid w:val="306C7E5F"/>
    <w:rsid w:val="30925091"/>
    <w:rsid w:val="309965F8"/>
    <w:rsid w:val="30A428FB"/>
    <w:rsid w:val="30AD7B1F"/>
    <w:rsid w:val="30CB0402"/>
    <w:rsid w:val="30CD626B"/>
    <w:rsid w:val="30DC4A9B"/>
    <w:rsid w:val="30F27B94"/>
    <w:rsid w:val="31085479"/>
    <w:rsid w:val="310A29D9"/>
    <w:rsid w:val="310C7989"/>
    <w:rsid w:val="31197E88"/>
    <w:rsid w:val="312D17F4"/>
    <w:rsid w:val="313615F9"/>
    <w:rsid w:val="31453461"/>
    <w:rsid w:val="3158625B"/>
    <w:rsid w:val="31810686"/>
    <w:rsid w:val="318F3BD2"/>
    <w:rsid w:val="31A875D8"/>
    <w:rsid w:val="31B048A2"/>
    <w:rsid w:val="31CE0568"/>
    <w:rsid w:val="31F551E9"/>
    <w:rsid w:val="321E42BD"/>
    <w:rsid w:val="321F7FAD"/>
    <w:rsid w:val="32201910"/>
    <w:rsid w:val="32341340"/>
    <w:rsid w:val="324D2681"/>
    <w:rsid w:val="324D5196"/>
    <w:rsid w:val="325B4CD5"/>
    <w:rsid w:val="32AD48AB"/>
    <w:rsid w:val="32BE66EC"/>
    <w:rsid w:val="32C26FB5"/>
    <w:rsid w:val="32CF55D8"/>
    <w:rsid w:val="32D25E41"/>
    <w:rsid w:val="32E824BC"/>
    <w:rsid w:val="32EB46F7"/>
    <w:rsid w:val="32FC2E8C"/>
    <w:rsid w:val="330C1EE9"/>
    <w:rsid w:val="330C3BCF"/>
    <w:rsid w:val="330D65EA"/>
    <w:rsid w:val="331B43DF"/>
    <w:rsid w:val="331D4370"/>
    <w:rsid w:val="332A4C0D"/>
    <w:rsid w:val="333F06D3"/>
    <w:rsid w:val="334267AE"/>
    <w:rsid w:val="33517015"/>
    <w:rsid w:val="3353671B"/>
    <w:rsid w:val="335D6BE9"/>
    <w:rsid w:val="336112E0"/>
    <w:rsid w:val="336D74D1"/>
    <w:rsid w:val="3398113B"/>
    <w:rsid w:val="33B506A9"/>
    <w:rsid w:val="33C637DF"/>
    <w:rsid w:val="33DD5D86"/>
    <w:rsid w:val="33F435C6"/>
    <w:rsid w:val="33F47FD9"/>
    <w:rsid w:val="33FD7262"/>
    <w:rsid w:val="34422B26"/>
    <w:rsid w:val="34457450"/>
    <w:rsid w:val="34523EDB"/>
    <w:rsid w:val="34545702"/>
    <w:rsid w:val="346D7211"/>
    <w:rsid w:val="34A25675"/>
    <w:rsid w:val="34AF0E28"/>
    <w:rsid w:val="34BF2FAC"/>
    <w:rsid w:val="34CE66CA"/>
    <w:rsid w:val="34D029B5"/>
    <w:rsid w:val="350D54B2"/>
    <w:rsid w:val="350E185E"/>
    <w:rsid w:val="35373F98"/>
    <w:rsid w:val="356814A4"/>
    <w:rsid w:val="357E0B29"/>
    <w:rsid w:val="35871ED9"/>
    <w:rsid w:val="35956A1A"/>
    <w:rsid w:val="35AB6E5E"/>
    <w:rsid w:val="35DB6515"/>
    <w:rsid w:val="35F04954"/>
    <w:rsid w:val="36246068"/>
    <w:rsid w:val="363B7932"/>
    <w:rsid w:val="363E5187"/>
    <w:rsid w:val="363E7F0C"/>
    <w:rsid w:val="36630DAE"/>
    <w:rsid w:val="36AF4D67"/>
    <w:rsid w:val="36BC0F33"/>
    <w:rsid w:val="36BF0081"/>
    <w:rsid w:val="36C06D9A"/>
    <w:rsid w:val="36D15C2A"/>
    <w:rsid w:val="36FA4BBC"/>
    <w:rsid w:val="371D61FE"/>
    <w:rsid w:val="372F3FCE"/>
    <w:rsid w:val="37340C71"/>
    <w:rsid w:val="374B5AC3"/>
    <w:rsid w:val="37536380"/>
    <w:rsid w:val="3759078D"/>
    <w:rsid w:val="376E06AD"/>
    <w:rsid w:val="37982CD1"/>
    <w:rsid w:val="37AF154E"/>
    <w:rsid w:val="37B143D7"/>
    <w:rsid w:val="37BF3AA1"/>
    <w:rsid w:val="37C11F4B"/>
    <w:rsid w:val="37D84959"/>
    <w:rsid w:val="37DE7285"/>
    <w:rsid w:val="37E56C8D"/>
    <w:rsid w:val="37E637CE"/>
    <w:rsid w:val="37E84D22"/>
    <w:rsid w:val="37EC4029"/>
    <w:rsid w:val="37F71898"/>
    <w:rsid w:val="38187E4F"/>
    <w:rsid w:val="3820445B"/>
    <w:rsid w:val="38210467"/>
    <w:rsid w:val="382D4896"/>
    <w:rsid w:val="38401B73"/>
    <w:rsid w:val="384B1D2A"/>
    <w:rsid w:val="384D1898"/>
    <w:rsid w:val="38667EE1"/>
    <w:rsid w:val="386D7FF5"/>
    <w:rsid w:val="38781FFC"/>
    <w:rsid w:val="38784350"/>
    <w:rsid w:val="389C6876"/>
    <w:rsid w:val="38AD6AE5"/>
    <w:rsid w:val="38B844F1"/>
    <w:rsid w:val="38CC6EC4"/>
    <w:rsid w:val="38D44858"/>
    <w:rsid w:val="38ED50C7"/>
    <w:rsid w:val="38F24247"/>
    <w:rsid w:val="391129CE"/>
    <w:rsid w:val="392576AC"/>
    <w:rsid w:val="3958515B"/>
    <w:rsid w:val="395C206A"/>
    <w:rsid w:val="39780BBB"/>
    <w:rsid w:val="397909E9"/>
    <w:rsid w:val="397B0802"/>
    <w:rsid w:val="39D617F2"/>
    <w:rsid w:val="39D863A2"/>
    <w:rsid w:val="39ED517F"/>
    <w:rsid w:val="3A052126"/>
    <w:rsid w:val="3A2B5133"/>
    <w:rsid w:val="3A4455CB"/>
    <w:rsid w:val="3A575EA0"/>
    <w:rsid w:val="3A612EEB"/>
    <w:rsid w:val="3A7F5762"/>
    <w:rsid w:val="3ACA25CA"/>
    <w:rsid w:val="3ACF05C8"/>
    <w:rsid w:val="3B4E6F37"/>
    <w:rsid w:val="3B574076"/>
    <w:rsid w:val="3B6E7241"/>
    <w:rsid w:val="3B731AB5"/>
    <w:rsid w:val="3B833738"/>
    <w:rsid w:val="3B874762"/>
    <w:rsid w:val="3B9F5F88"/>
    <w:rsid w:val="3BE06DA5"/>
    <w:rsid w:val="3C2527C5"/>
    <w:rsid w:val="3C30591D"/>
    <w:rsid w:val="3C66390D"/>
    <w:rsid w:val="3C7A13A7"/>
    <w:rsid w:val="3C84642E"/>
    <w:rsid w:val="3CC301F2"/>
    <w:rsid w:val="3CDC6FC1"/>
    <w:rsid w:val="3D4F29C9"/>
    <w:rsid w:val="3D542895"/>
    <w:rsid w:val="3D6F75C9"/>
    <w:rsid w:val="3D73742D"/>
    <w:rsid w:val="3D7F70E7"/>
    <w:rsid w:val="3DE90F01"/>
    <w:rsid w:val="3E045C72"/>
    <w:rsid w:val="3E0A7A36"/>
    <w:rsid w:val="3E0C719B"/>
    <w:rsid w:val="3E266E35"/>
    <w:rsid w:val="3E637611"/>
    <w:rsid w:val="3EA00749"/>
    <w:rsid w:val="3EA44C2E"/>
    <w:rsid w:val="3EC55253"/>
    <w:rsid w:val="3EE838EE"/>
    <w:rsid w:val="3EEC4647"/>
    <w:rsid w:val="3EF42E98"/>
    <w:rsid w:val="3F224FF5"/>
    <w:rsid w:val="3F454F08"/>
    <w:rsid w:val="3F4829A1"/>
    <w:rsid w:val="3F65470F"/>
    <w:rsid w:val="3F7F04D5"/>
    <w:rsid w:val="3F8976A7"/>
    <w:rsid w:val="3F8E32C0"/>
    <w:rsid w:val="3F8E7C85"/>
    <w:rsid w:val="3FC261BF"/>
    <w:rsid w:val="3FE00D87"/>
    <w:rsid w:val="3FF7566E"/>
    <w:rsid w:val="40685895"/>
    <w:rsid w:val="40822AAE"/>
    <w:rsid w:val="408C2F3C"/>
    <w:rsid w:val="408D2B46"/>
    <w:rsid w:val="40A005F0"/>
    <w:rsid w:val="40B94BCD"/>
    <w:rsid w:val="40CA3B74"/>
    <w:rsid w:val="40DC5BEB"/>
    <w:rsid w:val="40ED28CE"/>
    <w:rsid w:val="410115FF"/>
    <w:rsid w:val="4164128C"/>
    <w:rsid w:val="416D07D3"/>
    <w:rsid w:val="417D76A0"/>
    <w:rsid w:val="417E1386"/>
    <w:rsid w:val="419D3474"/>
    <w:rsid w:val="41A67223"/>
    <w:rsid w:val="41D2368F"/>
    <w:rsid w:val="41D72DF9"/>
    <w:rsid w:val="41F075CD"/>
    <w:rsid w:val="420A40D1"/>
    <w:rsid w:val="42114C38"/>
    <w:rsid w:val="422B6BF4"/>
    <w:rsid w:val="422C2904"/>
    <w:rsid w:val="422C29C6"/>
    <w:rsid w:val="4234308B"/>
    <w:rsid w:val="42347713"/>
    <w:rsid w:val="424D7FAF"/>
    <w:rsid w:val="42591FB7"/>
    <w:rsid w:val="425B08E5"/>
    <w:rsid w:val="426F4A08"/>
    <w:rsid w:val="42B64BCD"/>
    <w:rsid w:val="430811AE"/>
    <w:rsid w:val="437710E3"/>
    <w:rsid w:val="43825515"/>
    <w:rsid w:val="43871DAA"/>
    <w:rsid w:val="438C24EF"/>
    <w:rsid w:val="43A1549F"/>
    <w:rsid w:val="43B00A8F"/>
    <w:rsid w:val="43DE204E"/>
    <w:rsid w:val="43EF26FD"/>
    <w:rsid w:val="43FA50D7"/>
    <w:rsid w:val="4446550A"/>
    <w:rsid w:val="44491BDA"/>
    <w:rsid w:val="44732CC9"/>
    <w:rsid w:val="449F594C"/>
    <w:rsid w:val="44BF00F9"/>
    <w:rsid w:val="44C600C6"/>
    <w:rsid w:val="44D7750B"/>
    <w:rsid w:val="44F7199A"/>
    <w:rsid w:val="44FC25A7"/>
    <w:rsid w:val="450F2FEC"/>
    <w:rsid w:val="45224240"/>
    <w:rsid w:val="452545FE"/>
    <w:rsid w:val="454B391C"/>
    <w:rsid w:val="45511B47"/>
    <w:rsid w:val="45594896"/>
    <w:rsid w:val="458E5DAC"/>
    <w:rsid w:val="459557D9"/>
    <w:rsid w:val="45A15DDB"/>
    <w:rsid w:val="45A3513D"/>
    <w:rsid w:val="45AE5A72"/>
    <w:rsid w:val="45B22926"/>
    <w:rsid w:val="45C277D4"/>
    <w:rsid w:val="4627407F"/>
    <w:rsid w:val="46361E14"/>
    <w:rsid w:val="46570386"/>
    <w:rsid w:val="467277FA"/>
    <w:rsid w:val="46730CBD"/>
    <w:rsid w:val="4681712C"/>
    <w:rsid w:val="468B6718"/>
    <w:rsid w:val="468C1037"/>
    <w:rsid w:val="46A22206"/>
    <w:rsid w:val="46AE64E3"/>
    <w:rsid w:val="46CF38C8"/>
    <w:rsid w:val="47007BFD"/>
    <w:rsid w:val="473B23EB"/>
    <w:rsid w:val="476250CF"/>
    <w:rsid w:val="47780912"/>
    <w:rsid w:val="478E1F11"/>
    <w:rsid w:val="478F14EB"/>
    <w:rsid w:val="47B32EAB"/>
    <w:rsid w:val="47C40E8C"/>
    <w:rsid w:val="480B621A"/>
    <w:rsid w:val="484A6121"/>
    <w:rsid w:val="486F1BF2"/>
    <w:rsid w:val="488F6FD7"/>
    <w:rsid w:val="48A8673D"/>
    <w:rsid w:val="48B1218F"/>
    <w:rsid w:val="48B14AB0"/>
    <w:rsid w:val="48D6123C"/>
    <w:rsid w:val="48E67726"/>
    <w:rsid w:val="48EA585B"/>
    <w:rsid w:val="49150F51"/>
    <w:rsid w:val="493D5B1F"/>
    <w:rsid w:val="49480BD4"/>
    <w:rsid w:val="49584054"/>
    <w:rsid w:val="496E0369"/>
    <w:rsid w:val="496E11C3"/>
    <w:rsid w:val="498F3010"/>
    <w:rsid w:val="49934648"/>
    <w:rsid w:val="499F04DF"/>
    <w:rsid w:val="49AD1A10"/>
    <w:rsid w:val="49BB20BE"/>
    <w:rsid w:val="49CB3BFF"/>
    <w:rsid w:val="49E76DEC"/>
    <w:rsid w:val="49F42E67"/>
    <w:rsid w:val="49FC6CFC"/>
    <w:rsid w:val="4A176716"/>
    <w:rsid w:val="4A321879"/>
    <w:rsid w:val="4A513272"/>
    <w:rsid w:val="4A733A9E"/>
    <w:rsid w:val="4A7732CE"/>
    <w:rsid w:val="4A9429F3"/>
    <w:rsid w:val="4A9629D5"/>
    <w:rsid w:val="4AA4619B"/>
    <w:rsid w:val="4AA531EB"/>
    <w:rsid w:val="4AAC1BD0"/>
    <w:rsid w:val="4AAE7A16"/>
    <w:rsid w:val="4ABC2400"/>
    <w:rsid w:val="4AC62161"/>
    <w:rsid w:val="4ACC67BD"/>
    <w:rsid w:val="4AE372CF"/>
    <w:rsid w:val="4AE85E03"/>
    <w:rsid w:val="4B0B3AEF"/>
    <w:rsid w:val="4B284D77"/>
    <w:rsid w:val="4B4978E0"/>
    <w:rsid w:val="4B562F2B"/>
    <w:rsid w:val="4B771FE9"/>
    <w:rsid w:val="4BC06DB8"/>
    <w:rsid w:val="4BEC1507"/>
    <w:rsid w:val="4BFA2737"/>
    <w:rsid w:val="4C0C58C8"/>
    <w:rsid w:val="4C1126C4"/>
    <w:rsid w:val="4C1A4723"/>
    <w:rsid w:val="4C244173"/>
    <w:rsid w:val="4C6C6C38"/>
    <w:rsid w:val="4C905E44"/>
    <w:rsid w:val="4CD363C9"/>
    <w:rsid w:val="4CE63254"/>
    <w:rsid w:val="4CF93A06"/>
    <w:rsid w:val="4D037CA3"/>
    <w:rsid w:val="4D127BE1"/>
    <w:rsid w:val="4D3475CF"/>
    <w:rsid w:val="4D4F2A99"/>
    <w:rsid w:val="4D5A529F"/>
    <w:rsid w:val="4D5E17D4"/>
    <w:rsid w:val="4D7F6702"/>
    <w:rsid w:val="4D8E2981"/>
    <w:rsid w:val="4D9F22BF"/>
    <w:rsid w:val="4DA5329B"/>
    <w:rsid w:val="4DB776FC"/>
    <w:rsid w:val="4DD27ACF"/>
    <w:rsid w:val="4DDC19BC"/>
    <w:rsid w:val="4DFD472D"/>
    <w:rsid w:val="4E005C58"/>
    <w:rsid w:val="4E1C6BFB"/>
    <w:rsid w:val="4E2423CC"/>
    <w:rsid w:val="4E5370C6"/>
    <w:rsid w:val="4EB227F8"/>
    <w:rsid w:val="4EB52D03"/>
    <w:rsid w:val="4EBF0E52"/>
    <w:rsid w:val="4EE2236D"/>
    <w:rsid w:val="4EFB0E9E"/>
    <w:rsid w:val="4F123950"/>
    <w:rsid w:val="4F134C73"/>
    <w:rsid w:val="4F364AAB"/>
    <w:rsid w:val="4F522B29"/>
    <w:rsid w:val="4F8E1486"/>
    <w:rsid w:val="4FE016DA"/>
    <w:rsid w:val="4FE86A41"/>
    <w:rsid w:val="50185A9E"/>
    <w:rsid w:val="503F3946"/>
    <w:rsid w:val="506E4DD3"/>
    <w:rsid w:val="507519D9"/>
    <w:rsid w:val="508A4283"/>
    <w:rsid w:val="509C1754"/>
    <w:rsid w:val="50A63B45"/>
    <w:rsid w:val="50AC2720"/>
    <w:rsid w:val="50AD1277"/>
    <w:rsid w:val="50B664A6"/>
    <w:rsid w:val="50C11611"/>
    <w:rsid w:val="50E224D5"/>
    <w:rsid w:val="50EC442B"/>
    <w:rsid w:val="50EE37D2"/>
    <w:rsid w:val="50EE4743"/>
    <w:rsid w:val="50EF4AC2"/>
    <w:rsid w:val="50F11326"/>
    <w:rsid w:val="51401FD2"/>
    <w:rsid w:val="51636F40"/>
    <w:rsid w:val="51684C13"/>
    <w:rsid w:val="516D63AF"/>
    <w:rsid w:val="517C422B"/>
    <w:rsid w:val="51821281"/>
    <w:rsid w:val="51824CF6"/>
    <w:rsid w:val="51935897"/>
    <w:rsid w:val="51B61137"/>
    <w:rsid w:val="52036287"/>
    <w:rsid w:val="52041893"/>
    <w:rsid w:val="52127D7D"/>
    <w:rsid w:val="52294852"/>
    <w:rsid w:val="52412A63"/>
    <w:rsid w:val="525672F6"/>
    <w:rsid w:val="5259082C"/>
    <w:rsid w:val="525A3B3D"/>
    <w:rsid w:val="52755C31"/>
    <w:rsid w:val="52837ADD"/>
    <w:rsid w:val="52C8599B"/>
    <w:rsid w:val="52FB3009"/>
    <w:rsid w:val="5317316C"/>
    <w:rsid w:val="53345B50"/>
    <w:rsid w:val="534179D1"/>
    <w:rsid w:val="53475464"/>
    <w:rsid w:val="536E6B45"/>
    <w:rsid w:val="53763D4D"/>
    <w:rsid w:val="537E7FE3"/>
    <w:rsid w:val="53BB42A7"/>
    <w:rsid w:val="53C0635F"/>
    <w:rsid w:val="53CE1063"/>
    <w:rsid w:val="53E53826"/>
    <w:rsid w:val="53E71FDE"/>
    <w:rsid w:val="54135280"/>
    <w:rsid w:val="54281A8D"/>
    <w:rsid w:val="54336CC9"/>
    <w:rsid w:val="543D769E"/>
    <w:rsid w:val="543F588C"/>
    <w:rsid w:val="549D0FDA"/>
    <w:rsid w:val="54B30A96"/>
    <w:rsid w:val="54C22B88"/>
    <w:rsid w:val="550C1B9A"/>
    <w:rsid w:val="5526139C"/>
    <w:rsid w:val="552943CE"/>
    <w:rsid w:val="552A1D4C"/>
    <w:rsid w:val="552B2D26"/>
    <w:rsid w:val="553C1365"/>
    <w:rsid w:val="554E1470"/>
    <w:rsid w:val="555D3C89"/>
    <w:rsid w:val="55617C9C"/>
    <w:rsid w:val="557515F9"/>
    <w:rsid w:val="5590674A"/>
    <w:rsid w:val="55973F76"/>
    <w:rsid w:val="559847EA"/>
    <w:rsid w:val="55986D51"/>
    <w:rsid w:val="55A226A9"/>
    <w:rsid w:val="55C90663"/>
    <w:rsid w:val="55CC187B"/>
    <w:rsid w:val="55CF389E"/>
    <w:rsid w:val="55D42624"/>
    <w:rsid w:val="55D50633"/>
    <w:rsid w:val="55F01AD6"/>
    <w:rsid w:val="56133CA0"/>
    <w:rsid w:val="562B450B"/>
    <w:rsid w:val="5649099B"/>
    <w:rsid w:val="56570EA4"/>
    <w:rsid w:val="56CB77B7"/>
    <w:rsid w:val="56D9628F"/>
    <w:rsid w:val="56DD4ABD"/>
    <w:rsid w:val="5703231E"/>
    <w:rsid w:val="570B14AB"/>
    <w:rsid w:val="570F1C3B"/>
    <w:rsid w:val="57116435"/>
    <w:rsid w:val="57116442"/>
    <w:rsid w:val="57241F96"/>
    <w:rsid w:val="57410163"/>
    <w:rsid w:val="57621796"/>
    <w:rsid w:val="57734C7A"/>
    <w:rsid w:val="578D3493"/>
    <w:rsid w:val="57A203EE"/>
    <w:rsid w:val="57A92F75"/>
    <w:rsid w:val="57AF50DC"/>
    <w:rsid w:val="57D62F8E"/>
    <w:rsid w:val="57EC37F1"/>
    <w:rsid w:val="580C4393"/>
    <w:rsid w:val="581722B7"/>
    <w:rsid w:val="582532BD"/>
    <w:rsid w:val="582C4899"/>
    <w:rsid w:val="58475AAC"/>
    <w:rsid w:val="58484E1B"/>
    <w:rsid w:val="584F535E"/>
    <w:rsid w:val="58531617"/>
    <w:rsid w:val="586A7A45"/>
    <w:rsid w:val="58914C8B"/>
    <w:rsid w:val="58AD5D86"/>
    <w:rsid w:val="58BB7DB2"/>
    <w:rsid w:val="58DB16BE"/>
    <w:rsid w:val="58E3423E"/>
    <w:rsid w:val="58EF3420"/>
    <w:rsid w:val="58F23ED5"/>
    <w:rsid w:val="58F63830"/>
    <w:rsid w:val="58FF4F35"/>
    <w:rsid w:val="590D548F"/>
    <w:rsid w:val="593F652E"/>
    <w:rsid w:val="59425BB4"/>
    <w:rsid w:val="59444892"/>
    <w:rsid w:val="5956205C"/>
    <w:rsid w:val="5966183C"/>
    <w:rsid w:val="596A4681"/>
    <w:rsid w:val="596F34CF"/>
    <w:rsid w:val="597923BE"/>
    <w:rsid w:val="59894CF2"/>
    <w:rsid w:val="599E6CB8"/>
    <w:rsid w:val="59B50DC8"/>
    <w:rsid w:val="59B6312E"/>
    <w:rsid w:val="59D91A25"/>
    <w:rsid w:val="59E031E2"/>
    <w:rsid w:val="5A5B5FB9"/>
    <w:rsid w:val="5A9B3314"/>
    <w:rsid w:val="5A9C3392"/>
    <w:rsid w:val="5AA20BD5"/>
    <w:rsid w:val="5AA81B65"/>
    <w:rsid w:val="5AA9608C"/>
    <w:rsid w:val="5AA974E8"/>
    <w:rsid w:val="5AD0387F"/>
    <w:rsid w:val="5AE3114D"/>
    <w:rsid w:val="5B0E6D8E"/>
    <w:rsid w:val="5B1F4E05"/>
    <w:rsid w:val="5B2E6996"/>
    <w:rsid w:val="5B3A322F"/>
    <w:rsid w:val="5B4D342A"/>
    <w:rsid w:val="5B527306"/>
    <w:rsid w:val="5B6B0DAC"/>
    <w:rsid w:val="5B7E4ABF"/>
    <w:rsid w:val="5B8340E7"/>
    <w:rsid w:val="5B8D0599"/>
    <w:rsid w:val="5B937814"/>
    <w:rsid w:val="5BA627EA"/>
    <w:rsid w:val="5BAA125C"/>
    <w:rsid w:val="5BB02A92"/>
    <w:rsid w:val="5BB90833"/>
    <w:rsid w:val="5BE33D7B"/>
    <w:rsid w:val="5C254E10"/>
    <w:rsid w:val="5C2C164D"/>
    <w:rsid w:val="5C6E79F1"/>
    <w:rsid w:val="5C8657B1"/>
    <w:rsid w:val="5C99681C"/>
    <w:rsid w:val="5C9A2970"/>
    <w:rsid w:val="5CA73484"/>
    <w:rsid w:val="5CB66DDB"/>
    <w:rsid w:val="5CBA6538"/>
    <w:rsid w:val="5CC31F8D"/>
    <w:rsid w:val="5CD20102"/>
    <w:rsid w:val="5CE5499C"/>
    <w:rsid w:val="5CE94A45"/>
    <w:rsid w:val="5CF1002F"/>
    <w:rsid w:val="5D0576D7"/>
    <w:rsid w:val="5D2614DE"/>
    <w:rsid w:val="5D29144B"/>
    <w:rsid w:val="5D6F6A73"/>
    <w:rsid w:val="5D77243C"/>
    <w:rsid w:val="5D8B21E0"/>
    <w:rsid w:val="5D98773E"/>
    <w:rsid w:val="5DD60CDA"/>
    <w:rsid w:val="5DDD1906"/>
    <w:rsid w:val="5DE03E72"/>
    <w:rsid w:val="5DEB495C"/>
    <w:rsid w:val="5DF028B9"/>
    <w:rsid w:val="5DF86CFD"/>
    <w:rsid w:val="5E2F13E4"/>
    <w:rsid w:val="5E363A04"/>
    <w:rsid w:val="5E40417D"/>
    <w:rsid w:val="5E563989"/>
    <w:rsid w:val="5EC546B7"/>
    <w:rsid w:val="5ED521DB"/>
    <w:rsid w:val="5EE01513"/>
    <w:rsid w:val="5EE61050"/>
    <w:rsid w:val="5EEB203B"/>
    <w:rsid w:val="5F2A764C"/>
    <w:rsid w:val="5F515511"/>
    <w:rsid w:val="5F6A656B"/>
    <w:rsid w:val="5FA9036D"/>
    <w:rsid w:val="5FB20CF3"/>
    <w:rsid w:val="5FB67F01"/>
    <w:rsid w:val="5FC10D6A"/>
    <w:rsid w:val="5FC26AE4"/>
    <w:rsid w:val="5FE20A6A"/>
    <w:rsid w:val="5FE80DF1"/>
    <w:rsid w:val="5FED079B"/>
    <w:rsid w:val="5FF92F68"/>
    <w:rsid w:val="5FFD5588"/>
    <w:rsid w:val="60394F33"/>
    <w:rsid w:val="60452FC1"/>
    <w:rsid w:val="6073497C"/>
    <w:rsid w:val="607A028C"/>
    <w:rsid w:val="6082700E"/>
    <w:rsid w:val="60950DEF"/>
    <w:rsid w:val="60A52378"/>
    <w:rsid w:val="60B04F27"/>
    <w:rsid w:val="60B44F93"/>
    <w:rsid w:val="610846D5"/>
    <w:rsid w:val="61225D48"/>
    <w:rsid w:val="613F3856"/>
    <w:rsid w:val="61605B8F"/>
    <w:rsid w:val="616D4E2E"/>
    <w:rsid w:val="61904268"/>
    <w:rsid w:val="61922827"/>
    <w:rsid w:val="61936D23"/>
    <w:rsid w:val="61985AAE"/>
    <w:rsid w:val="619B21A0"/>
    <w:rsid w:val="61A13DA0"/>
    <w:rsid w:val="61B93668"/>
    <w:rsid w:val="61C22AA0"/>
    <w:rsid w:val="61C95215"/>
    <w:rsid w:val="61CF4043"/>
    <w:rsid w:val="61DD792E"/>
    <w:rsid w:val="6208572A"/>
    <w:rsid w:val="620863D2"/>
    <w:rsid w:val="6216182C"/>
    <w:rsid w:val="62385463"/>
    <w:rsid w:val="62441639"/>
    <w:rsid w:val="6254479A"/>
    <w:rsid w:val="626058BD"/>
    <w:rsid w:val="628506F0"/>
    <w:rsid w:val="628B2E01"/>
    <w:rsid w:val="628F429A"/>
    <w:rsid w:val="629B3822"/>
    <w:rsid w:val="62CD0ABA"/>
    <w:rsid w:val="62CE031D"/>
    <w:rsid w:val="62D70238"/>
    <w:rsid w:val="62E021CD"/>
    <w:rsid w:val="62EE4C22"/>
    <w:rsid w:val="630727B4"/>
    <w:rsid w:val="63322AD8"/>
    <w:rsid w:val="634E5810"/>
    <w:rsid w:val="63547BF5"/>
    <w:rsid w:val="636310DD"/>
    <w:rsid w:val="639F006F"/>
    <w:rsid w:val="63A81226"/>
    <w:rsid w:val="63C9193F"/>
    <w:rsid w:val="63D4019D"/>
    <w:rsid w:val="640B2E77"/>
    <w:rsid w:val="640F6F35"/>
    <w:rsid w:val="64435772"/>
    <w:rsid w:val="644F07B4"/>
    <w:rsid w:val="64586308"/>
    <w:rsid w:val="645936E5"/>
    <w:rsid w:val="645C1D15"/>
    <w:rsid w:val="648D4158"/>
    <w:rsid w:val="64B27DFB"/>
    <w:rsid w:val="65077B9F"/>
    <w:rsid w:val="650A079C"/>
    <w:rsid w:val="65477048"/>
    <w:rsid w:val="65540667"/>
    <w:rsid w:val="65A71C0C"/>
    <w:rsid w:val="65C03DA7"/>
    <w:rsid w:val="65E5355A"/>
    <w:rsid w:val="65EC4891"/>
    <w:rsid w:val="65FC6895"/>
    <w:rsid w:val="661A6245"/>
    <w:rsid w:val="66375BAC"/>
    <w:rsid w:val="667450F6"/>
    <w:rsid w:val="66825834"/>
    <w:rsid w:val="66887143"/>
    <w:rsid w:val="668C6B93"/>
    <w:rsid w:val="66B9175F"/>
    <w:rsid w:val="66CD2C1E"/>
    <w:rsid w:val="66D00DA7"/>
    <w:rsid w:val="66D530B1"/>
    <w:rsid w:val="66D5492B"/>
    <w:rsid w:val="66FA7477"/>
    <w:rsid w:val="67141452"/>
    <w:rsid w:val="673C65F0"/>
    <w:rsid w:val="674A3D4F"/>
    <w:rsid w:val="675C28E9"/>
    <w:rsid w:val="67813F94"/>
    <w:rsid w:val="67851192"/>
    <w:rsid w:val="6785763F"/>
    <w:rsid w:val="679006E0"/>
    <w:rsid w:val="67A57DE8"/>
    <w:rsid w:val="67B3696E"/>
    <w:rsid w:val="67C42BAB"/>
    <w:rsid w:val="67E62440"/>
    <w:rsid w:val="67EA4091"/>
    <w:rsid w:val="68161329"/>
    <w:rsid w:val="682D009F"/>
    <w:rsid w:val="685518C7"/>
    <w:rsid w:val="6864772D"/>
    <w:rsid w:val="68792AA5"/>
    <w:rsid w:val="689815F3"/>
    <w:rsid w:val="689C36F4"/>
    <w:rsid w:val="68A10C6B"/>
    <w:rsid w:val="68BA431C"/>
    <w:rsid w:val="68BC6A3B"/>
    <w:rsid w:val="68ED336A"/>
    <w:rsid w:val="68F44C86"/>
    <w:rsid w:val="68F60398"/>
    <w:rsid w:val="69016182"/>
    <w:rsid w:val="69080291"/>
    <w:rsid w:val="690E5955"/>
    <w:rsid w:val="692E34C1"/>
    <w:rsid w:val="693C4706"/>
    <w:rsid w:val="696C2AB3"/>
    <w:rsid w:val="69784F94"/>
    <w:rsid w:val="69DF31F0"/>
    <w:rsid w:val="6A024AA0"/>
    <w:rsid w:val="6A117CBE"/>
    <w:rsid w:val="6A121AD7"/>
    <w:rsid w:val="6A33101B"/>
    <w:rsid w:val="6A3C248C"/>
    <w:rsid w:val="6A3E5AA2"/>
    <w:rsid w:val="6A562B93"/>
    <w:rsid w:val="6A5B56DA"/>
    <w:rsid w:val="6A5C6F6A"/>
    <w:rsid w:val="6A69692A"/>
    <w:rsid w:val="6A6F5797"/>
    <w:rsid w:val="6A786A31"/>
    <w:rsid w:val="6A790A14"/>
    <w:rsid w:val="6A9D69B2"/>
    <w:rsid w:val="6ABA024E"/>
    <w:rsid w:val="6ABF2813"/>
    <w:rsid w:val="6AC06DC9"/>
    <w:rsid w:val="6AD23B35"/>
    <w:rsid w:val="6AE663EC"/>
    <w:rsid w:val="6AF777AB"/>
    <w:rsid w:val="6AFD0583"/>
    <w:rsid w:val="6B031118"/>
    <w:rsid w:val="6B767770"/>
    <w:rsid w:val="6B7A1E64"/>
    <w:rsid w:val="6B8863CE"/>
    <w:rsid w:val="6B903B2F"/>
    <w:rsid w:val="6B945BED"/>
    <w:rsid w:val="6B9876E6"/>
    <w:rsid w:val="6BA046A2"/>
    <w:rsid w:val="6BA120B2"/>
    <w:rsid w:val="6BA41B56"/>
    <w:rsid w:val="6BB83070"/>
    <w:rsid w:val="6BCE11DE"/>
    <w:rsid w:val="6BF95A52"/>
    <w:rsid w:val="6C1B364D"/>
    <w:rsid w:val="6C3226C6"/>
    <w:rsid w:val="6C3C45DB"/>
    <w:rsid w:val="6C545FF5"/>
    <w:rsid w:val="6C591BE2"/>
    <w:rsid w:val="6C5C605D"/>
    <w:rsid w:val="6C5F0204"/>
    <w:rsid w:val="6C810CBD"/>
    <w:rsid w:val="6C884E04"/>
    <w:rsid w:val="6C8E33BA"/>
    <w:rsid w:val="6C97063E"/>
    <w:rsid w:val="6CFB5670"/>
    <w:rsid w:val="6D0D3BD2"/>
    <w:rsid w:val="6D0D6E0E"/>
    <w:rsid w:val="6D2469C1"/>
    <w:rsid w:val="6D3832E9"/>
    <w:rsid w:val="6D417909"/>
    <w:rsid w:val="6D554232"/>
    <w:rsid w:val="6D566EA8"/>
    <w:rsid w:val="6D5A3E94"/>
    <w:rsid w:val="6D78023B"/>
    <w:rsid w:val="6D9125F5"/>
    <w:rsid w:val="6DAA2BCB"/>
    <w:rsid w:val="6DB5581A"/>
    <w:rsid w:val="6E0A3479"/>
    <w:rsid w:val="6E0A4A26"/>
    <w:rsid w:val="6E435FD6"/>
    <w:rsid w:val="6E5A4385"/>
    <w:rsid w:val="6E5E1B6C"/>
    <w:rsid w:val="6EC0578E"/>
    <w:rsid w:val="6EEB20A1"/>
    <w:rsid w:val="6EEF71D1"/>
    <w:rsid w:val="6EF04F82"/>
    <w:rsid w:val="6EF434A1"/>
    <w:rsid w:val="6EF94503"/>
    <w:rsid w:val="6F021A16"/>
    <w:rsid w:val="6F1A326F"/>
    <w:rsid w:val="6F1C75CB"/>
    <w:rsid w:val="6F1D40CE"/>
    <w:rsid w:val="6F2C3334"/>
    <w:rsid w:val="6F316DE9"/>
    <w:rsid w:val="6F5D7B07"/>
    <w:rsid w:val="6F614969"/>
    <w:rsid w:val="6F657B8A"/>
    <w:rsid w:val="6F672528"/>
    <w:rsid w:val="6F9F6D88"/>
    <w:rsid w:val="6FAB5331"/>
    <w:rsid w:val="6FC30139"/>
    <w:rsid w:val="7024780C"/>
    <w:rsid w:val="702B2A8C"/>
    <w:rsid w:val="70465CB0"/>
    <w:rsid w:val="7051517A"/>
    <w:rsid w:val="706E60C1"/>
    <w:rsid w:val="709A7CFC"/>
    <w:rsid w:val="70A647A4"/>
    <w:rsid w:val="70D06E5D"/>
    <w:rsid w:val="70D85BD1"/>
    <w:rsid w:val="70E530BD"/>
    <w:rsid w:val="712A63AD"/>
    <w:rsid w:val="715B338A"/>
    <w:rsid w:val="71695F18"/>
    <w:rsid w:val="716A7ADC"/>
    <w:rsid w:val="71741900"/>
    <w:rsid w:val="71A53A05"/>
    <w:rsid w:val="71B5724A"/>
    <w:rsid w:val="71DE2E53"/>
    <w:rsid w:val="71EF19DB"/>
    <w:rsid w:val="71F17CFF"/>
    <w:rsid w:val="71F936E3"/>
    <w:rsid w:val="721721D6"/>
    <w:rsid w:val="721F39FF"/>
    <w:rsid w:val="72273522"/>
    <w:rsid w:val="722D616B"/>
    <w:rsid w:val="72396872"/>
    <w:rsid w:val="725A20D9"/>
    <w:rsid w:val="72692DCE"/>
    <w:rsid w:val="729D66B5"/>
    <w:rsid w:val="729E121E"/>
    <w:rsid w:val="72A719B3"/>
    <w:rsid w:val="72E016E3"/>
    <w:rsid w:val="72E23A7A"/>
    <w:rsid w:val="72F6179B"/>
    <w:rsid w:val="730D7A91"/>
    <w:rsid w:val="73273E64"/>
    <w:rsid w:val="732F263D"/>
    <w:rsid w:val="73311EFE"/>
    <w:rsid w:val="73350B7A"/>
    <w:rsid w:val="73597768"/>
    <w:rsid w:val="736B145F"/>
    <w:rsid w:val="738003CA"/>
    <w:rsid w:val="7397029E"/>
    <w:rsid w:val="739F2CB4"/>
    <w:rsid w:val="73A16EF0"/>
    <w:rsid w:val="73A90A3E"/>
    <w:rsid w:val="73C56EED"/>
    <w:rsid w:val="73C720DE"/>
    <w:rsid w:val="74115412"/>
    <w:rsid w:val="74154F66"/>
    <w:rsid w:val="74180D50"/>
    <w:rsid w:val="741E3A74"/>
    <w:rsid w:val="74541798"/>
    <w:rsid w:val="74621479"/>
    <w:rsid w:val="74631CC8"/>
    <w:rsid w:val="74650390"/>
    <w:rsid w:val="747626A2"/>
    <w:rsid w:val="749E63DE"/>
    <w:rsid w:val="74A719F5"/>
    <w:rsid w:val="74AA4DDC"/>
    <w:rsid w:val="74AD065D"/>
    <w:rsid w:val="74CD34AF"/>
    <w:rsid w:val="74D50216"/>
    <w:rsid w:val="74F047ED"/>
    <w:rsid w:val="75025FC9"/>
    <w:rsid w:val="751537BA"/>
    <w:rsid w:val="752221AF"/>
    <w:rsid w:val="75570E62"/>
    <w:rsid w:val="7565064E"/>
    <w:rsid w:val="758D4AB4"/>
    <w:rsid w:val="75B80DD9"/>
    <w:rsid w:val="75C15B85"/>
    <w:rsid w:val="75D12961"/>
    <w:rsid w:val="76104C9F"/>
    <w:rsid w:val="762C558E"/>
    <w:rsid w:val="765941C5"/>
    <w:rsid w:val="7681285B"/>
    <w:rsid w:val="76994B7E"/>
    <w:rsid w:val="769D4688"/>
    <w:rsid w:val="76DF2050"/>
    <w:rsid w:val="770D045A"/>
    <w:rsid w:val="770D588E"/>
    <w:rsid w:val="773B6CD4"/>
    <w:rsid w:val="773C10A6"/>
    <w:rsid w:val="77410F02"/>
    <w:rsid w:val="77554C1F"/>
    <w:rsid w:val="77565298"/>
    <w:rsid w:val="776A271D"/>
    <w:rsid w:val="77B24EE6"/>
    <w:rsid w:val="77B75398"/>
    <w:rsid w:val="77BE53B0"/>
    <w:rsid w:val="77CF3EA1"/>
    <w:rsid w:val="77DE4E5F"/>
    <w:rsid w:val="77E30949"/>
    <w:rsid w:val="77EF1C0D"/>
    <w:rsid w:val="77F16A53"/>
    <w:rsid w:val="780E4B72"/>
    <w:rsid w:val="783525A0"/>
    <w:rsid w:val="786F12BD"/>
    <w:rsid w:val="786F1AA9"/>
    <w:rsid w:val="7872551D"/>
    <w:rsid w:val="788F5610"/>
    <w:rsid w:val="78A27E07"/>
    <w:rsid w:val="78A43B6E"/>
    <w:rsid w:val="78B86EE8"/>
    <w:rsid w:val="7920071D"/>
    <w:rsid w:val="79496BCF"/>
    <w:rsid w:val="79AA7B9F"/>
    <w:rsid w:val="79B54E80"/>
    <w:rsid w:val="79B56BC5"/>
    <w:rsid w:val="79C52BC7"/>
    <w:rsid w:val="79C747F6"/>
    <w:rsid w:val="79F651C0"/>
    <w:rsid w:val="79FE3538"/>
    <w:rsid w:val="7A1055FE"/>
    <w:rsid w:val="7A36659D"/>
    <w:rsid w:val="7A42564B"/>
    <w:rsid w:val="7A6027C1"/>
    <w:rsid w:val="7A854A12"/>
    <w:rsid w:val="7A91692E"/>
    <w:rsid w:val="7A974CB7"/>
    <w:rsid w:val="7AAE0169"/>
    <w:rsid w:val="7AB17144"/>
    <w:rsid w:val="7AB22E39"/>
    <w:rsid w:val="7AB95054"/>
    <w:rsid w:val="7AFE236E"/>
    <w:rsid w:val="7B0D4FA4"/>
    <w:rsid w:val="7B1C756C"/>
    <w:rsid w:val="7B237820"/>
    <w:rsid w:val="7B3F19E8"/>
    <w:rsid w:val="7B443CE2"/>
    <w:rsid w:val="7B4F4186"/>
    <w:rsid w:val="7B797BCC"/>
    <w:rsid w:val="7B7A60FC"/>
    <w:rsid w:val="7B845DFF"/>
    <w:rsid w:val="7B863B58"/>
    <w:rsid w:val="7B8E5B55"/>
    <w:rsid w:val="7B974622"/>
    <w:rsid w:val="7B9B1BFD"/>
    <w:rsid w:val="7BA23C69"/>
    <w:rsid w:val="7BD54D59"/>
    <w:rsid w:val="7BD91009"/>
    <w:rsid w:val="7BEC6276"/>
    <w:rsid w:val="7BFE5FB0"/>
    <w:rsid w:val="7C066FFD"/>
    <w:rsid w:val="7C1F52BA"/>
    <w:rsid w:val="7C2D34B0"/>
    <w:rsid w:val="7C3C1587"/>
    <w:rsid w:val="7C3E7288"/>
    <w:rsid w:val="7C4526B8"/>
    <w:rsid w:val="7C5256D3"/>
    <w:rsid w:val="7C5F1C81"/>
    <w:rsid w:val="7C6B3F7A"/>
    <w:rsid w:val="7C890363"/>
    <w:rsid w:val="7C933301"/>
    <w:rsid w:val="7C9E3A22"/>
    <w:rsid w:val="7CA52AE4"/>
    <w:rsid w:val="7CA57EE0"/>
    <w:rsid w:val="7CB9674B"/>
    <w:rsid w:val="7CCC0395"/>
    <w:rsid w:val="7D113025"/>
    <w:rsid w:val="7D4E72F0"/>
    <w:rsid w:val="7D796E55"/>
    <w:rsid w:val="7D8D5CCD"/>
    <w:rsid w:val="7D9F7405"/>
    <w:rsid w:val="7DBC2BC2"/>
    <w:rsid w:val="7DC06BA8"/>
    <w:rsid w:val="7DD15417"/>
    <w:rsid w:val="7DD9108A"/>
    <w:rsid w:val="7DED1691"/>
    <w:rsid w:val="7E077F4A"/>
    <w:rsid w:val="7E3C2998"/>
    <w:rsid w:val="7E662EAD"/>
    <w:rsid w:val="7E6A1864"/>
    <w:rsid w:val="7E7C7076"/>
    <w:rsid w:val="7E8E555A"/>
    <w:rsid w:val="7E9219F9"/>
    <w:rsid w:val="7E9624EF"/>
    <w:rsid w:val="7E9A7EF9"/>
    <w:rsid w:val="7EA11A69"/>
    <w:rsid w:val="7EA8542B"/>
    <w:rsid w:val="7EAB3BA8"/>
    <w:rsid w:val="7EC14C30"/>
    <w:rsid w:val="7ECA4792"/>
    <w:rsid w:val="7ED6533B"/>
    <w:rsid w:val="7EED7E65"/>
    <w:rsid w:val="7EF87B3E"/>
    <w:rsid w:val="7F043E0F"/>
    <w:rsid w:val="7F054B2E"/>
    <w:rsid w:val="7F2F7F0A"/>
    <w:rsid w:val="7F52348C"/>
    <w:rsid w:val="7F534C95"/>
    <w:rsid w:val="7F76177B"/>
    <w:rsid w:val="7F854F22"/>
    <w:rsid w:val="7F8B50D5"/>
    <w:rsid w:val="7F917007"/>
    <w:rsid w:val="7F924DA0"/>
    <w:rsid w:val="7FAA1A0F"/>
    <w:rsid w:val="7FB23D6E"/>
    <w:rsid w:val="7FB72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1"/>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72"/>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73"/>
    <w:qFormat/>
    <w:uiPriority w:val="0"/>
    <w:pPr>
      <w:keepNext/>
      <w:keepLines/>
      <w:spacing w:before="260" w:after="260" w:line="413" w:lineRule="auto"/>
      <w:outlineLvl w:val="2"/>
    </w:pPr>
    <w:rPr>
      <w:b/>
      <w:bCs/>
      <w:sz w:val="32"/>
      <w:szCs w:val="32"/>
    </w:rPr>
  </w:style>
  <w:style w:type="paragraph" w:styleId="5">
    <w:name w:val="heading 4"/>
    <w:basedOn w:val="1"/>
    <w:next w:val="1"/>
    <w:link w:val="7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75"/>
    <w:qFormat/>
    <w:uiPriority w:val="0"/>
    <w:pPr>
      <w:keepNext/>
      <w:keepLines/>
      <w:spacing w:before="280" w:after="290" w:line="372" w:lineRule="auto"/>
      <w:outlineLvl w:val="4"/>
    </w:pPr>
    <w:rPr>
      <w:b/>
      <w:sz w:val="28"/>
    </w:rPr>
  </w:style>
  <w:style w:type="paragraph" w:styleId="8">
    <w:name w:val="heading 6"/>
    <w:basedOn w:val="1"/>
    <w:next w:val="7"/>
    <w:link w:val="76"/>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77"/>
    <w:qFormat/>
    <w:uiPriority w:val="0"/>
    <w:pPr>
      <w:keepNext/>
      <w:keepLines/>
      <w:spacing w:before="240" w:after="64" w:line="317" w:lineRule="auto"/>
      <w:outlineLvl w:val="6"/>
    </w:pPr>
    <w:rPr>
      <w:b/>
      <w:sz w:val="24"/>
    </w:rPr>
  </w:style>
  <w:style w:type="paragraph" w:styleId="10">
    <w:name w:val="heading 8"/>
    <w:basedOn w:val="1"/>
    <w:next w:val="7"/>
    <w:link w:val="78"/>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79"/>
    <w:qFormat/>
    <w:uiPriority w:val="0"/>
    <w:pPr>
      <w:keepNext/>
      <w:keepLines/>
      <w:spacing w:before="240" w:after="64" w:line="317" w:lineRule="auto"/>
      <w:outlineLvl w:val="8"/>
    </w:pPr>
    <w:rPr>
      <w:rFonts w:ascii="Arial" w:hAnsi="Arial" w:eastAsia="黑体"/>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index 8"/>
    <w:basedOn w:val="1"/>
    <w:next w:val="1"/>
    <w:qFormat/>
    <w:uiPriority w:val="0"/>
    <w:pPr>
      <w:ind w:left="1400" w:leftChars="1400"/>
    </w:p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80"/>
    <w:qFormat/>
    <w:uiPriority w:val="0"/>
    <w:pPr>
      <w:shd w:val="clear" w:color="auto" w:fill="000080"/>
      <w:adjustRightInd w:val="0"/>
      <w:spacing w:line="312" w:lineRule="atLeast"/>
      <w:textAlignment w:val="baseline"/>
    </w:pPr>
    <w:rPr>
      <w:kern w:val="0"/>
      <w:szCs w:val="20"/>
    </w:rPr>
  </w:style>
  <w:style w:type="paragraph" w:styleId="18">
    <w:name w:val="toa heading"/>
    <w:basedOn w:val="1"/>
    <w:next w:val="1"/>
    <w:qFormat/>
    <w:uiPriority w:val="99"/>
    <w:pPr>
      <w:spacing w:before="120"/>
    </w:pPr>
    <w:rPr>
      <w:rFonts w:ascii="Cambria" w:hAnsi="Cambria" w:cs="宋体"/>
      <w:sz w:val="24"/>
    </w:rPr>
  </w:style>
  <w:style w:type="paragraph" w:styleId="19">
    <w:name w:val="annotation text"/>
    <w:basedOn w:val="1"/>
    <w:link w:val="81"/>
    <w:qFormat/>
    <w:uiPriority w:val="0"/>
    <w:pPr>
      <w:jc w:val="left"/>
    </w:pPr>
  </w:style>
  <w:style w:type="paragraph" w:styleId="20">
    <w:name w:val="Body Text 3"/>
    <w:basedOn w:val="1"/>
    <w:link w:val="82"/>
    <w:qFormat/>
    <w:uiPriority w:val="0"/>
    <w:pPr>
      <w:spacing w:line="500" w:lineRule="exact"/>
    </w:pPr>
    <w:rPr>
      <w:b/>
      <w:bCs/>
      <w:sz w:val="24"/>
    </w:rPr>
  </w:style>
  <w:style w:type="paragraph" w:styleId="21">
    <w:name w:val="Body Text"/>
    <w:basedOn w:val="1"/>
    <w:next w:val="22"/>
    <w:link w:val="83"/>
    <w:qFormat/>
    <w:uiPriority w:val="99"/>
    <w:pPr>
      <w:spacing w:line="380" w:lineRule="exact"/>
    </w:pPr>
    <w:rPr>
      <w:sz w:val="24"/>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3">
    <w:name w:val="Body Text Indent"/>
    <w:basedOn w:val="1"/>
    <w:next w:val="24"/>
    <w:link w:val="84"/>
    <w:qFormat/>
    <w:uiPriority w:val="99"/>
    <w:pPr>
      <w:ind w:firstLine="830" w:firstLineChars="352"/>
    </w:pPr>
    <w:rPr>
      <w:rFonts w:ascii="仿宋_GB2312" w:eastAsia="仿宋_GB2312"/>
      <w:sz w:val="32"/>
      <w:szCs w:val="20"/>
    </w:rPr>
  </w:style>
  <w:style w:type="paragraph" w:styleId="24">
    <w:name w:val="Body Text First Indent 2"/>
    <w:basedOn w:val="23"/>
    <w:next w:val="1"/>
    <w:link w:val="97"/>
    <w:qFormat/>
    <w:uiPriority w:val="0"/>
    <w:pPr>
      <w:spacing w:after="120"/>
      <w:ind w:left="420" w:leftChars="200" w:firstLine="420" w:firstLineChars="200"/>
    </w:pPr>
  </w:style>
  <w:style w:type="paragraph" w:styleId="25">
    <w:name w:val="List Number 3"/>
    <w:basedOn w:val="1"/>
    <w:qFormat/>
    <w:uiPriority w:val="0"/>
    <w:pPr>
      <w:tabs>
        <w:tab w:val="left" w:pos="1200"/>
      </w:tabs>
      <w:ind w:left="1200" w:leftChars="400" w:hanging="360" w:hangingChars="20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qFormat/>
    <w:uiPriority w:val="39"/>
    <w:pPr>
      <w:ind w:left="840" w:leftChars="400"/>
    </w:pPr>
  </w:style>
  <w:style w:type="paragraph" w:styleId="30">
    <w:name w:val="Plain Text"/>
    <w:basedOn w:val="1"/>
    <w:next w:val="14"/>
    <w:link w:val="85"/>
    <w:qFormat/>
    <w:uiPriority w:val="99"/>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86"/>
    <w:qFormat/>
    <w:uiPriority w:val="0"/>
    <w:pPr>
      <w:ind w:left="100" w:leftChars="2500"/>
    </w:pPr>
    <w:rPr>
      <w:rFonts w:ascii="宋体" w:hAnsi="Courier New"/>
      <w:szCs w:val="21"/>
    </w:rPr>
  </w:style>
  <w:style w:type="paragraph" w:styleId="33">
    <w:name w:val="Body Text Indent 2"/>
    <w:basedOn w:val="1"/>
    <w:link w:val="87"/>
    <w:qFormat/>
    <w:uiPriority w:val="0"/>
    <w:pPr>
      <w:ind w:firstLine="630"/>
    </w:pPr>
    <w:rPr>
      <w:sz w:val="32"/>
      <w:szCs w:val="20"/>
    </w:rPr>
  </w:style>
  <w:style w:type="paragraph" w:styleId="34">
    <w:name w:val="Balloon Text"/>
    <w:basedOn w:val="1"/>
    <w:link w:val="88"/>
    <w:qFormat/>
    <w:uiPriority w:val="0"/>
    <w:rPr>
      <w:sz w:val="18"/>
      <w:szCs w:val="18"/>
    </w:rPr>
  </w:style>
  <w:style w:type="paragraph" w:styleId="35">
    <w:name w:val="footer"/>
    <w:basedOn w:val="1"/>
    <w:link w:val="89"/>
    <w:qFormat/>
    <w:uiPriority w:val="0"/>
    <w:pPr>
      <w:tabs>
        <w:tab w:val="center" w:pos="4153"/>
        <w:tab w:val="right" w:pos="8306"/>
      </w:tabs>
      <w:snapToGrid w:val="0"/>
      <w:jc w:val="left"/>
    </w:pPr>
    <w:rPr>
      <w:sz w:val="18"/>
      <w:szCs w:val="18"/>
    </w:rPr>
  </w:style>
  <w:style w:type="paragraph" w:styleId="36">
    <w:name w:val="header"/>
    <w:basedOn w:val="1"/>
    <w:link w:val="90"/>
    <w:qFormat/>
    <w:uiPriority w:val="99"/>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Subtitle"/>
    <w:basedOn w:val="1"/>
    <w:next w:val="1"/>
    <w:qFormat/>
    <w:uiPriority w:val="0"/>
    <w:pPr>
      <w:spacing w:before="240" w:after="60" w:line="312" w:lineRule="auto"/>
      <w:jc w:val="left"/>
      <w:outlineLvl w:val="1"/>
    </w:pPr>
    <w:rPr>
      <w:rFonts w:ascii="等线 Light" w:hAnsi="等线 Light" w:eastAsia="仿宋" w:cs="Times New Roman"/>
      <w:b/>
      <w:bCs/>
      <w:kern w:val="28"/>
      <w:sz w:val="36"/>
      <w:szCs w:val="32"/>
    </w:rPr>
  </w:style>
  <w:style w:type="paragraph" w:styleId="40">
    <w:name w:val="List"/>
    <w:basedOn w:val="1"/>
    <w:qFormat/>
    <w:uiPriority w:val="0"/>
    <w:pPr>
      <w:ind w:left="200" w:hanging="200" w:hangingChars="200"/>
    </w:pPr>
    <w:rPr>
      <w:sz w:val="2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91"/>
    <w:qFormat/>
    <w:uiPriority w:val="0"/>
    <w:pPr>
      <w:spacing w:after="120"/>
      <w:ind w:left="420" w:leftChars="200"/>
    </w:pPr>
    <w:rPr>
      <w:sz w:val="16"/>
      <w:szCs w:val="16"/>
    </w:rPr>
  </w:style>
  <w:style w:type="paragraph" w:styleId="44">
    <w:name w:val="toc 2"/>
    <w:basedOn w:val="1"/>
    <w:next w:val="1"/>
    <w:qFormat/>
    <w:uiPriority w:val="39"/>
    <w:pPr>
      <w:ind w:left="420" w:leftChars="200"/>
    </w:pPr>
  </w:style>
  <w:style w:type="paragraph" w:styleId="45">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92"/>
    <w:qFormat/>
    <w:uiPriority w:val="0"/>
    <w:pPr>
      <w:spacing w:after="120" w:line="480" w:lineRule="auto"/>
    </w:p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basedOn w:val="1"/>
    <w:qFormat/>
    <w:uiPriority w:val="99"/>
    <w:pPr>
      <w:widowControl/>
      <w:spacing w:before="100" w:beforeAutospacing="1" w:after="100" w:afterAutospacing="1"/>
      <w:jc w:val="left"/>
    </w:pPr>
    <w:rPr>
      <w:rFonts w:ascii="宋体" w:hAnsi="宋体"/>
      <w:kern w:val="0"/>
      <w:sz w:val="24"/>
    </w:rPr>
  </w:style>
  <w:style w:type="paragraph" w:styleId="51">
    <w:name w:val="index 1"/>
    <w:basedOn w:val="1"/>
    <w:next w:val="1"/>
    <w:qFormat/>
    <w:uiPriority w:val="0"/>
    <w:pPr>
      <w:spacing w:line="400" w:lineRule="exact"/>
      <w:ind w:firstLine="420" w:firstLineChars="200"/>
    </w:pPr>
    <w:rPr>
      <w:rFonts w:ascii="宋体" w:hAnsi="Courier New"/>
      <w:b/>
      <w:szCs w:val="20"/>
    </w:rPr>
  </w:style>
  <w:style w:type="paragraph" w:styleId="52">
    <w:name w:val="Title"/>
    <w:basedOn w:val="1"/>
    <w:next w:val="1"/>
    <w:link w:val="94"/>
    <w:qFormat/>
    <w:uiPriority w:val="0"/>
    <w:pPr>
      <w:jc w:val="center"/>
    </w:pPr>
    <w:rPr>
      <w:sz w:val="30"/>
    </w:rPr>
  </w:style>
  <w:style w:type="paragraph" w:styleId="53">
    <w:name w:val="annotation subject"/>
    <w:basedOn w:val="19"/>
    <w:next w:val="19"/>
    <w:link w:val="95"/>
    <w:qFormat/>
    <w:uiPriority w:val="0"/>
    <w:rPr>
      <w:b/>
      <w:bCs/>
    </w:rPr>
  </w:style>
  <w:style w:type="paragraph" w:styleId="54">
    <w:name w:val="Body Text First Indent"/>
    <w:basedOn w:val="21"/>
    <w:link w:val="96"/>
    <w:qFormat/>
    <w:uiPriority w:val="0"/>
    <w:pPr>
      <w:spacing w:after="120" w:line="240" w:lineRule="auto"/>
      <w:ind w:firstLine="420" w:firstLineChars="100"/>
    </w:pPr>
    <w:rPr>
      <w:sz w:val="21"/>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qFormat/>
    <w:uiPriority w:val="0"/>
  </w:style>
  <w:style w:type="character" w:styleId="60">
    <w:name w:val="FollowedHyperlink"/>
    <w:qFormat/>
    <w:uiPriority w:val="99"/>
    <w:rPr>
      <w:color w:val="333333"/>
      <w:u w:val="none"/>
    </w:rPr>
  </w:style>
  <w:style w:type="character" w:styleId="61">
    <w:name w:val="Emphasis"/>
    <w:qFormat/>
    <w:uiPriority w:val="0"/>
    <w:rPr>
      <w:color w:val="CC0000"/>
    </w:rPr>
  </w:style>
  <w:style w:type="character" w:styleId="62">
    <w:name w:val="HTML Definition"/>
    <w:qFormat/>
    <w:uiPriority w:val="0"/>
    <w:rPr>
      <w:i/>
    </w:rPr>
  </w:style>
  <w:style w:type="character" w:styleId="63">
    <w:name w:val="Hyperlink"/>
    <w:qFormat/>
    <w:uiPriority w:val="99"/>
    <w:rPr>
      <w:color w:val="333333"/>
      <w:u w:val="none"/>
    </w:rPr>
  </w:style>
  <w:style w:type="character" w:styleId="64">
    <w:name w:val="HTML Code"/>
    <w:qFormat/>
    <w:uiPriority w:val="0"/>
    <w:rPr>
      <w:rFonts w:hint="default" w:ascii="Consolas" w:hAnsi="Consolas" w:eastAsia="Consolas" w:cs="Consolas"/>
      <w:sz w:val="21"/>
      <w:szCs w:val="21"/>
    </w:rPr>
  </w:style>
  <w:style w:type="character" w:styleId="65">
    <w:name w:val="annotation reference"/>
    <w:qFormat/>
    <w:uiPriority w:val="0"/>
    <w:rPr>
      <w:sz w:val="21"/>
      <w:szCs w:val="21"/>
    </w:rPr>
  </w:style>
  <w:style w:type="character" w:styleId="66">
    <w:name w:val="HTML Cite"/>
    <w:qFormat/>
    <w:uiPriority w:val="0"/>
    <w:rPr>
      <w:color w:val="008000"/>
    </w:rPr>
  </w:style>
  <w:style w:type="character" w:styleId="67">
    <w:name w:val="HTML Keyboard"/>
    <w:qFormat/>
    <w:uiPriority w:val="0"/>
    <w:rPr>
      <w:rFonts w:hint="default" w:ascii="Consolas" w:hAnsi="Consolas" w:eastAsia="Consolas" w:cs="Consolas"/>
      <w:sz w:val="21"/>
      <w:szCs w:val="21"/>
    </w:rPr>
  </w:style>
  <w:style w:type="character" w:styleId="68">
    <w:name w:val="HTML Sample"/>
    <w:qFormat/>
    <w:uiPriority w:val="0"/>
    <w:rPr>
      <w:rFonts w:ascii="Consolas" w:hAnsi="Consolas" w:eastAsia="Consolas" w:cs="Consolas"/>
      <w:sz w:val="21"/>
      <w:szCs w:val="21"/>
    </w:rPr>
  </w:style>
  <w:style w:type="paragraph" w:customStyle="1" w:styleId="69">
    <w:name w:val="首行缩进"/>
    <w:basedOn w:val="1"/>
    <w:qFormat/>
    <w:uiPriority w:val="0"/>
    <w:pPr>
      <w:spacing w:line="360" w:lineRule="auto"/>
      <w:ind w:left="210" w:leftChars="100" w:firstLine="420" w:firstLineChars="200"/>
    </w:pPr>
    <w:rPr>
      <w:rFonts w:ascii="宋体" w:hAnsi="宋体"/>
    </w:rPr>
  </w:style>
  <w:style w:type="paragraph" w:customStyle="1" w:styleId="70">
    <w:name w:val="表格文字"/>
    <w:basedOn w:val="1"/>
    <w:qFormat/>
    <w:uiPriority w:val="0"/>
    <w:pPr>
      <w:spacing w:before="25" w:after="25"/>
      <w:jc w:val="left"/>
    </w:pPr>
    <w:rPr>
      <w:bCs/>
      <w:spacing w:val="10"/>
      <w:kern w:val="0"/>
      <w:sz w:val="24"/>
    </w:rPr>
  </w:style>
  <w:style w:type="character" w:customStyle="1" w:styleId="71">
    <w:name w:val="标题 1 字符1"/>
    <w:link w:val="2"/>
    <w:qFormat/>
    <w:uiPriority w:val="9"/>
    <w:rPr>
      <w:rFonts w:eastAsia="宋体"/>
      <w:b/>
      <w:bCs/>
      <w:kern w:val="44"/>
      <w:sz w:val="44"/>
      <w:szCs w:val="44"/>
      <w:lang w:val="en-US" w:eastAsia="zh-CN" w:bidi="ar-SA"/>
    </w:rPr>
  </w:style>
  <w:style w:type="character" w:customStyle="1" w:styleId="72">
    <w:name w:val="标题 2 字符1"/>
    <w:link w:val="3"/>
    <w:qFormat/>
    <w:uiPriority w:val="0"/>
    <w:rPr>
      <w:rFonts w:ascii="Arial" w:hAnsi="Arial" w:eastAsia="黑体"/>
      <w:b/>
      <w:bCs/>
      <w:kern w:val="2"/>
      <w:sz w:val="32"/>
      <w:szCs w:val="32"/>
    </w:rPr>
  </w:style>
  <w:style w:type="character" w:customStyle="1" w:styleId="73">
    <w:name w:val="标题 3 字符1"/>
    <w:link w:val="4"/>
    <w:qFormat/>
    <w:uiPriority w:val="0"/>
    <w:rPr>
      <w:b/>
      <w:bCs/>
      <w:kern w:val="2"/>
      <w:sz w:val="32"/>
      <w:szCs w:val="32"/>
    </w:rPr>
  </w:style>
  <w:style w:type="character" w:customStyle="1" w:styleId="74">
    <w:name w:val="标题 4 字符1"/>
    <w:link w:val="5"/>
    <w:qFormat/>
    <w:uiPriority w:val="0"/>
    <w:rPr>
      <w:rFonts w:ascii="Arial" w:hAnsi="Arial" w:eastAsia="黑体"/>
      <w:sz w:val="28"/>
    </w:rPr>
  </w:style>
  <w:style w:type="character" w:customStyle="1" w:styleId="75">
    <w:name w:val="标题 5 字符1"/>
    <w:link w:val="6"/>
    <w:qFormat/>
    <w:uiPriority w:val="0"/>
    <w:rPr>
      <w:b/>
      <w:kern w:val="2"/>
      <w:sz w:val="28"/>
      <w:szCs w:val="24"/>
    </w:rPr>
  </w:style>
  <w:style w:type="character" w:customStyle="1" w:styleId="76">
    <w:name w:val="标题 6 字符1"/>
    <w:link w:val="8"/>
    <w:qFormat/>
    <w:uiPriority w:val="0"/>
    <w:rPr>
      <w:rFonts w:ascii="Arial" w:hAnsi="Arial" w:eastAsia="黑体"/>
      <w:b/>
      <w:kern w:val="2"/>
      <w:sz w:val="24"/>
      <w:szCs w:val="24"/>
    </w:rPr>
  </w:style>
  <w:style w:type="character" w:customStyle="1" w:styleId="77">
    <w:name w:val="标题 7 字符1"/>
    <w:link w:val="9"/>
    <w:qFormat/>
    <w:uiPriority w:val="0"/>
    <w:rPr>
      <w:b/>
      <w:kern w:val="2"/>
      <w:sz w:val="24"/>
      <w:szCs w:val="24"/>
    </w:rPr>
  </w:style>
  <w:style w:type="character" w:customStyle="1" w:styleId="78">
    <w:name w:val="标题 8 字符1"/>
    <w:link w:val="10"/>
    <w:qFormat/>
    <w:uiPriority w:val="0"/>
    <w:rPr>
      <w:rFonts w:ascii="Arial" w:hAnsi="Arial" w:eastAsia="黑体"/>
      <w:kern w:val="2"/>
      <w:sz w:val="24"/>
      <w:szCs w:val="24"/>
    </w:rPr>
  </w:style>
  <w:style w:type="character" w:customStyle="1" w:styleId="79">
    <w:name w:val="标题 9 字符1"/>
    <w:link w:val="11"/>
    <w:qFormat/>
    <w:uiPriority w:val="0"/>
    <w:rPr>
      <w:rFonts w:ascii="Arial" w:hAnsi="Arial" w:eastAsia="黑体"/>
      <w:kern w:val="2"/>
      <w:sz w:val="21"/>
      <w:szCs w:val="24"/>
    </w:rPr>
  </w:style>
  <w:style w:type="character" w:customStyle="1" w:styleId="80">
    <w:name w:val="文档结构图 字符1"/>
    <w:link w:val="17"/>
    <w:qFormat/>
    <w:uiPriority w:val="0"/>
    <w:rPr>
      <w:sz w:val="21"/>
      <w:shd w:val="clear" w:color="auto" w:fill="000080"/>
    </w:rPr>
  </w:style>
  <w:style w:type="character" w:customStyle="1" w:styleId="81">
    <w:name w:val="批注文字 字符2"/>
    <w:link w:val="19"/>
    <w:qFormat/>
    <w:uiPriority w:val="0"/>
    <w:rPr>
      <w:kern w:val="2"/>
      <w:sz w:val="21"/>
      <w:szCs w:val="24"/>
    </w:rPr>
  </w:style>
  <w:style w:type="character" w:customStyle="1" w:styleId="82">
    <w:name w:val="正文文本 3 字符1"/>
    <w:link w:val="20"/>
    <w:qFormat/>
    <w:uiPriority w:val="0"/>
    <w:rPr>
      <w:b/>
      <w:bCs/>
      <w:kern w:val="2"/>
      <w:sz w:val="24"/>
      <w:szCs w:val="24"/>
    </w:rPr>
  </w:style>
  <w:style w:type="character" w:customStyle="1" w:styleId="83">
    <w:name w:val="正文文本 字符1"/>
    <w:link w:val="21"/>
    <w:qFormat/>
    <w:uiPriority w:val="99"/>
    <w:rPr>
      <w:kern w:val="2"/>
      <w:sz w:val="24"/>
      <w:szCs w:val="24"/>
    </w:rPr>
  </w:style>
  <w:style w:type="character" w:customStyle="1" w:styleId="84">
    <w:name w:val="正文文本缩进 字符1"/>
    <w:link w:val="23"/>
    <w:qFormat/>
    <w:uiPriority w:val="99"/>
    <w:rPr>
      <w:rFonts w:ascii="仿宋_GB2312" w:eastAsia="仿宋_GB2312"/>
      <w:kern w:val="2"/>
      <w:sz w:val="32"/>
    </w:rPr>
  </w:style>
  <w:style w:type="character" w:customStyle="1" w:styleId="85">
    <w:name w:val="纯文本 字符1"/>
    <w:link w:val="30"/>
    <w:qFormat/>
    <w:uiPriority w:val="99"/>
    <w:rPr>
      <w:rFonts w:ascii="宋体" w:hAnsi="Courier New" w:eastAsia="宋体" w:cs="Courier New"/>
      <w:kern w:val="2"/>
      <w:sz w:val="21"/>
      <w:szCs w:val="21"/>
      <w:lang w:val="en-US" w:eastAsia="zh-CN" w:bidi="ar-SA"/>
    </w:rPr>
  </w:style>
  <w:style w:type="character" w:customStyle="1" w:styleId="86">
    <w:name w:val="日期 字符1"/>
    <w:link w:val="32"/>
    <w:qFormat/>
    <w:uiPriority w:val="0"/>
    <w:rPr>
      <w:rFonts w:ascii="宋体" w:hAnsi="Courier New" w:cs="Courier New"/>
      <w:kern w:val="2"/>
      <w:sz w:val="21"/>
      <w:szCs w:val="21"/>
    </w:rPr>
  </w:style>
  <w:style w:type="character" w:customStyle="1" w:styleId="87">
    <w:name w:val="正文文本缩进 2 字符1"/>
    <w:link w:val="33"/>
    <w:qFormat/>
    <w:uiPriority w:val="0"/>
    <w:rPr>
      <w:kern w:val="2"/>
      <w:sz w:val="32"/>
    </w:rPr>
  </w:style>
  <w:style w:type="character" w:customStyle="1" w:styleId="88">
    <w:name w:val="批注框文本 字符1"/>
    <w:link w:val="34"/>
    <w:qFormat/>
    <w:uiPriority w:val="0"/>
    <w:rPr>
      <w:kern w:val="2"/>
      <w:sz w:val="18"/>
      <w:szCs w:val="18"/>
    </w:rPr>
  </w:style>
  <w:style w:type="character" w:customStyle="1" w:styleId="89">
    <w:name w:val="页脚 字符1"/>
    <w:link w:val="35"/>
    <w:qFormat/>
    <w:uiPriority w:val="0"/>
    <w:rPr>
      <w:kern w:val="2"/>
      <w:sz w:val="18"/>
      <w:szCs w:val="18"/>
    </w:rPr>
  </w:style>
  <w:style w:type="character" w:customStyle="1" w:styleId="90">
    <w:name w:val="页眉 字符1"/>
    <w:link w:val="36"/>
    <w:qFormat/>
    <w:uiPriority w:val="99"/>
    <w:rPr>
      <w:kern w:val="2"/>
      <w:sz w:val="18"/>
      <w:szCs w:val="18"/>
    </w:rPr>
  </w:style>
  <w:style w:type="character" w:customStyle="1" w:styleId="91">
    <w:name w:val="正文文本缩进 3 字符1"/>
    <w:link w:val="43"/>
    <w:qFormat/>
    <w:uiPriority w:val="0"/>
    <w:rPr>
      <w:kern w:val="2"/>
      <w:sz w:val="16"/>
      <w:szCs w:val="16"/>
    </w:rPr>
  </w:style>
  <w:style w:type="character" w:customStyle="1" w:styleId="92">
    <w:name w:val="正文文本 2 字符1"/>
    <w:link w:val="46"/>
    <w:qFormat/>
    <w:uiPriority w:val="0"/>
    <w:rPr>
      <w:kern w:val="2"/>
      <w:sz w:val="21"/>
      <w:szCs w:val="24"/>
    </w:rPr>
  </w:style>
  <w:style w:type="character" w:customStyle="1" w:styleId="93">
    <w:name w:val="HTML 预设格式 字符1"/>
    <w:link w:val="49"/>
    <w:qFormat/>
    <w:uiPriority w:val="0"/>
    <w:rPr>
      <w:rFonts w:ascii="黑体" w:hAnsi="Courier New" w:eastAsia="黑体" w:cs="Courier New"/>
    </w:rPr>
  </w:style>
  <w:style w:type="character" w:customStyle="1" w:styleId="94">
    <w:name w:val="标题 字符1"/>
    <w:link w:val="52"/>
    <w:qFormat/>
    <w:uiPriority w:val="0"/>
    <w:rPr>
      <w:kern w:val="2"/>
      <w:sz w:val="30"/>
      <w:szCs w:val="24"/>
    </w:rPr>
  </w:style>
  <w:style w:type="character" w:customStyle="1" w:styleId="95">
    <w:name w:val="批注主题 字符1"/>
    <w:link w:val="53"/>
    <w:qFormat/>
    <w:uiPriority w:val="0"/>
    <w:rPr>
      <w:b/>
      <w:bCs/>
      <w:kern w:val="2"/>
      <w:sz w:val="21"/>
      <w:szCs w:val="24"/>
    </w:rPr>
  </w:style>
  <w:style w:type="character" w:customStyle="1" w:styleId="96">
    <w:name w:val="正文文本首行缩进 字符1"/>
    <w:link w:val="54"/>
    <w:qFormat/>
    <w:uiPriority w:val="0"/>
    <w:rPr>
      <w:kern w:val="2"/>
      <w:sz w:val="21"/>
      <w:szCs w:val="24"/>
    </w:rPr>
  </w:style>
  <w:style w:type="character" w:customStyle="1" w:styleId="97">
    <w:name w:val="正文文本首行缩进 2 字符1"/>
    <w:link w:val="24"/>
    <w:qFormat/>
    <w:uiPriority w:val="0"/>
    <w:rPr>
      <w:kern w:val="2"/>
      <w:sz w:val="21"/>
      <w:szCs w:val="24"/>
    </w:rPr>
  </w:style>
  <w:style w:type="character" w:customStyle="1" w:styleId="98">
    <w:name w:val="current"/>
    <w:qFormat/>
    <w:uiPriority w:val="0"/>
    <w:rPr>
      <w:color w:val="00C1DE"/>
    </w:rPr>
  </w:style>
  <w:style w:type="character" w:customStyle="1" w:styleId="99">
    <w:name w:val="info-label"/>
    <w:qFormat/>
    <w:uiPriority w:val="0"/>
    <w:rPr>
      <w:b/>
    </w:rPr>
  </w:style>
  <w:style w:type="character" w:customStyle="1" w:styleId="100">
    <w:name w:val="正文文本缩进 字符"/>
    <w:semiHidden/>
    <w:qFormat/>
    <w:uiPriority w:val="99"/>
    <w:rPr>
      <w:kern w:val="2"/>
      <w:sz w:val="21"/>
      <w:szCs w:val="24"/>
    </w:rPr>
  </w:style>
  <w:style w:type="character" w:customStyle="1" w:styleId="101">
    <w:name w:val="first-child"/>
    <w:qFormat/>
    <w:uiPriority w:val="0"/>
  </w:style>
  <w:style w:type="character" w:customStyle="1" w:styleId="102">
    <w:name w:val="current1"/>
    <w:qFormat/>
    <w:uiPriority w:val="0"/>
    <w:rPr>
      <w:color w:val="00C1DE"/>
    </w:rPr>
  </w:style>
  <w:style w:type="character" w:customStyle="1" w:styleId="103">
    <w:name w:val="标题 字符"/>
    <w:qFormat/>
    <w:uiPriority w:val="10"/>
    <w:rPr>
      <w:rFonts w:ascii="等线 Light" w:hAnsi="等线 Light" w:eastAsia="等线 Light" w:cs="Times New Roman"/>
      <w:b/>
      <w:bCs/>
      <w:kern w:val="2"/>
      <w:sz w:val="32"/>
      <w:szCs w:val="32"/>
    </w:rPr>
  </w:style>
  <w:style w:type="character" w:customStyle="1" w:styleId="104">
    <w:name w:val="页眉 字符"/>
    <w:semiHidden/>
    <w:qFormat/>
    <w:uiPriority w:val="99"/>
    <w:rPr>
      <w:kern w:val="2"/>
      <w:sz w:val="18"/>
      <w:szCs w:val="18"/>
    </w:rPr>
  </w:style>
  <w:style w:type="character" w:customStyle="1" w:styleId="105">
    <w:name w:val="纯文本 字符"/>
    <w:semiHidden/>
    <w:qFormat/>
    <w:uiPriority w:val="99"/>
    <w:rPr>
      <w:rFonts w:ascii="等线" w:hAnsi="Courier New" w:eastAsia="等线" w:cs="Courier New"/>
      <w:kern w:val="2"/>
      <w:sz w:val="21"/>
      <w:szCs w:val="24"/>
    </w:rPr>
  </w:style>
  <w:style w:type="character" w:customStyle="1" w:styleId="106">
    <w:name w:val="fd"/>
    <w:qFormat/>
    <w:uiPriority w:val="0"/>
  </w:style>
  <w:style w:type="character" w:customStyle="1" w:styleId="107">
    <w:name w:val="正文文本首行缩进 2 字符"/>
    <w:semiHidden/>
    <w:qFormat/>
    <w:uiPriority w:val="99"/>
  </w:style>
  <w:style w:type="character" w:customStyle="1" w:styleId="108">
    <w:name w:val="正文文本 3 字符"/>
    <w:semiHidden/>
    <w:qFormat/>
    <w:uiPriority w:val="99"/>
    <w:rPr>
      <w:kern w:val="2"/>
      <w:sz w:val="16"/>
      <w:szCs w:val="16"/>
    </w:rPr>
  </w:style>
  <w:style w:type="character" w:customStyle="1" w:styleId="109">
    <w:name w:val="content2"/>
    <w:qFormat/>
    <w:uiPriority w:val="0"/>
  </w:style>
  <w:style w:type="character" w:customStyle="1" w:styleId="110">
    <w:name w:val="short_text1"/>
    <w:qFormat/>
    <w:uiPriority w:val="0"/>
    <w:rPr>
      <w:sz w:val="26"/>
    </w:rPr>
  </w:style>
  <w:style w:type="character" w:customStyle="1" w:styleId="111">
    <w:name w:val="标题3 Char"/>
    <w:link w:val="112"/>
    <w:qFormat/>
    <w:uiPriority w:val="0"/>
    <w:rPr>
      <w:rFonts w:ascii="宋体" w:hAnsi="宋体"/>
      <w:b/>
      <w:bCs/>
      <w:kern w:val="44"/>
      <w:sz w:val="24"/>
      <w:szCs w:val="24"/>
    </w:rPr>
  </w:style>
  <w:style w:type="paragraph" w:customStyle="1" w:styleId="112">
    <w:name w:val="标题3"/>
    <w:basedOn w:val="2"/>
    <w:link w:val="111"/>
    <w:qFormat/>
    <w:uiPriority w:val="0"/>
    <w:pPr>
      <w:spacing w:before="0" w:beforeLines="50" w:after="0" w:afterLines="50" w:line="400" w:lineRule="exact"/>
    </w:pPr>
    <w:rPr>
      <w:rFonts w:ascii="宋体" w:hAnsi="宋体"/>
      <w:sz w:val="24"/>
      <w:szCs w:val="24"/>
    </w:rPr>
  </w:style>
  <w:style w:type="character" w:customStyle="1" w:styleId="113">
    <w:name w:val="temp"/>
    <w:qFormat/>
    <w:uiPriority w:val="0"/>
  </w:style>
  <w:style w:type="character" w:customStyle="1" w:styleId="114">
    <w:name w:val="ant-select-tree-iconele"/>
    <w:qFormat/>
    <w:uiPriority w:val="0"/>
  </w:style>
  <w:style w:type="character" w:customStyle="1" w:styleId="115">
    <w:name w:val="正文文本缩进 2 字符"/>
    <w:semiHidden/>
    <w:qFormat/>
    <w:uiPriority w:val="99"/>
    <w:rPr>
      <w:kern w:val="2"/>
      <w:sz w:val="21"/>
      <w:szCs w:val="24"/>
    </w:rPr>
  </w:style>
  <w:style w:type="character" w:customStyle="1" w:styleId="116">
    <w:name w:val="label2"/>
    <w:qFormat/>
    <w:uiPriority w:val="0"/>
  </w:style>
  <w:style w:type="character" w:customStyle="1" w:styleId="117">
    <w:name w:val="ant-tree-iconele"/>
    <w:qFormat/>
    <w:uiPriority w:val="0"/>
  </w:style>
  <w:style w:type="character" w:customStyle="1" w:styleId="118">
    <w:name w:val="info-content"/>
    <w:qFormat/>
    <w:uiPriority w:val="0"/>
    <w:rPr>
      <w:color w:val="808080"/>
    </w:rPr>
  </w:style>
  <w:style w:type="character" w:customStyle="1" w:styleId="119">
    <w:name w:val="ant-tree-checkbox2"/>
    <w:qFormat/>
    <w:uiPriority w:val="0"/>
  </w:style>
  <w:style w:type="character" w:customStyle="1" w:styleId="120">
    <w:name w:val="c-icon13"/>
    <w:qFormat/>
    <w:uiPriority w:val="0"/>
  </w:style>
  <w:style w:type="character" w:customStyle="1" w:styleId="121">
    <w:name w:val="纯文本 Char1"/>
    <w:qFormat/>
    <w:uiPriority w:val="0"/>
    <w:rPr>
      <w:rFonts w:ascii="宋体" w:hAnsi="Courier New" w:eastAsia="宋体" w:cs="Courier New"/>
      <w:kern w:val="2"/>
      <w:sz w:val="21"/>
      <w:szCs w:val="21"/>
      <w:lang w:val="en-US" w:eastAsia="zh-CN" w:bidi="ar-SA"/>
    </w:rPr>
  </w:style>
  <w:style w:type="character" w:customStyle="1" w:styleId="122">
    <w:name w:val="批注文字 字符1"/>
    <w:qFormat/>
    <w:uiPriority w:val="0"/>
    <w:rPr>
      <w:kern w:val="2"/>
      <w:sz w:val="21"/>
      <w:szCs w:val="24"/>
    </w:rPr>
  </w:style>
  <w:style w:type="character" w:customStyle="1" w:styleId="123">
    <w:name w:val="标题 3 字符"/>
    <w:semiHidden/>
    <w:qFormat/>
    <w:uiPriority w:val="9"/>
    <w:rPr>
      <w:b/>
      <w:bCs/>
      <w:kern w:val="2"/>
      <w:sz w:val="32"/>
      <w:szCs w:val="32"/>
    </w:rPr>
  </w:style>
  <w:style w:type="character" w:customStyle="1" w:styleId="124">
    <w:name w:val="标题 5 字符"/>
    <w:semiHidden/>
    <w:qFormat/>
    <w:uiPriority w:val="9"/>
    <w:rPr>
      <w:b/>
      <w:bCs/>
      <w:kern w:val="2"/>
      <w:sz w:val="28"/>
      <w:szCs w:val="28"/>
    </w:rPr>
  </w:style>
  <w:style w:type="character" w:customStyle="1" w:styleId="125">
    <w:name w:val="标题 7 字符"/>
    <w:semiHidden/>
    <w:qFormat/>
    <w:uiPriority w:val="9"/>
    <w:rPr>
      <w:b/>
      <w:bCs/>
      <w:kern w:val="2"/>
      <w:sz w:val="24"/>
      <w:szCs w:val="24"/>
    </w:rPr>
  </w:style>
  <w:style w:type="character" w:customStyle="1" w:styleId="126">
    <w:name w:val="temp2"/>
    <w:qFormat/>
    <w:uiPriority w:val="0"/>
  </w:style>
  <w:style w:type="character" w:customStyle="1" w:styleId="127">
    <w:name w:val="font01"/>
    <w:qFormat/>
    <w:uiPriority w:val="0"/>
    <w:rPr>
      <w:rFonts w:hint="eastAsia" w:ascii="宋体" w:hAnsi="宋体" w:eastAsia="宋体"/>
      <w:color w:val="000000"/>
      <w:sz w:val="22"/>
      <w:szCs w:val="22"/>
      <w:u w:val="none"/>
    </w:rPr>
  </w:style>
  <w:style w:type="character" w:customStyle="1" w:styleId="128">
    <w:name w:val="1051"/>
    <w:qFormat/>
    <w:uiPriority w:val="0"/>
    <w:rPr>
      <w:sz w:val="21"/>
      <w:szCs w:val="21"/>
    </w:rPr>
  </w:style>
  <w:style w:type="character" w:customStyle="1" w:styleId="129">
    <w:name w:val="NormalCharacter"/>
    <w:qFormat/>
    <w:uiPriority w:val="0"/>
    <w:rPr>
      <w:rFonts w:ascii="Calibri" w:hAnsi="Calibri" w:eastAsia="宋体"/>
    </w:rPr>
  </w:style>
  <w:style w:type="character" w:customStyle="1" w:styleId="130">
    <w:name w:val="标题 6 字符"/>
    <w:semiHidden/>
    <w:qFormat/>
    <w:uiPriority w:val="9"/>
    <w:rPr>
      <w:rFonts w:ascii="等线 Light" w:hAnsi="等线 Light" w:eastAsia="等线 Light" w:cs="Times New Roman"/>
      <w:b/>
      <w:bCs/>
      <w:kern w:val="2"/>
      <w:sz w:val="24"/>
      <w:szCs w:val="24"/>
    </w:rPr>
  </w:style>
  <w:style w:type="character" w:customStyle="1" w:styleId="131">
    <w:name w:val="正文文本首行缩进 字符"/>
    <w:semiHidden/>
    <w:qFormat/>
    <w:uiPriority w:val="99"/>
  </w:style>
  <w:style w:type="character" w:customStyle="1" w:styleId="132">
    <w:name w:val="gray12"/>
    <w:qFormat/>
    <w:uiPriority w:val="0"/>
  </w:style>
  <w:style w:type="character" w:customStyle="1" w:styleId="133">
    <w:name w:val="标题 4 字符"/>
    <w:semiHidden/>
    <w:qFormat/>
    <w:uiPriority w:val="9"/>
    <w:rPr>
      <w:rFonts w:ascii="等线 Light" w:hAnsi="等线 Light" w:eastAsia="等线 Light" w:cs="Times New Roman"/>
      <w:b/>
      <w:bCs/>
      <w:kern w:val="2"/>
      <w:sz w:val="28"/>
      <w:szCs w:val="28"/>
    </w:rPr>
  </w:style>
  <w:style w:type="character" w:customStyle="1" w:styleId="134">
    <w:name w:val="062"/>
    <w:qFormat/>
    <w:uiPriority w:val="0"/>
    <w:rPr>
      <w:rFonts w:ascii="宋体" w:hAnsi="宋体"/>
      <w:b/>
      <w:bCs/>
      <w:sz w:val="32"/>
    </w:rPr>
  </w:style>
  <w:style w:type="character" w:customStyle="1" w:styleId="135">
    <w:name w:val="all-fit-info2"/>
    <w:qFormat/>
    <w:uiPriority w:val="0"/>
    <w:rPr>
      <w:color w:val="939393"/>
    </w:rPr>
  </w:style>
  <w:style w:type="character" w:customStyle="1" w:styleId="136">
    <w:name w:val="last-child6"/>
    <w:qFormat/>
    <w:uiPriority w:val="0"/>
  </w:style>
  <w:style w:type="character" w:customStyle="1" w:styleId="137">
    <w:name w:val="all-fit-info"/>
    <w:qFormat/>
    <w:uiPriority w:val="0"/>
    <w:rPr>
      <w:color w:val="939393"/>
    </w:rPr>
  </w:style>
  <w:style w:type="character" w:customStyle="1" w:styleId="138">
    <w:name w:val="style11"/>
    <w:qFormat/>
    <w:uiPriority w:val="0"/>
    <w:rPr>
      <w:rFonts w:hint="default" w:ascii="Arial" w:hAnsi="Arial" w:cs="Arial"/>
    </w:rPr>
  </w:style>
  <w:style w:type="character" w:customStyle="1" w:styleId="139">
    <w:name w:val="ant-select-tree-switcher"/>
    <w:qFormat/>
    <w:uiPriority w:val="0"/>
  </w:style>
  <w:style w:type="character" w:customStyle="1" w:styleId="140">
    <w:name w:val="正文文本 字符"/>
    <w:semiHidden/>
    <w:qFormat/>
    <w:uiPriority w:val="99"/>
    <w:rPr>
      <w:kern w:val="2"/>
      <w:sz w:val="21"/>
      <w:szCs w:val="24"/>
    </w:rPr>
  </w:style>
  <w:style w:type="character" w:customStyle="1" w:styleId="141">
    <w:name w:val="mark8"/>
    <w:qFormat/>
    <w:uiPriority w:val="0"/>
    <w:rPr>
      <w:b/>
      <w:bCs/>
      <w:sz w:val="21"/>
      <w:szCs w:val="21"/>
    </w:rPr>
  </w:style>
  <w:style w:type="character" w:customStyle="1" w:styleId="142">
    <w:name w:val="content"/>
    <w:qFormat/>
    <w:uiPriority w:val="0"/>
  </w:style>
  <w:style w:type="character" w:customStyle="1" w:styleId="143">
    <w:name w:val="unnamed3"/>
    <w:qFormat/>
    <w:uiPriority w:val="0"/>
  </w:style>
  <w:style w:type="character" w:customStyle="1" w:styleId="144">
    <w:name w:val="z-窗体顶端 字符1"/>
    <w:link w:val="145"/>
    <w:qFormat/>
    <w:uiPriority w:val="0"/>
    <w:rPr>
      <w:rFonts w:ascii="Arial"/>
      <w:vanish/>
      <w:kern w:val="2"/>
      <w:sz w:val="16"/>
      <w:szCs w:val="24"/>
    </w:rPr>
  </w:style>
  <w:style w:type="paragraph" w:customStyle="1" w:styleId="145">
    <w:name w:val="_Style 140"/>
    <w:basedOn w:val="1"/>
    <w:next w:val="1"/>
    <w:link w:val="144"/>
    <w:qFormat/>
    <w:uiPriority w:val="0"/>
    <w:pPr>
      <w:pBdr>
        <w:bottom w:val="single" w:color="auto" w:sz="6" w:space="1"/>
      </w:pBdr>
      <w:jc w:val="center"/>
    </w:pPr>
    <w:rPr>
      <w:rFonts w:ascii="Arial"/>
      <w:vanish/>
      <w:sz w:val="16"/>
    </w:rPr>
  </w:style>
  <w:style w:type="character" w:customStyle="1" w:styleId="146">
    <w:name w:val="tag-type"/>
    <w:qFormat/>
    <w:uiPriority w:val="0"/>
    <w:rPr>
      <w:color w:val="FFFFFF"/>
      <w:sz w:val="18"/>
      <w:szCs w:val="18"/>
      <w:shd w:val="clear" w:color="auto" w:fill="317FFD"/>
    </w:rPr>
  </w:style>
  <w:style w:type="character" w:customStyle="1" w:styleId="147">
    <w:name w:val="z-窗体顶端 字符"/>
    <w:semiHidden/>
    <w:qFormat/>
    <w:uiPriority w:val="99"/>
    <w:rPr>
      <w:rFonts w:ascii="Arial" w:hAnsi="Arial" w:cs="Arial"/>
      <w:vanish/>
      <w:kern w:val="2"/>
      <w:sz w:val="16"/>
      <w:szCs w:val="16"/>
    </w:rPr>
  </w:style>
  <w:style w:type="character" w:customStyle="1" w:styleId="148">
    <w:name w:val="f151"/>
    <w:qFormat/>
    <w:uiPriority w:val="0"/>
    <w:rPr>
      <w:sz w:val="23"/>
      <w:szCs w:val="23"/>
    </w:rPr>
  </w:style>
  <w:style w:type="character" w:customStyle="1" w:styleId="149">
    <w:name w:val="white"/>
    <w:qFormat/>
    <w:uiPriority w:val="0"/>
  </w:style>
  <w:style w:type="character" w:customStyle="1" w:styleId="150">
    <w:name w:val="1ji Char"/>
    <w:link w:val="151"/>
    <w:qFormat/>
    <w:uiPriority w:val="0"/>
    <w:rPr>
      <w:rFonts w:ascii="宋体" w:hAnsi="宋体" w:eastAsia="宋体"/>
      <w:b/>
      <w:bCs/>
      <w:kern w:val="44"/>
      <w:sz w:val="36"/>
      <w:szCs w:val="44"/>
      <w:lang w:val="en-US" w:eastAsia="zh-CN" w:bidi="ar-SA"/>
    </w:rPr>
  </w:style>
  <w:style w:type="paragraph" w:customStyle="1" w:styleId="151">
    <w:name w:val="1ji"/>
    <w:basedOn w:val="2"/>
    <w:link w:val="150"/>
    <w:qFormat/>
    <w:uiPriority w:val="0"/>
    <w:pPr>
      <w:keepLines w:val="0"/>
      <w:widowControl/>
      <w:spacing w:before="0" w:after="0" w:line="240" w:lineRule="auto"/>
      <w:jc w:val="center"/>
    </w:pPr>
    <w:rPr>
      <w:rFonts w:ascii="宋体" w:hAnsi="宋体"/>
      <w:sz w:val="36"/>
    </w:rPr>
  </w:style>
  <w:style w:type="character" w:customStyle="1" w:styleId="152">
    <w:name w:val="last-child7"/>
    <w:qFormat/>
    <w:uiPriority w:val="0"/>
  </w:style>
  <w:style w:type="character" w:customStyle="1" w:styleId="153">
    <w:name w:val="ant-badge-status-dot"/>
    <w:qFormat/>
    <w:uiPriority w:val="0"/>
    <w:rPr>
      <w:shd w:val="clear" w:color="auto" w:fill="FFFFFF"/>
    </w:rPr>
  </w:style>
  <w:style w:type="character" w:customStyle="1" w:styleId="154">
    <w:name w:val="批注主题 字符"/>
    <w:semiHidden/>
    <w:qFormat/>
    <w:uiPriority w:val="99"/>
    <w:rPr>
      <w:b/>
      <w:bCs/>
      <w:kern w:val="2"/>
      <w:sz w:val="21"/>
      <w:szCs w:val="24"/>
    </w:rPr>
  </w:style>
  <w:style w:type="character" w:customStyle="1" w:styleId="155">
    <w:name w:val="apple-converted-space"/>
    <w:qFormat/>
    <w:uiPriority w:val="0"/>
  </w:style>
  <w:style w:type="character" w:customStyle="1" w:styleId="156">
    <w:name w:val="temp1"/>
    <w:qFormat/>
    <w:uiPriority w:val="0"/>
  </w:style>
  <w:style w:type="character" w:customStyle="1" w:styleId="157">
    <w:name w:val="正文文本 2 字符"/>
    <w:semiHidden/>
    <w:qFormat/>
    <w:uiPriority w:val="99"/>
    <w:rPr>
      <w:kern w:val="2"/>
      <w:sz w:val="21"/>
      <w:szCs w:val="24"/>
    </w:rPr>
  </w:style>
  <w:style w:type="character" w:customStyle="1" w:styleId="158">
    <w:name w:val="标题 1 字符"/>
    <w:qFormat/>
    <w:uiPriority w:val="9"/>
    <w:rPr>
      <w:b/>
      <w:bCs/>
      <w:kern w:val="44"/>
      <w:sz w:val="44"/>
      <w:szCs w:val="44"/>
    </w:rPr>
  </w:style>
  <w:style w:type="character" w:customStyle="1" w:styleId="159">
    <w:name w:val="ant-select-tree-checkbox2"/>
    <w:qFormat/>
    <w:uiPriority w:val="0"/>
  </w:style>
  <w:style w:type="character" w:customStyle="1" w:styleId="160">
    <w:name w:val="正文文本缩进 3 字符"/>
    <w:semiHidden/>
    <w:qFormat/>
    <w:uiPriority w:val="99"/>
    <w:rPr>
      <w:kern w:val="2"/>
      <w:sz w:val="16"/>
      <w:szCs w:val="16"/>
    </w:rPr>
  </w:style>
  <w:style w:type="character" w:customStyle="1" w:styleId="161">
    <w:name w:val="批注文字 字符"/>
    <w:semiHidden/>
    <w:qFormat/>
    <w:uiPriority w:val="99"/>
    <w:rPr>
      <w:kern w:val="2"/>
      <w:sz w:val="21"/>
      <w:szCs w:val="24"/>
    </w:rPr>
  </w:style>
  <w:style w:type="character" w:customStyle="1" w:styleId="162">
    <w:name w:val="graytext1"/>
    <w:qFormat/>
    <w:uiPriority w:val="0"/>
    <w:rPr>
      <w:color w:val="666666"/>
    </w:rPr>
  </w:style>
  <w:style w:type="character" w:customStyle="1" w:styleId="163">
    <w:name w:val="批注框文本 字符"/>
    <w:semiHidden/>
    <w:qFormat/>
    <w:uiPriority w:val="99"/>
    <w:rPr>
      <w:kern w:val="2"/>
      <w:sz w:val="18"/>
      <w:szCs w:val="18"/>
    </w:rPr>
  </w:style>
  <w:style w:type="character" w:customStyle="1" w:styleId="164">
    <w:name w:val="case31"/>
    <w:qFormat/>
    <w:uiPriority w:val="0"/>
    <w:rPr>
      <w:rFonts w:hint="default" w:ascii="_x000B__x000C_" w:hAnsi="_x000B__x000C_"/>
      <w:sz w:val="21"/>
      <w:szCs w:val="21"/>
    </w:rPr>
  </w:style>
  <w:style w:type="character" w:customStyle="1" w:styleId="165">
    <w:name w:val="last-of-type"/>
    <w:qFormat/>
    <w:uiPriority w:val="0"/>
    <w:rPr>
      <w:color w:val="FF4A44"/>
      <w:sz w:val="27"/>
      <w:szCs w:val="27"/>
    </w:rPr>
  </w:style>
  <w:style w:type="character" w:customStyle="1" w:styleId="166">
    <w:name w:val="change-camera-place"/>
    <w:qFormat/>
    <w:uiPriority w:val="0"/>
    <w:rPr>
      <w:color w:val="3177FD"/>
    </w:rPr>
  </w:style>
  <w:style w:type="character" w:customStyle="1" w:styleId="167">
    <w:name w:val="ant-tree-icon_loading"/>
    <w:qFormat/>
    <w:uiPriority w:val="0"/>
    <w:rPr>
      <w:shd w:val="clear" w:color="auto" w:fill="FFFFFF"/>
    </w:rPr>
  </w:style>
  <w:style w:type="character" w:customStyle="1" w:styleId="168">
    <w:name w:val="日期 字符"/>
    <w:semiHidden/>
    <w:qFormat/>
    <w:uiPriority w:val="99"/>
    <w:rPr>
      <w:kern w:val="2"/>
      <w:sz w:val="21"/>
      <w:szCs w:val="24"/>
    </w:rPr>
  </w:style>
  <w:style w:type="character" w:customStyle="1" w:styleId="169">
    <w:name w:val="text11"/>
    <w:qFormat/>
    <w:uiPriority w:val="0"/>
    <w:rPr>
      <w:rFonts w:hint="default" w:ascii="Verdana" w:hAnsi="Verdana"/>
      <w:color w:val="4E4E4E"/>
      <w:sz w:val="18"/>
      <w:szCs w:val="18"/>
    </w:rPr>
  </w:style>
  <w:style w:type="character" w:customStyle="1" w:styleId="170">
    <w:name w:val="style21"/>
    <w:qFormat/>
    <w:uiPriority w:val="0"/>
    <w:rPr>
      <w:sz w:val="17"/>
      <w:szCs w:val="17"/>
    </w:rPr>
  </w:style>
  <w:style w:type="character" w:customStyle="1" w:styleId="171">
    <w:name w:val="HTML 预设格式 字符"/>
    <w:semiHidden/>
    <w:qFormat/>
    <w:uiPriority w:val="99"/>
    <w:rPr>
      <w:rFonts w:ascii="Courier New" w:hAnsi="Courier New" w:cs="Courier New"/>
      <w:kern w:val="2"/>
    </w:rPr>
  </w:style>
  <w:style w:type="character" w:customStyle="1" w:styleId="172">
    <w:name w:val="highlight"/>
    <w:qFormat/>
    <w:uiPriority w:val="0"/>
  </w:style>
  <w:style w:type="character" w:customStyle="1" w:styleId="173">
    <w:name w:val="small"/>
    <w:qFormat/>
    <w:uiPriority w:val="0"/>
  </w:style>
  <w:style w:type="character" w:customStyle="1" w:styleId="174">
    <w:name w:val="all-fit-info1"/>
    <w:qFormat/>
    <w:uiPriority w:val="0"/>
    <w:rPr>
      <w:color w:val="939393"/>
    </w:rPr>
  </w:style>
  <w:style w:type="character" w:customStyle="1" w:styleId="175">
    <w:name w:val="标题 9 字符"/>
    <w:semiHidden/>
    <w:qFormat/>
    <w:uiPriority w:val="9"/>
    <w:rPr>
      <w:rFonts w:ascii="等线 Light" w:hAnsi="等线 Light" w:eastAsia="等线 Light" w:cs="Times New Roman"/>
      <w:kern w:val="2"/>
      <w:sz w:val="21"/>
      <w:szCs w:val="21"/>
    </w:rPr>
  </w:style>
  <w:style w:type="character" w:customStyle="1" w:styleId="176">
    <w:name w:val="tag-type1"/>
    <w:qFormat/>
    <w:uiPriority w:val="0"/>
    <w:rPr>
      <w:color w:val="FFFFFF"/>
      <w:sz w:val="18"/>
      <w:szCs w:val="18"/>
      <w:shd w:val="clear" w:color="auto" w:fill="317FFD"/>
    </w:rPr>
  </w:style>
  <w:style w:type="character" w:customStyle="1" w:styleId="177">
    <w:name w:val="标题 8 字符"/>
    <w:semiHidden/>
    <w:qFormat/>
    <w:uiPriority w:val="9"/>
    <w:rPr>
      <w:rFonts w:ascii="等线 Light" w:hAnsi="等线 Light" w:eastAsia="等线 Light" w:cs="Times New Roman"/>
      <w:kern w:val="2"/>
      <w:sz w:val="24"/>
      <w:szCs w:val="24"/>
    </w:rPr>
  </w:style>
  <w:style w:type="character" w:customStyle="1" w:styleId="178">
    <w:name w:val="页脚 字符"/>
    <w:semiHidden/>
    <w:qFormat/>
    <w:uiPriority w:val="99"/>
    <w:rPr>
      <w:kern w:val="2"/>
      <w:sz w:val="18"/>
      <w:szCs w:val="18"/>
    </w:rPr>
  </w:style>
  <w:style w:type="character" w:customStyle="1" w:styleId="179">
    <w:name w:val="ant-tree-switcher"/>
    <w:qFormat/>
    <w:uiPriority w:val="0"/>
  </w:style>
  <w:style w:type="character" w:customStyle="1" w:styleId="180">
    <w:name w:val="标题 2 字符"/>
    <w:semiHidden/>
    <w:qFormat/>
    <w:uiPriority w:val="9"/>
    <w:rPr>
      <w:rFonts w:ascii="等线 Light" w:hAnsi="等线 Light" w:eastAsia="等线 Light" w:cs="Times New Roman"/>
      <w:b/>
      <w:bCs/>
      <w:kern w:val="2"/>
      <w:sz w:val="32"/>
      <w:szCs w:val="32"/>
    </w:rPr>
  </w:style>
  <w:style w:type="character" w:customStyle="1" w:styleId="181">
    <w:name w:val="last-child5"/>
    <w:qFormat/>
    <w:uiPriority w:val="0"/>
  </w:style>
  <w:style w:type="character" w:customStyle="1" w:styleId="182">
    <w:name w:val="last-child4"/>
    <w:qFormat/>
    <w:uiPriority w:val="0"/>
  </w:style>
  <w:style w:type="character" w:customStyle="1" w:styleId="183">
    <w:name w:val="文档结构图 字符"/>
    <w:semiHidden/>
    <w:qFormat/>
    <w:uiPriority w:val="99"/>
    <w:rPr>
      <w:rFonts w:ascii="Microsoft YaHei UI" w:eastAsia="Microsoft YaHei UI"/>
      <w:kern w:val="2"/>
      <w:sz w:val="18"/>
      <w:szCs w:val="18"/>
    </w:rPr>
  </w:style>
  <w:style w:type="paragraph" w:customStyle="1" w:styleId="18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5">
    <w:name w:val="Char1"/>
    <w:basedOn w:val="1"/>
    <w:qFormat/>
    <w:uiPriority w:val="0"/>
    <w:rPr>
      <w:szCs w:val="21"/>
    </w:rPr>
  </w:style>
  <w:style w:type="paragraph" w:customStyle="1" w:styleId="186">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187">
    <w:name w:val="目录 53"/>
    <w:next w:val="1"/>
    <w:qFormat/>
    <w:uiPriority w:val="0"/>
    <w:pPr>
      <w:wordWrap w:val="0"/>
      <w:ind w:left="1275"/>
      <w:jc w:val="both"/>
    </w:pPr>
    <w:rPr>
      <w:rFonts w:ascii="Times New Roman" w:hAnsi="Times New Roman" w:eastAsia="宋体" w:cs="Times New Roman"/>
      <w:sz w:val="21"/>
      <w:szCs w:val="22"/>
      <w:lang w:val="en-US" w:eastAsia="zh-CN" w:bidi="ar-SA"/>
    </w:rPr>
  </w:style>
  <w:style w:type="paragraph" w:customStyle="1" w:styleId="188">
    <w:name w:val="Char Char Char"/>
    <w:basedOn w:val="1"/>
    <w:qFormat/>
    <w:uiPriority w:val="0"/>
    <w:rPr>
      <w:rFonts w:ascii="Tahoma" w:hAnsi="Tahoma"/>
      <w:sz w:val="24"/>
      <w:szCs w:val="20"/>
    </w:rPr>
  </w:style>
  <w:style w:type="paragraph" w:customStyle="1" w:styleId="189">
    <w:name w:val="默认段落字体 Para Char Char Char Char Char Char Char Char Char1 Char Char Char Char"/>
    <w:basedOn w:val="1"/>
    <w:qFormat/>
    <w:uiPriority w:val="0"/>
    <w:rPr>
      <w:rFonts w:ascii="Tahoma" w:hAnsi="Tahoma"/>
      <w:sz w:val="24"/>
      <w:szCs w:val="20"/>
    </w:rPr>
  </w:style>
  <w:style w:type="paragraph" w:customStyle="1" w:styleId="190">
    <w:name w:val="tgt1"/>
    <w:basedOn w:val="1"/>
    <w:qFormat/>
    <w:uiPriority w:val="0"/>
    <w:pPr>
      <w:widowControl/>
      <w:spacing w:after="150"/>
      <w:jc w:val="left"/>
    </w:pPr>
    <w:rPr>
      <w:rFonts w:ascii="宋体" w:hAnsi="宋体" w:cs="宋体"/>
      <w:kern w:val="0"/>
      <w:sz w:val="24"/>
    </w:rPr>
  </w:style>
  <w:style w:type="paragraph" w:customStyle="1" w:styleId="191">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9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3">
    <w:name w:val="444"/>
    <w:basedOn w:val="1"/>
    <w:qFormat/>
    <w:uiPriority w:val="0"/>
    <w:pPr>
      <w:adjustRightInd w:val="0"/>
      <w:spacing w:line="312" w:lineRule="atLeast"/>
      <w:jc w:val="center"/>
      <w:textAlignment w:val="baseline"/>
    </w:pPr>
    <w:rPr>
      <w:b/>
      <w:kern w:val="0"/>
      <w:sz w:val="36"/>
      <w:szCs w:val="36"/>
    </w:rPr>
  </w:style>
  <w:style w:type="paragraph" w:customStyle="1" w:styleId="194">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95">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9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97">
    <w:name w:val="1"/>
    <w:basedOn w:val="1"/>
    <w:next w:val="30"/>
    <w:qFormat/>
    <w:uiPriority w:val="0"/>
    <w:rPr>
      <w:rFonts w:ascii="宋体" w:hAnsi="Courier New"/>
      <w:szCs w:val="20"/>
    </w:rPr>
  </w:style>
  <w:style w:type="paragraph" w:customStyle="1" w:styleId="198">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00">
    <w:name w:val="_Style 109"/>
    <w:basedOn w:val="1"/>
    <w:next w:val="201"/>
    <w:qFormat/>
    <w:uiPriority w:val="34"/>
    <w:pPr>
      <w:ind w:firstLine="420" w:firstLineChars="200"/>
    </w:pPr>
    <w:rPr>
      <w:rFonts w:ascii="Calibri" w:hAnsi="Calibri"/>
      <w:szCs w:val="22"/>
    </w:rPr>
  </w:style>
  <w:style w:type="paragraph" w:styleId="201">
    <w:name w:val="List Paragraph"/>
    <w:basedOn w:val="1"/>
    <w:qFormat/>
    <w:uiPriority w:val="34"/>
    <w:pPr>
      <w:ind w:firstLine="420" w:firstLineChars="200"/>
    </w:pPr>
    <w:rPr>
      <w:rFonts w:ascii="Calibri" w:hAnsi="Calibri"/>
      <w:szCs w:val="22"/>
    </w:rPr>
  </w:style>
  <w:style w:type="paragraph" w:customStyle="1" w:styleId="20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204">
    <w:name w:val="F2"/>
    <w:basedOn w:val="1"/>
    <w:qFormat/>
    <w:uiPriority w:val="0"/>
    <w:pPr>
      <w:autoSpaceDE w:val="0"/>
      <w:autoSpaceDN w:val="0"/>
      <w:adjustRightInd w:val="0"/>
      <w:ind w:firstLine="601"/>
      <w:textAlignment w:val="baseline"/>
    </w:pPr>
    <w:rPr>
      <w:kern w:val="0"/>
      <w:sz w:val="24"/>
      <w:szCs w:val="20"/>
    </w:rPr>
  </w:style>
  <w:style w:type="paragraph" w:customStyle="1" w:styleId="2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06">
    <w:name w:val="表格"/>
    <w:basedOn w:val="1"/>
    <w:qFormat/>
    <w:uiPriority w:val="0"/>
    <w:pPr>
      <w:spacing w:line="400" w:lineRule="exact"/>
    </w:pPr>
    <w:rPr>
      <w:sz w:val="24"/>
    </w:rPr>
  </w:style>
  <w:style w:type="paragraph" w:customStyle="1" w:styleId="207">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8">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20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10">
    <w:name w:val="_Style 206"/>
    <w:unhideWhenUsed/>
    <w:qFormat/>
    <w:uiPriority w:val="99"/>
    <w:rPr>
      <w:rFonts w:ascii="Times New Roman" w:hAnsi="Times New Roman" w:eastAsia="宋体" w:cs="Times New Roman"/>
      <w:kern w:val="2"/>
      <w:sz w:val="21"/>
      <w:szCs w:val="24"/>
      <w:lang w:val="en-US" w:eastAsia="zh-CN" w:bidi="ar-SA"/>
    </w:rPr>
  </w:style>
  <w:style w:type="paragraph" w:customStyle="1" w:styleId="211">
    <w:name w:val="Char Char Char Char Char Char Char"/>
    <w:basedOn w:val="1"/>
    <w:qFormat/>
    <w:uiPriority w:val="0"/>
  </w:style>
  <w:style w:type="paragraph" w:customStyle="1" w:styleId="212">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213">
    <w:name w:val="List Paragraph1"/>
    <w:basedOn w:val="1"/>
    <w:qFormat/>
    <w:uiPriority w:val="0"/>
    <w:pPr>
      <w:ind w:firstLine="420" w:firstLineChars="200"/>
    </w:pPr>
    <w:rPr>
      <w:rFonts w:ascii="Calibri" w:hAnsi="Calibri"/>
      <w:szCs w:val="22"/>
    </w:rPr>
  </w:style>
  <w:style w:type="paragraph" w:customStyle="1" w:styleId="214">
    <w:name w:val="paragraphind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215">
    <w:name w:val="Char Char Char Char Char Char Char Char Char Char Char Char Char1"/>
    <w:basedOn w:val="17"/>
    <w:qFormat/>
    <w:uiPriority w:val="0"/>
    <w:pPr>
      <w:adjustRightInd/>
      <w:spacing w:line="240" w:lineRule="auto"/>
      <w:textAlignment w:val="auto"/>
    </w:pPr>
    <w:rPr>
      <w:rFonts w:ascii="Tahoma" w:hAnsi="Tahoma"/>
      <w:kern w:val="2"/>
      <w:sz w:val="24"/>
      <w:szCs w:val="24"/>
    </w:rPr>
  </w:style>
  <w:style w:type="paragraph" w:customStyle="1" w:styleId="216">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18">
    <w:name w:val="次小点说明 Char"/>
    <w:basedOn w:val="7"/>
    <w:qFormat/>
    <w:uiPriority w:val="0"/>
    <w:pPr>
      <w:ind w:firstLine="0"/>
    </w:pPr>
    <w:rPr>
      <w:sz w:val="24"/>
      <w:szCs w:val="24"/>
    </w:rPr>
  </w:style>
  <w:style w:type="paragraph" w:customStyle="1" w:styleId="219">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20">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221">
    <w:name w:val="样式 首行缩进:  2 字符"/>
    <w:basedOn w:val="1"/>
    <w:qFormat/>
    <w:uiPriority w:val="0"/>
    <w:pPr>
      <w:spacing w:line="400" w:lineRule="exact"/>
      <w:ind w:firstLine="200" w:firstLineChars="200"/>
    </w:pPr>
    <w:rPr>
      <w:rFonts w:cs="宋体"/>
      <w:sz w:val="24"/>
    </w:rPr>
  </w:style>
  <w:style w:type="paragraph" w:customStyle="1" w:styleId="22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23">
    <w:name w:val="正文首行缩进两字符"/>
    <w:basedOn w:val="1"/>
    <w:qFormat/>
    <w:uiPriority w:val="0"/>
    <w:pPr>
      <w:spacing w:line="360" w:lineRule="auto"/>
      <w:ind w:firstLine="200" w:firstLineChars="200"/>
    </w:pPr>
  </w:style>
  <w:style w:type="paragraph" w:customStyle="1" w:styleId="224">
    <w:name w:val="列表段落1"/>
    <w:basedOn w:val="1"/>
    <w:qFormat/>
    <w:uiPriority w:val="34"/>
    <w:pPr>
      <w:ind w:firstLine="420" w:firstLineChars="200"/>
    </w:pPr>
  </w:style>
  <w:style w:type="paragraph" w:customStyle="1" w:styleId="225">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22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22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28">
    <w:name w:val="List Paragraph_00659276-fdcc-426a-98e1-d9eb9b34cdb1"/>
    <w:basedOn w:val="1"/>
    <w:qFormat/>
    <w:uiPriority w:val="0"/>
    <w:pPr>
      <w:ind w:firstLine="200" w:firstLineChars="200"/>
    </w:pPr>
  </w:style>
  <w:style w:type="paragraph" w:customStyle="1" w:styleId="229">
    <w:name w:val="默认段落字体 Para Char"/>
    <w:basedOn w:val="1"/>
    <w:qFormat/>
    <w:uiPriority w:val="0"/>
    <w:pPr>
      <w:adjustRightInd w:val="0"/>
      <w:spacing w:line="360" w:lineRule="auto"/>
    </w:pPr>
    <w:rPr>
      <w:kern w:val="0"/>
      <w:sz w:val="24"/>
      <w:szCs w:val="20"/>
    </w:rPr>
  </w:style>
  <w:style w:type="paragraph" w:customStyle="1" w:styleId="230">
    <w:name w:val="中等深浅网格 21"/>
    <w:qFormat/>
    <w:uiPriority w:val="0"/>
    <w:rPr>
      <w:rFonts w:ascii="Calibri" w:hAnsi="Calibri" w:eastAsia="宋体" w:cs="Times New Roman"/>
      <w:sz w:val="22"/>
      <w:szCs w:val="22"/>
      <w:lang w:val="en-US" w:eastAsia="zh-CN" w:bidi="ar-SA"/>
    </w:rPr>
  </w:style>
  <w:style w:type="paragraph" w:customStyle="1" w:styleId="231">
    <w:name w:val="Table Paragraph"/>
    <w:basedOn w:val="1"/>
    <w:qFormat/>
    <w:uiPriority w:val="1"/>
  </w:style>
  <w:style w:type="paragraph" w:customStyle="1" w:styleId="232">
    <w:name w:val="样式1"/>
    <w:basedOn w:val="1"/>
    <w:qFormat/>
    <w:uiPriority w:val="0"/>
    <w:pPr>
      <w:spacing w:before="120" w:after="120" w:line="300" w:lineRule="auto"/>
    </w:pPr>
    <w:rPr>
      <w:rFonts w:ascii="宋体" w:hAnsi="宋体"/>
      <w:b/>
      <w:sz w:val="24"/>
      <w:szCs w:val="20"/>
    </w:rPr>
  </w:style>
  <w:style w:type="paragraph" w:customStyle="1" w:styleId="23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4">
    <w:name w:val="正文段"/>
    <w:basedOn w:val="1"/>
    <w:qFormat/>
    <w:uiPriority w:val="0"/>
    <w:pPr>
      <w:widowControl/>
      <w:snapToGrid w:val="0"/>
      <w:spacing w:after="156" w:afterLines="50"/>
      <w:ind w:firstLine="200" w:firstLineChars="200"/>
    </w:pPr>
    <w:rPr>
      <w:kern w:val="0"/>
      <w:sz w:val="24"/>
      <w:szCs w:val="20"/>
    </w:rPr>
  </w:style>
  <w:style w:type="paragraph" w:customStyle="1" w:styleId="235">
    <w:name w:val="_Style 23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36">
    <w:name w:val="缺省文本"/>
    <w:basedOn w:val="1"/>
    <w:qFormat/>
    <w:uiPriority w:val="0"/>
    <w:pPr>
      <w:autoSpaceDE w:val="0"/>
      <w:autoSpaceDN w:val="0"/>
      <w:adjustRightInd w:val="0"/>
      <w:spacing w:line="360" w:lineRule="auto"/>
      <w:jc w:val="left"/>
    </w:pPr>
    <w:rPr>
      <w:kern w:val="0"/>
      <w:sz w:val="24"/>
      <w:szCs w:val="20"/>
    </w:rPr>
  </w:style>
  <w:style w:type="paragraph" w:customStyle="1" w:styleId="237">
    <w:name w:val="p15"/>
    <w:basedOn w:val="1"/>
    <w:qFormat/>
    <w:uiPriority w:val="0"/>
    <w:pPr>
      <w:widowControl/>
      <w:ind w:firstLine="420"/>
    </w:pPr>
    <w:rPr>
      <w:kern w:val="0"/>
      <w:szCs w:val="21"/>
    </w:rPr>
  </w:style>
  <w:style w:type="paragraph" w:customStyle="1" w:styleId="238">
    <w:name w:val="Char Char Char2"/>
    <w:basedOn w:val="17"/>
    <w:qFormat/>
    <w:uiPriority w:val="0"/>
    <w:pPr>
      <w:adjustRightInd/>
      <w:spacing w:line="240" w:lineRule="auto"/>
      <w:textAlignment w:val="auto"/>
    </w:pPr>
    <w:rPr>
      <w:rFonts w:ascii="Tahoma" w:hAnsi="Tahoma"/>
      <w:kern w:val="2"/>
      <w:sz w:val="24"/>
      <w:szCs w:val="24"/>
    </w:rPr>
  </w:style>
  <w:style w:type="paragraph" w:customStyle="1" w:styleId="239">
    <w:name w:val="Char Char Char Char Char Char Char1"/>
    <w:basedOn w:val="1"/>
    <w:qFormat/>
    <w:uiPriority w:val="0"/>
  </w:style>
  <w:style w:type="paragraph" w:customStyle="1" w:styleId="24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1">
    <w:name w:val="Char31"/>
    <w:basedOn w:val="1"/>
    <w:qFormat/>
    <w:uiPriority w:val="0"/>
    <w:pPr>
      <w:tabs>
        <w:tab w:val="left" w:pos="360"/>
      </w:tabs>
      <w:ind w:left="252" w:hanging="252" w:hangingChars="140"/>
    </w:pPr>
    <w:rPr>
      <w:rFonts w:ascii="宋体"/>
      <w:sz w:val="18"/>
      <w:szCs w:val="18"/>
    </w:rPr>
  </w:style>
  <w:style w:type="paragraph" w:customStyle="1" w:styleId="242">
    <w:name w:val="五号正文（标准）"/>
    <w:basedOn w:val="1"/>
    <w:qFormat/>
    <w:uiPriority w:val="0"/>
    <w:pPr>
      <w:spacing w:line="360" w:lineRule="auto"/>
      <w:ind w:right="55" w:firstLine="560" w:firstLineChars="200"/>
    </w:pPr>
    <w:rPr>
      <w:rFonts w:eastAsia="仿宋_GB2312"/>
      <w:sz w:val="28"/>
      <w:szCs w:val="20"/>
    </w:rPr>
  </w:style>
  <w:style w:type="paragraph" w:customStyle="1" w:styleId="243">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244">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245">
    <w:name w:val="列出段落1"/>
    <w:basedOn w:val="1"/>
    <w:qFormat/>
    <w:uiPriority w:val="99"/>
    <w:pPr>
      <w:ind w:firstLine="420" w:firstLineChars="200"/>
    </w:pPr>
    <w:rPr>
      <w:rFonts w:ascii="Calibri" w:hAnsi="Calibri"/>
    </w:rPr>
  </w:style>
  <w:style w:type="paragraph" w:customStyle="1" w:styleId="24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47">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48">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4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character" w:customStyle="1" w:styleId="250">
    <w:name w:val="font31"/>
    <w:basedOn w:val="57"/>
    <w:qFormat/>
    <w:uiPriority w:val="0"/>
    <w:rPr>
      <w:rFonts w:hint="eastAsia" w:ascii="等线" w:hAnsi="等线" w:eastAsia="等线" w:cs="等线"/>
      <w:color w:val="000000"/>
      <w:sz w:val="22"/>
      <w:szCs w:val="22"/>
      <w:u w:val="none"/>
    </w:rPr>
  </w:style>
  <w:style w:type="character" w:customStyle="1" w:styleId="251">
    <w:name w:val="font151"/>
    <w:basedOn w:val="57"/>
    <w:qFormat/>
    <w:uiPriority w:val="0"/>
    <w:rPr>
      <w:rFonts w:hint="eastAsia" w:ascii="宋体" w:hAnsi="宋体" w:eastAsia="宋体" w:cs="宋体"/>
      <w:b/>
      <w:bCs/>
      <w:color w:val="000000"/>
      <w:sz w:val="22"/>
      <w:szCs w:val="22"/>
      <w:u w:val="none"/>
    </w:rPr>
  </w:style>
  <w:style w:type="character" w:customStyle="1" w:styleId="252">
    <w:name w:val="font161"/>
    <w:basedOn w:val="57"/>
    <w:qFormat/>
    <w:uiPriority w:val="0"/>
    <w:rPr>
      <w:rFonts w:hint="eastAsia" w:ascii="宋体" w:hAnsi="宋体" w:eastAsia="宋体" w:cs="宋体"/>
      <w:color w:val="000000"/>
      <w:sz w:val="22"/>
      <w:szCs w:val="22"/>
      <w:u w:val="none"/>
    </w:rPr>
  </w:style>
  <w:style w:type="character" w:customStyle="1" w:styleId="253">
    <w:name w:val="font21"/>
    <w:basedOn w:val="57"/>
    <w:qFormat/>
    <w:uiPriority w:val="0"/>
    <w:rPr>
      <w:rFonts w:hint="eastAsia" w:ascii="宋体" w:hAnsi="宋体" w:eastAsia="宋体" w:cs="宋体"/>
      <w:color w:val="000000"/>
      <w:sz w:val="22"/>
      <w:szCs w:val="22"/>
      <w:u w:val="none"/>
    </w:rPr>
  </w:style>
  <w:style w:type="character" w:customStyle="1" w:styleId="254">
    <w:name w:val="font51"/>
    <w:basedOn w:val="57"/>
    <w:qFormat/>
    <w:uiPriority w:val="0"/>
    <w:rPr>
      <w:rFonts w:hint="default" w:ascii="Arial" w:hAnsi="Arial" w:cs="Arial"/>
      <w:color w:val="000000"/>
      <w:sz w:val="22"/>
      <w:szCs w:val="22"/>
      <w:u w:val="none"/>
    </w:rPr>
  </w:style>
  <w:style w:type="character" w:customStyle="1" w:styleId="255">
    <w:name w:val="font61"/>
    <w:basedOn w:val="57"/>
    <w:qFormat/>
    <w:uiPriority w:val="0"/>
    <w:rPr>
      <w:rFonts w:hint="default" w:ascii="Arial" w:hAnsi="Arial" w:cs="Arial"/>
      <w:color w:val="000000"/>
      <w:sz w:val="22"/>
      <w:szCs w:val="22"/>
      <w:u w:val="none"/>
    </w:rPr>
  </w:style>
  <w:style w:type="character" w:customStyle="1" w:styleId="256">
    <w:name w:val="font71"/>
    <w:basedOn w:val="57"/>
    <w:qFormat/>
    <w:uiPriority w:val="0"/>
    <w:rPr>
      <w:rFonts w:hint="eastAsia" w:ascii="宋体" w:hAnsi="宋体" w:eastAsia="宋体" w:cs="宋体"/>
      <w:color w:val="000000"/>
      <w:sz w:val="22"/>
      <w:szCs w:val="22"/>
      <w:u w:val="none"/>
    </w:rPr>
  </w:style>
  <w:style w:type="paragraph" w:customStyle="1" w:styleId="257">
    <w:name w:val="Table Text"/>
    <w:basedOn w:val="1"/>
    <w:semiHidden/>
    <w:qFormat/>
    <w:uiPriority w:val="0"/>
    <w:rPr>
      <w:rFonts w:ascii="宋体" w:hAnsi="宋体" w:cs="宋体"/>
      <w:sz w:val="25"/>
      <w:szCs w:val="25"/>
      <w:lang w:eastAsia="en-US"/>
    </w:rPr>
  </w:style>
  <w:style w:type="table" w:customStyle="1" w:styleId="25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emf"/><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112</Pages>
  <Words>10299</Words>
  <Characters>11276</Characters>
  <Lines>394</Lines>
  <Paragraphs>111</Paragraphs>
  <TotalTime>7</TotalTime>
  <ScaleCrop>false</ScaleCrop>
  <LinksUpToDate>false</LinksUpToDate>
  <CharactersWithSpaces>11480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2026-02-25T09:44:00Z</dcterms:created>
  <dc:creator>微软用户</dc:creator>
  <cp:lastModifiedBy>NTKO</cp:lastModifiedBy>
  <cp:lastPrinted>2022-03-04T06:45:00Z</cp:lastPrinted>
  <dcterms:modified xsi:type="dcterms:W3CDTF">2026-08-24T05:26:00Z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8F146C4B3D714FD1AC6831AA8B2B2F7B_13</vt:lpwstr>
  </property>
  <property fmtid="{D5CDD505-2E9C-101B-9397-08002B2CF9AE}" pid="14" name="GrammarlyDocumentId">
    <vt:lpwstr>735b0e3110c6271e3eb822e1c55f6b82be6595b5c1a107f25157bc189e67a3e9</vt:lpwstr>
  </property>
  <property fmtid="{D5CDD505-2E9C-101B-9397-08002B2CF9AE}" pid="15" name="KSOTemplateDocerSaveRecord">
    <vt:lpwstr>eyJoZGlkIjoiNGYyODdkZjM5MmMzZTg1ZmE0OTAzMjQ0OTM3ZjcyODIiLCJ1c2VySWQiOiI1NzE3NjE5ODMifQ==</vt:lpwstr>
  </property>
</Properties>
</file>